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1979157</wp:posOffset>
                </wp:positionV>
                <wp:extent cx="4528820" cy="33782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337820"/>
                        </a:xfrm>
                        <a:prstGeom prst="rect">
                          <a:avLst/>
                        </a:prstGeom>
                        <a:noFill/>
                        <a:ln w="9525">
                          <a:noFill/>
                          <a:miter lim="800000"/>
                          <a:headEnd/>
                          <a:tailEnd/>
                        </a:ln>
                      </wps:spPr>
                      <wps:txb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 Release 1.0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04C02CC" id="_x0000_t202" coordsize="21600,21600" o:spt="202" path="m,l,21600r21600,l21600,xe">
                <v:stroke joinstyle="miter"/>
                <v:path gradientshapeok="t" o:connecttype="rect"/>
              </v:shapetype>
              <v:shape id="Text Box 2" o:spid="_x0000_s1026" type="#_x0000_t202" style="position:absolute;margin-left:0;margin-top:155.85pt;width:122.25pt;height:26.6pt;z-index:25165824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" filled="f" stroked="f">
                <v:textbox>
                  <w:txbxContent>
                    <w:p w14:paraId="54FA1EBF" w14:textId="6A6CA9D8" w:rsidR="00913938" w:rsidRPr="00851AA2" w:rsidRDefault="002D24EB" w:rsidP="00913938">
                      <w:pPr>
                        <w:rPr>
                          <w:b/>
                          <w:bCs/>
                          <w:color w:val="071B2C"/>
                          <w:sz w:val="36"/>
                          <w:szCs w:val="36"/>
                        </w:rPr>
                      </w:pPr>
                      <w:r w:rsidRPr="00851AA2">
                        <w:rPr>
                          <w:b/>
                          <w:bCs/>
                          <w:color w:val="071B2C"/>
                          <w:sz w:val="36"/>
                          <w:szCs w:val="36"/>
                        </w:rPr>
                        <w:t>iNXT BrokerVerse OOTB Release 1.0</w:t>
                      </w:r>
                    </w:p>
                  </w:txbxContent>
                </v:textbox>
                <w10:wrap type="square" anchorx="margin"/>
              </v:shape>
            </w:pict>
          </mc:Fallback>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1291590</wp:posOffset>
                </wp:positionV>
                <wp:extent cx="4528820" cy="125000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820" cy="1250000"/>
                        </a:xfrm>
                        <a:prstGeom prst="rect">
                          <a:avLst/>
                        </a:prstGeom>
                        <a:noFill/>
                        <a:ln w="9525">
                          <a:noFill/>
                          <a:miter lim="800000"/>
                          <a:headEnd/>
                          <a:tailEnd/>
                        </a:ln>
                      </wps:spPr>
                      <wps:txb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Go/No-Go Recommendation and Management Register</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DE2BF4" id="_x0000_s1027" type="#_x0000_t202" style="position:absolute;margin-left:0;margin-top:101.7pt;width:356.6pt;height:37.55pt;z-index:251658245;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" filled="f" stroked="f">
                <v:textbox>
                  <w:txbxContent>
                    <w:p w14:paraId="539063F1" w14:textId="4B04DDEF" w:rsidR="003F0D95" w:rsidRPr="00E75E19" w:rsidRDefault="003F0D95" w:rsidP="003F0D95">
                      <w:pPr>
                        <w:rPr>
                          <w:b/>
                          <w:bCs/>
                          <w:color w:val="1D74BA"/>
                          <w:sz w:val="36"/>
                          <w:szCs w:val="36"/>
                          <w:lang w:val="en-MY"/>
                        </w:rPr>
                      </w:pPr>
                      <w:r>
                        <w:rPr>
                          <w:b/>
                          <w:bCs/>
                          <w:color w:val="1D74BA"/>
                          <w:sz w:val="36"/>
                          <w:szCs w:val="36"/>
                          <w:lang w:val="en-MY"/>
                        </w:rPr>
                        <w:t>Go/No-Go Recommendation and Management Register</w:t>
                      </w:r>
                      <w:r w:rsidRPr="00E75E19">
                        <w:rPr>
                          <w:b/>
                          <w:bCs/>
                          <w:color w:val="1D74BA"/>
                          <w:sz w:val="36"/>
                          <w:szCs w:val="36"/>
                          <w:lang w:val="en-MY"/>
                        </w:rPr>
                        <w:t xml:space="preserve"/>
                      </w:r>
                    </w:p>
                    <w:p w14:paraId="4B8244AC" w14:textId="7CD00658" w:rsidR="002F15FD" w:rsidRPr="001D3CAE" w:rsidRDefault="002F15FD" w:rsidP="003C3BF4">
                      <w:pPr>
                        <w:rPr>
                          <w:b/>
                          <w:bCs/>
                          <w:color w:val="1D74BA"/>
                          <w:sz w:val="56"/>
                          <w:szCs w:val="56"/>
                        </w:rPr>
                      </w:pPr>
                    </w:p>
                  </w:txbxContent>
                </v:textbox>
                <w10:wrap type="square" anchorx="margin"/>
              </v:shape>
            </w:pict>
          </mc:Fallback>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4992625</wp:posOffset>
                </wp:positionH>
                <wp:positionV relativeFrom="paragraph">
                  <wp:posOffset>4124960</wp:posOffset>
                </wp:positionV>
                <wp:extent cx="24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0000" cy="266700"/>
                        </a:xfrm>
                        <a:prstGeom prst="rect">
                          <a:avLst/>
                        </a:prstGeom>
                        <a:noFill/>
                        <a:ln w="9525">
                          <a:noFill/>
                          <a:miter lim="800000"/>
                          <a:headEnd/>
                          <a:tailEnd/>
                        </a:ln>
                      </wps:spPr>
                      <wps:txb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F25123" id="_x0000_s1028" type="#_x0000_t202" style="position:absolute;margin-left:453.75pt;margin-top:324.8pt;width:128.25pt;height:21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" filled="f" stroked="f">
                <v:textbox>
                  <w:txbxContent>
                    <w:p w14:paraId="3064779C" w14:textId="169D6E01" w:rsidR="003C3BF4" w:rsidRPr="002F15FD" w:rsidRDefault="0064254C" w:rsidP="003C3BF4">
                      <w:pPr>
                        <w:rPr>
                          <w:b/>
                          <w:bCs/>
                          <w:color w:val="1D74BA"/>
                        </w:rPr>
                      </w:pPr>
                      <w:r w:rsidRPr="002F15FD">
                        <w:rPr>
                          <w:color w:val="1D74BA"/>
                        </w:rPr>
                        <w:t xml:space="preserve">Date - </w:t>
                      </w:r>
                      <w:r w:rsidRPr="002F15FD">
                        <w:rPr>
                          <w:b/>
                          <w:bCs/>
                          <w:color w:val="1D74BA"/>
                        </w:rPr>
                        <w:t>03 October 2026</w:t>
                      </w:r>
                    </w:p>
                  </w:txbxContent>
                </v:textbox>
                <w10:wrap type="square" anchorx="page"/>
              </v:shape>
            </w:pict>
          </mc:Fallback>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3095180</wp:posOffset>
                </wp:positionH>
                <wp:positionV relativeFrom="paragraph">
                  <wp:posOffset>4124960</wp:posOffset>
                </wp:positionV>
                <wp:extent cx="16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000" cy="266700"/>
                        </a:xfrm>
                        <a:prstGeom prst="rect">
                          <a:avLst/>
                        </a:prstGeom>
                        <a:noFill/>
                        <a:ln w="9525">
                          <a:noFill/>
                          <a:miter lim="800000"/>
                          <a:headEnd/>
                          <a:tailEnd/>
                        </a:ln>
                      </wps:spPr>
                      <wps:txb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C23128" id="_x0000_s1029" type="#_x0000_t202" style="position:absolute;margin-left:263.4pt;margin-top:324.8pt;width:86.6pt;height:21pt;z-index:251658243;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" filled="f" stroked="f">
                <v:textbox>
                  <w:txbxContent>
                    <w:p w14:paraId="1A3BCAB9" w14:textId="1233059B" w:rsidR="003C3BF4" w:rsidRPr="002F15FD" w:rsidRDefault="003C3BF4" w:rsidP="003C3BF4">
                      <w:pPr>
                        <w:rPr>
                          <w:b/>
                          <w:bCs/>
                          <w:color w:val="1D74BA"/>
                        </w:rPr>
                      </w:pPr>
                      <w:r w:rsidRPr="002F15FD">
                        <w:rPr>
                          <w:color w:val="1D74BA"/>
                        </w:rPr>
                        <w:t xml:space="preserve">Version - </w:t>
                      </w:r>
                      <w:r w:rsidR="00EC1FCB">
                        <w:rPr>
                          <w:b/>
                          <w:bCs/>
                          <w:color w:val="1D74BA"/>
                        </w:rPr>
                        <w:t>1</w:t>
                      </w:r>
                      <w:r w:rsidRPr="002F15FD">
                        <w:rPr>
                          <w:b/>
                          <w:bCs/>
                          <w:color w:val="1D74BA"/>
                        </w:rPr>
                        <w:t>.</w:t>
                      </w:r>
                      <w:r w:rsidR="00EC1FCB">
                        <w:rPr>
                          <w:b/>
                          <w:bCs/>
                          <w:color w:val="1D74BA"/>
                        </w:rPr>
                        <w:t>0</w:t>
                      </w:r>
                    </w:p>
                  </w:txbxContent>
                </v:textbox>
                <w10:wrap type="square" anchorx="page"/>
              </v:shape>
            </w:pict>
          </mc:Fallback>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6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43415C" id="_x0000_s1030" type="#_x0000_t202" style="position:absolute;margin-left:15.3pt;margin-top:324.8pt;width:144.35pt;height:21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" filled="f" stroked="f">
                <v:textbo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v:textbox>
                <w10:wrap type="square" anchorx="page"/>
              </v:shape>
            </w:pict>
          </mc:Fallback>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w14:paraId="7D024777" w14:textId="77777777" w:rsidR="002B183A" w:rsidRPr="009876A6" w:rsidRDefault="002B183A" w:rsidP="002B183A">
      <w:pPr>
        <w:rPr>
          <w:rFonts w:ascii="Segoe UI" w:hAnsi="Segoe UI" w:cs="Segoe UI"/>
          <w:color w:val="101820"/>
        </w:rPr>
      </w:pPr>
    </w:p>
    <w:p>
      <w:r>
        <w:fldChar w:fldCharType="begin"/>
      </w:r>
      <w:r>
        <w:instrText xml:space="preserve"> TOC \o "1-2" \h \z \u </w:instrText>
      </w:r>
      <w:r>
        <w:fldChar w:fldCharType="separate"/>
      </w:r>
      <w:r>
        <w:t>Right-click and choose Update Field to refresh the contents.</w:t>
      </w:r>
      <w:r>
        <w:fldChar w:fldCharType="end"/>
      </w:r>
    </w:p>
    <w:p w14:paraId="375D9C08" w14:textId="77777777" w:rsidR="002B183A" w:rsidRPr="00465CAB" w:rsidRDefault="002B183A" w:rsidP="002B183A">
      <w:pPr>
        <w:pStyle w:val="Heading1"/>
        <w:pageBreakBefore/>
        <w:tabs>
          <w:tab w:val="num" w:pos="360"/>
        </w:tabs>
        <w:ind w:left="0" w:firstLine="0"/>
        <w:rPr>
          <w:rStyle w:val="BookTitle"/>
          <w:b w:val="0"/>
          <w:bCs w:val="0"/>
          <w:i w:val="0"/>
          <w:iCs w:val="0"/>
          <w:spacing w:val="0"/>
        </w:rPr>
      </w:pPr>
      <w:r w:rsidRPr="00DD3BAA">
        <w:rPr>
          <w:rStyle w:val="Hyperlink"/>
          <w:rFonts w:eastAsia="Calibri" w:cs="Segoe UI"/>
          <w:b/>
          <w:bCs/>
          <w:color w:val="101820"/>
          <w:szCs w:val="20"/>
        </w:rPr>
        <w:lastRenderedPageBreak/>
        <w:fldChar w:fldCharType="end"/>
      </w:r>
      <w:bookmarkStart w:id="0" w:name="_Toc11824118"/>
      <w:bookmarkStart w:id="1" w:name="_Toc48319687"/>
      <w:r w:rsidRPr="00212D69">
        <w:rPr>
          <w:rStyle w:val="BookTitle"/>
          <w:b w:val="0"/>
        </w:rPr>
        <w:t xml:space="preserve"> </w:t>
      </w:r>
      <w:bookmarkStart w:id="2" w:name="_Toc233203387"/>
      <w:r w:rsidRPr="00465CAB">
        <w:rPr>
          <w:rStyle w:val="BookTitle"/>
          <w:bCs w:val="0"/>
          <w:i w:val="0"/>
          <w:iCs w:val="0"/>
          <w:spacing w:val="0"/>
        </w:rPr>
        <w:t>1.  Document Control</w:t>
      </w:r>
      <w:bookmarkEnd w:id="0"/>
      <w:bookmarkEnd w:id="1"/>
      <w:bookmarkEnd w:id="2"/>
    </w:p>
    <w:p w14:paraId="1D37A198" w14:textId="77777777" w:rsidR="002B183A" w:rsidRPr="00CF07C4" w:rsidRDefault="002B183A" w:rsidP="002B183A">
      <w:pPr>
        <w:ind w:right="-180"/>
        <w:rPr>
          <w:rFonts w:ascii="Segoe UI" w:eastAsia="Arial" w:hAnsi="Segoe UI" w:cs="Segoe UI"/>
          <w:color w:val="FF5100"/>
          <w:sz w:val="18"/>
          <w:szCs w:val="18"/>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784"/>
        <w:gridCol w:w="1607"/>
        <w:gridCol w:w="1690"/>
        <w:gridCol w:w="1694"/>
        <w:gridCol w:w="1689"/>
      </w:tblGrid>
      <w:tr w:rsidR="002B183A" w14:paraId="4E198CD6" w14:textId="77777777" w:rsidTr="002923F3">
        <w:trPr>
          <w:trHeight w:val="440"/>
        </w:trPr>
        <w:tc>
          <w:tcPr>
            <w:tcW w:w="823" w:type="pct"/>
            <w:vAlign w:val="center"/>
          </w:tcPr>
          <w:p w14:paraId="7A3F1104"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Date</w:t>
            </w:r>
          </w:p>
        </w:tc>
        <w:tc>
          <w:tcPr>
            <w:tcW w:w="414" w:type="pct"/>
            <w:vAlign w:val="center"/>
          </w:tcPr>
          <w:p w14:paraId="607CCD9F"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Version</w:t>
            </w:r>
          </w:p>
        </w:tc>
        <w:tc>
          <w:tcPr>
            <w:tcW w:w="906" w:type="pct"/>
            <w:vAlign w:val="center"/>
          </w:tcPr>
          <w:p w14:paraId="2EE940A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Author &amp; Business Unit Info</w:t>
            </w:r>
          </w:p>
        </w:tc>
        <w:tc>
          <w:tcPr>
            <w:tcW w:w="952" w:type="pct"/>
            <w:vAlign w:val="center"/>
          </w:tcPr>
          <w:p w14:paraId="4563069D"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Reviewed By &amp; Business Unit Info</w:t>
            </w:r>
          </w:p>
        </w:tc>
        <w:tc>
          <w:tcPr>
            <w:tcW w:w="954" w:type="pct"/>
            <w:vAlign w:val="center"/>
          </w:tcPr>
          <w:p w14:paraId="03017FBE"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Approved By &amp; Business Unit Info</w:t>
            </w:r>
          </w:p>
        </w:tc>
        <w:tc>
          <w:tcPr>
            <w:tcW w:w="951" w:type="pct"/>
            <w:vAlign w:val="center"/>
          </w:tcPr>
          <w:p w14:paraId="6B8E532B" w14:textId="77777777" w:rsidR="002B183A" w:rsidRPr="00FF67C3" w:rsidRDefault="002B183A" w:rsidP="002923F3">
            <w:pPr>
              <w:spacing w:before="60"/>
              <w:rPr>
                <w:rFonts w:ascii="Segoe UI" w:eastAsia="Arial" w:hAnsi="Segoe UI" w:cs="Segoe UI"/>
                <w:b/>
                <w:bCs/>
                <w:color w:val="101820"/>
                <w:sz w:val="16"/>
                <w:szCs w:val="16"/>
              </w:rPr>
            </w:pPr>
            <w:r w:rsidRPr="00FF67C3">
              <w:rPr>
                <w:rFonts w:ascii="Segoe UI" w:eastAsia="Arial" w:hAnsi="Segoe UI" w:cs="Segoe UI"/>
                <w:b/>
                <w:bCs/>
                <w:color w:val="101820"/>
                <w:sz w:val="16"/>
                <w:szCs w:val="16"/>
              </w:rPr>
              <w:t>Change History</w:t>
            </w:r>
          </w:p>
        </w:tc>
      </w:tr>
      <w:tr w:rsidR="002B183A" w:rsidRPr="00BB346A" w14:paraId="0CC92F71" w14:textId="77777777" w:rsidTr="002923F3">
        <w:trPr>
          <w:trHeight w:val="449"/>
        </w:trPr>
        <w:tc>
          <w:tcPr>
            <w:tcW w:w="823" w:type="pct"/>
            <w:vAlign w:val="center"/>
          </w:tcPr>
          <w:p w14:paraId="453CD405"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r>
              <w:rPr>
                <w:rFonts w:ascii="Segoe UI" w:hAnsi="Segoe UI" w:cs="Segoe UI" w:eastAsia="Segoe UI"/>
                <w:color w:val="101820"/>
                <w:sz w:val="16"/>
              </w:rPr>
              <w:t>03 October 2026</w:t>
            </w:r>
          </w:p>
        </w:tc>
        <w:tc>
          <w:tcPr>
            <w:tcW w:w="414" w:type="pct"/>
            <w:vAlign w:val="center"/>
          </w:tcPr>
          <w:p w14:paraId="499E9B55"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1.0</w:t>
            </w:r>
          </w:p>
        </w:tc>
        <w:tc>
          <w:tcPr>
            <w:tcW w:w="906" w:type="pct"/>
            <w:vAlign w:val="center"/>
          </w:tcPr>
          <w:p w14:paraId="64B9EBB6"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iorta TechNXT</w:t>
            </w:r>
          </w:p>
        </w:tc>
        <w:tc>
          <w:tcPr>
            <w:tcW w:w="952" w:type="pct"/>
            <w:vAlign w:val="center"/>
          </w:tcPr>
          <w:p w14:paraId="4B948B2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4" w:type="pct"/>
            <w:vAlign w:val="center"/>
          </w:tcPr>
          <w:p w14:paraId="1CABD999"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r>
          </w:p>
        </w:tc>
        <w:tc>
          <w:tcPr>
            <w:tcW w:w="951" w:type="pct"/>
            <w:vAlign w:val="center"/>
          </w:tcPr>
          <w:p w14:paraId="07C7886B"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Initial issue</w:t>
            </w:r>
          </w:p>
        </w:tc>
      </w:tr>
    </w:tbl>
    <w:p w14:paraId="1D2DA8DE" w14:textId="77777777" w:rsidR="002B183A" w:rsidRDefault="002B183A" w:rsidP="002B183A">
      <w:pPr>
        <w:rPr>
          <w:rFonts w:ascii="Segoe UI" w:hAnsi="Segoe UI" w:cs="Segoe UI"/>
          <w:sz w:val="18"/>
          <w:szCs w:val="16"/>
          <w:lang w:bidi="en-US"/>
        </w:rPr>
      </w:pPr>
    </w:p>
    <w:p w14:paraId="7BB40391" w14:textId="77777777" w:rsidR="002B183A" w:rsidRPr="00AB16B9" w:rsidRDefault="002B183A" w:rsidP="002B183A">
      <w:pPr>
        <w:ind w:right="90"/>
        <w:rPr>
          <w:rFonts w:ascii="Segoe UI" w:eastAsia="Arial" w:hAnsi="Segoe UI" w:cs="Segoe UI"/>
          <w:b/>
          <w:color w:val="D74E0F"/>
          <w:sz w:val="28"/>
        </w:rPr>
      </w:pPr>
    </w:p>
    <w:p w14:paraId="43F9D759" w14:textId="77777777" w:rsidR="002B183A" w:rsidRPr="00AB16B9" w:rsidRDefault="002B183A" w:rsidP="002B183A">
      <w:pPr>
        <w:spacing w:before="60"/>
        <w:rPr>
          <w:rFonts w:ascii="Segoe UI" w:eastAsia="Arial" w:hAnsi="Segoe UI" w:cs="Segoe UI"/>
          <w:b/>
          <w:color w:val="D74E0F"/>
          <w:sz w:val="28"/>
        </w:rPr>
      </w:pPr>
    </w:p>
    <w:p w14:paraId="62C74CF8" w14:textId="77777777" w:rsidR="002B183A" w:rsidRPr="00AB16B9" w:rsidRDefault="002B183A" w:rsidP="002B183A">
      <w:pPr>
        <w:ind w:right="90"/>
        <w:rPr>
          <w:rFonts w:ascii="Segoe UI" w:eastAsia="Arial" w:hAnsi="Segoe UI" w:cs="Segoe UI"/>
          <w:b/>
          <w:color w:val="D74E0F"/>
          <w:sz w:val="28"/>
        </w:rPr>
      </w:pPr>
    </w:p>
    <w:p w14:paraId="12E0A58E" w14:textId="77777777" w:rsidR="002B183A" w:rsidRPr="00465CAB" w:rsidRDefault="002B183A" w:rsidP="002B183A">
      <w:pPr>
        <w:pStyle w:val="Heading1"/>
        <w:tabs>
          <w:tab w:val="num" w:pos="360"/>
        </w:tabs>
        <w:ind w:left="0" w:firstLine="0"/>
        <w:rPr>
          <w:rStyle w:val="BookTitle"/>
          <w:b w:val="0"/>
          <w:bCs w:val="0"/>
          <w:i w:val="0"/>
          <w:iCs w:val="0"/>
          <w:spacing w:val="0"/>
        </w:rPr>
      </w:pPr>
      <w:bookmarkStart w:id="3" w:name="_Toc233203388"/>
      <w:r>
        <w:rPr>
          <w:rStyle w:val="BookTitle"/>
          <w:bCs w:val="0"/>
          <w:i w:val="0"/>
          <w:iCs w:val="0"/>
          <w:spacing w:val="0"/>
        </w:rPr>
        <w:t>2.  Acronyms</w:t>
      </w:r>
      <w:bookmarkEnd w:id="3"/>
    </w:p>
    <w:p w14:paraId="4F3BFBCC" w14:textId="77777777" w:rsidR="002B183A" w:rsidRPr="00CF07C4" w:rsidRDefault="002B183A" w:rsidP="002B183A">
      <w:pPr>
        <w:ind w:right="-180"/>
        <w:rPr>
          <w:rFonts w:ascii="Segoe UI" w:eastAsia="Arial" w:hAnsi="Segoe UI" w:cs="Segoe UI"/>
          <w:color w:val="FF5100"/>
          <w:sz w:val="18"/>
          <w:szCs w:val="18"/>
        </w:rPr>
      </w:pPr>
    </w:p>
    <w:tbl>
      <w:tblPr>
        <w:tblStyle w:val="TableGrid"/>
        <w:tblW w:w="348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2534"/>
        <w:gridCol w:w="3742"/>
      </w:tblGrid>
      <w:tr w:rsidR="002B183A" w14:paraId="388F227F" w14:textId="77777777" w:rsidTr="002923F3">
        <w:trPr>
          <w:trHeight w:val="440"/>
        </w:trPr>
        <w:tc>
          <w:tcPr>
            <w:tcW w:w="2019" w:type="pct"/>
            <w:vAlign w:val="center"/>
          </w:tcPr>
          <w:p w14:paraId="4B379853"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Acronym / Symbol</w:t>
            </w:r>
          </w:p>
        </w:tc>
        <w:tc>
          <w:tcPr>
            <w:tcW w:w="2981" w:type="pct"/>
            <w:vAlign w:val="center"/>
          </w:tcPr>
          <w:p w14:paraId="2EDB927A" w14:textId="77777777" w:rsidR="002B183A" w:rsidRPr="00FF67C3" w:rsidRDefault="002B183A" w:rsidP="002923F3">
            <w:pPr>
              <w:spacing w:before="60"/>
              <w:rPr>
                <w:rFonts w:ascii="Segoe UI" w:eastAsia="Arial" w:hAnsi="Segoe UI" w:cs="Segoe UI"/>
                <w:b/>
                <w:bCs/>
                <w:color w:val="101820"/>
                <w:sz w:val="16"/>
                <w:szCs w:val="16"/>
              </w:rPr>
            </w:pPr>
            <w:r>
              <w:rPr>
                <w:rFonts w:ascii="Segoe UI" w:eastAsia="Arial" w:hAnsi="Segoe UI" w:cs="Segoe UI"/>
                <w:b/>
                <w:bCs/>
                <w:color w:val="101820"/>
                <w:sz w:val="16"/>
                <w:szCs w:val="16"/>
              </w:rPr>
              <w:t>Definition / Meaning</w:t>
            </w:r>
          </w:p>
        </w:tc>
      </w:tr>
      <w:tr w:rsidR="002B183A" w:rsidRPr="00BB346A" w14:paraId="73CFB63E" w14:textId="77777777" w:rsidTr="002923F3">
        <w:trPr>
          <w:trHeight w:val="449"/>
        </w:trPr>
        <w:tc>
          <w:tcPr>
            <w:tcW w:w="2019" w:type="pct"/>
            <w:vAlign w:val="center"/>
          </w:tcPr>
          <w:p w14:paraId="662B233F"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OOTB</w:t>
            </w:r>
          </w:p>
        </w:tc>
        <w:tc>
          <w:tcPr>
            <w:tcW w:w="2981" w:type="pct"/>
            <w:vAlign w:val="center"/>
          </w:tcPr>
          <w:p w14:paraId="1FF4222C" w14:textId="77777777" w:rsidR="002B183A" w:rsidRPr="009876A6"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Out of the box</w:t>
            </w:r>
          </w:p>
        </w:tc>
      </w:tr>
      <w:tr w:rsidR="002B183A" w:rsidRPr="00BB346A" w14:paraId="1D8D9412" w14:textId="77777777" w:rsidTr="002923F3">
        <w:trPr>
          <w:trHeight w:val="449"/>
        </w:trPr>
        <w:tc>
          <w:tcPr>
            <w:tcW w:w="2019" w:type="pct"/>
            <w:vAlign w:val="center"/>
          </w:tcPr>
          <w:p w14:paraId="028F5493"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UAT</w:t>
            </w:r>
          </w:p>
        </w:tc>
        <w:tc>
          <w:tcPr>
            <w:tcW w:w="2981" w:type="pct"/>
            <w:vAlign w:val="center"/>
          </w:tcPr>
          <w:p w14:paraId="4FAC3C2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User acceptance test</w:t>
            </w:r>
          </w:p>
        </w:tc>
      </w:tr>
      <w:tr w:rsidR="002B183A" w:rsidRPr="00BB346A" w14:paraId="2DB2DE8A" w14:textId="77777777" w:rsidTr="002923F3">
        <w:trPr>
          <w:trHeight w:val="449"/>
        </w:trPr>
        <w:tc>
          <w:tcPr>
            <w:tcW w:w="2019" w:type="pct"/>
            <w:vAlign w:val="center"/>
          </w:tcPr>
          <w:p w14:paraId="5B763B79"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AMC</w:t>
            </w:r>
          </w:p>
        </w:tc>
        <w:tc>
          <w:tcPr>
            <w:tcW w:w="2981" w:type="pct"/>
            <w:vAlign w:val="center"/>
          </w:tcPr>
          <w:p w14:paraId="61D46EF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Annual maintenance contract</w:t>
            </w:r>
          </w:p>
        </w:tc>
      </w:tr>
      <w:tr w:rsidR="002B183A" w:rsidRPr="00BB346A" w14:paraId="4866AFE9" w14:textId="77777777" w:rsidTr="002923F3">
        <w:trPr>
          <w:trHeight w:val="449"/>
        </w:trPr>
        <w:tc>
          <w:tcPr>
            <w:tcW w:w="2019" w:type="pct"/>
            <w:vAlign w:val="center"/>
          </w:tcPr>
          <w:p w14:paraId="42102CE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SOW</w:t>
            </w:r>
          </w:p>
        </w:tc>
        <w:tc>
          <w:tcPr>
            <w:tcW w:w="2981" w:type="pct"/>
            <w:vAlign w:val="center"/>
          </w:tcPr>
          <w:p w14:paraId="01983CF2"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Statement of work</w:t>
            </w:r>
          </w:p>
        </w:tc>
      </w:tr>
      <w:tr w:rsidR="002B183A" w:rsidRPr="00BB346A" w14:paraId="6C77840B" w14:textId="77777777" w:rsidTr="002923F3">
        <w:trPr>
          <w:trHeight w:val="449"/>
        </w:trPr>
        <w:tc>
          <w:tcPr>
            <w:tcW w:w="2019" w:type="pct"/>
            <w:vAlign w:val="center"/>
          </w:tcPr>
          <w:p w14:paraId="267746A1"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MSA</w:t>
            </w:r>
          </w:p>
        </w:tc>
        <w:tc>
          <w:tcPr>
            <w:tcW w:w="2981" w:type="pct"/>
            <w:vAlign w:val="center"/>
          </w:tcPr>
          <w:p w14:paraId="48DD4A48"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Master services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DPA</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processing agreement</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DPO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Data protection officer</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NPC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National Privacy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IC</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Insurance Commission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SMTP</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Simple Mail Transfer Protocol</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CI</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Continuous integration</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RAID</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Risks, assumptions, issues and dependencies</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RTO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time objective</w:t>
            </w:r>
          </w:p>
        </w:tc>
      </w:tr>
      <w:tr w:rsidR="002B183A" w:rsidRPr="00BB346A" w14:paraId="649EEC4F" w14:textId="77777777" w:rsidTr="002923F3">
        <w:trPr>
          <w:trHeight w:val="449"/>
        </w:trPr>
        <w:tc>
          <w:tcPr>
            <w:tcW w:w="2019" w:type="pct"/>
            <w:vAlign w:val="center"/>
          </w:tcPr>
          <w:p w14:paraId="40119CAC" w14:textId="77777777" w:rsidR="002B183A" w:rsidRPr="009876A6" w:rsidRDefault="002B183A" w:rsidP="002923F3">
            <w:pPr>
              <w:spacing w:before="60"/>
              <w:rPr>
                <w:rFonts w:ascii="Segoe UI" w:eastAsia="Arial" w:hAnsi="Segoe UI" w:cs="Segoe UI"/>
                <w:color w:val="101820"/>
                <w:sz w:val="16"/>
                <w:szCs w:val="16"/>
                <w:rtl/>
              </w:rPr>
            </w:pPr>
            <w:r>
              <w:rPr>
                <w:rFonts w:ascii="Segoe UI" w:hAnsi="Segoe UI" w:cs="Segoe UI" w:eastAsia="Segoe UI"/>
                <w:color w:val="101820"/>
                <w:sz w:val="16"/>
              </w:rPr>
              <w:t>RPO</w:t>
            </w:r>
          </w:p>
        </w:tc>
        <w:tc>
          <w:tcPr>
            <w:tcW w:w="2981" w:type="pct"/>
            <w:vAlign w:val="center"/>
          </w:tcPr>
          <w:p w14:paraId="7EB443EE" w14:textId="77777777" w:rsidR="002B183A" w:rsidRDefault="002B183A" w:rsidP="002923F3">
            <w:pPr>
              <w:spacing w:before="60"/>
              <w:rPr>
                <w:rFonts w:ascii="Segoe UI" w:eastAsia="Arial" w:hAnsi="Segoe UI" w:cs="Segoe UI"/>
                <w:color w:val="101820"/>
                <w:sz w:val="16"/>
                <w:szCs w:val="16"/>
              </w:rPr>
            </w:pPr>
            <w:r>
              <w:rPr>
                <w:rFonts w:ascii="Segoe UI" w:hAnsi="Segoe UI" w:cs="Segoe UI" w:eastAsia="Segoe UI"/>
                <w:color w:val="101820"/>
                <w:sz w:val="16"/>
              </w:rPr>
              <w:t>Recovery point objective</w:t>
            </w:r>
          </w:p>
        </w:tc>
      </w:tr>
    </w:tbl>
    <w:p w14:paraId="3FDC6D70" w14:textId="77777777" w:rsidR="002B183A" w:rsidRDefault="002B183A" w:rsidP="002B183A">
      <w:pPr>
        <w:rPr>
          <w:rFonts w:ascii="Segoe UI" w:hAnsi="Segoe UI" w:cs="Segoe UI"/>
          <w:sz w:val="18"/>
          <w:szCs w:val="16"/>
          <w:lang w:bidi="en-US"/>
        </w:rPr>
      </w:pPr>
    </w:p>
    <w:p w14:paraId="065F3A42" w14:textId="77777777" w:rsidR="002B183A" w:rsidRDefault="002B183A" w:rsidP="002B183A">
      <w:pPr>
        <w:rPr>
          <w:rFonts w:ascii="Segoe UI" w:hAnsi="Segoe UI" w:cs="Segoe UI"/>
          <w:sz w:val="18"/>
          <w:szCs w:val="16"/>
          <w:lang w:bidi="en-US"/>
        </w:rPr>
      </w:pPr>
    </w:p>
    <w:p w14:paraId="0E4A9DEB" w14:textId="77777777" w:rsidR="002B183A" w:rsidRDefault="002B183A" w:rsidP="002B183A">
      <w:pPr>
        <w:rPr>
          <w:rFonts w:ascii="Segoe UI" w:hAnsi="Segoe UI" w:cs="Segoe UI"/>
          <w:sz w:val="18"/>
          <w:szCs w:val="16"/>
          <w:lang w:bidi="en-US"/>
        </w:rPr>
      </w:pPr>
    </w:p>
    <w:p w14:paraId="5F98ECBA" w14:textId="77777777" w:rsidR="002B183A" w:rsidRDefault="002B183A" w:rsidP="002B183A">
      <w:pPr>
        <w:rPr>
          <w:rFonts w:ascii="Segoe UI" w:hAnsi="Segoe UI" w:cs="Segoe UI"/>
          <w:sz w:val="18"/>
          <w:szCs w:val="16"/>
          <w:lang w:bidi="en-US"/>
        </w:rPr>
      </w:pPr>
    </w:p>
    <w:p w14:paraId="08BE89CB" w14:textId="77777777" w:rsidR="002B183A" w:rsidRDefault="002B183A" w:rsidP="002B183A">
      <w:pPr>
        <w:rPr>
          <w:rFonts w:ascii="Segoe UI" w:hAnsi="Segoe UI" w:cs="Segoe UI"/>
          <w:sz w:val="18"/>
          <w:szCs w:val="16"/>
          <w:lang w:bidi="en-US"/>
        </w:rPr>
      </w:pPr>
    </w:p>
    <w:p w14:paraId="10B8EBA5" w14:textId="77777777" w:rsidR="002B183A" w:rsidRDefault="002B183A" w:rsidP="002B183A">
      <w:pPr>
        <w:rPr>
          <w:rFonts w:ascii="Segoe UI" w:hAnsi="Segoe UI" w:cs="Segoe UI"/>
          <w:sz w:val="18"/>
          <w:szCs w:val="16"/>
          <w:lang w:bidi="en-US"/>
        </w:rPr>
      </w:pPr>
    </w:p>
    <w:p w14:paraId="2134C394" w14:textId="77777777" w:rsidR="002B183A" w:rsidRDefault="002B183A" w:rsidP="002B183A">
      <w:pPr>
        <w:rPr>
          <w:rFonts w:ascii="Segoe UI" w:hAnsi="Segoe UI" w:cs="Segoe UI"/>
          <w:sz w:val="18"/>
          <w:szCs w:val="16"/>
          <w:lang w:bidi="en-US"/>
        </w:rPr>
      </w:pPr>
    </w:p>
    <w:p w14:paraId="003FC5CF" w14:textId="77777777" w:rsidR="002B183A" w:rsidRDefault="002B183A" w:rsidP="002B183A">
      <w:pPr>
        <w:rPr>
          <w:rFonts w:ascii="Segoe UI" w:hAnsi="Segoe UI" w:cs="Segoe UI"/>
          <w:sz w:val="18"/>
          <w:szCs w:val="16"/>
          <w:lang w:bidi="en-US"/>
        </w:rPr>
      </w:pPr>
    </w:p>
    <w:p w14:paraId="29943CCA" w14:textId="77777777" w:rsidR="002B183A" w:rsidRDefault="002B183A" w:rsidP="002B183A">
      <w:pPr>
        <w:rPr>
          <w:rFonts w:ascii="Segoe UI" w:hAnsi="Segoe UI" w:cs="Segoe UI"/>
          <w:sz w:val="18"/>
          <w:szCs w:val="16"/>
          <w:lang w:bidi="en-US"/>
        </w:rPr>
      </w:pPr>
    </w:p>
    <w:p w14:paraId="36ECD9C4" w14:textId="77777777" w:rsidR="002B183A" w:rsidRDefault="002B183A" w:rsidP="002B183A">
      <w:pPr>
        <w:rPr>
          <w:rFonts w:ascii="Segoe UI" w:hAnsi="Segoe UI" w:cs="Segoe UI"/>
          <w:sz w:val="18"/>
          <w:szCs w:val="16"/>
          <w:lang w:bidi="en-US"/>
        </w:rPr>
      </w:pPr>
    </w:p>
    <w:p w14:paraId="376B07E6" w14:textId="77777777" w:rsidR="002B183A" w:rsidRDefault="002B183A" w:rsidP="002B183A">
      <w:pPr>
        <w:rPr>
          <w:rFonts w:ascii="Segoe UI" w:hAnsi="Segoe UI" w:cs="Segoe UI"/>
          <w:sz w:val="18"/>
          <w:szCs w:val="16"/>
          <w:lang w:bidi="en-US"/>
        </w:rPr>
      </w:pPr>
    </w:p>
    <w:p>
      <w:pPr>
        <w:pStyle w:val="Heading1"/>
        <w:pageBreakBefore w:val="0"/>
      </w:pPr>
      <w:r>
        <w:rPr>
          <w:rFonts w:ascii="Segoe UI" w:hAnsi="Segoe UI" w:cs="Segoe UI" w:eastAsia="Segoe UI"/>
          <w:b/>
          <w:color w:val="0F4761"/>
          <w:sz w:val="32"/>
        </w:rPr>
        <w:t>3.  Purpose and audience</w:t>
      </w:r>
    </w:p>
    <w:p>
      <w:pPr>
        <w:spacing w:after="120" w:line="276" w:lineRule="auto"/>
      </w:pPr>
      <w:r>
        <w:rPr>
          <w:rFonts w:ascii="Segoe UI" w:hAnsi="Segoe UI" w:cs="Segoe UI" w:eastAsia="Segoe UI"/>
          <w:color w:val="101820"/>
          <w:sz w:val="21"/>
        </w:rPr>
        <w:t>This document gives management one place to decide whether iNXT BrokerVerse OOTB Release 1.0 is ready, and what has to happen before, during and after the first client go-live. It is written for the leadership of iorta TechNXT and is shared with the sales, delivery, development and support leads.</w:t>
      </w:r>
    </w:p>
    <w:p>
      <w:pPr>
        <w:spacing w:after="120" w:line="276" w:lineRule="auto"/>
      </w:pPr>
      <w:r>
        <w:rPr>
          <w:rFonts w:ascii="Segoe UI" w:hAnsi="Segoe UI" w:cs="Segoe UI" w:eastAsia="Segoe UI"/>
          <w:color w:val="101820"/>
          <w:sz w:val="21"/>
        </w:rPr>
        <w:t>It brings together the evidence from the Test Summary Report, the documentation package and the commercial and contract packs, and records:</w:t>
      </w:r>
    </w:p>
    <w:p>
      <w:pPr>
        <w:spacing w:after="60"/>
        <w:numPr>
          <w:ilvl w:val="0"/>
          <w:numId w:val="3"/>
        </w:numPr>
      </w:pPr>
      <w:r>
        <w:rPr>
          <w:rFonts w:ascii="Segoe UI" w:hAnsi="Segoe UI" w:cs="Segoe UI" w:eastAsia="Segoe UI"/>
          <w:color w:val="101820"/>
          <w:sz w:val="21"/>
        </w:rPr>
        <w:t>the recommendation and its conditions;</w:t>
      </w:r>
    </w:p>
    <w:p>
      <w:pPr>
        <w:spacing w:after="60"/>
        <w:numPr>
          <w:ilvl w:val="0"/>
          <w:numId w:val="3"/>
        </w:numPr>
      </w:pPr>
      <w:r>
        <w:rPr>
          <w:rFonts w:ascii="Segoe UI" w:hAnsi="Segoe UI" w:cs="Segoe UI" w:eastAsia="Segoe UI"/>
          <w:color w:val="101820"/>
          <w:sz w:val="21"/>
        </w:rPr>
        <w:t>what has to be addressed before the first client goes live;</w:t>
      </w:r>
    </w:p>
    <w:p>
      <w:pPr>
        <w:spacing w:after="60"/>
        <w:numPr>
          <w:ilvl w:val="0"/>
          <w:numId w:val="3"/>
        </w:numPr>
      </w:pPr>
      <w:r>
        <w:rPr>
          <w:rFonts w:ascii="Segoe UI" w:hAnsi="Segoe UI" w:cs="Segoe UI" w:eastAsia="Segoe UI"/>
          <w:color w:val="101820"/>
          <w:sz w:val="21"/>
        </w:rPr>
        <w:t>what has to be planned for the next releases;</w:t>
      </w:r>
    </w:p>
    <w:p>
      <w:pPr>
        <w:spacing w:after="60"/>
        <w:numPr>
          <w:ilvl w:val="0"/>
          <w:numId w:val="3"/>
        </w:numPr>
      </w:pPr>
      <w:r>
        <w:rPr>
          <w:rFonts w:ascii="Segoe UI" w:hAnsi="Segoe UI" w:cs="Segoe UI" w:eastAsia="Segoe UI"/>
          <w:color w:val="101820"/>
          <w:sz w:val="21"/>
        </w:rPr>
        <w:t>the risks we foresee, with owner and mitigation;</w:t>
      </w:r>
    </w:p>
    <w:p>
      <w:pPr>
        <w:spacing w:after="60"/>
        <w:numPr>
          <w:ilvl w:val="0"/>
          <w:numId w:val="3"/>
        </w:numPr>
      </w:pPr>
      <w:r>
        <w:rPr>
          <w:rFonts w:ascii="Segoe UI" w:hAnsi="Segoe UI" w:cs="Segoe UI" w:eastAsia="Segoe UI"/>
          <w:color w:val="101820"/>
          <w:sz w:val="21"/>
        </w:rPr>
        <w:t>the decisions that only management or legal counsel can take.</w:t>
      </w:r>
    </w:p>
    <w:p>
      <w:pPr>
        <w:pStyle w:val="Heading1"/>
        <w:pageBreakBefore/>
      </w:pPr>
      <w:r>
        <w:rPr>
          <w:rFonts w:ascii="Segoe UI" w:hAnsi="Segoe UI" w:cs="Segoe UI" w:eastAsia="Segoe UI"/>
          <w:b/>
          <w:color w:val="0F4761"/>
          <w:sz w:val="32"/>
        </w:rPr>
        <w:t>4.  Recommendation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031"/>
        <w:gridCol w:w="3983"/>
      </w:tblGrid>
      <w:tr>
        <w:trPr>
          <w:tblHeader w:val="true"/>
        </w:trPr>
        <w:tc>
          <w:tcPr>
            <w:tcW w:type="dxa" w:w="5031"/>
            <w:shd w:val="clear" w:color="auto" w:fill="DCE9F7"/>
          </w:tcPr>
          <w:p>
            <w:pPr>
              <w:spacing w:after="20"/>
            </w:pPr>
            <w:r>
              <w:rPr>
                <w:rFonts w:ascii="Segoe UI" w:hAnsi="Segoe UI" w:cs="Segoe UI" w:eastAsia="Segoe UI"/>
                <w:b/>
                <w:color w:val="0F4761"/>
                <w:sz w:val="18"/>
              </w:rPr>
              <w:t>Decision</w:t>
            </w:r>
          </w:p>
        </w:tc>
        <w:tc>
          <w:tcPr>
            <w:tcW w:type="dxa" w:w="3983"/>
            <w:shd w:val="clear" w:color="auto" w:fill="DCE9F7"/>
          </w:tcPr>
          <w:p>
            <w:pPr>
              <w:spacing w:after="20"/>
            </w:pPr>
            <w:r>
              <w:rPr>
                <w:rFonts w:ascii="Segoe UI" w:hAnsi="Segoe UI" w:cs="Segoe UI" w:eastAsia="Segoe UI"/>
                <w:b/>
                <w:color w:val="0F4761"/>
                <w:sz w:val="18"/>
              </w:rPr>
              <w:t>Recommendation</w:t>
            </w:r>
          </w:p>
        </w:tc>
      </w:tr>
      <w:tr>
        <w:tc>
          <w:tcPr>
            <w:tcW w:type="dxa" w:w="5031"/>
          </w:tcPr>
          <w:p>
            <w:pPr>
              <w:spacing w:after="20"/>
            </w:pPr>
            <w:r>
              <w:rPr>
                <w:rFonts w:ascii="Segoe UI" w:hAnsi="Segoe UI" w:cs="Segoe UI" w:eastAsia="Segoe UI"/>
                <w:color w:val="101820"/>
                <w:sz w:val="18"/>
              </w:rPr>
              <w:t>Release 1.0 to market: demonstrations, proposals, pilots and contracts</w:t>
            </w:r>
          </w:p>
        </w:tc>
        <w:tc>
          <w:tcPr>
            <w:tcW w:type="dxa" w:w="3983"/>
          </w:tcPr>
          <w:p>
            <w:pPr>
              <w:spacing w:after="20"/>
            </w:pPr>
            <w:r>
              <w:rPr>
                <w:rFonts w:ascii="Segoe UI" w:hAnsi="Segoe UI" w:cs="Segoe UI" w:eastAsia="Segoe UI"/>
                <w:b/>
                <w:color w:val="101820"/>
                <w:sz w:val="18"/>
              </w:rPr>
              <w:t>GO</w:t>
            </w:r>
          </w:p>
        </w:tc>
      </w:tr>
      <w:tr>
        <w:tc>
          <w:tcPr>
            <w:tcW w:type="dxa" w:w="5031"/>
          </w:tcPr>
          <w:p>
            <w:pPr>
              <w:spacing w:after="20"/>
            </w:pPr>
            <w:r>
              <w:rPr>
                <w:rFonts w:ascii="Segoe UI" w:hAnsi="Segoe UI" w:cs="Segoe UI" w:eastAsia="Segoe UI"/>
                <w:color w:val="101820"/>
                <w:sz w:val="18"/>
              </w:rPr>
              <w:t>Production go-live at the first client</w:t>
            </w:r>
          </w:p>
        </w:tc>
        <w:tc>
          <w:tcPr>
            <w:tcW w:type="dxa" w:w="3983"/>
          </w:tcPr>
          <w:p>
            <w:pPr>
              <w:spacing w:after="20"/>
            </w:pPr>
            <w:r>
              <w:rPr>
                <w:rFonts w:ascii="Segoe UI" w:hAnsi="Segoe UI" w:cs="Segoe UI" w:eastAsia="Segoe UI"/>
                <w:b/>
                <w:color w:val="101820"/>
                <w:sz w:val="18"/>
              </w:rPr>
              <w:t>GO, subject to conditions C1 to C8</w:t>
            </w:r>
          </w:p>
        </w:tc>
      </w:tr>
    </w:tbl>
    <w:p>
      <w:pPr>
        <w:spacing w:after="80"/>
      </w:pPr>
    </w:p>
    <w:p>
      <w:pPr>
        <w:spacing w:after="120" w:line="276" w:lineRule="auto"/>
      </w:pPr>
      <w:r>
        <w:rPr>
          <w:rFonts w:ascii="Segoe UI" w:hAnsi="Segoe UI" w:cs="Segoe UI" w:eastAsia="Segoe UI"/>
          <w:color w:val="101820"/>
          <w:sz w:val="21"/>
        </w:rPr>
        <w:t>The product is functionally complete for the broking cycle of a Philippine non-life broker and has passed its tests (chapter Evidence). No Critical or High defect is open. The conditions below are not product defects; they are operational, legal and environment items that must be closed before a client runs its business on the system.</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386"/>
        <w:gridCol w:w="2721"/>
      </w:tblGrid>
      <w:tr>
        <w:trPr>
          <w:tblHeader w:val="true"/>
        </w:trPr>
        <w:tc>
          <w:tcPr>
            <w:tcW w:type="dxa" w:w="907"/>
            <w:shd w:val="clear" w:color="auto" w:fill="DCE9F7"/>
          </w:tcPr>
          <w:p>
            <w:pPr>
              <w:spacing w:after="20"/>
            </w:pPr>
            <w:r>
              <w:rPr>
                <w:rFonts w:ascii="Segoe UI" w:hAnsi="Segoe UI" w:cs="Segoe UI" w:eastAsia="Segoe UI"/>
                <w:b/>
                <w:color w:val="0F4761"/>
                <w:sz w:val="18"/>
              </w:rPr>
              <w:t>ID</w:t>
            </w:r>
          </w:p>
        </w:tc>
        <w:tc>
          <w:tcPr>
            <w:tcW w:type="dxa" w:w="5386"/>
            <w:shd w:val="clear" w:color="auto" w:fill="DCE9F7"/>
          </w:tcPr>
          <w:p>
            <w:pPr>
              <w:spacing w:after="20"/>
            </w:pPr>
            <w:r>
              <w:rPr>
                <w:rFonts w:ascii="Segoe UI" w:hAnsi="Segoe UI" w:cs="Segoe UI" w:eastAsia="Segoe UI"/>
                <w:b/>
                <w:color w:val="0F4761"/>
                <w:sz w:val="18"/>
              </w:rPr>
              <w:t>Condition before the first production go-live</w:t>
            </w:r>
          </w:p>
        </w:tc>
        <w:tc>
          <w:tcPr>
            <w:tcW w:type="dxa" w:w="2721"/>
            <w:shd w:val="clear" w:color="auto" w:fill="DCE9F7"/>
          </w:tcPr>
          <w:p>
            <w:pPr>
              <w:spacing w:after="20"/>
            </w:pPr>
            <w:r>
              <w:rPr>
                <w:rFonts w:ascii="Segoe UI" w:hAnsi="Segoe UI" w:cs="Segoe UI" w:eastAsia="Segoe UI"/>
                <w:b/>
                <w:color w:val="0F4761"/>
                <w:sz w:val="18"/>
              </w:rPr>
              <w:t>Owner</w:t>
            </w:r>
          </w:p>
        </w:tc>
      </w:tr>
      <w:tr>
        <w:tc>
          <w:tcPr>
            <w:tcW w:type="dxa" w:w="907"/>
          </w:tcPr>
          <w:p>
            <w:pPr>
              <w:spacing w:after="20"/>
            </w:pPr>
            <w:r>
              <w:rPr>
                <w:rFonts w:ascii="Segoe UI" w:hAnsi="Segoe UI" w:cs="Segoe UI" w:eastAsia="Segoe UI"/>
                <w:color w:val="101820"/>
                <w:sz w:val="18"/>
              </w:rPr>
              <w:t>C1</w:t>
            </w:r>
          </w:p>
        </w:tc>
        <w:tc>
          <w:tcPr>
            <w:tcW w:type="dxa" w:w="5386"/>
          </w:tcPr>
          <w:p>
            <w:pPr>
              <w:spacing w:after="20"/>
            </w:pPr>
            <w:r>
              <w:rPr>
                <w:rFonts w:ascii="Segoe UI" w:hAnsi="Segoe UI" w:cs="Segoe UI" w:eastAsia="Segoe UI"/>
                <w:color w:val="101820"/>
                <w:sz w:val="18"/>
              </w:rPr>
              <w:t>Restore the automated deployment to the EC2 environment (the pipeline cannot reach the server over SSH) or confirm the chosen production hosting with its own tested deployment</w:t>
            </w:r>
          </w:p>
        </w:tc>
        <w:tc>
          <w:tcPr>
            <w:tcW w:type="dxa" w:w="2721"/>
          </w:tcPr>
          <w:p>
            <w:pPr>
              <w:spacing w:after="20"/>
            </w:pPr>
            <w:r>
              <w:rPr>
                <w:rFonts w:ascii="Segoe UI" w:hAnsi="Segoe UI" w:cs="Segoe UI" w:eastAsia="Segoe UI"/>
                <w:color w:val="101820"/>
                <w:sz w:val="18"/>
              </w:rPr>
              <w:t>DevOps lead</w:t>
            </w:r>
          </w:p>
        </w:tc>
      </w:tr>
      <w:tr>
        <w:tc>
          <w:tcPr>
            <w:tcW w:type="dxa" w:w="907"/>
          </w:tcPr>
          <w:p>
            <w:pPr>
              <w:spacing w:after="20"/>
            </w:pPr>
            <w:r>
              <w:rPr>
                <w:rFonts w:ascii="Segoe UI" w:hAnsi="Segoe UI" w:cs="Segoe UI" w:eastAsia="Segoe UI"/>
                <w:color w:val="101820"/>
                <w:sz w:val="18"/>
              </w:rPr>
              <w:t>C2</w:t>
            </w:r>
          </w:p>
        </w:tc>
        <w:tc>
          <w:tcPr>
            <w:tcW w:type="dxa" w:w="5386"/>
          </w:tcPr>
          <w:p>
            <w:pPr>
              <w:spacing w:after="20"/>
            </w:pPr>
            <w:r>
              <w:rPr>
                <w:rFonts w:ascii="Segoe UI" w:hAnsi="Segoe UI" w:cs="Segoe UI" w:eastAsia="Segoe UI"/>
                <w:color w:val="101820"/>
                <w:sz w:val="18"/>
              </w:rPr>
              <w:t>Configure the client's mail server (SMTP) and run the three e-mail test cases that are blocked in the test environment (password reset code, customer approval link, outbox retry)</w:t>
            </w:r>
          </w:p>
        </w:tc>
        <w:tc>
          <w:tcPr>
            <w:tcW w:type="dxa" w:w="2721"/>
          </w:tcPr>
          <w:p>
            <w:pPr>
              <w:spacing w:after="20"/>
            </w:pPr>
            <w:r>
              <w:rPr>
                <w:rFonts w:ascii="Segoe UI" w:hAnsi="Segoe UI" w:cs="Segoe UI" w:eastAsia="Segoe UI"/>
                <w:color w:val="101820"/>
                <w:sz w:val="18"/>
              </w:rPr>
              <w:t>Delivery lead</w:t>
            </w:r>
          </w:p>
        </w:tc>
      </w:tr>
      <w:tr>
        <w:tc>
          <w:tcPr>
            <w:tcW w:type="dxa" w:w="907"/>
          </w:tcPr>
          <w:p>
            <w:pPr>
              <w:spacing w:after="20"/>
            </w:pPr>
            <w:r>
              <w:rPr>
                <w:rFonts w:ascii="Segoe UI" w:hAnsi="Segoe UI" w:cs="Segoe UI" w:eastAsia="Segoe UI"/>
                <w:color w:val="101820"/>
                <w:sz w:val="18"/>
              </w:rPr>
              <w:t>C3</w:t>
            </w:r>
          </w:p>
        </w:tc>
        <w:tc>
          <w:tcPr>
            <w:tcW w:type="dxa" w:w="5386"/>
          </w:tcPr>
          <w:p>
            <w:pPr>
              <w:spacing w:after="20"/>
            </w:pPr>
            <w:r>
              <w:rPr>
                <w:rFonts w:ascii="Segoe UI" w:hAnsi="Segoe UI" w:cs="Segoe UI" w:eastAsia="Segoe UI"/>
                <w:color w:val="101820"/>
                <w:sz w:val="18"/>
              </w:rPr>
              <w:t>Replace the OOTB company identity: the default company is iorta TechNXT Corp., which prints on documents and appears as data controller in the privacy export. The broker's legal name, TIN, licence number and address must be entered at configuration</w:t>
            </w:r>
          </w:p>
        </w:tc>
        <w:tc>
          <w:tcPr>
            <w:tcW w:type="dxa" w:w="2721"/>
          </w:tcPr>
          <w:p>
            <w:pPr>
              <w:spacing w:after="20"/>
            </w:pPr>
            <w:r>
              <w:rPr>
                <w:rFonts w:ascii="Segoe UI" w:hAnsi="Segoe UI" w:cs="Segoe UI" w:eastAsia="Segoe UI"/>
                <w:color w:val="101820"/>
                <w:sz w:val="18"/>
              </w:rPr>
              <w:t>Delivery lead</w:t>
            </w:r>
          </w:p>
        </w:tc>
      </w:tr>
      <w:tr>
        <w:tc>
          <w:tcPr>
            <w:tcW w:type="dxa" w:w="907"/>
          </w:tcPr>
          <w:p>
            <w:pPr>
              <w:spacing w:after="20"/>
            </w:pPr>
            <w:r>
              <w:rPr>
                <w:rFonts w:ascii="Segoe UI" w:hAnsi="Segoe UI" w:cs="Segoe UI" w:eastAsia="Segoe UI"/>
                <w:color w:val="101820"/>
                <w:sz w:val="18"/>
              </w:rPr>
              <w:t>C4</w:t>
            </w:r>
          </w:p>
        </w:tc>
        <w:tc>
          <w:tcPr>
            <w:tcW w:type="dxa" w:w="5386"/>
          </w:tcPr>
          <w:p>
            <w:pPr>
              <w:spacing w:after="20"/>
            </w:pPr>
            <w:r>
              <w:rPr>
                <w:rFonts w:ascii="Segoe UI" w:hAnsi="Segoe UI" w:cs="Segoe UI" w:eastAsia="Segoe UI"/>
                <w:color w:val="101820"/>
                <w:sz w:val="18"/>
              </w:rPr>
              <w:t>Commission an external penetration test and a load test at the expected volume of the first client, and close any High finding</w:t>
            </w:r>
          </w:p>
        </w:tc>
        <w:tc>
          <w:tcPr>
            <w:tcW w:type="dxa" w:w="2721"/>
          </w:tcPr>
          <w:p>
            <w:pPr>
              <w:spacing w:after="20"/>
            </w:pPr>
            <w:r>
              <w:rPr>
                <w:rFonts w:ascii="Segoe UI" w:hAnsi="Segoe UI" w:cs="Segoe UI" w:eastAsia="Segoe UI"/>
                <w:color w:val="101820"/>
                <w:sz w:val="18"/>
              </w:rPr>
              <w:t>CTO</w:t>
            </w:r>
          </w:p>
        </w:tc>
      </w:tr>
      <w:tr>
        <w:tc>
          <w:tcPr>
            <w:tcW w:type="dxa" w:w="907"/>
          </w:tcPr>
          <w:p>
            <w:pPr>
              <w:spacing w:after="20"/>
            </w:pPr>
            <w:r>
              <w:rPr>
                <w:rFonts w:ascii="Segoe UI" w:hAnsi="Segoe UI" w:cs="Segoe UI" w:eastAsia="Segoe UI"/>
                <w:color w:val="101820"/>
                <w:sz w:val="18"/>
              </w:rPr>
              <w:t>C5</w:t>
            </w:r>
          </w:p>
        </w:tc>
        <w:tc>
          <w:tcPr>
            <w:tcW w:type="dxa" w:w="5386"/>
          </w:tcPr>
          <w:p>
            <w:pPr>
              <w:spacing w:after="20"/>
            </w:pPr>
            <w:r>
              <w:rPr>
                <w:rFonts w:ascii="Segoe UI" w:hAnsi="Segoe UI" w:cs="Segoe UI" w:eastAsia="Segoe UI"/>
                <w:color w:val="101820"/>
                <w:sz w:val="18"/>
              </w:rPr>
              <w:t>Legal review and sign-off of the contract pack (decisions D1 to D7)</w:t>
            </w:r>
          </w:p>
        </w:tc>
        <w:tc>
          <w:tcPr>
            <w:tcW w:type="dxa" w:w="2721"/>
          </w:tcPr>
          <w:p>
            <w:pPr>
              <w:spacing w:after="20"/>
            </w:pPr>
            <w:r>
              <w:rPr>
                <w:rFonts w:ascii="Segoe UI" w:hAnsi="Segoe UI" w:cs="Segoe UI" w:eastAsia="Segoe UI"/>
                <w:color w:val="101820"/>
                <w:sz w:val="18"/>
              </w:rPr>
              <w:t>CEO with legal counsel</w:t>
            </w:r>
          </w:p>
        </w:tc>
      </w:tr>
      <w:tr>
        <w:tc>
          <w:tcPr>
            <w:tcW w:type="dxa" w:w="907"/>
          </w:tcPr>
          <w:p>
            <w:pPr>
              <w:spacing w:after="20"/>
            </w:pPr>
            <w:r>
              <w:rPr>
                <w:rFonts w:ascii="Segoe UI" w:hAnsi="Segoe UI" w:cs="Segoe UI" w:eastAsia="Segoe UI"/>
                <w:color w:val="101820"/>
                <w:sz w:val="18"/>
              </w:rPr>
              <w:t>C6</w:t>
            </w:r>
          </w:p>
        </w:tc>
        <w:tc>
          <w:tcPr>
            <w:tcW w:type="dxa" w:w="5386"/>
          </w:tcPr>
          <w:p>
            <w:pPr>
              <w:spacing w:after="20"/>
            </w:pPr>
            <w:r>
              <w:rPr>
                <w:rFonts w:ascii="Segoe UI" w:hAnsi="Segoe UI" w:cs="Segoe UI" w:eastAsia="Segoe UI"/>
                <w:color w:val="101820"/>
                <w:sz w:val="18"/>
              </w:rPr>
              <w:t>Complete the company facts marked [to confirm] in the security questionnaire and the continuity plan (registration, TIN, DPO, NPC registration, hosting partner, support team location)</w:t>
            </w:r>
          </w:p>
        </w:tc>
        <w:tc>
          <w:tcPr>
            <w:tcW w:type="dxa" w:w="2721"/>
          </w:tcPr>
          <w:p>
            <w:pPr>
              <w:spacing w:after="20"/>
            </w:pPr>
            <w:r>
              <w:rPr>
                <w:rFonts w:ascii="Segoe UI" w:hAnsi="Segoe UI" w:cs="Segoe UI" w:eastAsia="Segoe UI"/>
                <w:color w:val="101820"/>
                <w:sz w:val="18"/>
              </w:rPr>
              <w:t>Management</w:t>
            </w:r>
          </w:p>
        </w:tc>
      </w:tr>
      <w:tr>
        <w:tc>
          <w:tcPr>
            <w:tcW w:type="dxa" w:w="907"/>
          </w:tcPr>
          <w:p>
            <w:pPr>
              <w:spacing w:after="20"/>
            </w:pPr>
            <w:r>
              <w:rPr>
                <w:rFonts w:ascii="Segoe UI" w:hAnsi="Segoe UI" w:cs="Segoe UI" w:eastAsia="Segoe UI"/>
                <w:color w:val="101820"/>
                <w:sz w:val="18"/>
              </w:rPr>
              <w:t>C7</w:t>
            </w:r>
          </w:p>
        </w:tc>
        <w:tc>
          <w:tcPr>
            <w:tcW w:type="dxa" w:w="5386"/>
          </w:tcPr>
          <w:p>
            <w:pPr>
              <w:spacing w:after="20"/>
            </w:pPr>
            <w:r>
              <w:rPr>
                <w:rFonts w:ascii="Segoe UI" w:hAnsi="Segoe UI" w:cs="Segoe UI" w:eastAsia="Segoe UI"/>
                <w:color w:val="101820"/>
                <w:sz w:val="18"/>
              </w:rPr>
              <w:t>Run the restore test and the disaster recovery drill described in the Business Continuity and Disaster Recovery Plan on the production hosting</w:t>
            </w:r>
          </w:p>
        </w:tc>
        <w:tc>
          <w:tcPr>
            <w:tcW w:type="dxa" w:w="2721"/>
          </w:tcPr>
          <w:p>
            <w:pPr>
              <w:spacing w:after="20"/>
            </w:pPr>
            <w:r>
              <w:rPr>
                <w:rFonts w:ascii="Segoe UI" w:hAnsi="Segoe UI" w:cs="Segoe UI" w:eastAsia="Segoe UI"/>
                <w:color w:val="101820"/>
                <w:sz w:val="18"/>
              </w:rPr>
              <w:t>DevOps lead</w:t>
            </w:r>
          </w:p>
        </w:tc>
      </w:tr>
      <w:tr>
        <w:tc>
          <w:tcPr>
            <w:tcW w:type="dxa" w:w="907"/>
          </w:tcPr>
          <w:p>
            <w:pPr>
              <w:spacing w:after="20"/>
            </w:pPr>
            <w:r>
              <w:rPr>
                <w:rFonts w:ascii="Segoe UI" w:hAnsi="Segoe UI" w:cs="Segoe UI" w:eastAsia="Segoe UI"/>
                <w:color w:val="101820"/>
                <w:sz w:val="18"/>
              </w:rPr>
              <w:t>C8</w:t>
            </w:r>
          </w:p>
        </w:tc>
        <w:tc>
          <w:tcPr>
            <w:tcW w:type="dxa" w:w="5386"/>
          </w:tcPr>
          <w:p>
            <w:pPr>
              <w:spacing w:after="20"/>
            </w:pPr>
            <w:r>
              <w:rPr>
                <w:rFonts w:ascii="Segoe UI" w:hAnsi="Segoe UI" w:cs="Segoe UI" w:eastAsia="Segoe UI"/>
                <w:color w:val="101820"/>
                <w:sz w:val="18"/>
              </w:rPr>
              <w:t>Client UAT sign-off on the client's own configuration and migrated data, using the UAT and Go-Live Acceptance Certificates</w:t>
            </w:r>
          </w:p>
        </w:tc>
        <w:tc>
          <w:tcPr>
            <w:tcW w:type="dxa" w:w="2721"/>
          </w:tcPr>
          <w:p>
            <w:pPr>
              <w:spacing w:after="20"/>
            </w:pPr>
            <w:r>
              <w:rPr>
                <w:rFonts w:ascii="Segoe UI" w:hAnsi="Segoe UI" w:cs="Segoe UI" w:eastAsia="Segoe UI"/>
                <w:color w:val="101820"/>
                <w:sz w:val="18"/>
              </w:rPr>
              <w:t>Client and delivery lead</w:t>
            </w:r>
          </w:p>
        </w:tc>
      </w:tr>
    </w:tbl>
    <w:p>
      <w:pPr>
        <w:pStyle w:val="Heading1"/>
        <w:pageBreakBefore/>
      </w:pPr>
      <w:r>
        <w:rPr>
          <w:rFonts w:ascii="Segoe UI" w:hAnsi="Segoe UI" w:cs="Segoe UI" w:eastAsia="Segoe UI"/>
          <w:b/>
          <w:color w:val="0F4761"/>
          <w:sz w:val="32"/>
        </w:rPr>
        <w:t>5.  Evidence</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3395"/>
        <w:gridCol w:w="5619"/>
      </w:tblGrid>
      <w:tr>
        <w:trPr>
          <w:tblHeader w:val="true"/>
        </w:trPr>
        <w:tc>
          <w:tcPr>
            <w:tcW w:type="dxa" w:w="3395"/>
            <w:shd w:val="clear" w:color="auto" w:fill="DCE9F7"/>
          </w:tcPr>
          <w:p>
            <w:pPr>
              <w:spacing w:after="20"/>
            </w:pPr>
            <w:r>
              <w:rPr>
                <w:rFonts w:ascii="Segoe UI" w:hAnsi="Segoe UI" w:cs="Segoe UI" w:eastAsia="Segoe UI"/>
                <w:b/>
                <w:color w:val="0F4761"/>
                <w:sz w:val="18"/>
              </w:rPr>
              <w:t>Area</w:t>
            </w:r>
          </w:p>
        </w:tc>
        <w:tc>
          <w:tcPr>
            <w:tcW w:type="dxa" w:w="5619"/>
            <w:shd w:val="clear" w:color="auto" w:fill="DCE9F7"/>
          </w:tcPr>
          <w:p>
            <w:pPr>
              <w:spacing w:after="20"/>
            </w:pPr>
            <w:r>
              <w:rPr>
                <w:rFonts w:ascii="Segoe UI" w:hAnsi="Segoe UI" w:cs="Segoe UI" w:eastAsia="Segoe UI"/>
                <w:b/>
                <w:color w:val="0F4761"/>
                <w:sz w:val="18"/>
              </w:rPr>
              <w:t>Result on 03 October 2026</w:t>
            </w:r>
          </w:p>
        </w:tc>
      </w:tr>
      <w:tr>
        <w:tc>
          <w:tcPr>
            <w:tcW w:type="dxa" w:w="3395"/>
          </w:tcPr>
          <w:p>
            <w:pPr>
              <w:spacing w:after="20"/>
            </w:pPr>
            <w:r>
              <w:rPr>
                <w:rFonts w:ascii="Segoe UI" w:hAnsi="Segoe UI" w:cs="Segoe UI" w:eastAsia="Segoe UI"/>
                <w:color w:val="101820"/>
                <w:sz w:val="18"/>
              </w:rPr>
              <w:t>Backend regression suite</w:t>
            </w:r>
          </w:p>
        </w:tc>
        <w:tc>
          <w:tcPr>
            <w:tcW w:type="dxa" w:w="5619"/>
          </w:tcPr>
          <w:p>
            <w:pPr>
              <w:spacing w:after="20"/>
            </w:pPr>
            <w:r>
              <w:rPr>
                <w:rFonts w:ascii="Segoe UI" w:hAnsi="Segoe UI" w:cs="Segoe UI" w:eastAsia="Segoe UI"/>
                <w:color w:val="101820"/>
                <w:sz w:val="18"/>
              </w:rPr>
              <w:t>717 of 717 tests passed (72 test files)</w:t>
            </w:r>
          </w:p>
        </w:tc>
      </w:tr>
      <w:tr>
        <w:tc>
          <w:tcPr>
            <w:tcW w:type="dxa" w:w="3395"/>
          </w:tcPr>
          <w:p>
            <w:pPr>
              <w:spacing w:after="20"/>
            </w:pPr>
            <w:r>
              <w:rPr>
                <w:rFonts w:ascii="Segoe UI" w:hAnsi="Segoe UI" w:cs="Segoe UI" w:eastAsia="Segoe UI"/>
                <w:color w:val="101820"/>
                <w:sz w:val="18"/>
              </w:rPr>
              <w:t>Front-end tests</w:t>
            </w:r>
          </w:p>
        </w:tc>
        <w:tc>
          <w:tcPr>
            <w:tcW w:type="dxa" w:w="5619"/>
          </w:tcPr>
          <w:p>
            <w:pPr>
              <w:spacing w:after="20"/>
            </w:pPr>
            <w:r>
              <w:rPr>
                <w:rFonts w:ascii="Segoe UI" w:hAnsi="Segoe UI" w:cs="Segoe UI" w:eastAsia="Segoe UI"/>
                <w:color w:val="101820"/>
                <w:sz w:val="18"/>
              </w:rPr>
              <w:t>53 of 53 passed; lint without errors; production build compiles</w:t>
            </w:r>
          </w:p>
        </w:tc>
      </w:tr>
      <w:tr>
        <w:tc>
          <w:tcPr>
            <w:tcW w:type="dxa" w:w="3395"/>
          </w:tcPr>
          <w:p>
            <w:pPr>
              <w:spacing w:after="20"/>
            </w:pPr>
            <w:r>
              <w:rPr>
                <w:rFonts w:ascii="Segoe UI" w:hAnsi="Segoe UI" w:cs="Segoe UI" w:eastAsia="Segoe UI"/>
                <w:color w:val="101820"/>
                <w:sz w:val="18"/>
              </w:rPr>
              <w:t>End-to-end business cycle</w:t>
            </w:r>
          </w:p>
        </w:tc>
        <w:tc>
          <w:tcPr>
            <w:tcW w:type="dxa" w:w="5619"/>
          </w:tcPr>
          <w:p>
            <w:pPr>
              <w:spacing w:after="20"/>
            </w:pPr>
            <w:r>
              <w:rPr>
                <w:rFonts w:ascii="Segoe UI" w:hAnsi="Segoe UI" w:cs="Segoe UI" w:eastAsia="Segoe UI"/>
                <w:color w:val="101820"/>
                <w:sz w:val="18"/>
              </w:rPr>
              <w:t>371 of 371 steps passed on a fresh database: set-up, go-live migration, retail and corporate business, billing and collection, servicing, remittance, reconciliation, month-end close, reports and dashboards</w:t>
            </w:r>
          </w:p>
        </w:tc>
      </w:tr>
      <w:tr>
        <w:tc>
          <w:tcPr>
            <w:tcW w:type="dxa" w:w="3395"/>
          </w:tcPr>
          <w:p>
            <w:pPr>
              <w:spacing w:after="20"/>
            </w:pPr>
            <w:r>
              <w:rPr>
                <w:rFonts w:ascii="Segoe UI" w:hAnsi="Segoe UI" w:cs="Segoe UI" w:eastAsia="Segoe UI"/>
                <w:color w:val="101820"/>
                <w:sz w:val="18"/>
              </w:rPr>
              <w:t>Release test cases</w:t>
            </w:r>
          </w:p>
        </w:tc>
        <w:tc>
          <w:tcPr>
            <w:tcW w:type="dxa" w:w="5619"/>
          </w:tcPr>
          <w:p>
            <w:pPr>
              <w:spacing w:after="20"/>
            </w:pPr>
            <w:r>
              <w:rPr>
                <w:rFonts w:ascii="Segoe UI" w:hAnsi="Segoe UI" w:cs="Segoe UI" w:eastAsia="Segoe UI"/>
                <w:color w:val="101820"/>
                <w:sz w:val="18"/>
              </w:rPr>
              <w:t>497 cases; see the Test Summary Report version 1.1 for the status after re-test</w:t>
            </w:r>
          </w:p>
        </w:tc>
      </w:tr>
      <w:tr>
        <w:tc>
          <w:tcPr>
            <w:tcW w:type="dxa" w:w="3395"/>
          </w:tcPr>
          <w:p>
            <w:pPr>
              <w:spacing w:after="20"/>
            </w:pPr>
            <w:r>
              <w:rPr>
                <w:rFonts w:ascii="Segoe UI" w:hAnsi="Segoe UI" w:cs="Segoe UI" w:eastAsia="Segoe UI"/>
                <w:color w:val="101820"/>
                <w:sz w:val="18"/>
              </w:rPr>
              <w:t>Screen stability, 173 screens</w:t>
            </w:r>
          </w:p>
        </w:tc>
        <w:tc>
          <w:tcPr>
            <w:tcW w:type="dxa" w:w="5619"/>
          </w:tcPr>
          <w:p>
            <w:pPr>
              <w:spacing w:after="20"/>
            </w:pPr>
            <w:r>
              <w:rPr>
                <w:rFonts w:ascii="Segoe UI" w:hAnsi="Segoe UI" w:cs="Segoe UI" w:eastAsia="Segoe UI"/>
                <w:color w:val="101820"/>
                <w:sz w:val="18"/>
              </w:rPr>
              <w:t>No screen with a layout shift above 0.05; no visible loading indicator; no console or API error; no horizontal scroll at 1440 and 1280 pixels</w:t>
            </w:r>
          </w:p>
        </w:tc>
      </w:tr>
      <w:tr>
        <w:tc>
          <w:tcPr>
            <w:tcW w:type="dxa" w:w="3395"/>
          </w:tcPr>
          <w:p>
            <w:pPr>
              <w:spacing w:after="20"/>
            </w:pPr>
            <w:r>
              <w:rPr>
                <w:rFonts w:ascii="Segoe UI" w:hAnsi="Segoe UI" w:cs="Segoe UI" w:eastAsia="Segoe UI"/>
                <w:color w:val="101820"/>
                <w:sz w:val="18"/>
              </w:rPr>
              <w:t>Role-based access</w:t>
            </w:r>
          </w:p>
        </w:tc>
        <w:tc>
          <w:tcPr>
            <w:tcW w:type="dxa" w:w="5619"/>
          </w:tcPr>
          <w:p>
            <w:pPr>
              <w:spacing w:after="20"/>
            </w:pPr>
            <w:r>
              <w:rPr>
                <w:rFonts w:ascii="Segoe UI" w:hAnsi="Segoe UI" w:cs="Segoe UI" w:eastAsia="Segoe UI"/>
                <w:color w:val="101820"/>
                <w:sz w:val="18"/>
              </w:rPr>
              <w:t>Every role opens only its permitted screens; refused calls return 401 or 403</w:t>
            </w:r>
          </w:p>
        </w:tc>
      </w:tr>
      <w:tr>
        <w:tc>
          <w:tcPr>
            <w:tcW w:type="dxa" w:w="3395"/>
          </w:tcPr>
          <w:p>
            <w:pPr>
              <w:spacing w:after="20"/>
            </w:pPr>
            <w:r>
              <w:rPr>
                <w:rFonts w:ascii="Segoe UI" w:hAnsi="Segoe UI" w:cs="Segoe UI" w:eastAsia="Segoe UI"/>
                <w:color w:val="101820"/>
                <w:sz w:val="18"/>
              </w:rPr>
              <w:t>Security checks</w:t>
            </w:r>
          </w:p>
        </w:tc>
        <w:tc>
          <w:tcPr>
            <w:tcW w:type="dxa" w:w="5619"/>
          </w:tcPr>
          <w:p>
            <w:pPr>
              <w:spacing w:after="20"/>
            </w:pPr>
            <w:r>
              <w:rPr>
                <w:rFonts w:ascii="Segoe UI" w:hAnsi="Segoe UI" w:cs="Segoe UI" w:eastAsia="Segoe UI"/>
                <w:color w:val="101820"/>
                <w:sz w:val="18"/>
              </w:rPr>
              <w:t>No SQL built from user input; security headers present; sign-in lockout after 5 failed attempts; two-step verification; backend dependency audit with no vulnerability</w:t>
            </w:r>
          </w:p>
        </w:tc>
      </w:tr>
      <w:tr>
        <w:tc>
          <w:tcPr>
            <w:tcW w:type="dxa" w:w="3395"/>
          </w:tcPr>
          <w:p>
            <w:pPr>
              <w:spacing w:after="20"/>
            </w:pPr>
            <w:r>
              <w:rPr>
                <w:rFonts w:ascii="Segoe UI" w:hAnsi="Segoe UI" w:cs="Segoe UI" w:eastAsia="Segoe UI"/>
                <w:color w:val="101820"/>
                <w:sz w:val="18"/>
              </w:rPr>
              <w:t>API consistency</w:t>
            </w:r>
          </w:p>
        </w:tc>
        <w:tc>
          <w:tcPr>
            <w:tcW w:type="dxa" w:w="5619"/>
          </w:tcPr>
          <w:p>
            <w:pPr>
              <w:spacing w:after="20"/>
            </w:pPr>
            <w:r>
              <w:rPr>
                <w:rFonts w:ascii="Segoe UI" w:hAnsi="Segoe UI" w:cs="Segoe UI" w:eastAsia="Segoe UI"/>
                <w:color w:val="101820"/>
                <w:sz w:val="18"/>
              </w:rPr>
              <w:t>868 backend routes; no screen calls a route that does not exist</w:t>
            </w:r>
          </w:p>
        </w:tc>
      </w:tr>
      <w:tr>
        <w:tc>
          <w:tcPr>
            <w:tcW w:type="dxa" w:w="3395"/>
          </w:tcPr>
          <w:p>
            <w:pPr>
              <w:spacing w:after="20"/>
            </w:pPr>
            <w:r>
              <w:rPr>
                <w:rFonts w:ascii="Segoe UI" w:hAnsi="Segoe UI" w:cs="Segoe UI" w:eastAsia="Segoe UI"/>
                <w:color w:val="101820"/>
                <w:sz w:val="18"/>
              </w:rPr>
              <w:t>Documentation</w:t>
            </w:r>
          </w:p>
        </w:tc>
        <w:tc>
          <w:tcPr>
            <w:tcW w:type="dxa" w:w="5619"/>
          </w:tcPr>
          <w:p>
            <w:pPr>
              <w:spacing w:after="20"/>
            </w:pPr>
            <w:r>
              <w:rPr>
                <w:rFonts w:ascii="Segoe UI" w:hAnsi="Segoe UI" w:cs="Segoe UI" w:eastAsia="Segoe UI"/>
                <w:color w:val="101820"/>
                <w:sz w:val="18"/>
              </w:rPr>
              <w:t>Full package rebuilt on the iorta template; pack index lists every document by audience</w:t>
            </w:r>
          </w:p>
        </w:tc>
      </w:tr>
    </w:tbl>
    <w:p>
      <w:pPr>
        <w:pStyle w:val="Heading1"/>
        <w:pageBreakBefore/>
      </w:pPr>
      <w:r>
        <w:rPr>
          <w:rFonts w:ascii="Segoe UI" w:hAnsi="Segoe UI" w:cs="Segoe UI" w:eastAsia="Segoe UI"/>
          <w:b/>
          <w:color w:val="0F4761"/>
          <w:sz w:val="32"/>
        </w:rPr>
        <w:t>6.  Changes since the release test</w:t>
      </w:r>
    </w:p>
    <w:p>
      <w:pPr>
        <w:spacing w:after="120" w:line="276" w:lineRule="auto"/>
      </w:pPr>
      <w:r>
        <w:rPr>
          <w:rFonts w:ascii="Segoe UI" w:hAnsi="Segoe UI" w:cs="Segoe UI" w:eastAsia="Segoe UI"/>
          <w:color w:val="101820"/>
          <w:sz w:val="21"/>
        </w:rPr>
        <w:t>The release test was run earlier on 03 October 2026. These changes followed it and are covered by the regression results above:</w:t>
      </w:r>
    </w:p>
    <w:p>
      <w:pPr>
        <w:spacing w:after="60"/>
        <w:numPr>
          <w:ilvl w:val="0"/>
          <w:numId w:val="3"/>
        </w:numPr>
      </w:pPr>
      <w:r>
        <w:rPr>
          <w:rFonts w:ascii="Segoe UI" w:hAnsi="Segoe UI" w:cs="Segoe UI" w:eastAsia="Segoe UI"/>
          <w:color w:val="101820"/>
          <w:sz w:val="21"/>
        </w:rPr>
        <w:t>Data privacy: consent capture, data subject request register with due dates, personal data export and anonymisation (Master &gt; Data Privacy and the client Data privacy tab).</w:t>
      </w:r>
    </w:p>
    <w:p>
      <w:pPr>
        <w:spacing w:after="60"/>
        <w:numPr>
          <w:ilvl w:val="0"/>
          <w:numId w:val="3"/>
        </w:numPr>
      </w:pPr>
      <w:r>
        <w:rPr>
          <w:rFonts w:ascii="Segoe UI" w:hAnsi="Segoe UI" w:cs="Segoe UI" w:eastAsia="Segoe UI"/>
          <w:color w:val="101820"/>
          <w:sz w:val="21"/>
        </w:rPr>
        <w:t>E-mail attachments: policy schedule, debit note, official receipt and invoice e-mails.</w:t>
      </w:r>
    </w:p>
    <w:p>
      <w:pPr>
        <w:spacing w:after="60"/>
        <w:numPr>
          <w:ilvl w:val="0"/>
          <w:numId w:val="3"/>
        </w:numPr>
      </w:pPr>
      <w:r>
        <w:rPr>
          <w:rFonts w:ascii="Segoe UI" w:hAnsi="Segoe UI" w:cs="Segoe UI" w:eastAsia="Segoe UI"/>
          <w:color w:val="101820"/>
          <w:sz w:val="21"/>
        </w:rPr>
        <w:t>Approval notifications to the approver and to the requester.</w:t>
      </w:r>
    </w:p>
    <w:p>
      <w:pPr>
        <w:spacing w:after="60"/>
        <w:numPr>
          <w:ilvl w:val="0"/>
          <w:numId w:val="3"/>
        </w:numPr>
      </w:pPr>
      <w:r>
        <w:rPr>
          <w:rFonts w:ascii="Segoe UI" w:hAnsi="Segoe UI" w:cs="Segoe UI" w:eastAsia="Segoe UI"/>
          <w:color w:val="101820"/>
          <w:sz w:val="21"/>
        </w:rPr>
        <w:t>One place for each setting: currency and exchange rates, premium taxes and commission taxes have a single source; DST follows NIRC section 184 (PHP 0.50 on each PHP 4.00 or fraction).</w:t>
      </w:r>
    </w:p>
    <w:p>
      <w:pPr>
        <w:spacing w:after="60"/>
        <w:numPr>
          <w:ilvl w:val="0"/>
          <w:numId w:val="3"/>
        </w:numPr>
      </w:pPr>
      <w:r>
        <w:rPr>
          <w:rFonts w:ascii="Segoe UI" w:hAnsi="Segoe UI" w:cs="Segoe UI" w:eastAsia="Segoe UI"/>
          <w:color w:val="101820"/>
          <w:sz w:val="21"/>
        </w:rPr>
        <w:t>Duplicated screens consolidated: remittance approvals follow the Authority Matrix (Accounting up to PHP 1,000,000.00, Accounting Manager without limit); remittance delegation sits only in User Management; remittance schedules run as a scheduled job; unused master screens retired.</w:t>
      </w:r>
    </w:p>
    <w:p>
      <w:pPr>
        <w:spacing w:after="60"/>
        <w:numPr>
          <w:ilvl w:val="0"/>
          <w:numId w:val="3"/>
        </w:numPr>
      </w:pPr>
      <w:r>
        <w:rPr>
          <w:rFonts w:ascii="Segoe UI" w:hAnsi="Segoe UI" w:cs="Segoe UI" w:eastAsia="Segoe UI"/>
          <w:color w:val="101820"/>
          <w:sz w:val="21"/>
        </w:rPr>
        <w:t>Screen stability: no flicker, server-side paging on the large lists, one icon colour scheme, Prospects as a table, descriptive text removed from working screens.</w:t>
      </w:r>
    </w:p>
    <w:p>
      <w:pPr>
        <w:spacing w:after="60"/>
        <w:numPr>
          <w:ilvl w:val="0"/>
          <w:numId w:val="3"/>
        </w:numPr>
      </w:pPr>
      <w:r>
        <w:rPr>
          <w:rFonts w:ascii="Segoe UI" w:hAnsi="Segoe UI" w:cs="Segoe UI" w:eastAsia="Segoe UI"/>
          <w:color w:val="101820"/>
          <w:sz w:val="21"/>
        </w:rPr>
        <w:t>Defects from the user manual walk-through fixed: petty cash user lists, premium taxes on migrated policies, policy and voucher detail screens, vehicle photos, money formatting, incentive period.</w:t>
      </w:r>
    </w:p>
    <w:p>
      <w:pPr>
        <w:pStyle w:val="Heading1"/>
        <w:pageBreakBefore/>
      </w:pPr>
      <w:r>
        <w:rPr>
          <w:rFonts w:ascii="Segoe UI" w:hAnsi="Segoe UI" w:cs="Segoe UI" w:eastAsia="Segoe UI"/>
          <w:b/>
          <w:color w:val="0F4761"/>
          <w:sz w:val="32"/>
        </w:rPr>
        <w:t>7.  To take note of</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454"/>
        <w:gridCol w:w="2653"/>
      </w:tblGrid>
      <w:tr>
        <w:trPr>
          <w:tblHeader w:val="true"/>
        </w:trPr>
        <w:tc>
          <w:tcPr>
            <w:tcW w:type="dxa" w:w="907"/>
            <w:shd w:val="clear" w:color="auto" w:fill="DCE9F7"/>
          </w:tcPr>
          <w:p>
            <w:pPr>
              <w:spacing w:after="20"/>
            </w:pPr>
            <w:r>
              <w:rPr>
                <w:rFonts w:ascii="Segoe UI" w:hAnsi="Segoe UI" w:cs="Segoe UI" w:eastAsia="Segoe UI"/>
                <w:b/>
                <w:color w:val="0F4761"/>
                <w:sz w:val="18"/>
              </w:rPr>
              <w:t>ID</w:t>
            </w:r>
          </w:p>
        </w:tc>
        <w:tc>
          <w:tcPr>
            <w:tcW w:type="dxa" w:w="5454"/>
            <w:shd w:val="clear" w:color="auto" w:fill="DCE9F7"/>
          </w:tcPr>
          <w:p>
            <w:pPr>
              <w:spacing w:after="20"/>
            </w:pPr>
            <w:r>
              <w:rPr>
                <w:rFonts w:ascii="Segoe UI" w:hAnsi="Segoe UI" w:cs="Segoe UI" w:eastAsia="Segoe UI"/>
                <w:b/>
                <w:color w:val="0F4761"/>
                <w:sz w:val="18"/>
              </w:rPr>
              <w:t>Item</w:t>
            </w:r>
          </w:p>
        </w:tc>
        <w:tc>
          <w:tcPr>
            <w:tcW w:type="dxa" w:w="2653"/>
            <w:shd w:val="clear" w:color="auto" w:fill="DCE9F7"/>
          </w:tcPr>
          <w:p>
            <w:pPr>
              <w:spacing w:after="20"/>
            </w:pPr>
            <w:r>
              <w:rPr>
                <w:rFonts w:ascii="Segoe UI" w:hAnsi="Segoe UI" w:cs="Segoe UI" w:eastAsia="Segoe UI"/>
                <w:b/>
                <w:color w:val="0F4761"/>
                <w:sz w:val="18"/>
              </w:rPr>
              <w:t>Who needs to know</w:t>
            </w:r>
          </w:p>
        </w:tc>
      </w:tr>
      <w:tr>
        <w:tc>
          <w:tcPr>
            <w:tcW w:type="dxa" w:w="907"/>
          </w:tcPr>
          <w:p>
            <w:pPr>
              <w:spacing w:after="20"/>
            </w:pPr>
            <w:r>
              <w:rPr>
                <w:rFonts w:ascii="Segoe UI" w:hAnsi="Segoe UI" w:cs="Segoe UI" w:eastAsia="Segoe UI"/>
                <w:color w:val="101820"/>
                <w:sz w:val="18"/>
              </w:rPr>
              <w:t>N1</w:t>
            </w:r>
          </w:p>
        </w:tc>
        <w:tc>
          <w:tcPr>
            <w:tcW w:type="dxa" w:w="5454"/>
          </w:tcPr>
          <w:p>
            <w:pPr>
              <w:spacing w:after="20"/>
            </w:pPr>
            <w:r>
              <w:rPr>
                <w:rFonts w:ascii="Segoe UI" w:hAnsi="Segoe UI" w:cs="Segoe UI" w:eastAsia="Segoe UI"/>
                <w:color w:val="101820"/>
                <w:sz w:val="18"/>
              </w:rPr>
              <w:t>The remittance schedule job (Master &gt; Schedules) is delivered switched off. Switch it on only after the client has defined its remittance schedules</w:t>
            </w:r>
          </w:p>
        </w:tc>
        <w:tc>
          <w:tcPr>
            <w:tcW w:type="dxa" w:w="2653"/>
          </w:tcPr>
          <w:p>
            <w:pPr>
              <w:spacing w:after="20"/>
            </w:pPr>
            <w:r>
              <w:rPr>
                <w:rFonts w:ascii="Segoe UI" w:hAnsi="Segoe UI" w:cs="Segoe UI" w:eastAsia="Segoe UI"/>
                <w:color w:val="101820"/>
                <w:sz w:val="18"/>
              </w:rPr>
              <w:t>Delivery, Support</w:t>
            </w:r>
          </w:p>
        </w:tc>
      </w:tr>
      <w:tr>
        <w:tc>
          <w:tcPr>
            <w:tcW w:type="dxa" w:w="907"/>
          </w:tcPr>
          <w:p>
            <w:pPr>
              <w:spacing w:after="20"/>
            </w:pPr>
            <w:r>
              <w:rPr>
                <w:rFonts w:ascii="Segoe UI" w:hAnsi="Segoe UI" w:cs="Segoe UI" w:eastAsia="Segoe UI"/>
                <w:color w:val="101820"/>
                <w:sz w:val="18"/>
              </w:rPr>
              <w:t>N2</w:t>
            </w:r>
          </w:p>
        </w:tc>
        <w:tc>
          <w:tcPr>
            <w:tcW w:type="dxa" w:w="5454"/>
          </w:tcPr>
          <w:p>
            <w:pPr>
              <w:spacing w:after="20"/>
            </w:pPr>
            <w:r>
              <w:rPr>
                <w:rFonts w:ascii="Segoe UI" w:hAnsi="Segoe UI" w:cs="Segoe UI" w:eastAsia="Segoe UI"/>
                <w:color w:val="101820"/>
                <w:sz w:val="18"/>
              </w:rPr>
              <w:t>Remittances above PHP 1,000,000.00 need an Accounting Manager. The limits are in the Authority Matrix and are set per client at configuration</w:t>
            </w:r>
          </w:p>
        </w:tc>
        <w:tc>
          <w:tcPr>
            <w:tcW w:type="dxa" w:w="2653"/>
          </w:tcPr>
          <w:p>
            <w:pPr>
              <w:spacing w:after="20"/>
            </w:pPr>
            <w:r>
              <w:rPr>
                <w:rFonts w:ascii="Segoe UI" w:hAnsi="Segoe UI" w:cs="Segoe UI" w:eastAsia="Segoe UI"/>
                <w:color w:val="101820"/>
                <w:sz w:val="18"/>
              </w:rPr>
              <w:t>Delivery, Sales (demos)</w:t>
            </w:r>
          </w:p>
        </w:tc>
      </w:tr>
      <w:tr>
        <w:tc>
          <w:tcPr>
            <w:tcW w:type="dxa" w:w="907"/>
          </w:tcPr>
          <w:p>
            <w:pPr>
              <w:spacing w:after="20"/>
            </w:pPr>
            <w:r>
              <w:rPr>
                <w:rFonts w:ascii="Segoe UI" w:hAnsi="Segoe UI" w:cs="Segoe UI" w:eastAsia="Segoe UI"/>
                <w:color w:val="101820"/>
                <w:sz w:val="18"/>
              </w:rPr>
              <w:t>N3</w:t>
            </w:r>
          </w:p>
        </w:tc>
        <w:tc>
          <w:tcPr>
            <w:tcW w:type="dxa" w:w="5454"/>
          </w:tcPr>
          <w:p>
            <w:pPr>
              <w:spacing w:after="20"/>
            </w:pPr>
            <w:r>
              <w:rPr>
                <w:rFonts w:ascii="Segoe UI" w:hAnsi="Segoe UI" w:cs="Segoe UI" w:eastAsia="Segoe UI"/>
                <w:color w:val="101820"/>
                <w:sz w:val="18"/>
              </w:rPr>
              <w:t>Retired masters (Commission, Employee, Petty Cash and seven remittance tabs) were made inactive, not deleted. Their records remain readable</w:t>
            </w:r>
          </w:p>
        </w:tc>
        <w:tc>
          <w:tcPr>
            <w:tcW w:type="dxa" w:w="2653"/>
          </w:tcPr>
          <w:p>
            <w:pPr>
              <w:spacing w:after="20"/>
            </w:pPr>
            <w:r>
              <w:rPr>
                <w:rFonts w:ascii="Segoe UI" w:hAnsi="Segoe UI" w:cs="Segoe UI" w:eastAsia="Segoe UI"/>
                <w:color w:val="101820"/>
                <w:sz w:val="18"/>
              </w:rPr>
              <w:t>Support</w:t>
            </w:r>
          </w:p>
        </w:tc>
      </w:tr>
      <w:tr>
        <w:tc>
          <w:tcPr>
            <w:tcW w:type="dxa" w:w="907"/>
          </w:tcPr>
          <w:p>
            <w:pPr>
              <w:spacing w:after="20"/>
            </w:pPr>
            <w:r>
              <w:rPr>
                <w:rFonts w:ascii="Segoe UI" w:hAnsi="Segoe UI" w:cs="Segoe UI" w:eastAsia="Segoe UI"/>
                <w:color w:val="101820"/>
                <w:sz w:val="18"/>
              </w:rPr>
              <w:t>N4</w:t>
            </w:r>
          </w:p>
        </w:tc>
        <w:tc>
          <w:tcPr>
            <w:tcW w:type="dxa" w:w="5454"/>
          </w:tcPr>
          <w:p>
            <w:pPr>
              <w:spacing w:after="20"/>
            </w:pPr>
            <w:r>
              <w:rPr>
                <w:rFonts w:ascii="Segoe UI" w:hAnsi="Segoe UI" w:cs="Segoe UI" w:eastAsia="Segoe UI"/>
                <w:color w:val="101820"/>
                <w:sz w:val="18"/>
              </w:rPr>
              <w:t>Designations for the standard roles are now part of the reference data. A user's designation must exist in the Designation master</w:t>
            </w:r>
          </w:p>
        </w:tc>
        <w:tc>
          <w:tcPr>
            <w:tcW w:type="dxa" w:w="2653"/>
          </w:tcPr>
          <w:p>
            <w:pPr>
              <w:spacing w:after="20"/>
            </w:pPr>
            <w:r>
              <w:rPr>
                <w:rFonts w:ascii="Segoe UI" w:hAnsi="Segoe UI" w:cs="Segoe UI" w:eastAsia="Segoe UI"/>
                <w:color w:val="101820"/>
                <w:sz w:val="18"/>
              </w:rPr>
              <w:t>Delivery, Support</w:t>
            </w:r>
          </w:p>
        </w:tc>
      </w:tr>
      <w:tr>
        <w:tc>
          <w:tcPr>
            <w:tcW w:type="dxa" w:w="907"/>
          </w:tcPr>
          <w:p>
            <w:pPr>
              <w:spacing w:after="20"/>
            </w:pPr>
            <w:r>
              <w:rPr>
                <w:rFonts w:ascii="Segoe UI" w:hAnsi="Segoe UI" w:cs="Segoe UI" w:eastAsia="Segoe UI"/>
                <w:color w:val="101820"/>
                <w:sz w:val="18"/>
              </w:rPr>
              <w:t>N5</w:t>
            </w:r>
          </w:p>
        </w:tc>
        <w:tc>
          <w:tcPr>
            <w:tcW w:type="dxa" w:w="5454"/>
          </w:tcPr>
          <w:p>
            <w:pPr>
              <w:spacing w:after="20"/>
            </w:pPr>
            <w:r>
              <w:rPr>
                <w:rFonts w:ascii="Segoe UI" w:hAnsi="Segoe UI" w:cs="Segoe UI" w:eastAsia="Segoe UI"/>
                <w:color w:val="101820"/>
                <w:sz w:val="18"/>
              </w:rPr>
              <w:t>The October incentive batch in the demonstration data was calculated before the incentive period fix and still shows the earlier figure. Recalculate it before using it in a demonstration</w:t>
            </w:r>
          </w:p>
        </w:tc>
        <w:tc>
          <w:tcPr>
            <w:tcW w:type="dxa" w:w="2653"/>
          </w:tcPr>
          <w:p>
            <w:pPr>
              <w:spacing w:after="20"/>
            </w:pPr>
            <w:r>
              <w:rPr>
                <w:rFonts w:ascii="Segoe UI" w:hAnsi="Segoe UI" w:cs="Segoe UI" w:eastAsia="Segoe UI"/>
                <w:color w:val="101820"/>
                <w:sz w:val="18"/>
              </w:rPr>
              <w:t>Sales, Support</w:t>
            </w:r>
          </w:p>
        </w:tc>
      </w:tr>
      <w:tr>
        <w:tc>
          <w:tcPr>
            <w:tcW w:type="dxa" w:w="907"/>
          </w:tcPr>
          <w:p>
            <w:pPr>
              <w:spacing w:after="20"/>
            </w:pPr>
            <w:r>
              <w:rPr>
                <w:rFonts w:ascii="Segoe UI" w:hAnsi="Segoe UI" w:cs="Segoe UI" w:eastAsia="Segoe UI"/>
                <w:color w:val="101820"/>
                <w:sz w:val="18"/>
              </w:rPr>
              <w:t>N6</w:t>
            </w:r>
          </w:p>
        </w:tc>
        <w:tc>
          <w:tcPr>
            <w:tcW w:type="dxa" w:w="5454"/>
          </w:tcPr>
          <w:p>
            <w:pPr>
              <w:spacing w:after="20"/>
            </w:pPr>
            <w:r>
              <w:rPr>
                <w:rFonts w:ascii="Segoe UI" w:hAnsi="Segoe UI" w:cs="Segoe UI" w:eastAsia="Segoe UI"/>
                <w:color w:val="101820"/>
                <w:sz w:val="18"/>
              </w:rPr>
              <w:t>Older coverage endorsements in demonstration data store the previous VAT, DST and LGT as zero. New endorsements are correct</w:t>
            </w:r>
          </w:p>
        </w:tc>
        <w:tc>
          <w:tcPr>
            <w:tcW w:type="dxa" w:w="2653"/>
          </w:tcPr>
          <w:p>
            <w:pPr>
              <w:spacing w:after="20"/>
            </w:pPr>
            <w:r>
              <w:rPr>
                <w:rFonts w:ascii="Segoe UI" w:hAnsi="Segoe UI" w:cs="Segoe UI" w:eastAsia="Segoe UI"/>
                <w:color w:val="101820"/>
                <w:sz w:val="18"/>
              </w:rPr>
              <w:t>Support</w:t>
            </w:r>
          </w:p>
        </w:tc>
      </w:tr>
      <w:tr>
        <w:tc>
          <w:tcPr>
            <w:tcW w:type="dxa" w:w="907"/>
          </w:tcPr>
          <w:p>
            <w:pPr>
              <w:spacing w:after="20"/>
            </w:pPr>
            <w:r>
              <w:rPr>
                <w:rFonts w:ascii="Segoe UI" w:hAnsi="Segoe UI" w:cs="Segoe UI" w:eastAsia="Segoe UI"/>
                <w:color w:val="101820"/>
                <w:sz w:val="18"/>
              </w:rPr>
              <w:t>N7</w:t>
            </w:r>
          </w:p>
        </w:tc>
        <w:tc>
          <w:tcPr>
            <w:tcW w:type="dxa" w:w="5454"/>
          </w:tcPr>
          <w:p>
            <w:pPr>
              <w:spacing w:after="20"/>
            </w:pPr>
            <w:r>
              <w:rPr>
                <w:rFonts w:ascii="Segoe UI" w:hAnsi="Segoe UI" w:cs="Segoe UI" w:eastAsia="Segoe UI"/>
                <w:color w:val="101820"/>
                <w:sz w:val="18"/>
              </w:rPr>
              <w:t>The Railway test site deploys the brokerverse-platform branch automatically; it is a test site and must not hold client data</w:t>
            </w:r>
          </w:p>
        </w:tc>
        <w:tc>
          <w:tcPr>
            <w:tcW w:type="dxa" w:w="2653"/>
          </w:tcPr>
          <w:p>
            <w:pPr>
              <w:spacing w:after="20"/>
            </w:pPr>
            <w:r>
              <w:rPr>
                <w:rFonts w:ascii="Segoe UI" w:hAnsi="Segoe UI" w:cs="Segoe UI" w:eastAsia="Segoe UI"/>
                <w:color w:val="101820"/>
                <w:sz w:val="18"/>
              </w:rPr>
              <w:t>All</w:t>
            </w:r>
          </w:p>
        </w:tc>
      </w:tr>
      <w:tr>
        <w:tc>
          <w:tcPr>
            <w:tcW w:type="dxa" w:w="907"/>
          </w:tcPr>
          <w:p>
            <w:pPr>
              <w:spacing w:after="20"/>
            </w:pPr>
            <w:r>
              <w:rPr>
                <w:rFonts w:ascii="Segoe UI" w:hAnsi="Segoe UI" w:cs="Segoe UI" w:eastAsia="Segoe UI"/>
                <w:color w:val="101820"/>
                <w:sz w:val="18"/>
              </w:rPr>
              <w:t>N8</w:t>
            </w:r>
          </w:p>
        </w:tc>
        <w:tc>
          <w:tcPr>
            <w:tcW w:type="dxa" w:w="5454"/>
          </w:tcPr>
          <w:p>
            <w:pPr>
              <w:spacing w:after="20"/>
            </w:pPr>
            <w:r>
              <w:rPr>
                <w:rFonts w:ascii="Segoe UI" w:hAnsi="Segoe UI" w:cs="Segoe UI" w:eastAsia="Segoe UI"/>
                <w:color w:val="101820"/>
                <w:sz w:val="18"/>
              </w:rPr>
              <w:t>Pull request 2 (brokerverse-platform) carries all of Release 1.0. Its "Deploy API to EC2" check fails for the reason in C1; the build and test checks pass</w:t>
            </w:r>
          </w:p>
        </w:tc>
        <w:tc>
          <w:tcPr>
            <w:tcW w:type="dxa" w:w="2653"/>
          </w:tcPr>
          <w:p>
            <w:pPr>
              <w:spacing w:after="20"/>
            </w:pPr>
            <w:r>
              <w:rPr>
                <w:rFonts w:ascii="Segoe UI" w:hAnsi="Segoe UI" w:cs="Segoe UI" w:eastAsia="Segoe UI"/>
                <w:color w:val="101820"/>
                <w:sz w:val="18"/>
              </w:rPr>
              <w:t>Development, DevOps</w:t>
            </w:r>
          </w:p>
        </w:tc>
      </w:tr>
      <w:tr>
        <w:tc>
          <w:tcPr>
            <w:tcW w:type="dxa" w:w="907"/>
          </w:tcPr>
          <w:p>
            <w:pPr>
              <w:spacing w:after="20"/>
            </w:pPr>
            <w:r>
              <w:rPr>
                <w:rFonts w:ascii="Segoe UI" w:hAnsi="Segoe UI" w:cs="Segoe UI" w:eastAsia="Segoe UI"/>
                <w:color w:val="101820"/>
                <w:sz w:val="18"/>
              </w:rPr>
              <w:t>N9</w:t>
            </w:r>
          </w:p>
        </w:tc>
        <w:tc>
          <w:tcPr>
            <w:tcW w:type="dxa" w:w="5454"/>
          </w:tcPr>
          <w:p>
            <w:pPr>
              <w:spacing w:after="20"/>
            </w:pPr>
            <w:r>
              <w:rPr>
                <w:rFonts w:ascii="Segoe UI" w:hAnsi="Segoe UI" w:cs="Segoe UI" w:eastAsia="Segoe UI"/>
                <w:color w:val="101820"/>
                <w:sz w:val="18"/>
              </w:rPr>
              <w:t>The two INTERNAL documents with prices and negotiation limits (Negotiation Playbook, Price Book) and the Battlecard must not be sent to prospects</w:t>
            </w:r>
          </w:p>
        </w:tc>
        <w:tc>
          <w:tcPr>
            <w:tcW w:type="dxa" w:w="2653"/>
          </w:tcPr>
          <w:p>
            <w:pPr>
              <w:spacing w:after="20"/>
            </w:pPr>
            <w:r>
              <w:rPr>
                <w:rFonts w:ascii="Segoe UI" w:hAnsi="Segoe UI" w:cs="Segoe UI" w:eastAsia="Segoe UI"/>
                <w:color w:val="101820"/>
                <w:sz w:val="18"/>
              </w:rPr>
              <w:t>Sales</w:t>
            </w:r>
          </w:p>
        </w:tc>
      </w:tr>
    </w:tbl>
    <w:p>
      <w:pPr>
        <w:pStyle w:val="Heading1"/>
        <w:pageBreakBefore/>
      </w:pPr>
      <w:r>
        <w:rPr>
          <w:rFonts w:ascii="Segoe UI" w:hAnsi="Segoe UI" w:cs="Segoe UI" w:eastAsia="Segoe UI"/>
          <w:b/>
          <w:color w:val="0F4761"/>
          <w:sz w:val="32"/>
        </w:rPr>
        <w:t>8.  To address before the first go-live</w:t>
      </w:r>
    </w:p>
    <w:p>
      <w:pPr>
        <w:spacing w:after="120" w:line="276" w:lineRule="auto"/>
      </w:pPr>
      <w:r>
        <w:rPr>
          <w:rFonts w:ascii="Segoe UI" w:hAnsi="Segoe UI" w:cs="Segoe UI" w:eastAsia="Segoe UI"/>
          <w:color w:val="101820"/>
          <w:sz w:val="21"/>
        </w:rPr>
        <w:t>Besides conditions C1 to C8:</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445"/>
        <w:gridCol w:w="1230"/>
        <w:gridCol w:w="3432"/>
      </w:tblGrid>
      <w:tr>
        <w:trPr>
          <w:tblHeader w:val="true"/>
        </w:trPr>
        <w:tc>
          <w:tcPr>
            <w:tcW w:type="dxa" w:w="907"/>
            <w:shd w:val="clear" w:color="auto" w:fill="DCE9F7"/>
          </w:tcPr>
          <w:p>
            <w:pPr>
              <w:spacing w:after="20"/>
            </w:pPr>
            <w:r>
              <w:rPr>
                <w:rFonts w:ascii="Segoe UI" w:hAnsi="Segoe UI" w:cs="Segoe UI" w:eastAsia="Segoe UI"/>
                <w:b/>
                <w:color w:val="0F4761"/>
                <w:sz w:val="18"/>
              </w:rPr>
              <w:t>ID</w:t>
            </w:r>
          </w:p>
        </w:tc>
        <w:tc>
          <w:tcPr>
            <w:tcW w:type="dxa" w:w="3445"/>
            <w:shd w:val="clear" w:color="auto" w:fill="DCE9F7"/>
          </w:tcPr>
          <w:p>
            <w:pPr>
              <w:spacing w:after="20"/>
            </w:pPr>
            <w:r>
              <w:rPr>
                <w:rFonts w:ascii="Segoe UI" w:hAnsi="Segoe UI" w:cs="Segoe UI" w:eastAsia="Segoe UI"/>
                <w:b/>
                <w:color w:val="0F4761"/>
                <w:sz w:val="18"/>
              </w:rPr>
              <w:t>Item</w:t>
            </w:r>
          </w:p>
        </w:tc>
        <w:tc>
          <w:tcPr>
            <w:tcW w:type="dxa" w:w="1230"/>
            <w:shd w:val="clear" w:color="auto" w:fill="DCE9F7"/>
          </w:tcPr>
          <w:p>
            <w:pPr>
              <w:spacing w:after="20"/>
            </w:pPr>
            <w:r>
              <w:rPr>
                <w:rFonts w:ascii="Segoe UI" w:hAnsi="Segoe UI" w:cs="Segoe UI" w:eastAsia="Segoe UI"/>
                <w:b/>
                <w:color w:val="0F4761"/>
                <w:sz w:val="18"/>
              </w:rPr>
              <w:t>Owner</w:t>
            </w:r>
          </w:p>
        </w:tc>
        <w:tc>
          <w:tcPr>
            <w:tcW w:type="dxa" w:w="3432"/>
            <w:shd w:val="clear" w:color="auto" w:fill="DCE9F7"/>
          </w:tcPr>
          <w:p>
            <w:pPr>
              <w:spacing w:after="20"/>
            </w:pPr>
            <w:r>
              <w:rPr>
                <w:rFonts w:ascii="Segoe UI" w:hAnsi="Segoe UI" w:cs="Segoe UI" w:eastAsia="Segoe UI"/>
                <w:b/>
                <w:color w:val="0F4761"/>
                <w:sz w:val="18"/>
              </w:rPr>
              <w:t>Target</w:t>
            </w:r>
          </w:p>
        </w:tc>
      </w:tr>
      <w:tr>
        <w:tc>
          <w:tcPr>
            <w:tcW w:type="dxa" w:w="907"/>
          </w:tcPr>
          <w:p>
            <w:pPr>
              <w:spacing w:after="20"/>
            </w:pPr>
            <w:r>
              <w:rPr>
                <w:rFonts w:ascii="Segoe UI" w:hAnsi="Segoe UI" w:cs="Segoe UI" w:eastAsia="Segoe UI"/>
                <w:color w:val="101820"/>
                <w:sz w:val="18"/>
              </w:rPr>
              <w:t>A1</w:t>
            </w:r>
          </w:p>
        </w:tc>
        <w:tc>
          <w:tcPr>
            <w:tcW w:type="dxa" w:w="3445"/>
          </w:tcPr>
          <w:p>
            <w:pPr>
              <w:spacing w:after="20"/>
            </w:pPr>
            <w:r>
              <w:rPr>
                <w:rFonts w:ascii="Segoe UI" w:hAnsi="Segoe UI" w:cs="Segoe UI" w:eastAsia="Segoe UI"/>
                <w:color w:val="101820"/>
                <w:sz w:val="18"/>
              </w:rPr>
              <w:t>Fill the [to confirm] facts: 33 in the continuity plan, 28 in the security questionnaire, 4 in the release notes, 5 in the sales FAQ, 3 in the battlecard</w:t>
            </w:r>
          </w:p>
        </w:tc>
        <w:tc>
          <w:tcPr>
            <w:tcW w:type="dxa" w:w="1230"/>
          </w:tcPr>
          <w:p>
            <w:pPr>
              <w:spacing w:after="20"/>
            </w:pPr>
            <w:r>
              <w:rPr>
                <w:rFonts w:ascii="Segoe UI" w:hAnsi="Segoe UI" w:cs="Segoe UI" w:eastAsia="Segoe UI"/>
                <w:color w:val="101820"/>
                <w:sz w:val="18"/>
              </w:rPr>
              <w:t>Management, CTO</w:t>
            </w:r>
          </w:p>
        </w:tc>
        <w:tc>
          <w:tcPr>
            <w:tcW w:type="dxa" w:w="3432"/>
          </w:tcPr>
          <w:p>
            <w:pPr>
              <w:spacing w:after="20"/>
            </w:pPr>
            <w:r>
              <w:rPr>
                <w:rFonts w:ascii="Segoe UI" w:hAnsi="Segoe UI" w:cs="Segoe UI" w:eastAsia="Segoe UI"/>
                <w:color w:val="101820"/>
                <w:sz w:val="18"/>
              </w:rPr>
              <w:t>Before the first proposal that includes these documents</w:t>
            </w:r>
          </w:p>
        </w:tc>
      </w:tr>
      <w:tr>
        <w:tc>
          <w:tcPr>
            <w:tcW w:type="dxa" w:w="907"/>
          </w:tcPr>
          <w:p>
            <w:pPr>
              <w:spacing w:after="20"/>
            </w:pPr>
            <w:r>
              <w:rPr>
                <w:rFonts w:ascii="Segoe UI" w:hAnsi="Segoe UI" w:cs="Segoe UI" w:eastAsia="Segoe UI"/>
                <w:color w:val="101820"/>
                <w:sz w:val="18"/>
              </w:rPr>
              <w:t>A2</w:t>
            </w:r>
          </w:p>
        </w:tc>
        <w:tc>
          <w:tcPr>
            <w:tcW w:type="dxa" w:w="3445"/>
          </w:tcPr>
          <w:p>
            <w:pPr>
              <w:spacing w:after="20"/>
            </w:pPr>
            <w:r>
              <w:rPr>
                <w:rFonts w:ascii="Segoe UI" w:hAnsi="Segoe UI" w:cs="Segoe UI" w:eastAsia="Segoe UI"/>
                <w:color w:val="101820"/>
                <w:sz w:val="18"/>
              </w:rPr>
              <w:t>Verify the market figures used in the commercials (competitor price ranges, broker rankings) before quoting them to a prospect</w:t>
            </w:r>
          </w:p>
        </w:tc>
        <w:tc>
          <w:tcPr>
            <w:tcW w:type="dxa" w:w="1230"/>
          </w:tcPr>
          <w:p>
            <w:pPr>
              <w:spacing w:after="20"/>
            </w:pPr>
            <w:r>
              <w:rPr>
                <w:rFonts w:ascii="Segoe UI" w:hAnsi="Segoe UI" w:cs="Segoe UI" w:eastAsia="Segoe UI"/>
                <w:color w:val="101820"/>
                <w:sz w:val="18"/>
              </w:rPr>
              <w:t>Sales head</w:t>
            </w:r>
          </w:p>
        </w:tc>
        <w:tc>
          <w:tcPr>
            <w:tcW w:type="dxa" w:w="3432"/>
          </w:tcPr>
          <w:p>
            <w:pPr>
              <w:spacing w:after="20"/>
            </w:pPr>
            <w:r>
              <w:rPr>
                <w:rFonts w:ascii="Segoe UI" w:hAnsi="Segoe UI" w:cs="Segoe UI" w:eastAsia="Segoe UI"/>
                <w:color w:val="101820"/>
                <w:sz w:val="18"/>
              </w:rPr>
              <w:t>Before the first proposal</w:t>
            </w:r>
          </w:p>
        </w:tc>
      </w:tr>
      <w:tr>
        <w:tc>
          <w:tcPr>
            <w:tcW w:type="dxa" w:w="907"/>
          </w:tcPr>
          <w:p>
            <w:pPr>
              <w:spacing w:after="20"/>
            </w:pPr>
            <w:r>
              <w:rPr>
                <w:rFonts w:ascii="Segoe UI" w:hAnsi="Segoe UI" w:cs="Segoe UI" w:eastAsia="Segoe UI"/>
                <w:color w:val="101820"/>
                <w:sz w:val="18"/>
              </w:rPr>
              <w:t>A3</w:t>
            </w:r>
          </w:p>
        </w:tc>
        <w:tc>
          <w:tcPr>
            <w:tcW w:type="dxa" w:w="3445"/>
          </w:tcPr>
          <w:p>
            <w:pPr>
              <w:spacing w:after="20"/>
            </w:pPr>
            <w:r>
              <w:rPr>
                <w:rFonts w:ascii="Segoe UI" w:hAnsi="Segoe UI" w:cs="Segoe UI" w:eastAsia="Segoe UI"/>
                <w:color w:val="101820"/>
                <w:sz w:val="18"/>
              </w:rPr>
              <w:t>Add the sales contact e-mail and telephone to the one-page brochure and the brochure back cover</w:t>
            </w:r>
          </w:p>
        </w:tc>
        <w:tc>
          <w:tcPr>
            <w:tcW w:type="dxa" w:w="1230"/>
          </w:tcPr>
          <w:p>
            <w:pPr>
              <w:spacing w:after="20"/>
            </w:pPr>
            <w:r>
              <w:rPr>
                <w:rFonts w:ascii="Segoe UI" w:hAnsi="Segoe UI" w:cs="Segoe UI" w:eastAsia="Segoe UI"/>
                <w:color w:val="101820"/>
                <w:sz w:val="18"/>
              </w:rPr>
              <w:t>Marketing</w:t>
            </w:r>
          </w:p>
        </w:tc>
        <w:tc>
          <w:tcPr>
            <w:tcW w:type="dxa" w:w="3432"/>
          </w:tcPr>
          <w:p>
            <w:pPr>
              <w:spacing w:after="20"/>
            </w:pPr>
            <w:r>
              <w:rPr>
                <w:rFonts w:ascii="Segoe UI" w:hAnsi="Segoe UI" w:cs="Segoe UI" w:eastAsia="Segoe UI"/>
                <w:color w:val="101820"/>
                <w:sz w:val="18"/>
              </w:rPr>
              <w:t>Before distribution</w:t>
            </w:r>
          </w:p>
        </w:tc>
      </w:tr>
      <w:tr>
        <w:tc>
          <w:tcPr>
            <w:tcW w:type="dxa" w:w="907"/>
          </w:tcPr>
          <w:p>
            <w:pPr>
              <w:spacing w:after="20"/>
            </w:pPr>
            <w:r>
              <w:rPr>
                <w:rFonts w:ascii="Segoe UI" w:hAnsi="Segoe UI" w:cs="Segoe UI" w:eastAsia="Segoe UI"/>
                <w:color w:val="101820"/>
                <w:sz w:val="18"/>
              </w:rPr>
              <w:t>A4</w:t>
            </w:r>
          </w:p>
        </w:tc>
        <w:tc>
          <w:tcPr>
            <w:tcW w:type="dxa" w:w="3445"/>
          </w:tcPr>
          <w:p>
            <w:pPr>
              <w:spacing w:after="20"/>
            </w:pPr>
            <w:r>
              <w:rPr>
                <w:rFonts w:ascii="Segoe UI" w:hAnsi="Segoe UI" w:cs="Segoe UI" w:eastAsia="Segoe UI"/>
                <w:color w:val="101820"/>
                <w:sz w:val="18"/>
              </w:rPr>
              <w:t>Decide on the October incentive recalculation in the demonstration data (N5)</w:t>
            </w:r>
          </w:p>
        </w:tc>
        <w:tc>
          <w:tcPr>
            <w:tcW w:type="dxa" w:w="1230"/>
          </w:tcPr>
          <w:p>
            <w:pPr>
              <w:spacing w:after="20"/>
            </w:pPr>
            <w:r>
              <w:rPr>
                <w:rFonts w:ascii="Segoe UI" w:hAnsi="Segoe UI" w:cs="Segoe UI" w:eastAsia="Segoe UI"/>
                <w:color w:val="101820"/>
                <w:sz w:val="18"/>
              </w:rPr>
              <w:t>Sales head</w:t>
            </w:r>
          </w:p>
        </w:tc>
        <w:tc>
          <w:tcPr>
            <w:tcW w:type="dxa" w:w="3432"/>
          </w:tcPr>
          <w:p>
            <w:pPr>
              <w:spacing w:after="20"/>
            </w:pPr>
            <w:r>
              <w:rPr>
                <w:rFonts w:ascii="Segoe UI" w:hAnsi="Segoe UI" w:cs="Segoe UI" w:eastAsia="Segoe UI"/>
                <w:color w:val="101820"/>
                <w:sz w:val="18"/>
              </w:rPr>
              <w:t>Before the next demonstration</w:t>
            </w:r>
          </w:p>
        </w:tc>
      </w:tr>
      <w:tr>
        <w:tc>
          <w:tcPr>
            <w:tcW w:type="dxa" w:w="907"/>
          </w:tcPr>
          <w:p>
            <w:pPr>
              <w:spacing w:after="20"/>
            </w:pPr>
            <w:r>
              <w:rPr>
                <w:rFonts w:ascii="Segoe UI" w:hAnsi="Segoe UI" w:cs="Segoe UI" w:eastAsia="Segoe UI"/>
                <w:color w:val="101820"/>
                <w:sz w:val="18"/>
              </w:rPr>
              <w:t>A5</w:t>
            </w:r>
          </w:p>
        </w:tc>
        <w:tc>
          <w:tcPr>
            <w:tcW w:type="dxa" w:w="3445"/>
          </w:tcPr>
          <w:p>
            <w:pPr>
              <w:spacing w:after="20"/>
            </w:pPr>
            <w:r>
              <w:rPr>
                <w:rFonts w:ascii="Segoe UI" w:hAnsi="Segoe UI" w:cs="Segoe UI" w:eastAsia="Segoe UI"/>
                <w:color w:val="101820"/>
                <w:sz w:val="18"/>
              </w:rPr>
              <w:t>Re-test the three e-mail cases once SMTP is available (C2) and record the result in the test workbook</w:t>
            </w:r>
          </w:p>
        </w:tc>
        <w:tc>
          <w:tcPr>
            <w:tcW w:type="dxa" w:w="1230"/>
          </w:tcPr>
          <w:p>
            <w:pPr>
              <w:spacing w:after="20"/>
            </w:pPr>
            <w:r>
              <w:rPr>
                <w:rFonts w:ascii="Segoe UI" w:hAnsi="Segoe UI" w:cs="Segoe UI" w:eastAsia="Segoe UI"/>
                <w:color w:val="101820"/>
                <w:sz w:val="18"/>
              </w:rPr>
              <w:t>QA</w:t>
            </w:r>
          </w:p>
        </w:tc>
        <w:tc>
          <w:tcPr>
            <w:tcW w:type="dxa" w:w="3432"/>
          </w:tcPr>
          <w:p>
            <w:pPr>
              <w:spacing w:after="20"/>
            </w:pPr>
            <w:r>
              <w:rPr>
                <w:rFonts w:ascii="Segoe UI" w:hAnsi="Segoe UI" w:cs="Segoe UI" w:eastAsia="Segoe UI"/>
                <w:color w:val="101820"/>
                <w:sz w:val="18"/>
              </w:rPr>
              <w:t>During the first client's UAT</w:t>
            </w:r>
          </w:p>
        </w:tc>
      </w:tr>
    </w:tbl>
    <w:p>
      <w:pPr>
        <w:pStyle w:val="Heading1"/>
        <w:pageBreakBefore/>
      </w:pPr>
      <w:r>
        <w:rPr>
          <w:rFonts w:ascii="Segoe UI" w:hAnsi="Segoe UI" w:cs="Segoe UI" w:eastAsia="Segoe UI"/>
          <w:b/>
          <w:color w:val="0F4761"/>
          <w:sz w:val="32"/>
        </w:rPr>
        <w:t>9.  To plan</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5461"/>
        <w:gridCol w:w="2646"/>
      </w:tblGrid>
      <w:tr>
        <w:trPr>
          <w:tblHeader w:val="true"/>
        </w:trPr>
        <w:tc>
          <w:tcPr>
            <w:tcW w:type="dxa" w:w="907"/>
            <w:shd w:val="clear" w:color="auto" w:fill="DCE9F7"/>
          </w:tcPr>
          <w:p>
            <w:pPr>
              <w:spacing w:after="20"/>
            </w:pPr>
            <w:r>
              <w:rPr>
                <w:rFonts w:ascii="Segoe UI" w:hAnsi="Segoe UI" w:cs="Segoe UI" w:eastAsia="Segoe UI"/>
                <w:b/>
                <w:color w:val="0F4761"/>
                <w:sz w:val="18"/>
              </w:rPr>
              <w:t>ID</w:t>
            </w:r>
          </w:p>
        </w:tc>
        <w:tc>
          <w:tcPr>
            <w:tcW w:type="dxa" w:w="5461"/>
            <w:shd w:val="clear" w:color="auto" w:fill="DCE9F7"/>
          </w:tcPr>
          <w:p>
            <w:pPr>
              <w:spacing w:after="20"/>
            </w:pPr>
            <w:r>
              <w:rPr>
                <w:rFonts w:ascii="Segoe UI" w:hAnsi="Segoe UI" w:cs="Segoe UI" w:eastAsia="Segoe UI"/>
                <w:b/>
                <w:color w:val="0F4761"/>
                <w:sz w:val="18"/>
              </w:rPr>
              <w:t>Item</w:t>
            </w:r>
          </w:p>
        </w:tc>
        <w:tc>
          <w:tcPr>
            <w:tcW w:type="dxa" w:w="2646"/>
            <w:shd w:val="clear" w:color="auto" w:fill="DCE9F7"/>
          </w:tcPr>
          <w:p>
            <w:pPr>
              <w:spacing w:after="20"/>
            </w:pPr>
            <w:r>
              <w:rPr>
                <w:rFonts w:ascii="Segoe UI" w:hAnsi="Segoe UI" w:cs="Segoe UI" w:eastAsia="Segoe UI"/>
                <w:b/>
                <w:color w:val="0F4761"/>
                <w:sz w:val="18"/>
              </w:rPr>
              <w:t>Release</w:t>
            </w:r>
          </w:p>
        </w:tc>
      </w:tr>
      <w:tr>
        <w:tc>
          <w:tcPr>
            <w:tcW w:type="dxa" w:w="907"/>
          </w:tcPr>
          <w:p>
            <w:pPr>
              <w:spacing w:after="20"/>
            </w:pPr>
            <w:r>
              <w:rPr>
                <w:rFonts w:ascii="Segoe UI" w:hAnsi="Segoe UI" w:cs="Segoe UI" w:eastAsia="Segoe UI"/>
                <w:color w:val="101820"/>
                <w:sz w:val="18"/>
              </w:rPr>
              <w:t>P1</w:t>
            </w:r>
          </w:p>
        </w:tc>
        <w:tc>
          <w:tcPr>
            <w:tcW w:type="dxa" w:w="5461"/>
          </w:tcPr>
          <w:p>
            <w:pPr>
              <w:spacing w:after="20"/>
            </w:pPr>
            <w:r>
              <w:rPr>
                <w:rFonts w:ascii="Segoe UI" w:hAnsi="Segoe UI" w:cs="Segoe UI" w:eastAsia="Segoe UI"/>
                <w:color w:val="101820"/>
                <w:sz w:val="18"/>
              </w:rPr>
              <w:t>Upgrade react-router to the major version that removes the moderate open-redirect advisory (BV-DEF-001), with a navigation regression test</w:t>
            </w:r>
          </w:p>
        </w:tc>
        <w:tc>
          <w:tcPr>
            <w:tcW w:type="dxa" w:w="2646"/>
          </w:tcPr>
          <w:p>
            <w:pPr>
              <w:spacing w:after="20"/>
            </w:pPr>
            <w:r>
              <w:rPr>
                <w:rFonts w:ascii="Segoe UI" w:hAnsi="Segoe UI" w:cs="Segoe UI" w:eastAsia="Segoe UI"/>
                <w:color w:val="101820"/>
                <w:sz w:val="18"/>
              </w:rPr>
              <w:t>Next minor release</w:t>
            </w:r>
          </w:p>
        </w:tc>
      </w:tr>
      <w:tr>
        <w:tc>
          <w:tcPr>
            <w:tcW w:type="dxa" w:w="907"/>
          </w:tcPr>
          <w:p>
            <w:pPr>
              <w:spacing w:after="20"/>
            </w:pPr>
            <w:r>
              <w:rPr>
                <w:rFonts w:ascii="Segoe UI" w:hAnsi="Segoe UI" w:cs="Segoe UI" w:eastAsia="Segoe UI"/>
                <w:color w:val="101820"/>
                <w:sz w:val="18"/>
              </w:rPr>
              <w:t>P2</w:t>
            </w:r>
          </w:p>
        </w:tc>
        <w:tc>
          <w:tcPr>
            <w:tcW w:type="dxa" w:w="5461"/>
          </w:tcPr>
          <w:p>
            <w:pPr>
              <w:spacing w:after="20"/>
            </w:pPr>
            <w:r>
              <w:rPr>
                <w:rFonts w:ascii="Segoe UI" w:hAnsi="Segoe UI" w:cs="Segoe UI" w:eastAsia="Segoe UI"/>
                <w:color w:val="101820"/>
                <w:sz w:val="18"/>
              </w:rPr>
              <w:t>Field-level encryption of personal identifiers (TIN, ID numbers, contact details) (BV-DEF-003)</w:t>
            </w:r>
          </w:p>
        </w:tc>
        <w:tc>
          <w:tcPr>
            <w:tcW w:type="dxa" w:w="2646"/>
          </w:tcPr>
          <w:p>
            <w:pPr>
              <w:spacing w:after="20"/>
            </w:pPr>
            <w:r>
              <w:rPr>
                <w:rFonts w:ascii="Segoe UI" w:hAnsi="Segoe UI" w:cs="Segoe UI" w:eastAsia="Segoe UI"/>
                <w:color w:val="101820"/>
                <w:sz w:val="18"/>
              </w:rPr>
              <w:t>Next minor release</w:t>
            </w:r>
          </w:p>
        </w:tc>
      </w:tr>
      <w:tr>
        <w:tc>
          <w:tcPr>
            <w:tcW w:type="dxa" w:w="907"/>
          </w:tcPr>
          <w:p>
            <w:pPr>
              <w:spacing w:after="20"/>
            </w:pPr>
            <w:r>
              <w:rPr>
                <w:rFonts w:ascii="Segoe UI" w:hAnsi="Segoe UI" w:cs="Segoe UI" w:eastAsia="Segoe UI"/>
                <w:color w:val="101820"/>
                <w:sz w:val="18"/>
              </w:rPr>
              <w:t>P3</w:t>
            </w:r>
          </w:p>
        </w:tc>
        <w:tc>
          <w:tcPr>
            <w:tcW w:type="dxa" w:w="5461"/>
          </w:tcPr>
          <w:p>
            <w:pPr>
              <w:spacing w:after="20"/>
            </w:pPr>
            <w:r>
              <w:rPr>
                <w:rFonts w:ascii="Segoe UI" w:hAnsi="Segoe UI" w:cs="Segoe UI" w:eastAsia="Segoe UI"/>
                <w:color w:val="101820"/>
                <w:sz w:val="18"/>
              </w:rPr>
              <w:t>Server-side totals for the Payments summary cards and server paging for Expired and Expiring Policies</w:t>
            </w:r>
          </w:p>
        </w:tc>
        <w:tc>
          <w:tcPr>
            <w:tcW w:type="dxa" w:w="2646"/>
          </w:tcPr>
          <w:p>
            <w:pPr>
              <w:spacing w:after="20"/>
            </w:pPr>
            <w:r>
              <w:rPr>
                <w:rFonts w:ascii="Segoe UI" w:hAnsi="Segoe UI" w:cs="Segoe UI" w:eastAsia="Segoe UI"/>
                <w:color w:val="101820"/>
                <w:sz w:val="18"/>
              </w:rPr>
              <w:t>Next minor release</w:t>
            </w:r>
          </w:p>
        </w:tc>
      </w:tr>
      <w:tr>
        <w:tc>
          <w:tcPr>
            <w:tcW w:type="dxa" w:w="907"/>
          </w:tcPr>
          <w:p>
            <w:pPr>
              <w:spacing w:after="20"/>
            </w:pPr>
            <w:r>
              <w:rPr>
                <w:rFonts w:ascii="Segoe UI" w:hAnsi="Segoe UI" w:cs="Segoe UI" w:eastAsia="Segoe UI"/>
                <w:color w:val="101820"/>
                <w:sz w:val="18"/>
              </w:rPr>
              <w:t>P4</w:t>
            </w:r>
          </w:p>
        </w:tc>
        <w:tc>
          <w:tcPr>
            <w:tcW w:type="dxa" w:w="5461"/>
          </w:tcPr>
          <w:p>
            <w:pPr>
              <w:spacing w:after="20"/>
            </w:pPr>
            <w:r>
              <w:rPr>
                <w:rFonts w:ascii="Segoe UI" w:hAnsi="Segoe UI" w:cs="Segoe UI" w:eastAsia="Segoe UI"/>
                <w:color w:val="101820"/>
                <w:sz w:val="18"/>
              </w:rPr>
              <w:t>Breadcrumbs and older custom-styled action buttons on the remaining master screens</w:t>
            </w:r>
          </w:p>
        </w:tc>
        <w:tc>
          <w:tcPr>
            <w:tcW w:type="dxa" w:w="2646"/>
          </w:tcPr>
          <w:p>
            <w:pPr>
              <w:spacing w:after="20"/>
            </w:pPr>
            <w:r>
              <w:rPr>
                <w:rFonts w:ascii="Segoe UI" w:hAnsi="Segoe UI" w:cs="Segoe UI" w:eastAsia="Segoe UI"/>
                <w:color w:val="101820"/>
                <w:sz w:val="18"/>
              </w:rPr>
              <w:t>Next minor release</w:t>
            </w:r>
          </w:p>
        </w:tc>
      </w:tr>
      <w:tr>
        <w:tc>
          <w:tcPr>
            <w:tcW w:type="dxa" w:w="907"/>
          </w:tcPr>
          <w:p>
            <w:pPr>
              <w:spacing w:after="20"/>
            </w:pPr>
            <w:r>
              <w:rPr>
                <w:rFonts w:ascii="Segoe UI" w:hAnsi="Segoe UI" w:cs="Segoe UI" w:eastAsia="Segoe UI"/>
                <w:color w:val="101820"/>
                <w:sz w:val="18"/>
              </w:rPr>
              <w:t>P5</w:t>
            </w:r>
          </w:p>
        </w:tc>
        <w:tc>
          <w:tcPr>
            <w:tcW w:type="dxa" w:w="5461"/>
          </w:tcPr>
          <w:p>
            <w:pPr>
              <w:spacing w:after="20"/>
            </w:pPr>
            <w:r>
              <w:rPr>
                <w:rFonts w:ascii="Segoe UI" w:hAnsi="Segoe UI" w:cs="Segoe UI" w:eastAsia="Segoe UI"/>
                <w:color w:val="101820"/>
                <w:sz w:val="18"/>
              </w:rPr>
              <w:t>ISO 27001 readiness and an information security policy set for iorta TechNXT, needed for broker and auditor questionnaires</w:t>
            </w:r>
          </w:p>
        </w:tc>
        <w:tc>
          <w:tcPr>
            <w:tcW w:type="dxa" w:w="2646"/>
          </w:tcPr>
          <w:p>
            <w:pPr>
              <w:spacing w:after="20"/>
            </w:pPr>
            <w:r>
              <w:rPr>
                <w:rFonts w:ascii="Segoe UI" w:hAnsi="Segoe UI" w:cs="Segoe UI" w:eastAsia="Segoe UI"/>
                <w:color w:val="101820"/>
                <w:sz w:val="18"/>
              </w:rPr>
              <w:t>Within 12 months</w:t>
            </w:r>
          </w:p>
        </w:tc>
      </w:tr>
      <w:tr>
        <w:tc>
          <w:tcPr>
            <w:tcW w:type="dxa" w:w="907"/>
          </w:tcPr>
          <w:p>
            <w:pPr>
              <w:spacing w:after="20"/>
            </w:pPr>
            <w:r>
              <w:rPr>
                <w:rFonts w:ascii="Segoe UI" w:hAnsi="Segoe UI" w:cs="Segoe UI" w:eastAsia="Segoe UI"/>
                <w:color w:val="101820"/>
                <w:sz w:val="18"/>
              </w:rPr>
              <w:t>P6</w:t>
            </w:r>
          </w:p>
        </w:tc>
        <w:tc>
          <w:tcPr>
            <w:tcW w:type="dxa" w:w="5461"/>
          </w:tcPr>
          <w:p>
            <w:pPr>
              <w:spacing w:after="20"/>
            </w:pPr>
            <w:r>
              <w:rPr>
                <w:rFonts w:ascii="Segoe UI" w:hAnsi="Segoe UI" w:cs="Segoe UI" w:eastAsia="Segoe UI"/>
                <w:color w:val="101820"/>
                <w:sz w:val="18"/>
              </w:rPr>
              <w:t>Product manager role and product council, versioning scheme and release calendar (OOTB Strategy and Playbook)</w:t>
            </w:r>
          </w:p>
        </w:tc>
        <w:tc>
          <w:tcPr>
            <w:tcW w:type="dxa" w:w="2646"/>
          </w:tcPr>
          <w:p>
            <w:pPr>
              <w:spacing w:after="20"/>
            </w:pPr>
            <w:r>
              <w:rPr>
                <w:rFonts w:ascii="Segoe UI" w:hAnsi="Segoe UI" w:cs="Segoe UI" w:eastAsia="Segoe UI"/>
                <w:color w:val="101820"/>
                <w:sz w:val="18"/>
              </w:rPr>
              <w:t>Next quarter</w:t>
            </w:r>
          </w:p>
        </w:tc>
      </w:tr>
      <w:tr>
        <w:tc>
          <w:tcPr>
            <w:tcW w:type="dxa" w:w="907"/>
          </w:tcPr>
          <w:p>
            <w:pPr>
              <w:spacing w:after="20"/>
            </w:pPr>
            <w:r>
              <w:rPr>
                <w:rFonts w:ascii="Segoe UI" w:hAnsi="Segoe UI" w:cs="Segoe UI" w:eastAsia="Segoe UI"/>
                <w:color w:val="101820"/>
                <w:sz w:val="18"/>
              </w:rPr>
              <w:t>P7</w:t>
            </w:r>
          </w:p>
        </w:tc>
        <w:tc>
          <w:tcPr>
            <w:tcW w:type="dxa" w:w="5461"/>
          </w:tcPr>
          <w:p>
            <w:pPr>
              <w:spacing w:after="20"/>
            </w:pPr>
            <w:r>
              <w:rPr>
                <w:rFonts w:ascii="Segoe UI" w:hAnsi="Segoe UI" w:cs="Segoe UI" w:eastAsia="Segoe UI"/>
                <w:color w:val="101820"/>
                <w:sz w:val="18"/>
              </w:rPr>
              <w:t>Responsive layout for tablets; no mobile application commitment</w:t>
            </w:r>
          </w:p>
        </w:tc>
        <w:tc>
          <w:tcPr>
            <w:tcW w:type="dxa" w:w="2646"/>
          </w:tcPr>
          <w:p>
            <w:pPr>
              <w:spacing w:after="20"/>
            </w:pPr>
            <w:r>
              <w:rPr>
                <w:rFonts w:ascii="Segoe UI" w:hAnsi="Segoe UI" w:cs="Segoe UI" w:eastAsia="Segoe UI"/>
                <w:color w:val="101820"/>
                <w:sz w:val="18"/>
              </w:rPr>
              <w:t>Roadmap, indicative</w:t>
            </w:r>
          </w:p>
        </w:tc>
      </w:tr>
      <w:tr>
        <w:tc>
          <w:tcPr>
            <w:tcW w:type="dxa" w:w="907"/>
          </w:tcPr>
          <w:p>
            <w:pPr>
              <w:spacing w:after="20"/>
            </w:pPr>
            <w:r>
              <w:rPr>
                <w:rFonts w:ascii="Segoe UI" w:hAnsi="Segoe UI" w:cs="Segoe UI" w:eastAsia="Segoe UI"/>
                <w:color w:val="101820"/>
                <w:sz w:val="18"/>
              </w:rPr>
              <w:t>P8</w:t>
            </w:r>
          </w:p>
        </w:tc>
        <w:tc>
          <w:tcPr>
            <w:tcW w:type="dxa" w:w="5461"/>
          </w:tcPr>
          <w:p>
            <w:pPr>
              <w:spacing w:after="20"/>
            </w:pPr>
            <w:r>
              <w:rPr>
                <w:rFonts w:ascii="Segoe UI" w:hAnsi="Segoe UI" w:cs="Segoe UI" w:eastAsia="Segoe UI"/>
                <w:color w:val="101820"/>
                <w:sz w:val="18"/>
              </w:rPr>
              <w:t>Reference client programme: first pilot, case study and reference call script</w:t>
            </w:r>
          </w:p>
        </w:tc>
        <w:tc>
          <w:tcPr>
            <w:tcW w:type="dxa" w:w="2646"/>
          </w:tcPr>
          <w:p>
            <w:pPr>
              <w:spacing w:after="20"/>
            </w:pPr>
            <w:r>
              <w:rPr>
                <w:rFonts w:ascii="Segoe UI" w:hAnsi="Segoe UI" w:cs="Segoe UI" w:eastAsia="Segoe UI"/>
                <w:color w:val="101820"/>
                <w:sz w:val="18"/>
              </w:rPr>
              <w:t>After the first go-live</w:t>
            </w:r>
          </w:p>
        </w:tc>
      </w:tr>
    </w:tbl>
    <w:p>
      <w:pPr>
        <w:pStyle w:val="Heading1"/>
        <w:pageBreakBefore/>
      </w:pPr>
      <w:r>
        <w:rPr>
          <w:rFonts w:ascii="Segoe UI" w:hAnsi="Segoe UI" w:cs="Segoe UI" w:eastAsia="Segoe UI"/>
          <w:b/>
          <w:color w:val="0F4761"/>
          <w:sz w:val="32"/>
        </w:rPr>
        <w:t>10.  Risks foreseen</w:t>
      </w:r>
    </w:p>
    <w:p>
      <w:pPr>
        <w:spacing w:after="120" w:line="276" w:lineRule="auto"/>
      </w:pPr>
      <w:r>
        <w:rPr>
          <w:rFonts w:ascii="Segoe UI" w:hAnsi="Segoe UI" w:cs="Segoe UI" w:eastAsia="Segoe UI"/>
          <w:color w:val="101820"/>
          <w:sz w:val="21"/>
        </w:rPr>
        <w:t>Likelihood and impact are rated Low, Medium or High.</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2353"/>
        <w:gridCol w:w="1361"/>
        <w:gridCol w:w="907"/>
        <w:gridCol w:w="2353"/>
        <w:gridCol w:w="1134"/>
      </w:tblGrid>
      <w:tr>
        <w:trPr>
          <w:tblHeader w:val="true"/>
        </w:trPr>
        <w:tc>
          <w:tcPr>
            <w:tcW w:type="dxa" w:w="907"/>
            <w:shd w:val="clear" w:color="auto" w:fill="DCE9F7"/>
          </w:tcPr>
          <w:p>
            <w:pPr>
              <w:spacing w:after="20"/>
            </w:pPr>
            <w:r>
              <w:rPr>
                <w:rFonts w:ascii="Segoe UI" w:hAnsi="Segoe UI" w:cs="Segoe UI" w:eastAsia="Segoe UI"/>
                <w:b/>
                <w:color w:val="0F4761"/>
                <w:sz w:val="16"/>
              </w:rPr>
              <w:t>ID</w:t>
            </w:r>
          </w:p>
        </w:tc>
        <w:tc>
          <w:tcPr>
            <w:tcW w:type="dxa" w:w="2353"/>
            <w:shd w:val="clear" w:color="auto" w:fill="DCE9F7"/>
          </w:tcPr>
          <w:p>
            <w:pPr>
              <w:spacing w:after="20"/>
            </w:pPr>
            <w:r>
              <w:rPr>
                <w:rFonts w:ascii="Segoe UI" w:hAnsi="Segoe UI" w:cs="Segoe UI" w:eastAsia="Segoe UI"/>
                <w:b/>
                <w:color w:val="0F4761"/>
                <w:sz w:val="16"/>
              </w:rPr>
              <w:t>Risk</w:t>
            </w:r>
          </w:p>
        </w:tc>
        <w:tc>
          <w:tcPr>
            <w:tcW w:type="dxa" w:w="1361"/>
            <w:shd w:val="clear" w:color="auto" w:fill="DCE9F7"/>
          </w:tcPr>
          <w:p>
            <w:pPr>
              <w:spacing w:after="20"/>
            </w:pPr>
            <w:r>
              <w:rPr>
                <w:rFonts w:ascii="Segoe UI" w:hAnsi="Segoe UI" w:cs="Segoe UI" w:eastAsia="Segoe UI"/>
                <w:b/>
                <w:color w:val="0F4761"/>
                <w:sz w:val="16"/>
              </w:rPr>
              <w:t>Likelihood</w:t>
            </w:r>
          </w:p>
        </w:tc>
        <w:tc>
          <w:tcPr>
            <w:tcW w:type="dxa" w:w="907"/>
            <w:shd w:val="clear" w:color="auto" w:fill="DCE9F7"/>
          </w:tcPr>
          <w:p>
            <w:pPr>
              <w:spacing w:after="20"/>
            </w:pPr>
            <w:r>
              <w:rPr>
                <w:rFonts w:ascii="Segoe UI" w:hAnsi="Segoe UI" w:cs="Segoe UI" w:eastAsia="Segoe UI"/>
                <w:b/>
                <w:color w:val="0F4761"/>
                <w:sz w:val="16"/>
              </w:rPr>
              <w:t>Impact</w:t>
            </w:r>
          </w:p>
        </w:tc>
        <w:tc>
          <w:tcPr>
            <w:tcW w:type="dxa" w:w="2353"/>
            <w:shd w:val="clear" w:color="auto" w:fill="DCE9F7"/>
          </w:tcPr>
          <w:p>
            <w:pPr>
              <w:spacing w:after="20"/>
            </w:pPr>
            <w:r>
              <w:rPr>
                <w:rFonts w:ascii="Segoe UI" w:hAnsi="Segoe UI" w:cs="Segoe UI" w:eastAsia="Segoe UI"/>
                <w:b/>
                <w:color w:val="0F4761"/>
                <w:sz w:val="16"/>
              </w:rPr>
              <w:t>Mitigation</w:t>
            </w:r>
          </w:p>
        </w:tc>
        <w:tc>
          <w:tcPr>
            <w:tcW w:type="dxa" w:w="1134"/>
            <w:shd w:val="clear" w:color="auto" w:fill="DCE9F7"/>
          </w:tcPr>
          <w:p>
            <w:pPr>
              <w:spacing w:after="20"/>
            </w:pPr>
            <w:r>
              <w:rPr>
                <w:rFonts w:ascii="Segoe UI" w:hAnsi="Segoe UI" w:cs="Segoe UI" w:eastAsia="Segoe UI"/>
                <w:b/>
                <w:color w:val="0F4761"/>
                <w:sz w:val="16"/>
              </w:rPr>
              <w:t>Owner</w:t>
            </w:r>
          </w:p>
        </w:tc>
      </w:tr>
      <w:tr>
        <w:tc>
          <w:tcPr>
            <w:tcW w:type="dxa" w:w="907"/>
          </w:tcPr>
          <w:p>
            <w:pPr>
              <w:spacing w:after="20"/>
            </w:pPr>
            <w:r>
              <w:rPr>
                <w:rFonts w:ascii="Segoe UI" w:hAnsi="Segoe UI" w:cs="Segoe UI" w:eastAsia="Segoe UI"/>
                <w:color w:val="101820"/>
                <w:sz w:val="16"/>
              </w:rPr>
              <w:t>R1</w:t>
            </w:r>
          </w:p>
        </w:tc>
        <w:tc>
          <w:tcPr>
            <w:tcW w:type="dxa" w:w="2353"/>
          </w:tcPr>
          <w:p>
            <w:pPr>
              <w:spacing w:after="20"/>
            </w:pPr>
            <w:r>
              <w:rPr>
                <w:rFonts w:ascii="Segoe UI" w:hAnsi="Segoe UI" w:cs="Segoe UI" w:eastAsia="Segoe UI"/>
                <w:color w:val="101820"/>
                <w:sz w:val="16"/>
              </w:rPr>
              <w:t>First production deployment slips because the EC2 pipeline is unreachable</w:t>
            </w:r>
          </w:p>
        </w:tc>
        <w:tc>
          <w:tcPr>
            <w:tcW w:type="dxa" w:w="1361"/>
          </w:tcPr>
          <w:p>
            <w:pPr>
              <w:spacing w:after="20"/>
            </w:pPr>
            <w:r>
              <w:rPr>
                <w:rFonts w:ascii="Segoe UI" w:hAnsi="Segoe UI" w:cs="Segoe UI" w:eastAsia="Segoe UI"/>
                <w:color w:val="101820"/>
                <w:sz w:val="16"/>
              </w:rPr>
              <w:t>High</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Fix the network rule or key used by the pipeline; keep a documented manual deployment as fallback</w:t>
            </w:r>
          </w:p>
        </w:tc>
        <w:tc>
          <w:tcPr>
            <w:tcW w:type="dxa" w:w="1134"/>
          </w:tcPr>
          <w:p>
            <w:pPr>
              <w:spacing w:after="20"/>
            </w:pPr>
            <w:r>
              <w:rPr>
                <w:rFonts w:ascii="Segoe UI" w:hAnsi="Segoe UI" w:cs="Segoe UI" w:eastAsia="Segoe UI"/>
                <w:color w:val="101820"/>
                <w:sz w:val="16"/>
              </w:rPr>
              <w:t>DevOps lead</w:t>
            </w:r>
          </w:p>
        </w:tc>
      </w:tr>
      <w:tr>
        <w:tc>
          <w:tcPr>
            <w:tcW w:type="dxa" w:w="907"/>
          </w:tcPr>
          <w:p>
            <w:pPr>
              <w:spacing w:after="20"/>
            </w:pPr>
            <w:r>
              <w:rPr>
                <w:rFonts w:ascii="Segoe UI" w:hAnsi="Segoe UI" w:cs="Segoe UI" w:eastAsia="Segoe UI"/>
                <w:color w:val="101820"/>
                <w:sz w:val="16"/>
              </w:rPr>
              <w:t>R2</w:t>
            </w:r>
          </w:p>
        </w:tc>
        <w:tc>
          <w:tcPr>
            <w:tcW w:type="dxa" w:w="2353"/>
          </w:tcPr>
          <w:p>
            <w:pPr>
              <w:spacing w:after="20"/>
            </w:pPr>
            <w:r>
              <w:rPr>
                <w:rFonts w:ascii="Segoe UI" w:hAnsi="Segoe UI" w:cs="Segoe UI" w:eastAsia="Segoe UI"/>
                <w:color w:val="101820"/>
                <w:sz w:val="16"/>
              </w:rPr>
              <w:t>A client finds a security issue in its own penetration test before ours</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High</w:t>
            </w:r>
          </w:p>
        </w:tc>
        <w:tc>
          <w:tcPr>
            <w:tcW w:type="dxa" w:w="2353"/>
          </w:tcPr>
          <w:p>
            <w:pPr>
              <w:spacing w:after="20"/>
            </w:pPr>
            <w:r>
              <w:rPr>
                <w:rFonts w:ascii="Segoe UI" w:hAnsi="Segoe UI" w:cs="Segoe UI" w:eastAsia="Segoe UI"/>
                <w:color w:val="101820"/>
                <w:sz w:val="16"/>
              </w:rPr>
              <w:t>External penetration test before the first go-live (C4); fix High findings first</w:t>
            </w:r>
          </w:p>
        </w:tc>
        <w:tc>
          <w:tcPr>
            <w:tcW w:type="dxa" w:w="1134"/>
          </w:tcPr>
          <w:p>
            <w:pPr>
              <w:spacing w:after="20"/>
            </w:pPr>
            <w:r>
              <w:rPr>
                <w:rFonts w:ascii="Segoe UI" w:hAnsi="Segoe UI" w:cs="Segoe UI" w:eastAsia="Segoe UI"/>
                <w:color w:val="101820"/>
                <w:sz w:val="16"/>
              </w:rPr>
              <w:t>CTO</w:t>
            </w:r>
          </w:p>
        </w:tc>
      </w:tr>
      <w:tr>
        <w:tc>
          <w:tcPr>
            <w:tcW w:type="dxa" w:w="907"/>
          </w:tcPr>
          <w:p>
            <w:pPr>
              <w:spacing w:after="20"/>
            </w:pPr>
            <w:r>
              <w:rPr>
                <w:rFonts w:ascii="Segoe UI" w:hAnsi="Segoe UI" w:cs="Segoe UI" w:eastAsia="Segoe UI"/>
                <w:color w:val="101820"/>
                <w:sz w:val="16"/>
              </w:rPr>
              <w:t>R3</w:t>
            </w:r>
          </w:p>
        </w:tc>
        <w:tc>
          <w:tcPr>
            <w:tcW w:type="dxa" w:w="2353"/>
          </w:tcPr>
          <w:p>
            <w:pPr>
              <w:spacing w:after="20"/>
            </w:pPr>
            <w:r>
              <w:rPr>
                <w:rFonts w:ascii="Segoe UI" w:hAnsi="Segoe UI" w:cs="Segoe UI" w:eastAsia="Segoe UI"/>
                <w:color w:val="101820"/>
                <w:sz w:val="16"/>
              </w:rPr>
              <w:t>Performance at a large broker's volume is not proven</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High</w:t>
            </w:r>
          </w:p>
        </w:tc>
        <w:tc>
          <w:tcPr>
            <w:tcW w:type="dxa" w:w="2353"/>
          </w:tcPr>
          <w:p>
            <w:pPr>
              <w:spacing w:after="20"/>
            </w:pPr>
            <w:r>
              <w:rPr>
                <w:rFonts w:ascii="Segoe UI" w:hAnsi="Segoe UI" w:cs="Segoe UI" w:eastAsia="Segoe UI"/>
                <w:color w:val="101820"/>
                <w:sz w:val="16"/>
              </w:rPr>
              <w:t>Load test at the client's expected volume (C4); server paging is in place on the large lists</w:t>
            </w:r>
          </w:p>
        </w:tc>
        <w:tc>
          <w:tcPr>
            <w:tcW w:type="dxa" w:w="1134"/>
          </w:tcPr>
          <w:p>
            <w:pPr>
              <w:spacing w:after="20"/>
            </w:pPr>
            <w:r>
              <w:rPr>
                <w:rFonts w:ascii="Segoe UI" w:hAnsi="Segoe UI" w:cs="Segoe UI" w:eastAsia="Segoe UI"/>
                <w:color w:val="101820"/>
                <w:sz w:val="16"/>
              </w:rPr>
              <w:t>CTO</w:t>
            </w:r>
          </w:p>
        </w:tc>
      </w:tr>
      <w:tr>
        <w:tc>
          <w:tcPr>
            <w:tcW w:type="dxa" w:w="907"/>
          </w:tcPr>
          <w:p>
            <w:pPr>
              <w:spacing w:after="20"/>
            </w:pPr>
            <w:r>
              <w:rPr>
                <w:rFonts w:ascii="Segoe UI" w:hAnsi="Segoe UI" w:cs="Segoe UI" w:eastAsia="Segoe UI"/>
                <w:color w:val="101820"/>
                <w:sz w:val="16"/>
              </w:rPr>
              <w:t>R4</w:t>
            </w:r>
          </w:p>
        </w:tc>
        <w:tc>
          <w:tcPr>
            <w:tcW w:type="dxa" w:w="2353"/>
          </w:tcPr>
          <w:p>
            <w:pPr>
              <w:spacing w:after="20"/>
            </w:pPr>
            <w:r>
              <w:rPr>
                <w:rFonts w:ascii="Segoe UI" w:hAnsi="Segoe UI" w:cs="Segoe UI" w:eastAsia="Segoe UI"/>
                <w:color w:val="101820"/>
                <w:sz w:val="16"/>
              </w:rPr>
              <w:t>Documents and the privacy export show iorta TechNXT as the company if configuration is incomplete</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High</w:t>
            </w:r>
          </w:p>
        </w:tc>
        <w:tc>
          <w:tcPr>
            <w:tcW w:type="dxa" w:w="2353"/>
          </w:tcPr>
          <w:p>
            <w:pPr>
              <w:spacing w:after="20"/>
            </w:pPr>
            <w:r>
              <w:rPr>
                <w:rFonts w:ascii="Segoe UI" w:hAnsi="Segoe UI" w:cs="Segoe UI" w:eastAsia="Segoe UI"/>
                <w:color w:val="101820"/>
                <w:sz w:val="16"/>
              </w:rPr>
              <w:t>Configuration checklist item and UAT test on printed documents (C3)</w:t>
            </w:r>
          </w:p>
        </w:tc>
        <w:tc>
          <w:tcPr>
            <w:tcW w:type="dxa" w:w="1134"/>
          </w:tcPr>
          <w:p>
            <w:pPr>
              <w:spacing w:after="20"/>
            </w:pPr>
            <w:r>
              <w:rPr>
                <w:rFonts w:ascii="Segoe UI" w:hAnsi="Segoe UI" w:cs="Segoe UI" w:eastAsia="Segoe UI"/>
                <w:color w:val="101820"/>
                <w:sz w:val="16"/>
              </w:rPr>
              <w:t>Delivery lead</w:t>
            </w:r>
          </w:p>
        </w:tc>
      </w:tr>
      <w:tr>
        <w:tc>
          <w:tcPr>
            <w:tcW w:type="dxa" w:w="907"/>
          </w:tcPr>
          <w:p>
            <w:pPr>
              <w:spacing w:after="20"/>
            </w:pPr>
            <w:r>
              <w:rPr>
                <w:rFonts w:ascii="Segoe UI" w:hAnsi="Segoe UI" w:cs="Segoe UI" w:eastAsia="Segoe UI"/>
                <w:color w:val="101820"/>
                <w:sz w:val="16"/>
              </w:rPr>
              <w:t>R5</w:t>
            </w:r>
          </w:p>
        </w:tc>
        <w:tc>
          <w:tcPr>
            <w:tcW w:type="dxa" w:w="2353"/>
          </w:tcPr>
          <w:p>
            <w:pPr>
              <w:spacing w:after="20"/>
            </w:pPr>
            <w:r>
              <w:rPr>
                <w:rFonts w:ascii="Segoe UI" w:hAnsi="Segoe UI" w:cs="Segoe UI" w:eastAsia="Segoe UI"/>
                <w:color w:val="101820"/>
                <w:sz w:val="16"/>
              </w:rPr>
              <w:t>Contract terms not reviewed by counsel lead to a dispute on liability, termination fees or escrow</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High</w:t>
            </w:r>
          </w:p>
        </w:tc>
        <w:tc>
          <w:tcPr>
            <w:tcW w:type="dxa" w:w="2353"/>
          </w:tcPr>
          <w:p>
            <w:pPr>
              <w:spacing w:after="20"/>
            </w:pPr>
            <w:r>
              <w:rPr>
                <w:rFonts w:ascii="Segoe UI" w:hAnsi="Segoe UI" w:cs="Segoe UI" w:eastAsia="Segoe UI"/>
                <w:color w:val="101820"/>
                <w:sz w:val="16"/>
              </w:rPr>
              <w:t>Legal review before signature (C5, D1 to D7)</w:t>
            </w:r>
          </w:p>
        </w:tc>
        <w:tc>
          <w:tcPr>
            <w:tcW w:type="dxa" w:w="1134"/>
          </w:tcPr>
          <w:p>
            <w:pPr>
              <w:spacing w:after="20"/>
            </w:pPr>
            <w:r>
              <w:rPr>
                <w:rFonts w:ascii="Segoe UI" w:hAnsi="Segoe UI" w:cs="Segoe UI" w:eastAsia="Segoe UI"/>
                <w:color w:val="101820"/>
                <w:sz w:val="16"/>
              </w:rPr>
              <w:t>CEO</w:t>
            </w:r>
          </w:p>
        </w:tc>
      </w:tr>
      <w:tr>
        <w:tc>
          <w:tcPr>
            <w:tcW w:type="dxa" w:w="907"/>
          </w:tcPr>
          <w:p>
            <w:pPr>
              <w:spacing w:after="20"/>
            </w:pPr>
            <w:r>
              <w:rPr>
                <w:rFonts w:ascii="Segoe UI" w:hAnsi="Segoe UI" w:cs="Segoe UI" w:eastAsia="Segoe UI"/>
                <w:color w:val="101820"/>
                <w:sz w:val="16"/>
              </w:rPr>
              <w:t>R6</w:t>
            </w:r>
          </w:p>
        </w:tc>
        <w:tc>
          <w:tcPr>
            <w:tcW w:type="dxa" w:w="2353"/>
          </w:tcPr>
          <w:p>
            <w:pPr>
              <w:spacing w:after="20"/>
            </w:pPr>
            <w:r>
              <w:rPr>
                <w:rFonts w:ascii="Segoe UI" w:hAnsi="Segoe UI" w:cs="Segoe UI" w:eastAsia="Segoe UI"/>
                <w:color w:val="101820"/>
                <w:sz w:val="16"/>
              </w:rPr>
              <w:t>Data migration quality at the client delays go-live</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Mock loads, reconciliation of counts and totals and sign-off by Accounting, as in the Data Migration and Cutover Plan</w:t>
            </w:r>
          </w:p>
        </w:tc>
        <w:tc>
          <w:tcPr>
            <w:tcW w:type="dxa" w:w="1134"/>
          </w:tcPr>
          <w:p>
            <w:pPr>
              <w:spacing w:after="20"/>
            </w:pPr>
            <w:r>
              <w:rPr>
                <w:rFonts w:ascii="Segoe UI" w:hAnsi="Segoe UI" w:cs="Segoe UI" w:eastAsia="Segoe UI"/>
                <w:color w:val="101820"/>
                <w:sz w:val="16"/>
              </w:rPr>
              <w:t>Delivery lead</w:t>
            </w:r>
          </w:p>
        </w:tc>
      </w:tr>
      <w:tr>
        <w:tc>
          <w:tcPr>
            <w:tcW w:type="dxa" w:w="907"/>
          </w:tcPr>
          <w:p>
            <w:pPr>
              <w:spacing w:after="20"/>
            </w:pPr>
            <w:r>
              <w:rPr>
                <w:rFonts w:ascii="Segoe UI" w:hAnsi="Segoe UI" w:cs="Segoe UI" w:eastAsia="Segoe UI"/>
                <w:color w:val="101820"/>
                <w:sz w:val="16"/>
              </w:rPr>
              <w:t>R7</w:t>
            </w:r>
          </w:p>
        </w:tc>
        <w:tc>
          <w:tcPr>
            <w:tcW w:type="dxa" w:w="2353"/>
          </w:tcPr>
          <w:p>
            <w:pPr>
              <w:spacing w:after="20"/>
            </w:pPr>
            <w:r>
              <w:rPr>
                <w:rFonts w:ascii="Segoe UI" w:hAnsi="Segoe UI" w:cs="Segoe UI" w:eastAsia="Segoe UI"/>
                <w:color w:val="101820"/>
                <w:sz w:val="16"/>
              </w:rPr>
              <w:t>Key person dependency in development and support</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High</w:t>
            </w:r>
          </w:p>
        </w:tc>
        <w:tc>
          <w:tcPr>
            <w:tcW w:type="dxa" w:w="2353"/>
          </w:tcPr>
          <w:p>
            <w:pPr>
              <w:spacing w:after="20"/>
            </w:pPr>
            <w:r>
              <w:rPr>
                <w:rFonts w:ascii="Segoe UI" w:hAnsi="Segoe UI" w:cs="Segoe UI" w:eastAsia="Segoe UI"/>
                <w:color w:val="101820"/>
                <w:sz w:val="16"/>
              </w:rPr>
              <w:t>Production support handbook, technical reference, escrow, named back-ups in the continuity plan</w:t>
            </w:r>
          </w:p>
        </w:tc>
        <w:tc>
          <w:tcPr>
            <w:tcW w:type="dxa" w:w="1134"/>
          </w:tcPr>
          <w:p>
            <w:pPr>
              <w:spacing w:after="20"/>
            </w:pPr>
            <w:r>
              <w:rPr>
                <w:rFonts w:ascii="Segoe UI" w:hAnsi="Segoe UI" w:cs="Segoe UI" w:eastAsia="Segoe UI"/>
                <w:color w:val="101820"/>
                <w:sz w:val="16"/>
              </w:rPr>
              <w:t>CTO</w:t>
            </w:r>
          </w:p>
        </w:tc>
      </w:tr>
      <w:tr>
        <w:tc>
          <w:tcPr>
            <w:tcW w:type="dxa" w:w="907"/>
          </w:tcPr>
          <w:p>
            <w:pPr>
              <w:spacing w:after="20"/>
            </w:pPr>
            <w:r>
              <w:rPr>
                <w:rFonts w:ascii="Segoe UI" w:hAnsi="Segoe UI" w:cs="Segoe UI" w:eastAsia="Segoe UI"/>
                <w:color w:val="101820"/>
                <w:sz w:val="16"/>
              </w:rPr>
              <w:t>R8</w:t>
            </w:r>
          </w:p>
        </w:tc>
        <w:tc>
          <w:tcPr>
            <w:tcW w:type="dxa" w:w="2353"/>
          </w:tcPr>
          <w:p>
            <w:pPr>
              <w:spacing w:after="20"/>
            </w:pPr>
            <w:r>
              <w:rPr>
                <w:rFonts w:ascii="Segoe UI" w:hAnsi="Segoe UI" w:cs="Segoe UI" w:eastAsia="Segoe UI"/>
                <w:color w:val="101820"/>
                <w:sz w:val="16"/>
              </w:rPr>
              <w:t>Regulatory change (IC circulars, BIR forms, tax rates) between releases</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Rates and forms are configuration; regulatory watch owned by the product manager</w:t>
            </w:r>
          </w:p>
        </w:tc>
        <w:tc>
          <w:tcPr>
            <w:tcW w:type="dxa" w:w="1134"/>
          </w:tcPr>
          <w:p>
            <w:pPr>
              <w:spacing w:after="20"/>
            </w:pPr>
            <w:r>
              <w:rPr>
                <w:rFonts w:ascii="Segoe UI" w:hAnsi="Segoe UI" w:cs="Segoe UI" w:eastAsia="Segoe UI"/>
                <w:color w:val="101820"/>
                <w:sz w:val="16"/>
              </w:rPr>
              <w:t>Product manager</w:t>
            </w:r>
          </w:p>
        </w:tc>
      </w:tr>
      <w:tr>
        <w:tc>
          <w:tcPr>
            <w:tcW w:type="dxa" w:w="907"/>
          </w:tcPr>
          <w:p>
            <w:pPr>
              <w:spacing w:after="20"/>
            </w:pPr>
            <w:r>
              <w:rPr>
                <w:rFonts w:ascii="Segoe UI" w:hAnsi="Segoe UI" w:cs="Segoe UI" w:eastAsia="Segoe UI"/>
                <w:color w:val="101820"/>
                <w:sz w:val="16"/>
              </w:rPr>
              <w:t>R9</w:t>
            </w:r>
          </w:p>
        </w:tc>
        <w:tc>
          <w:tcPr>
            <w:tcW w:type="dxa" w:w="2353"/>
          </w:tcPr>
          <w:p>
            <w:pPr>
              <w:spacing w:after="20"/>
            </w:pPr>
            <w:r>
              <w:rPr>
                <w:rFonts w:ascii="Segoe UI" w:hAnsi="Segoe UI" w:cs="Segoe UI" w:eastAsia="Segoe UI"/>
                <w:color w:val="101820"/>
                <w:sz w:val="16"/>
              </w:rPr>
              <w:t>Unverified market figures in sales material damage credibility</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Verify before use (A2); battlecard tells sales not to quote them</w:t>
            </w:r>
          </w:p>
        </w:tc>
        <w:tc>
          <w:tcPr>
            <w:tcW w:type="dxa" w:w="1134"/>
          </w:tcPr>
          <w:p>
            <w:pPr>
              <w:spacing w:after="20"/>
            </w:pPr>
            <w:r>
              <w:rPr>
                <w:rFonts w:ascii="Segoe UI" w:hAnsi="Segoe UI" w:cs="Segoe UI" w:eastAsia="Segoe UI"/>
                <w:color w:val="101820"/>
                <w:sz w:val="16"/>
              </w:rPr>
              <w:t>Sales head</w:t>
            </w:r>
          </w:p>
        </w:tc>
      </w:tr>
      <w:tr>
        <w:tc>
          <w:tcPr>
            <w:tcW w:type="dxa" w:w="907"/>
          </w:tcPr>
          <w:p>
            <w:pPr>
              <w:spacing w:after="20"/>
            </w:pPr>
            <w:r>
              <w:rPr>
                <w:rFonts w:ascii="Segoe UI" w:hAnsi="Segoe UI" w:cs="Segoe UI" w:eastAsia="Segoe UI"/>
                <w:color w:val="101820"/>
                <w:sz w:val="16"/>
              </w:rPr>
              <w:t>R10</w:t>
            </w:r>
          </w:p>
        </w:tc>
        <w:tc>
          <w:tcPr>
            <w:tcW w:type="dxa" w:w="2353"/>
          </w:tcPr>
          <w:p>
            <w:pPr>
              <w:spacing w:after="20"/>
            </w:pPr>
            <w:r>
              <w:rPr>
                <w:rFonts w:ascii="Segoe UI" w:hAnsi="Segoe UI" w:cs="Segoe UI" w:eastAsia="Segoe UI"/>
                <w:color w:val="101820"/>
                <w:sz w:val="16"/>
              </w:rPr>
              <w:t>Questionnaire answers with [to confirm] stall a procurement process</w:t>
            </w:r>
          </w:p>
        </w:tc>
        <w:tc>
          <w:tcPr>
            <w:tcW w:type="dxa" w:w="1361"/>
          </w:tcPr>
          <w:p>
            <w:pPr>
              <w:spacing w:after="20"/>
            </w:pPr>
            <w:r>
              <w:rPr>
                <w:rFonts w:ascii="Segoe UI" w:hAnsi="Segoe UI" w:cs="Segoe UI" w:eastAsia="Segoe UI"/>
                <w:color w:val="101820"/>
                <w:sz w:val="16"/>
              </w:rPr>
              <w:t>High</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Close A1 and C6 before the first formal proposal</w:t>
            </w:r>
          </w:p>
        </w:tc>
        <w:tc>
          <w:tcPr>
            <w:tcW w:type="dxa" w:w="1134"/>
          </w:tcPr>
          <w:p>
            <w:pPr>
              <w:spacing w:after="20"/>
            </w:pPr>
            <w:r>
              <w:rPr>
                <w:rFonts w:ascii="Segoe UI" w:hAnsi="Segoe UI" w:cs="Segoe UI" w:eastAsia="Segoe UI"/>
                <w:color w:val="101820"/>
                <w:sz w:val="16"/>
              </w:rPr>
              <w:t>Management</w:t>
            </w:r>
          </w:p>
        </w:tc>
      </w:tr>
      <w:tr>
        <w:tc>
          <w:tcPr>
            <w:tcW w:type="dxa" w:w="907"/>
          </w:tcPr>
          <w:p>
            <w:pPr>
              <w:spacing w:after="20"/>
            </w:pPr>
            <w:r>
              <w:rPr>
                <w:rFonts w:ascii="Segoe UI" w:hAnsi="Segoe UI" w:cs="Segoe UI" w:eastAsia="Segoe UI"/>
                <w:color w:val="101820"/>
                <w:sz w:val="16"/>
              </w:rPr>
              <w:t>R11</w:t>
            </w:r>
          </w:p>
        </w:tc>
        <w:tc>
          <w:tcPr>
            <w:tcW w:type="dxa" w:w="2353"/>
          </w:tcPr>
          <w:p>
            <w:pPr>
              <w:spacing w:after="20"/>
            </w:pPr>
            <w:r>
              <w:rPr>
                <w:rFonts w:ascii="Segoe UI" w:hAnsi="Segoe UI" w:cs="Segoe UI" w:eastAsia="Segoe UI"/>
                <w:color w:val="101820"/>
                <w:sz w:val="16"/>
              </w:rPr>
              <w:t>Scope growth during implementation through change requests</w:t>
            </w:r>
          </w:p>
        </w:tc>
        <w:tc>
          <w:tcPr>
            <w:tcW w:type="dxa" w:w="1361"/>
          </w:tcPr>
          <w:p>
            <w:pPr>
              <w:spacing w:after="20"/>
            </w:pPr>
            <w:r>
              <w:rPr>
                <w:rFonts w:ascii="Segoe UI" w:hAnsi="Segoe UI" w:cs="Segoe UI" w:eastAsia="Segoe UI"/>
                <w:color w:val="101820"/>
                <w:sz w:val="16"/>
              </w:rPr>
              <w:t>Medium</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Fit-gap register, change request procedure and steering committee approval</w:t>
            </w:r>
          </w:p>
        </w:tc>
        <w:tc>
          <w:tcPr>
            <w:tcW w:type="dxa" w:w="1134"/>
          </w:tcPr>
          <w:p>
            <w:pPr>
              <w:spacing w:after="20"/>
            </w:pPr>
            <w:r>
              <w:rPr>
                <w:rFonts w:ascii="Segoe UI" w:hAnsi="Segoe UI" w:cs="Segoe UI" w:eastAsia="Segoe UI"/>
                <w:color w:val="101820"/>
                <w:sz w:val="16"/>
              </w:rPr>
              <w:t>Delivery lead</w:t>
            </w:r>
          </w:p>
        </w:tc>
      </w:tr>
      <w:tr>
        <w:tc>
          <w:tcPr>
            <w:tcW w:type="dxa" w:w="907"/>
          </w:tcPr>
          <w:p>
            <w:pPr>
              <w:spacing w:after="20"/>
            </w:pPr>
            <w:r>
              <w:rPr>
                <w:rFonts w:ascii="Segoe UI" w:hAnsi="Segoe UI" w:cs="Segoe UI" w:eastAsia="Segoe UI"/>
                <w:color w:val="101820"/>
                <w:sz w:val="16"/>
              </w:rPr>
              <w:t>R12</w:t>
            </w:r>
          </w:p>
        </w:tc>
        <w:tc>
          <w:tcPr>
            <w:tcW w:type="dxa" w:w="2353"/>
          </w:tcPr>
          <w:p>
            <w:pPr>
              <w:spacing w:after="20"/>
            </w:pPr>
            <w:r>
              <w:rPr>
                <w:rFonts w:ascii="Segoe UI" w:hAnsi="Segoe UI" w:cs="Segoe UI" w:eastAsia="Segoe UI"/>
                <w:color w:val="101820"/>
                <w:sz w:val="16"/>
              </w:rPr>
              <w:t>Hosting cost or partner terms change after signature</w:t>
            </w:r>
          </w:p>
        </w:tc>
        <w:tc>
          <w:tcPr>
            <w:tcW w:type="dxa" w:w="1361"/>
          </w:tcPr>
          <w:p>
            <w:pPr>
              <w:spacing w:after="20"/>
            </w:pPr>
            <w:r>
              <w:rPr>
                <w:rFonts w:ascii="Segoe UI" w:hAnsi="Segoe UI" w:cs="Segoe UI" w:eastAsia="Segoe UI"/>
                <w:color w:val="101820"/>
                <w:sz w:val="16"/>
              </w:rPr>
              <w:t>Low</w:t>
            </w:r>
          </w:p>
        </w:tc>
        <w:tc>
          <w:tcPr>
            <w:tcW w:type="dxa" w:w="907"/>
          </w:tcPr>
          <w:p>
            <w:pPr>
              <w:spacing w:after="20"/>
            </w:pPr>
            <w:r>
              <w:rPr>
                <w:rFonts w:ascii="Segoe UI" w:hAnsi="Segoe UI" w:cs="Segoe UI" w:eastAsia="Segoe UI"/>
                <w:color w:val="101820"/>
                <w:sz w:val="16"/>
              </w:rPr>
              <w:t>Medium</w:t>
            </w:r>
          </w:p>
        </w:tc>
        <w:tc>
          <w:tcPr>
            <w:tcW w:type="dxa" w:w="2353"/>
          </w:tcPr>
          <w:p>
            <w:pPr>
              <w:spacing w:after="20"/>
            </w:pPr>
            <w:r>
              <w:rPr>
                <w:rFonts w:ascii="Segoe UI" w:hAnsi="Segoe UI" w:cs="Segoe UI" w:eastAsia="Segoe UI"/>
                <w:color w:val="101820"/>
                <w:sz w:val="16"/>
              </w:rPr>
              <w:t>Hosting fees follow the pass-through clause of the Hosting Agreement</w:t>
            </w:r>
          </w:p>
        </w:tc>
        <w:tc>
          <w:tcPr>
            <w:tcW w:type="dxa" w:w="1134"/>
          </w:tcPr>
          <w:p>
            <w:pPr>
              <w:spacing w:after="20"/>
            </w:pPr>
            <w:r>
              <w:rPr>
                <w:rFonts w:ascii="Segoe UI" w:hAnsi="Segoe UI" w:cs="Segoe UI" w:eastAsia="Segoe UI"/>
                <w:color w:val="101820"/>
                <w:sz w:val="16"/>
              </w:rPr>
              <w:t>Finance</w:t>
            </w:r>
          </w:p>
        </w:tc>
      </w:tr>
    </w:tbl>
    <w:p>
      <w:pPr>
        <w:pStyle w:val="Heading1"/>
        <w:pageBreakBefore/>
      </w:pPr>
      <w:r>
        <w:rPr>
          <w:rFonts w:ascii="Segoe UI" w:hAnsi="Segoe UI" w:cs="Segoe UI" w:eastAsia="Segoe UI"/>
          <w:b/>
          <w:color w:val="0F4761"/>
          <w:sz w:val="32"/>
        </w:rPr>
        <w:t>11.  Decisions needed</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907"/>
        <w:gridCol w:w="3526"/>
        <w:gridCol w:w="3544"/>
        <w:gridCol w:w="1037"/>
      </w:tblGrid>
      <w:tr>
        <w:trPr>
          <w:tblHeader w:val="true"/>
        </w:trPr>
        <w:tc>
          <w:tcPr>
            <w:tcW w:type="dxa" w:w="907"/>
            <w:shd w:val="clear" w:color="auto" w:fill="DCE9F7"/>
          </w:tcPr>
          <w:p>
            <w:pPr>
              <w:spacing w:after="20"/>
            </w:pPr>
            <w:r>
              <w:rPr>
                <w:rFonts w:ascii="Segoe UI" w:hAnsi="Segoe UI" w:cs="Segoe UI" w:eastAsia="Segoe UI"/>
                <w:b/>
                <w:color w:val="0F4761"/>
                <w:sz w:val="18"/>
              </w:rPr>
              <w:t>ID</w:t>
            </w:r>
          </w:p>
        </w:tc>
        <w:tc>
          <w:tcPr>
            <w:tcW w:type="dxa" w:w="3526"/>
            <w:shd w:val="clear" w:color="auto" w:fill="DCE9F7"/>
          </w:tcPr>
          <w:p>
            <w:pPr>
              <w:spacing w:after="20"/>
            </w:pPr>
            <w:r>
              <w:rPr>
                <w:rFonts w:ascii="Segoe UI" w:hAnsi="Segoe UI" w:cs="Segoe UI" w:eastAsia="Segoe UI"/>
                <w:b/>
                <w:color w:val="0F4761"/>
                <w:sz w:val="18"/>
              </w:rPr>
              <w:t>Decision</w:t>
            </w:r>
          </w:p>
        </w:tc>
        <w:tc>
          <w:tcPr>
            <w:tcW w:type="dxa" w:w="3544"/>
            <w:shd w:val="clear" w:color="auto" w:fill="DCE9F7"/>
          </w:tcPr>
          <w:p>
            <w:pPr>
              <w:spacing w:after="20"/>
            </w:pPr>
            <w:r>
              <w:rPr>
                <w:rFonts w:ascii="Segoe UI" w:hAnsi="Segoe UI" w:cs="Segoe UI" w:eastAsia="Segoe UI"/>
                <w:b/>
                <w:color w:val="0F4761"/>
                <w:sz w:val="18"/>
              </w:rPr>
              <w:t>Recommendation</w:t>
            </w:r>
          </w:p>
        </w:tc>
        <w:tc>
          <w:tcPr>
            <w:tcW w:type="dxa" w:w="1037"/>
            <w:shd w:val="clear" w:color="auto" w:fill="DCE9F7"/>
          </w:tcPr>
          <w:p>
            <w:pPr>
              <w:spacing w:after="20"/>
            </w:pPr>
            <w:r>
              <w:rPr>
                <w:rFonts w:ascii="Segoe UI" w:hAnsi="Segoe UI" w:cs="Segoe UI" w:eastAsia="Segoe UI"/>
                <w:b/>
                <w:color w:val="0F4761"/>
                <w:sz w:val="18"/>
              </w:rPr>
              <w:t>Owner</w:t>
            </w:r>
          </w:p>
        </w:tc>
      </w:tr>
      <w:tr>
        <w:tc>
          <w:tcPr>
            <w:tcW w:type="dxa" w:w="907"/>
          </w:tcPr>
          <w:p>
            <w:pPr>
              <w:spacing w:after="20"/>
            </w:pPr>
            <w:r>
              <w:rPr>
                <w:rFonts w:ascii="Segoe UI" w:hAnsi="Segoe UI" w:cs="Segoe UI" w:eastAsia="Segoe UI"/>
                <w:color w:val="101820"/>
                <w:sz w:val="18"/>
              </w:rPr>
              <w:t>D1</w:t>
            </w:r>
          </w:p>
        </w:tc>
        <w:tc>
          <w:tcPr>
            <w:tcW w:type="dxa" w:w="3526"/>
          </w:tcPr>
          <w:p>
            <w:pPr>
              <w:spacing w:after="20"/>
            </w:pPr>
            <w:r>
              <w:rPr>
                <w:rFonts w:ascii="Segoe UI" w:hAnsi="Segoe UI" w:cs="Segoe UI" w:eastAsia="Segoe UI"/>
                <w:color w:val="101820"/>
                <w:sz w:val="18"/>
              </w:rPr>
              <w:t>Which schedule prevails when two schedules of the contract conflict</w:t>
            </w:r>
          </w:p>
        </w:tc>
        <w:tc>
          <w:tcPr>
            <w:tcW w:type="dxa" w:w="3544"/>
          </w:tcPr>
          <w:p>
            <w:pPr>
              <w:spacing w:after="20"/>
            </w:pPr>
            <w:r>
              <w:rPr>
                <w:rFonts w:ascii="Segoe UI" w:hAnsi="Segoe UI" w:cs="Segoe UI" w:eastAsia="Segoe UI"/>
                <w:color w:val="101820"/>
                <w:sz w:val="18"/>
              </w:rPr>
              <w:t>The schedule that deals specifically with the subject</w:t>
            </w:r>
          </w:p>
        </w:tc>
        <w:tc>
          <w:tcPr>
            <w:tcW w:type="dxa" w:w="1037"/>
          </w:tcPr>
          <w:p>
            <w:pPr>
              <w:spacing w:after="20"/>
            </w:pPr>
            <w:r>
              <w:rPr>
                <w:rFonts w:ascii="Segoe UI" w:hAnsi="Segoe UI" w:cs="Segoe UI" w:eastAsia="Segoe UI"/>
                <w:color w:val="101820"/>
                <w:sz w:val="18"/>
              </w:rPr>
              <w:t>Legal counsel</w:t>
            </w:r>
          </w:p>
        </w:tc>
      </w:tr>
      <w:tr>
        <w:tc>
          <w:tcPr>
            <w:tcW w:type="dxa" w:w="907"/>
          </w:tcPr>
          <w:p>
            <w:pPr>
              <w:spacing w:after="20"/>
            </w:pPr>
            <w:r>
              <w:rPr>
                <w:rFonts w:ascii="Segoe UI" w:hAnsi="Segoe UI" w:cs="Segoe UI" w:eastAsia="Segoe UI"/>
                <w:color w:val="101820"/>
                <w:sz w:val="18"/>
              </w:rPr>
              <w:t>D2</w:t>
            </w:r>
          </w:p>
        </w:tc>
        <w:tc>
          <w:tcPr>
            <w:tcW w:type="dxa" w:w="3526"/>
          </w:tcPr>
          <w:p>
            <w:pPr>
              <w:spacing w:after="20"/>
            </w:pPr>
            <w:r>
              <w:rPr>
                <w:rFonts w:ascii="Segoe UI" w:hAnsi="Segoe UI" w:cs="Segoe UI" w:eastAsia="Segoe UI"/>
                <w:color w:val="101820"/>
                <w:sz w:val="18"/>
              </w:rPr>
              <w:t>Whether the MSA confidentiality clause replaces the Mutual NDA or both apply</w:t>
            </w:r>
          </w:p>
        </w:tc>
        <w:tc>
          <w:tcPr>
            <w:tcW w:type="dxa" w:w="3544"/>
          </w:tcPr>
          <w:p>
            <w:pPr>
              <w:spacing w:after="20"/>
            </w:pPr>
            <w:r>
              <w:rPr>
                <w:rFonts w:ascii="Segoe UI" w:hAnsi="Segoe UI" w:cs="Segoe UI" w:eastAsia="Segoe UI"/>
                <w:color w:val="101820"/>
                <w:sz w:val="18"/>
              </w:rPr>
              <w:t>MSA replaces the NDA from signature; the NDA covers the pre-contract period</w:t>
            </w:r>
          </w:p>
        </w:tc>
        <w:tc>
          <w:tcPr>
            <w:tcW w:type="dxa" w:w="1037"/>
          </w:tcPr>
          <w:p>
            <w:pPr>
              <w:spacing w:after="20"/>
            </w:pPr>
            <w:r>
              <w:rPr>
                <w:rFonts w:ascii="Segoe UI" w:hAnsi="Segoe UI" w:cs="Segoe UI" w:eastAsia="Segoe UI"/>
                <w:color w:val="101820"/>
                <w:sz w:val="18"/>
              </w:rPr>
              <w:t>Legal counsel</w:t>
            </w:r>
          </w:p>
        </w:tc>
      </w:tr>
      <w:tr>
        <w:tc>
          <w:tcPr>
            <w:tcW w:type="dxa" w:w="907"/>
          </w:tcPr>
          <w:p>
            <w:pPr>
              <w:spacing w:after="20"/>
            </w:pPr>
            <w:r>
              <w:rPr>
                <w:rFonts w:ascii="Segoe UI" w:hAnsi="Segoe UI" w:cs="Segoe UI" w:eastAsia="Segoe UI"/>
                <w:color w:val="101820"/>
                <w:sz w:val="18"/>
              </w:rPr>
              <w:t>D3</w:t>
            </w:r>
          </w:p>
        </w:tc>
        <w:tc>
          <w:tcPr>
            <w:tcW w:type="dxa" w:w="3526"/>
          </w:tcPr>
          <w:p>
            <w:pPr>
              <w:spacing w:after="20"/>
            </w:pPr>
            <w:r>
              <w:rPr>
                <w:rFonts w:ascii="Segoe UI" w:hAnsi="Segoe UI" w:cs="Segoe UI" w:eastAsia="Segoe UI"/>
                <w:color w:val="101820"/>
                <w:sz w:val="18"/>
              </w:rPr>
              <w:t>Escrow agent and its standard terms; the placeholder periods in the escrow draft</w:t>
            </w:r>
          </w:p>
        </w:tc>
        <w:tc>
          <w:tcPr>
            <w:tcW w:type="dxa" w:w="3544"/>
          </w:tcPr>
          <w:p>
            <w:pPr>
              <w:spacing w:after="20"/>
            </w:pPr>
            <w:r>
              <w:rPr>
                <w:rFonts w:ascii="Segoe UI" w:hAnsi="Segoe UI" w:cs="Segoe UI" w:eastAsia="Segoe UI"/>
                <w:color w:val="101820"/>
                <w:sz w:val="18"/>
              </w:rPr>
              <w:t>Choose the agent before the first perpetual licence</w:t>
            </w:r>
          </w:p>
        </w:tc>
        <w:tc>
          <w:tcPr>
            <w:tcW w:type="dxa" w:w="1037"/>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D4</w:t>
            </w:r>
          </w:p>
        </w:tc>
        <w:tc>
          <w:tcPr>
            <w:tcW w:type="dxa" w:w="3526"/>
          </w:tcPr>
          <w:p>
            <w:pPr>
              <w:spacing w:after="20"/>
            </w:pPr>
            <w:r>
              <w:rPr>
                <w:rFonts w:ascii="Segoe UI" w:hAnsi="Segoe UI" w:cs="Segoe UI" w:eastAsia="Segoe UI"/>
                <w:color w:val="101820"/>
                <w:sz w:val="18"/>
              </w:rPr>
              <w:t>Early termination fee: all or 50% of the remaining recurring fees</w:t>
            </w:r>
          </w:p>
        </w:tc>
        <w:tc>
          <w:tcPr>
            <w:tcW w:type="dxa" w:w="3544"/>
          </w:tcPr>
          <w:p>
            <w:pPr>
              <w:spacing w:after="20"/>
            </w:pPr>
            <w:r>
              <w:rPr>
                <w:rFonts w:ascii="Segoe UI" w:hAnsi="Segoe UI" w:cs="Segoe UI" w:eastAsia="Segoe UI"/>
                <w:color w:val="101820"/>
                <w:sz w:val="18"/>
              </w:rPr>
              <w:t>Decide before the first contract</w:t>
            </w:r>
          </w:p>
        </w:tc>
        <w:tc>
          <w:tcPr>
            <w:tcW w:type="dxa" w:w="1037"/>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D5</w:t>
            </w:r>
          </w:p>
        </w:tc>
        <w:tc>
          <w:tcPr>
            <w:tcW w:type="dxa" w:w="3526"/>
          </w:tcPr>
          <w:p>
            <w:pPr>
              <w:spacing w:after="20"/>
            </w:pPr>
            <w:r>
              <w:rPr>
                <w:rFonts w:ascii="Segoe UI" w:hAnsi="Segoe UI" w:cs="Segoe UI" w:eastAsia="Segoe UI"/>
                <w:color w:val="101820"/>
                <w:sz w:val="18"/>
              </w:rPr>
              <w:t>Late payment interest and who pays the documentary stamp tax on the contract</w:t>
            </w:r>
          </w:p>
        </w:tc>
        <w:tc>
          <w:tcPr>
            <w:tcW w:type="dxa" w:w="3544"/>
          </w:tcPr>
          <w:p>
            <w:pPr>
              <w:spacing w:after="20"/>
            </w:pPr>
            <w:r>
              <w:rPr>
                <w:rFonts w:ascii="Segoe UI" w:hAnsi="Segoe UI" w:cs="Segoe UI" w:eastAsia="Segoe UI"/>
                <w:color w:val="101820"/>
                <w:sz w:val="18"/>
              </w:rPr>
              <w:t>Decide before the first contract</w:t>
            </w:r>
          </w:p>
        </w:tc>
        <w:tc>
          <w:tcPr>
            <w:tcW w:type="dxa" w:w="1037"/>
          </w:tcPr>
          <w:p>
            <w:pPr>
              <w:spacing w:after="20"/>
            </w:pPr>
            <w:r>
              <w:rPr>
                <w:rFonts w:ascii="Segoe UI" w:hAnsi="Segoe UI" w:cs="Segoe UI" w:eastAsia="Segoe UI"/>
                <w:color w:val="101820"/>
                <w:sz w:val="18"/>
              </w:rPr>
              <w:t>CFO</w:t>
            </w:r>
          </w:p>
        </w:tc>
      </w:tr>
      <w:tr>
        <w:tc>
          <w:tcPr>
            <w:tcW w:type="dxa" w:w="907"/>
          </w:tcPr>
          <w:p>
            <w:pPr>
              <w:spacing w:after="20"/>
            </w:pPr>
            <w:r>
              <w:rPr>
                <w:rFonts w:ascii="Segoe UI" w:hAnsi="Segoe UI" w:cs="Segoe UI" w:eastAsia="Segoe UI"/>
                <w:color w:val="101820"/>
                <w:sz w:val="18"/>
              </w:rPr>
              <w:t>D6</w:t>
            </w:r>
          </w:p>
        </w:tc>
        <w:tc>
          <w:tcPr>
            <w:tcW w:type="dxa" w:w="3526"/>
          </w:tcPr>
          <w:p>
            <w:pPr>
              <w:spacing w:after="20"/>
            </w:pPr>
            <w:r>
              <w:rPr>
                <w:rFonts w:ascii="Segoe UI" w:hAnsi="Segoe UI" w:cs="Segoe UI" w:eastAsia="Segoe UI"/>
                <w:color w:val="101820"/>
                <w:sz w:val="18"/>
              </w:rPr>
              <w:t>Client delay: licence fee due after 60 days of go-live delay, SOW milestones after 30 days</w:t>
            </w:r>
          </w:p>
        </w:tc>
        <w:tc>
          <w:tcPr>
            <w:tcW w:type="dxa" w:w="3544"/>
          </w:tcPr>
          <w:p>
            <w:pPr>
              <w:spacing w:after="20"/>
            </w:pPr>
            <w:r>
              <w:rPr>
                <w:rFonts w:ascii="Segoe UI" w:hAnsi="Segoe UI" w:cs="Segoe UI" w:eastAsia="Segoe UI"/>
                <w:color w:val="101820"/>
                <w:sz w:val="18"/>
              </w:rPr>
              <w:t>Align both to 60 days</w:t>
            </w:r>
          </w:p>
        </w:tc>
        <w:tc>
          <w:tcPr>
            <w:tcW w:type="dxa" w:w="1037"/>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D7</w:t>
            </w:r>
          </w:p>
        </w:tc>
        <w:tc>
          <w:tcPr>
            <w:tcW w:type="dxa" w:w="3526"/>
          </w:tcPr>
          <w:p>
            <w:pPr>
              <w:spacing w:after="20"/>
            </w:pPr>
            <w:r>
              <w:rPr>
                <w:rFonts w:ascii="Segoe UI" w:hAnsi="Segoe UI" w:cs="Segoe UI" w:eastAsia="Segoe UI"/>
                <w:color w:val="101820"/>
                <w:sz w:val="18"/>
              </w:rPr>
              <w:t>Restrictions clause: copy it into the Subscription Agreement instead of referring to the perpetual licence</w:t>
            </w:r>
          </w:p>
        </w:tc>
        <w:tc>
          <w:tcPr>
            <w:tcW w:type="dxa" w:w="3544"/>
          </w:tcPr>
          <w:p>
            <w:pPr>
              <w:spacing w:after="20"/>
            </w:pPr>
            <w:r>
              <w:rPr>
                <w:rFonts w:ascii="Segoe UI" w:hAnsi="Segoe UI" w:cs="Segoe UI" w:eastAsia="Segoe UI"/>
                <w:color w:val="101820"/>
                <w:sz w:val="18"/>
              </w:rPr>
              <w:t>Copy it in</w:t>
            </w:r>
          </w:p>
        </w:tc>
        <w:tc>
          <w:tcPr>
            <w:tcW w:type="dxa" w:w="1037"/>
          </w:tcPr>
          <w:p>
            <w:pPr>
              <w:spacing w:after="20"/>
            </w:pPr>
            <w:r>
              <w:rPr>
                <w:rFonts w:ascii="Segoe UI" w:hAnsi="Segoe UI" w:cs="Segoe UI" w:eastAsia="Segoe UI"/>
                <w:color w:val="101820"/>
                <w:sz w:val="18"/>
              </w:rPr>
              <w:t>Legal counsel</w:t>
            </w:r>
          </w:p>
        </w:tc>
      </w:tr>
      <w:tr>
        <w:tc>
          <w:tcPr>
            <w:tcW w:type="dxa" w:w="907"/>
          </w:tcPr>
          <w:p>
            <w:pPr>
              <w:spacing w:after="20"/>
            </w:pPr>
            <w:r>
              <w:rPr>
                <w:rFonts w:ascii="Segoe UI" w:hAnsi="Segoe UI" w:cs="Segoe UI" w:eastAsia="Segoe UI"/>
                <w:color w:val="101820"/>
                <w:sz w:val="18"/>
              </w:rPr>
              <w:t>D8</w:t>
            </w:r>
          </w:p>
        </w:tc>
        <w:tc>
          <w:tcPr>
            <w:tcW w:type="dxa" w:w="3526"/>
          </w:tcPr>
          <w:p>
            <w:pPr>
              <w:spacing w:after="20"/>
            </w:pPr>
            <w:r>
              <w:rPr>
                <w:rFonts w:ascii="Segoe UI" w:hAnsi="Segoe UI" w:cs="Segoe UI" w:eastAsia="Segoe UI"/>
                <w:color w:val="101820"/>
                <w:sz w:val="18"/>
              </w:rPr>
              <w:t>Discount limits of 5%, 10% and 15% and the price floor</w:t>
            </w:r>
          </w:p>
        </w:tc>
        <w:tc>
          <w:tcPr>
            <w:tcW w:type="dxa" w:w="3544"/>
          </w:tcPr>
          <w:p>
            <w:pPr>
              <w:spacing w:after="20"/>
            </w:pPr>
            <w:r>
              <w:rPr>
                <w:rFonts w:ascii="Segoe UI" w:hAnsi="Segoe UI" w:cs="Segoe UI" w:eastAsia="Segoe UI"/>
                <w:color w:val="101820"/>
                <w:sz w:val="18"/>
              </w:rPr>
              <w:t>Confirm</w:t>
            </w:r>
          </w:p>
        </w:tc>
        <w:tc>
          <w:tcPr>
            <w:tcW w:type="dxa" w:w="1037"/>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D9</w:t>
            </w:r>
          </w:p>
        </w:tc>
        <w:tc>
          <w:tcPr>
            <w:tcW w:type="dxa" w:w="3526"/>
          </w:tcPr>
          <w:p>
            <w:pPr>
              <w:spacing w:after="20"/>
            </w:pPr>
            <w:r>
              <w:rPr>
                <w:rFonts w:ascii="Segoe UI" w:hAnsi="Segoe UI" w:cs="Segoe UI" w:eastAsia="Segoe UI"/>
                <w:color w:val="101820"/>
                <w:sz w:val="18"/>
              </w:rPr>
              <w:t>AMC calculated on the net licence fee</w:t>
            </w:r>
          </w:p>
        </w:tc>
        <w:tc>
          <w:tcPr>
            <w:tcW w:type="dxa" w:w="3544"/>
          </w:tcPr>
          <w:p>
            <w:pPr>
              <w:spacing w:after="20"/>
            </w:pPr>
            <w:r>
              <w:rPr>
                <w:rFonts w:ascii="Segoe UI" w:hAnsi="Segoe UI" w:cs="Segoe UI" w:eastAsia="Segoe UI"/>
                <w:color w:val="101820"/>
                <w:sz w:val="18"/>
              </w:rPr>
              <w:t>Confirm, as the contracts state</w:t>
            </w:r>
          </w:p>
        </w:tc>
        <w:tc>
          <w:tcPr>
            <w:tcW w:type="dxa" w:w="1037"/>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D10</w:t>
            </w:r>
          </w:p>
        </w:tc>
        <w:tc>
          <w:tcPr>
            <w:tcW w:type="dxa" w:w="3526"/>
          </w:tcPr>
          <w:p>
            <w:pPr>
              <w:spacing w:after="20"/>
            </w:pPr>
            <w:r>
              <w:rPr>
                <w:rFonts w:ascii="Segoe UI" w:hAnsi="Segoe UI" w:cs="Segoe UI" w:eastAsia="Segoe UI"/>
                <w:color w:val="101820"/>
                <w:sz w:val="18"/>
              </w:rPr>
              <w:t>Versioning scheme and release cadence proposed in the OOTB Strategy and Playbook</w:t>
            </w:r>
          </w:p>
        </w:tc>
        <w:tc>
          <w:tcPr>
            <w:tcW w:type="dxa" w:w="3544"/>
          </w:tcPr>
          <w:p>
            <w:pPr>
              <w:spacing w:after="20"/>
            </w:pPr>
            <w:r>
              <w:rPr>
                <w:rFonts w:ascii="Segoe UI" w:hAnsi="Segoe UI" w:cs="Segoe UI" w:eastAsia="Segoe UI"/>
                <w:color w:val="101820"/>
                <w:sz w:val="18"/>
              </w:rPr>
              <w:t>Approve</w:t>
            </w:r>
          </w:p>
        </w:tc>
        <w:tc>
          <w:tcPr>
            <w:tcW w:type="dxa" w:w="1037"/>
          </w:tcPr>
          <w:p>
            <w:pPr>
              <w:spacing w:after="20"/>
            </w:pPr>
            <w:r>
              <w:rPr>
                <w:rFonts w:ascii="Segoe UI" w:hAnsi="Segoe UI" w:cs="Segoe UI" w:eastAsia="Segoe UI"/>
                <w:color w:val="101820"/>
                <w:sz w:val="18"/>
              </w:rPr>
              <w:t>CTO</w:t>
            </w:r>
          </w:p>
        </w:tc>
      </w:tr>
      <w:tr>
        <w:tc>
          <w:tcPr>
            <w:tcW w:type="dxa" w:w="907"/>
          </w:tcPr>
          <w:p>
            <w:pPr>
              <w:spacing w:after="20"/>
            </w:pPr>
            <w:r>
              <w:rPr>
                <w:rFonts w:ascii="Segoe UI" w:hAnsi="Segoe UI" w:cs="Segoe UI" w:eastAsia="Segoe UI"/>
                <w:color w:val="101820"/>
                <w:sz w:val="18"/>
              </w:rPr>
              <w:t>D11</w:t>
            </w:r>
          </w:p>
        </w:tc>
        <w:tc>
          <w:tcPr>
            <w:tcW w:type="dxa" w:w="3526"/>
          </w:tcPr>
          <w:p>
            <w:pPr>
              <w:spacing w:after="20"/>
            </w:pPr>
            <w:r>
              <w:rPr>
                <w:rFonts w:ascii="Segoe UI" w:hAnsi="Segoe UI" w:cs="Segoe UI" w:eastAsia="Segoe UI"/>
                <w:color w:val="101820"/>
                <w:sz w:val="18"/>
              </w:rPr>
              <w:t>Product manager role and product council</w:t>
            </w:r>
          </w:p>
        </w:tc>
        <w:tc>
          <w:tcPr>
            <w:tcW w:type="dxa" w:w="3544"/>
          </w:tcPr>
          <w:p>
            <w:pPr>
              <w:spacing w:after="20"/>
            </w:pPr>
            <w:r>
              <w:rPr>
                <w:rFonts w:ascii="Segoe UI" w:hAnsi="Segoe UI" w:cs="Segoe UI" w:eastAsia="Segoe UI"/>
                <w:color w:val="101820"/>
                <w:sz w:val="18"/>
              </w:rPr>
              <w:t>Approve</w:t>
            </w:r>
          </w:p>
        </w:tc>
        <w:tc>
          <w:tcPr>
            <w:tcW w:type="dxa" w:w="1037"/>
          </w:tcPr>
          <w:p>
            <w:pPr>
              <w:spacing w:after="20"/>
            </w:pPr>
            <w:r>
              <w:rPr>
                <w:rFonts w:ascii="Segoe UI" w:hAnsi="Segoe UI" w:cs="Segoe UI" w:eastAsia="Segoe UI"/>
                <w:color w:val="101820"/>
                <w:sz w:val="18"/>
              </w:rPr>
              <w:t>CEO</w:t>
            </w:r>
          </w:p>
        </w:tc>
      </w:tr>
      <w:tr>
        <w:tc>
          <w:tcPr>
            <w:tcW w:type="dxa" w:w="907"/>
          </w:tcPr>
          <w:p>
            <w:pPr>
              <w:spacing w:after="20"/>
            </w:pPr>
            <w:r>
              <w:rPr>
                <w:rFonts w:ascii="Segoe UI" w:hAnsi="Segoe UI" w:cs="Segoe UI" w:eastAsia="Segoe UI"/>
                <w:color w:val="101820"/>
                <w:sz w:val="18"/>
              </w:rPr>
              <w:t>D12</w:t>
            </w:r>
          </w:p>
        </w:tc>
        <w:tc>
          <w:tcPr>
            <w:tcW w:type="dxa" w:w="3526"/>
          </w:tcPr>
          <w:p>
            <w:pPr>
              <w:spacing w:after="20"/>
            </w:pPr>
            <w:r>
              <w:rPr>
                <w:rFonts w:ascii="Segoe UI" w:hAnsi="Segoe UI" w:cs="Segoe UI" w:eastAsia="Segoe UI"/>
                <w:color w:val="101820"/>
                <w:sz w:val="18"/>
              </w:rPr>
              <w:t>Recalculate the October incentive batch in the demonstration data</w:t>
            </w:r>
          </w:p>
        </w:tc>
        <w:tc>
          <w:tcPr>
            <w:tcW w:type="dxa" w:w="3544"/>
          </w:tcPr>
          <w:p>
            <w:pPr>
              <w:spacing w:after="20"/>
            </w:pPr>
            <w:r>
              <w:rPr>
                <w:rFonts w:ascii="Segoe UI" w:hAnsi="Segoe UI" w:cs="Segoe UI" w:eastAsia="Segoe UI"/>
                <w:color w:val="101820"/>
                <w:sz w:val="18"/>
              </w:rPr>
              <w:t>Recalculate</w:t>
            </w:r>
          </w:p>
        </w:tc>
        <w:tc>
          <w:tcPr>
            <w:tcW w:type="dxa" w:w="1037"/>
          </w:tcPr>
          <w:p>
            <w:pPr>
              <w:spacing w:after="20"/>
            </w:pPr>
            <w:r>
              <w:rPr>
                <w:rFonts w:ascii="Segoe UI" w:hAnsi="Segoe UI" w:cs="Segoe UI" w:eastAsia="Segoe UI"/>
                <w:color w:val="101820"/>
                <w:sz w:val="18"/>
              </w:rPr>
              <w:t>Sales head</w:t>
            </w:r>
          </w:p>
        </w:tc>
      </w:tr>
      <w:tr>
        <w:tc>
          <w:tcPr>
            <w:tcW w:type="dxa" w:w="907"/>
          </w:tcPr>
          <w:p>
            <w:pPr>
              <w:spacing w:after="20"/>
            </w:pPr>
            <w:r>
              <w:rPr>
                <w:rFonts w:ascii="Segoe UI" w:hAnsi="Segoe UI" w:cs="Segoe UI" w:eastAsia="Segoe UI"/>
                <w:color w:val="101820"/>
                <w:sz w:val="18"/>
              </w:rPr>
              <w:t>D13</w:t>
            </w:r>
          </w:p>
        </w:tc>
        <w:tc>
          <w:tcPr>
            <w:tcW w:type="dxa" w:w="3526"/>
          </w:tcPr>
          <w:p>
            <w:pPr>
              <w:spacing w:after="20"/>
            </w:pPr>
            <w:r>
              <w:rPr>
                <w:rFonts w:ascii="Segoe UI" w:hAnsi="Segoe UI" w:cs="Segoe UI" w:eastAsia="Segoe UI"/>
                <w:color w:val="101820"/>
                <w:sz w:val="18"/>
              </w:rPr>
              <w:t>Brochure back cover tagline: the template now reads "Insurance technology for the Philippines"</w:t>
            </w:r>
          </w:p>
        </w:tc>
        <w:tc>
          <w:tcPr>
            <w:tcW w:type="dxa" w:w="3544"/>
          </w:tcPr>
          <w:p>
            <w:pPr>
              <w:spacing w:after="20"/>
            </w:pPr>
            <w:r>
              <w:rPr>
                <w:rFonts w:ascii="Segoe UI" w:hAnsi="Segoe UI" w:cs="Segoe UI" w:eastAsia="Segoe UI"/>
                <w:color w:val="101820"/>
                <w:sz w:val="18"/>
              </w:rPr>
              <w:t>Confirm</w:t>
            </w:r>
          </w:p>
        </w:tc>
        <w:tc>
          <w:tcPr>
            <w:tcW w:type="dxa" w:w="1037"/>
          </w:tcPr>
          <w:p>
            <w:pPr>
              <w:spacing w:after="20"/>
            </w:pPr>
            <w:r>
              <w:rPr>
                <w:rFonts w:ascii="Segoe UI" w:hAnsi="Segoe UI" w:cs="Segoe UI" w:eastAsia="Segoe UI"/>
                <w:color w:val="101820"/>
                <w:sz w:val="18"/>
              </w:rPr>
              <w:t>Marketing</w:t>
            </w:r>
          </w:p>
        </w:tc>
      </w:tr>
      <w:tr>
        <w:tc>
          <w:tcPr>
            <w:tcW w:type="dxa" w:w="907"/>
          </w:tcPr>
          <w:p>
            <w:pPr>
              <w:spacing w:after="20"/>
            </w:pPr>
            <w:r>
              <w:rPr>
                <w:rFonts w:ascii="Segoe UI" w:hAnsi="Segoe UI" w:cs="Segoe UI" w:eastAsia="Segoe UI"/>
                <w:color w:val="101820"/>
                <w:sz w:val="18"/>
              </w:rPr>
              <w:t>D14</w:t>
            </w:r>
          </w:p>
        </w:tc>
        <w:tc>
          <w:tcPr>
            <w:tcW w:type="dxa" w:w="3526"/>
          </w:tcPr>
          <w:p>
            <w:pPr>
              <w:spacing w:after="20"/>
            </w:pPr>
            <w:r>
              <w:rPr>
                <w:rFonts w:ascii="Segoe UI" w:hAnsi="Segoe UI" w:cs="Segoe UI" w:eastAsia="Segoe UI"/>
                <w:color w:val="101820"/>
                <w:sz w:val="18"/>
              </w:rPr>
              <w:t>Public site and contact details printed on sales material (www.iortatechnxt.com, sales e-mail, telephone)</w:t>
            </w:r>
          </w:p>
        </w:tc>
        <w:tc>
          <w:tcPr>
            <w:tcW w:type="dxa" w:w="3544"/>
          </w:tcPr>
          <w:p>
            <w:pPr>
              <w:spacing w:after="20"/>
            </w:pPr>
            <w:r>
              <w:rPr>
                <w:rFonts w:ascii="Segoe UI" w:hAnsi="Segoe UI" w:cs="Segoe UI" w:eastAsia="Segoe UI"/>
                <w:color w:val="101820"/>
                <w:sz w:val="18"/>
              </w:rPr>
              <w:t>Confirm and provide</w:t>
            </w:r>
          </w:p>
        </w:tc>
        <w:tc>
          <w:tcPr>
            <w:tcW w:type="dxa" w:w="1037"/>
          </w:tcPr>
          <w:p>
            <w:pPr>
              <w:spacing w:after="20"/>
            </w:pPr>
            <w:r>
              <w:rPr>
                <w:rFonts w:ascii="Segoe UI" w:hAnsi="Segoe UI" w:cs="Segoe UI" w:eastAsia="Segoe UI"/>
                <w:color w:val="101820"/>
                <w:sz w:val="18"/>
              </w:rPr>
              <w:t>Marketing</w:t>
            </w:r>
          </w:p>
        </w:tc>
      </w:tr>
    </w:tbl>
    <w:p>
      <w:pPr>
        <w:pStyle w:val="Heading1"/>
        <w:pageBreakBefore/>
      </w:pPr>
      <w:r>
        <w:rPr>
          <w:rFonts w:ascii="Segoe UI" w:hAnsi="Segoe UI" w:cs="Segoe UI" w:eastAsia="Segoe UI"/>
          <w:b/>
          <w:color w:val="0F4761"/>
          <w:sz w:val="32"/>
        </w:rPr>
        <w:t>12.  Sign-off</w:t>
      </w:r>
    </w:p>
    <w:tbl>
      <w:tblPr>
        <w:tblStyle w:val="TableGrid"/>
        <w:tblW w:type="auto" w:w="0"/>
        <w:tblLook w:firstColumn="1" w:firstRow="1" w:lastColumn="0" w:lastRow="0" w:noHBand="0" w:noVBand="1" w:val="04A0"/>
        <w:tblBorders>
          <w:top w:val="single" w:sz="4" w:color="BFC7D1"/>
          <w:left w:val="single" w:sz="4" w:color="BFC7D1"/>
          <w:bottom w:val="single" w:sz="4" w:color="BFC7D1"/>
          <w:right w:val="single" w:sz="4" w:color="BFC7D1"/>
          <w:insideH w:val="single" w:sz="4" w:color="BFC7D1"/>
          <w:insideV w:val="single" w:sz="4" w:color="BFC7D1"/>
        </w:tblBorders>
        <w:tblLayout w:type="fixed"/>
      </w:tblPr>
      <w:tblGrid>
        <w:gridCol w:w="5399"/>
        <w:gridCol w:w="907"/>
        <w:gridCol w:w="1801"/>
        <w:gridCol w:w="907"/>
      </w:tblGrid>
      <w:tr>
        <w:trPr>
          <w:tblHeader w:val="true"/>
        </w:trPr>
        <w:tc>
          <w:tcPr>
            <w:tcW w:type="dxa" w:w="5399"/>
            <w:shd w:val="clear" w:color="auto" w:fill="DCE9F7"/>
          </w:tcPr>
          <w:p>
            <w:pPr>
              <w:spacing w:after="20"/>
            </w:pPr>
            <w:r>
              <w:rPr>
                <w:rFonts w:ascii="Segoe UI" w:hAnsi="Segoe UI" w:cs="Segoe UI" w:eastAsia="Segoe UI"/>
                <w:b/>
                <w:color w:val="0F4761"/>
                <w:sz w:val="18"/>
              </w:rPr>
              <w:t>Role</w:t>
            </w:r>
          </w:p>
        </w:tc>
        <w:tc>
          <w:tcPr>
            <w:tcW w:type="dxa" w:w="907"/>
            <w:shd w:val="clear" w:color="auto" w:fill="DCE9F7"/>
          </w:tcPr>
          <w:p>
            <w:pPr>
              <w:spacing w:after="20"/>
            </w:pPr>
            <w:r>
              <w:rPr>
                <w:rFonts w:ascii="Segoe UI" w:hAnsi="Segoe UI" w:cs="Segoe UI" w:eastAsia="Segoe UI"/>
                <w:b/>
                <w:color w:val="0F4761"/>
                <w:sz w:val="18"/>
              </w:rPr>
              <w:t>Name</w:t>
            </w:r>
          </w:p>
        </w:tc>
        <w:tc>
          <w:tcPr>
            <w:tcW w:type="dxa" w:w="1801"/>
            <w:shd w:val="clear" w:color="auto" w:fill="DCE9F7"/>
          </w:tcPr>
          <w:p>
            <w:pPr>
              <w:spacing w:after="20"/>
            </w:pPr>
            <w:r>
              <w:rPr>
                <w:rFonts w:ascii="Segoe UI" w:hAnsi="Segoe UI" w:cs="Segoe UI" w:eastAsia="Segoe UI"/>
                <w:b/>
                <w:color w:val="0F4761"/>
                <w:sz w:val="18"/>
              </w:rPr>
              <w:t>Decision</w:t>
            </w:r>
          </w:p>
        </w:tc>
        <w:tc>
          <w:tcPr>
            <w:tcW w:type="dxa" w:w="907"/>
            <w:shd w:val="clear" w:color="auto" w:fill="DCE9F7"/>
          </w:tcPr>
          <w:p>
            <w:pPr>
              <w:spacing w:after="20"/>
            </w:pPr>
            <w:r>
              <w:rPr>
                <w:rFonts w:ascii="Segoe UI" w:hAnsi="Segoe UI" w:cs="Segoe UI" w:eastAsia="Segoe UI"/>
                <w:b/>
                <w:color w:val="0F4761"/>
                <w:sz w:val="18"/>
              </w:rPr>
              <w:t>Date</w:t>
            </w:r>
          </w:p>
        </w:tc>
      </w:tr>
      <w:tr>
        <w:tc>
          <w:tcPr>
            <w:tcW w:type="dxa" w:w="5399"/>
          </w:tcPr>
          <w:p>
            <w:pPr>
              <w:spacing w:after="20"/>
            </w:pPr>
            <w:r>
              <w:rPr>
                <w:rFonts w:ascii="Segoe UI" w:hAnsi="Segoe UI" w:cs="Segoe UI" w:eastAsia="Segoe UI"/>
                <w:color w:val="101820"/>
                <w:sz w:val="18"/>
              </w:rPr>
              <w:t>Chief Executive Officer</w:t>
            </w:r>
          </w:p>
        </w:tc>
        <w:tc>
          <w:tcPr>
            <w:tcW w:type="dxa" w:w="907"/>
          </w:tcPr>
          <w:p>
            <w:pPr>
              <w:spacing w:after="20"/>
            </w:pPr>
          </w:p>
        </w:tc>
        <w:tc>
          <w:tcPr>
            <w:tcW w:type="dxa" w:w="1801"/>
          </w:tcPr>
          <w:p>
            <w:pPr>
              <w:spacing w:after="20"/>
            </w:pPr>
          </w:p>
        </w:tc>
        <w:tc>
          <w:tcPr>
            <w:tcW w:type="dxa" w:w="907"/>
          </w:tcPr>
          <w:p>
            <w:pPr>
              <w:spacing w:after="20"/>
            </w:pPr>
          </w:p>
        </w:tc>
      </w:tr>
      <w:tr>
        <w:tc>
          <w:tcPr>
            <w:tcW w:type="dxa" w:w="5399"/>
          </w:tcPr>
          <w:p>
            <w:pPr>
              <w:spacing w:after="20"/>
            </w:pPr>
            <w:r>
              <w:rPr>
                <w:rFonts w:ascii="Segoe UI" w:hAnsi="Segoe UI" w:cs="Segoe UI" w:eastAsia="Segoe UI"/>
                <w:color w:val="101820"/>
                <w:sz w:val="18"/>
              </w:rPr>
              <w:t>Chief Technology Officer</w:t>
            </w:r>
          </w:p>
        </w:tc>
        <w:tc>
          <w:tcPr>
            <w:tcW w:type="dxa" w:w="907"/>
          </w:tcPr>
          <w:p>
            <w:pPr>
              <w:spacing w:after="20"/>
            </w:pPr>
          </w:p>
        </w:tc>
        <w:tc>
          <w:tcPr>
            <w:tcW w:type="dxa" w:w="1801"/>
          </w:tcPr>
          <w:p>
            <w:pPr>
              <w:spacing w:after="20"/>
            </w:pPr>
          </w:p>
        </w:tc>
        <w:tc>
          <w:tcPr>
            <w:tcW w:type="dxa" w:w="907"/>
          </w:tcPr>
          <w:p>
            <w:pPr>
              <w:spacing w:after="20"/>
            </w:pPr>
          </w:p>
        </w:tc>
      </w:tr>
      <w:tr>
        <w:tc>
          <w:tcPr>
            <w:tcW w:type="dxa" w:w="5399"/>
          </w:tcPr>
          <w:p>
            <w:pPr>
              <w:spacing w:after="20"/>
            </w:pPr>
            <w:r>
              <w:rPr>
                <w:rFonts w:ascii="Segoe UI" w:hAnsi="Segoe UI" w:cs="Segoe UI" w:eastAsia="Segoe UI"/>
                <w:color w:val="101820"/>
                <w:sz w:val="18"/>
              </w:rPr>
              <w:t>Head of Sales</w:t>
            </w:r>
          </w:p>
        </w:tc>
        <w:tc>
          <w:tcPr>
            <w:tcW w:type="dxa" w:w="907"/>
          </w:tcPr>
          <w:p>
            <w:pPr>
              <w:spacing w:after="20"/>
            </w:pPr>
          </w:p>
        </w:tc>
        <w:tc>
          <w:tcPr>
            <w:tcW w:type="dxa" w:w="1801"/>
          </w:tcPr>
          <w:p>
            <w:pPr>
              <w:spacing w:after="20"/>
            </w:pPr>
          </w:p>
        </w:tc>
        <w:tc>
          <w:tcPr>
            <w:tcW w:type="dxa" w:w="907"/>
          </w:tcPr>
          <w:p>
            <w:pPr>
              <w:spacing w:after="20"/>
            </w:pPr>
          </w:p>
        </w:tc>
      </w:tr>
      <w:tr>
        <w:tc>
          <w:tcPr>
            <w:tcW w:type="dxa" w:w="5399"/>
          </w:tcPr>
          <w:p>
            <w:pPr>
              <w:spacing w:after="20"/>
            </w:pPr>
            <w:r>
              <w:rPr>
                <w:rFonts w:ascii="Segoe UI" w:hAnsi="Segoe UI" w:cs="Segoe UI" w:eastAsia="Segoe UI"/>
                <w:color w:val="101820"/>
                <w:sz w:val="18"/>
              </w:rPr>
              <w:t>Delivery Lead</w:t>
            </w:r>
          </w:p>
        </w:tc>
        <w:tc>
          <w:tcPr>
            <w:tcW w:type="dxa" w:w="907"/>
          </w:tcPr>
          <w:p>
            <w:pPr>
              <w:spacing w:after="20"/>
            </w:pPr>
          </w:p>
        </w:tc>
        <w:tc>
          <w:tcPr>
            <w:tcW w:type="dxa" w:w="1801"/>
          </w:tcPr>
          <w:p>
            <w:pPr>
              <w:spacing w:after="20"/>
            </w:pPr>
          </w:p>
        </w:tc>
        <w:tc>
          <w:tcPr>
            <w:tcW w:type="dxa" w:w="907"/>
          </w:tcPr>
          <w:p>
            <w:pPr>
              <w:spacing w:after="20"/>
            </w:pPr>
          </w:p>
        </w:tc>
      </w:tr>
      <w:tr>
        <w:tc>
          <w:tcPr>
            <w:tcW w:type="dxa" w:w="5399"/>
          </w:tcPr>
          <w:p>
            <w:pPr>
              <w:spacing w:after="20"/>
            </w:pPr>
            <w:r>
              <w:rPr>
                <w:rFonts w:ascii="Segoe UI" w:hAnsi="Segoe UI" w:cs="Segoe UI" w:eastAsia="Segoe UI"/>
                <w:color w:val="101820"/>
                <w:sz w:val="18"/>
              </w:rPr>
              <w:t>Support Lead</w:t>
            </w:r>
          </w:p>
        </w:tc>
        <w:tc>
          <w:tcPr>
            <w:tcW w:type="dxa" w:w="907"/>
          </w:tcPr>
          <w:p>
            <w:pPr>
              <w:spacing w:after="20"/>
            </w:pPr>
          </w:p>
        </w:tc>
        <w:tc>
          <w:tcPr>
            <w:tcW w:type="dxa" w:w="1801"/>
          </w:tcPr>
          <w:p>
            <w:pPr>
              <w:spacing w:after="20"/>
            </w:pPr>
          </w:p>
        </w:tc>
        <w:tc>
          <w:tcPr>
            <w:tcW w:type="dxa" w:w="907"/>
          </w:tcPr>
          <w:p>
            <w:pPr>
              <w:spacing w:after="20"/>
            </w:pPr>
          </w:p>
        </w:tc>
      </w:tr>
    </w:tbl>
    <w:p w14:paraId="3A19A69C" w14:textId="77777777" w:rsidR="002B183A" w:rsidRPr="00465CAB" w:rsidRDefault="002B183A" w:rsidP="002B183A">
      <w:pPr>
        <w:pStyle w:val="Heading1"/>
        <w:pageBreakBefore/>
        <w:tabs>
          <w:tab w:val="num" w:pos="360"/>
        </w:tabs>
        <w:spacing w:line="360" w:lineRule="auto"/>
        <w:ind w:left="0" w:firstLine="0"/>
        <w:rPr>
          <w:rStyle w:val="BookTitle"/>
          <w:b w:val="0"/>
          <w:bCs w:val="0"/>
          <w:i w:val="0"/>
          <w:iCs w:val="0"/>
          <w:spacing w:val="0"/>
        </w:rPr>
      </w:pPr>
      <w:bookmarkStart w:id="10" w:name="_Toc233203395"/>
      <w:r>
        <w:rPr>
          <w:rStyle w:val="BookTitle"/>
          <w:bCs w:val="0"/>
          <w:i w:val="0"/>
          <w:iCs w:val="0"/>
          <w:spacing w:val="0"/>
        </w:rPr>
        <w:t>13.  Document Sign-Off</w:t>
      </w:r>
      <w:bookmarkEnd w:id="10"/>
    </w:p>
    <w:p w14:paraId="05198298"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456"/>
        <w:gridCol w:w="3855"/>
        <w:gridCol w:w="1726"/>
        <w:gridCol w:w="1980"/>
      </w:tblGrid>
      <w:tr w:rsidR="002B183A" w14:paraId="0ABAE4AD" w14:textId="77777777" w:rsidTr="002923F3">
        <w:trPr>
          <w:trHeight w:val="440"/>
        </w:trPr>
        <w:tc>
          <w:tcPr>
            <w:tcW w:w="807" w:type="pct"/>
            <w:vAlign w:val="center"/>
          </w:tcPr>
          <w:p w14:paraId="3EB3C57B"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lastRenderedPageBreak/>
              <w:t>Serial Number</w:t>
            </w:r>
          </w:p>
        </w:tc>
        <w:tc>
          <w:tcPr>
            <w:tcW w:w="2137" w:type="pct"/>
            <w:vAlign w:val="center"/>
          </w:tcPr>
          <w:p w14:paraId="11ABC55F"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Description</w:t>
            </w:r>
          </w:p>
        </w:tc>
        <w:tc>
          <w:tcPr>
            <w:tcW w:w="957" w:type="pct"/>
            <w:vAlign w:val="center"/>
          </w:tcPr>
          <w:p w14:paraId="05BF7E25"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Owner</w:t>
            </w:r>
          </w:p>
        </w:tc>
        <w:tc>
          <w:tcPr>
            <w:tcW w:w="1098" w:type="pct"/>
            <w:vAlign w:val="center"/>
          </w:tcPr>
          <w:p w14:paraId="1E57008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Status</w:t>
            </w:r>
          </w:p>
        </w:tc>
      </w:tr>
      <w:tr w:rsidR="002B183A" w:rsidRPr="00BB346A" w14:paraId="4AA02A28" w14:textId="77777777" w:rsidTr="002923F3">
        <w:trPr>
          <w:trHeight w:val="449"/>
        </w:trPr>
        <w:tc>
          <w:tcPr>
            <w:tcW w:w="807" w:type="pct"/>
            <w:vAlign w:val="center"/>
          </w:tcPr>
          <w:p w14:paraId="3EE380D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1</w:t>
            </w:r>
          </w:p>
        </w:tc>
        <w:tc>
          <w:tcPr>
            <w:tcW w:w="2137" w:type="pct"/>
            <w:vAlign w:val="center"/>
          </w:tcPr>
          <w:p w14:paraId="38D2703A" w14:textId="77777777" w:rsidR="002B183A" w:rsidRPr="009876A6" w:rsidRDefault="002B183A" w:rsidP="002923F3">
            <w:pPr>
              <w:spacing w:before="60"/>
              <w:jc w:val="both"/>
              <w:rPr>
                <w:rFonts w:ascii="Segoe UI" w:eastAsia="Arial" w:hAnsi="Segoe UI" w:cs="Segoe UI"/>
                <w:color w:val="101820"/>
                <w:sz w:val="16"/>
                <w:szCs w:val="16"/>
              </w:rPr>
            </w:pPr>
            <w:r>
              <w:rPr>
                <w:rFonts w:ascii="Segoe UI" w:hAnsi="Segoe UI" w:cs="Segoe UI" w:eastAsia="Segoe UI"/>
                <w:color w:val="101820"/>
                <w:sz w:val="16"/>
              </w:rPr>
              <w:t>Conditions C1 to C8 of the chapter Recommendation; decisions D1 to D14</w:t>
            </w:r>
          </w:p>
        </w:tc>
        <w:tc>
          <w:tcPr>
            <w:tcW w:w="957" w:type="pct"/>
            <w:vAlign w:val="center"/>
          </w:tcPr>
          <w:p w14:paraId="7C283CC7"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iorta TechNXT</w:t>
            </w:r>
          </w:p>
        </w:tc>
        <w:tc>
          <w:tcPr>
            <w:tcW w:w="1098" w:type="pct"/>
            <w:vAlign w:val="center"/>
          </w:tcPr>
          <w:p w14:paraId="2EB0AB16" w14:textId="77777777" w:rsidR="002B183A" w:rsidRPr="009876A6" w:rsidRDefault="002B183A" w:rsidP="002923F3">
            <w:pPr>
              <w:spacing w:before="60"/>
              <w:jc w:val="center"/>
              <w:rPr>
                <w:rFonts w:ascii="Segoe UI" w:eastAsia="Arial" w:hAnsi="Segoe UI" w:cs="Segoe UI"/>
                <w:color w:val="101820"/>
                <w:sz w:val="16"/>
                <w:szCs w:val="16"/>
              </w:rPr>
            </w:pPr>
            <w:r>
              <w:rPr>
                <w:rFonts w:ascii="Segoe UI" w:hAnsi="Segoe UI" w:cs="Segoe UI" w:eastAsia="Segoe UI"/>
                <w:color w:val="101820"/>
                <w:sz w:val="16"/>
              </w:rPr>
              <w:t>Open</w:t>
            </w:r>
          </w:p>
        </w:tc>
      </w:tr>
      <w:tr w:rsidR="002B183A" w:rsidRPr="00BB346A" w14:paraId="441F7965" w14:textId="77777777" w:rsidTr="002923F3">
        <w:trPr>
          <w:trHeight w:val="449"/>
        </w:trPr>
        <w:tc>
          <w:tcPr>
            <w:tcW w:w="807" w:type="pct"/>
            <w:vAlign w:val="center"/>
          </w:tcPr>
          <w:p w14:paraId="7D7E1F16"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6A7B9809"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228473A7"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4E55941A" w14:textId="77777777" w:rsidR="002B183A" w:rsidRPr="009876A6" w:rsidRDefault="002B183A" w:rsidP="002923F3">
            <w:pPr>
              <w:spacing w:before="60"/>
              <w:jc w:val="center"/>
              <w:rPr>
                <w:rFonts w:ascii="Segoe UI" w:eastAsia="Arial" w:hAnsi="Segoe UI" w:cs="Segoe UI"/>
                <w:color w:val="101820"/>
                <w:sz w:val="16"/>
                <w:szCs w:val="16"/>
                <w:rtl/>
              </w:rPr>
            </w:pPr>
          </w:p>
        </w:tc>
      </w:tr>
      <w:tr w:rsidR="002B183A" w:rsidRPr="00BB346A" w14:paraId="02D59BF1" w14:textId="77777777" w:rsidTr="002923F3">
        <w:trPr>
          <w:trHeight w:val="449"/>
        </w:trPr>
        <w:tc>
          <w:tcPr>
            <w:tcW w:w="807" w:type="pct"/>
            <w:vAlign w:val="center"/>
          </w:tcPr>
          <w:p w14:paraId="0680EA44" w14:textId="77777777" w:rsidR="002B183A" w:rsidRPr="009876A6" w:rsidRDefault="002B183A" w:rsidP="002923F3">
            <w:pPr>
              <w:spacing w:before="60"/>
              <w:jc w:val="center"/>
              <w:rPr>
                <w:rFonts w:ascii="Segoe UI" w:eastAsia="Arial" w:hAnsi="Segoe UI" w:cs="Segoe UI"/>
                <w:color w:val="101820"/>
                <w:sz w:val="16"/>
                <w:szCs w:val="16"/>
                <w:rtl/>
              </w:rPr>
            </w:pPr>
          </w:p>
        </w:tc>
        <w:tc>
          <w:tcPr>
            <w:tcW w:w="2137" w:type="pct"/>
            <w:vAlign w:val="center"/>
          </w:tcPr>
          <w:p w14:paraId="1AA7ECA0" w14:textId="77777777" w:rsidR="002B183A" w:rsidRPr="00BB41CF" w:rsidRDefault="002B183A" w:rsidP="002923F3">
            <w:pPr>
              <w:spacing w:before="60"/>
              <w:jc w:val="both"/>
              <w:rPr>
                <w:rFonts w:ascii="Segoe UI" w:eastAsia="Arial" w:hAnsi="Segoe UI" w:cs="Segoe UI"/>
                <w:color w:val="101820"/>
                <w:sz w:val="16"/>
                <w:szCs w:val="16"/>
              </w:rPr>
            </w:pPr>
          </w:p>
        </w:tc>
        <w:tc>
          <w:tcPr>
            <w:tcW w:w="957" w:type="pct"/>
            <w:vAlign w:val="center"/>
          </w:tcPr>
          <w:p w14:paraId="372D7943" w14:textId="77777777" w:rsidR="002B183A" w:rsidRPr="009876A6" w:rsidRDefault="002B183A" w:rsidP="002923F3">
            <w:pPr>
              <w:spacing w:before="60"/>
              <w:jc w:val="center"/>
              <w:rPr>
                <w:rFonts w:ascii="Segoe UI" w:eastAsia="Arial" w:hAnsi="Segoe UI" w:cs="Segoe UI"/>
                <w:color w:val="101820"/>
                <w:sz w:val="16"/>
                <w:szCs w:val="16"/>
                <w:rtl/>
                <w:lang w:bidi="ar-LB"/>
              </w:rPr>
            </w:pPr>
          </w:p>
        </w:tc>
        <w:tc>
          <w:tcPr>
            <w:tcW w:w="1098" w:type="pct"/>
            <w:vAlign w:val="center"/>
          </w:tcPr>
          <w:p w14:paraId="6691CF96" w14:textId="77777777" w:rsidR="002B183A" w:rsidRPr="009876A6" w:rsidRDefault="002B183A" w:rsidP="002923F3">
            <w:pPr>
              <w:spacing w:before="60"/>
              <w:jc w:val="center"/>
              <w:rPr>
                <w:rFonts w:ascii="Segoe UI" w:eastAsia="Arial" w:hAnsi="Segoe UI" w:cs="Segoe UI"/>
                <w:color w:val="101820"/>
                <w:sz w:val="16"/>
                <w:szCs w:val="16"/>
                <w:rtl/>
              </w:rPr>
            </w:pPr>
          </w:p>
        </w:tc>
      </w:tr>
    </w:tbl>
    <w:p w14:paraId="57CC15FC" w14:textId="77777777" w:rsidR="002B183A" w:rsidRDefault="002B183A" w:rsidP="002B183A">
      <w:pPr>
        <w:jc w:val="both"/>
        <w:rPr>
          <w:rFonts w:ascii="Segoe UI" w:eastAsia="Arial" w:hAnsi="Segoe UI" w:cs="Segoe UI"/>
          <w:color w:val="101820"/>
          <w:sz w:val="22"/>
        </w:rPr>
      </w:pPr>
    </w:p>
    <w:p w14:paraId="4B744F8C" w14:textId="77777777" w:rsidR="002B183A" w:rsidRDefault="002B183A" w:rsidP="002B183A">
      <w:pPr>
        <w:jc w:val="both"/>
        <w:rPr>
          <w:rFonts w:ascii="Segoe UI" w:eastAsia="Arial" w:hAnsi="Segoe UI" w:cs="Segoe UI"/>
          <w:color w:val="101820"/>
          <w:sz w:val="22"/>
        </w:rPr>
      </w:pPr>
    </w:p>
    <w:p w14:paraId="481C8706" w14:textId="77777777" w:rsidR="002B183A" w:rsidRDefault="002B183A" w:rsidP="002B183A">
      <w:pPr>
        <w:jc w:val="both"/>
        <w:rPr>
          <w:rFonts w:ascii="Segoe UI" w:eastAsia="Arial" w:hAnsi="Segoe UI" w:cs="Segoe UI"/>
          <w:color w:val="101820"/>
          <w:sz w:val="22"/>
        </w:rPr>
      </w:pPr>
    </w:p>
    <w:p w14:paraId="0974D0DE" w14:textId="77777777" w:rsidR="002B183A" w:rsidRDefault="002B183A" w:rsidP="002B183A">
      <w:pPr>
        <w:jc w:val="both"/>
        <w:rPr>
          <w:rFonts w:ascii="Segoe UI" w:eastAsia="Arial" w:hAnsi="Segoe UI" w:cs="Segoe UI"/>
          <w:color w:val="101820"/>
          <w:sz w:val="22"/>
        </w:rPr>
      </w:pPr>
    </w:p>
    <w:p w14:paraId="617D8666" w14:textId="77777777" w:rsidR="002B183A" w:rsidRDefault="002B183A" w:rsidP="002B183A">
      <w:pPr>
        <w:jc w:val="both"/>
        <w:rPr>
          <w:rFonts w:ascii="Segoe UI" w:eastAsia="Arial" w:hAnsi="Segoe UI" w:cs="Segoe UI"/>
          <w:color w:val="101820"/>
          <w:sz w:val="22"/>
        </w:rPr>
      </w:pPr>
    </w:p>
    <w:tbl>
      <w:tblPr>
        <w:tblStyle w:val="TableGrid"/>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A0" w:firstRow="1" w:lastRow="0" w:firstColumn="1" w:lastColumn="0" w:noHBand="0" w:noVBand="1"/>
      </w:tblPr>
      <w:tblGrid>
        <w:gridCol w:w="1553"/>
        <w:gridCol w:w="3291"/>
        <w:gridCol w:w="1826"/>
        <w:gridCol w:w="2347"/>
      </w:tblGrid>
      <w:tr w:rsidR="002B183A" w14:paraId="731A77C7" w14:textId="77777777" w:rsidTr="002923F3">
        <w:trPr>
          <w:trHeight w:val="440"/>
        </w:trPr>
        <w:tc>
          <w:tcPr>
            <w:tcW w:w="807" w:type="pct"/>
            <w:vAlign w:val="center"/>
          </w:tcPr>
          <w:p w14:paraId="2799E84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 xml:space="preserve">Sign Off </w:t>
            </w:r>
            <w:r w:rsidRPr="00FF67C3">
              <w:rPr>
                <w:rFonts w:ascii="Segoe UI" w:eastAsia="Arial" w:hAnsi="Segoe UI" w:cs="Segoe UI"/>
                <w:b/>
                <w:bCs/>
                <w:color w:val="101820"/>
                <w:sz w:val="16"/>
                <w:szCs w:val="16"/>
              </w:rPr>
              <w:t>Date</w:t>
            </w:r>
          </w:p>
        </w:tc>
        <w:tc>
          <w:tcPr>
            <w:tcW w:w="1843" w:type="pct"/>
            <w:vAlign w:val="center"/>
          </w:tcPr>
          <w:p w14:paraId="56708A83"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Signature</w:t>
            </w:r>
          </w:p>
        </w:tc>
        <w:tc>
          <w:tcPr>
            <w:tcW w:w="1031" w:type="pct"/>
            <w:vAlign w:val="center"/>
          </w:tcPr>
          <w:p w14:paraId="367EAF90"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Approved By</w:t>
            </w:r>
          </w:p>
        </w:tc>
        <w:tc>
          <w:tcPr>
            <w:tcW w:w="1319" w:type="pct"/>
            <w:vAlign w:val="center"/>
          </w:tcPr>
          <w:p w14:paraId="3521F756" w14:textId="77777777" w:rsidR="002B183A" w:rsidRPr="00FF67C3" w:rsidRDefault="002B183A" w:rsidP="002923F3">
            <w:pPr>
              <w:spacing w:before="60"/>
              <w:jc w:val="center"/>
              <w:rPr>
                <w:rFonts w:ascii="Segoe UI" w:eastAsia="Arial" w:hAnsi="Segoe UI" w:cs="Segoe UI"/>
                <w:b/>
                <w:bCs/>
                <w:color w:val="101820"/>
                <w:sz w:val="16"/>
                <w:szCs w:val="16"/>
              </w:rPr>
            </w:pPr>
            <w:r>
              <w:rPr>
                <w:rFonts w:ascii="Segoe UI" w:eastAsia="Arial" w:hAnsi="Segoe UI" w:cs="Segoe UI"/>
                <w:b/>
                <w:bCs/>
                <w:color w:val="101820"/>
                <w:sz w:val="16"/>
                <w:szCs w:val="16"/>
              </w:rPr>
              <w:t>Department &amp; Project Role</w:t>
            </w:r>
          </w:p>
        </w:tc>
      </w:tr>
      <w:tr w:rsidR="002B183A" w:rsidRPr="00BB346A" w14:paraId="2AD1806B" w14:textId="77777777" w:rsidTr="002923F3">
        <w:trPr>
          <w:trHeight w:val="449"/>
        </w:trPr>
        <w:tc>
          <w:tcPr>
            <w:tcW w:w="807" w:type="pct"/>
            <w:vAlign w:val="center"/>
          </w:tcPr>
          <w:p w14:paraId="59720FD1" w14:textId="77777777" w:rsidR="002B183A" w:rsidRPr="009876A6" w:rsidRDefault="002B183A" w:rsidP="002923F3">
            <w:pPr>
              <w:spacing w:before="60"/>
              <w:rPr>
                <w:rFonts w:ascii="Segoe UI" w:eastAsia="Arial" w:hAnsi="Segoe UI" w:cs="Segoe UI"/>
                <w:color w:val="101820"/>
                <w:sz w:val="16"/>
                <w:szCs w:val="16"/>
              </w:rPr>
            </w:pPr>
            <w:proofErr w:type="spellStart"/>
            <w:proofErr w:type="spellEnd"/>
          </w:p>
        </w:tc>
        <w:tc>
          <w:tcPr>
            <w:tcW w:w="1843" w:type="pct"/>
            <w:vAlign w:val="center"/>
          </w:tcPr>
          <w:p w14:paraId="07D5AEF4"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BA57AF1" w14:textId="77777777" w:rsidR="002B183A" w:rsidRPr="009876A6" w:rsidRDefault="002B183A" w:rsidP="002923F3">
            <w:pPr>
              <w:spacing w:before="60"/>
              <w:rPr>
                <w:rFonts w:ascii="Segoe UI" w:eastAsia="Arial" w:hAnsi="Segoe UI" w:cs="Segoe UI"/>
                <w:color w:val="101820"/>
                <w:sz w:val="16"/>
                <w:szCs w:val="16"/>
              </w:rPr>
            </w:pPr>
          </w:p>
        </w:tc>
        <w:tc>
          <w:tcPr>
            <w:tcW w:w="1319" w:type="pct"/>
            <w:vAlign w:val="center"/>
          </w:tcPr>
          <w:p w14:paraId="066A4127" w14:textId="77777777" w:rsidR="002B183A" w:rsidRDefault="002B183A" w:rsidP="002923F3">
            <w:pPr>
              <w:spacing w:before="60"/>
              <w:rPr>
                <w:rFonts w:ascii="Segoe UI" w:eastAsia="Arial" w:hAnsi="Segoe UI" w:cs="Segoe UI"/>
                <w:color w:val="101820"/>
                <w:sz w:val="16"/>
                <w:szCs w:val="16"/>
              </w:rPr>
            </w:pPr>
          </w:p>
          <w:p w14:paraId="3552213A" w14:textId="77777777" w:rsidR="002B183A" w:rsidRPr="009876A6" w:rsidRDefault="002B183A" w:rsidP="002923F3">
            <w:pPr>
              <w:spacing w:before="60"/>
              <w:rPr>
                <w:rFonts w:ascii="Segoe UI" w:eastAsia="Arial" w:hAnsi="Segoe UI" w:cs="Segoe UI"/>
                <w:color w:val="101820"/>
                <w:sz w:val="16"/>
                <w:szCs w:val="16"/>
              </w:rPr>
            </w:pPr>
          </w:p>
        </w:tc>
      </w:tr>
      <w:tr w:rsidR="002B183A" w:rsidRPr="00BB346A" w14:paraId="7971AE35" w14:textId="77777777" w:rsidTr="002923F3">
        <w:trPr>
          <w:trHeight w:val="449"/>
        </w:trPr>
        <w:tc>
          <w:tcPr>
            <w:tcW w:w="807" w:type="pct"/>
            <w:vAlign w:val="center"/>
          </w:tcPr>
          <w:p w14:paraId="42385440"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0604EAC1" w14:textId="77777777" w:rsidR="002B183A" w:rsidRDefault="002B183A" w:rsidP="002923F3">
            <w:pPr>
              <w:spacing w:before="60"/>
              <w:rPr>
                <w:rFonts w:ascii="Segoe UI" w:eastAsia="Arial" w:hAnsi="Segoe UI" w:cs="Segoe UI"/>
                <w:color w:val="101820"/>
                <w:sz w:val="16"/>
                <w:szCs w:val="16"/>
              </w:rPr>
            </w:pPr>
          </w:p>
          <w:p w14:paraId="05AE96E1" w14:textId="77777777" w:rsidR="002B183A" w:rsidRDefault="002B183A" w:rsidP="002923F3">
            <w:pPr>
              <w:spacing w:before="60"/>
              <w:rPr>
                <w:rFonts w:ascii="Segoe UI" w:eastAsia="Arial" w:hAnsi="Segoe UI" w:cs="Segoe UI"/>
                <w:color w:val="101820"/>
                <w:sz w:val="16"/>
                <w:szCs w:val="16"/>
              </w:rPr>
            </w:pPr>
          </w:p>
          <w:p w14:paraId="15DEE206" w14:textId="77777777" w:rsidR="002B183A" w:rsidRPr="009876A6" w:rsidRDefault="002B183A" w:rsidP="002923F3">
            <w:pPr>
              <w:spacing w:before="60"/>
              <w:rPr>
                <w:rFonts w:ascii="Segoe UI" w:eastAsia="Arial" w:hAnsi="Segoe UI" w:cs="Segoe UI"/>
                <w:color w:val="101820"/>
                <w:sz w:val="16"/>
                <w:szCs w:val="16"/>
              </w:rPr>
            </w:pPr>
          </w:p>
        </w:tc>
        <w:tc>
          <w:tcPr>
            <w:tcW w:w="1031" w:type="pct"/>
            <w:vAlign w:val="center"/>
          </w:tcPr>
          <w:p w14:paraId="2291C112"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4CA88E8E"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4B3D09B6" w14:textId="77777777" w:rsidTr="002923F3">
        <w:trPr>
          <w:trHeight w:val="449"/>
        </w:trPr>
        <w:tc>
          <w:tcPr>
            <w:tcW w:w="807" w:type="pct"/>
            <w:vAlign w:val="center"/>
          </w:tcPr>
          <w:p w14:paraId="1935122E" w14:textId="77777777" w:rsidR="002B183A" w:rsidRDefault="002B183A" w:rsidP="002923F3">
            <w:pPr>
              <w:spacing w:before="60"/>
              <w:rPr>
                <w:rFonts w:ascii="Segoe UI" w:eastAsia="Arial" w:hAnsi="Segoe UI" w:cs="Segoe UI"/>
                <w:color w:val="101820"/>
                <w:sz w:val="16"/>
                <w:szCs w:val="16"/>
              </w:rPr>
            </w:pPr>
          </w:p>
          <w:p w14:paraId="240729FB" w14:textId="77777777" w:rsidR="002B183A" w:rsidRDefault="002B183A" w:rsidP="002923F3">
            <w:pPr>
              <w:spacing w:before="60"/>
              <w:rPr>
                <w:rFonts w:ascii="Segoe UI" w:eastAsia="Arial" w:hAnsi="Segoe UI" w:cs="Segoe UI"/>
                <w:color w:val="101820"/>
                <w:sz w:val="16"/>
                <w:szCs w:val="16"/>
              </w:rPr>
            </w:pPr>
          </w:p>
          <w:p w14:paraId="41E24FA9" w14:textId="77777777" w:rsidR="002B183A" w:rsidRPr="009876A6" w:rsidRDefault="002B183A" w:rsidP="002923F3">
            <w:pPr>
              <w:spacing w:before="60"/>
              <w:rPr>
                <w:rFonts w:ascii="Segoe UI" w:eastAsia="Arial" w:hAnsi="Segoe UI" w:cs="Segoe UI"/>
                <w:color w:val="101820"/>
                <w:sz w:val="16"/>
                <w:szCs w:val="16"/>
                <w:rtl/>
              </w:rPr>
            </w:pPr>
          </w:p>
        </w:tc>
        <w:tc>
          <w:tcPr>
            <w:tcW w:w="1843" w:type="pct"/>
            <w:vAlign w:val="center"/>
          </w:tcPr>
          <w:p w14:paraId="2216D931"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6196FBA0"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78400642" w14:textId="77777777" w:rsidR="002B183A" w:rsidRPr="009876A6" w:rsidRDefault="002B183A" w:rsidP="002923F3">
            <w:pPr>
              <w:spacing w:before="60"/>
              <w:rPr>
                <w:rFonts w:ascii="Segoe UI" w:eastAsia="Arial" w:hAnsi="Segoe UI" w:cs="Segoe UI"/>
                <w:color w:val="101820"/>
                <w:sz w:val="16"/>
                <w:szCs w:val="16"/>
                <w:rtl/>
              </w:rPr>
            </w:pPr>
          </w:p>
        </w:tc>
      </w:tr>
      <w:tr w:rsidR="002B183A" w:rsidRPr="00BB346A" w14:paraId="350EB7EB" w14:textId="77777777" w:rsidTr="002923F3">
        <w:trPr>
          <w:trHeight w:val="449"/>
        </w:trPr>
        <w:tc>
          <w:tcPr>
            <w:tcW w:w="807" w:type="pct"/>
            <w:vAlign w:val="center"/>
          </w:tcPr>
          <w:p w14:paraId="7FAA6F25" w14:textId="77777777" w:rsidR="002B183A" w:rsidRDefault="002B183A" w:rsidP="002923F3">
            <w:pPr>
              <w:spacing w:before="60"/>
              <w:rPr>
                <w:rFonts w:ascii="Segoe UI" w:eastAsia="Arial" w:hAnsi="Segoe UI" w:cs="Segoe UI"/>
                <w:color w:val="101820"/>
                <w:sz w:val="16"/>
                <w:szCs w:val="16"/>
              </w:rPr>
            </w:pPr>
          </w:p>
          <w:p w14:paraId="4876CB16" w14:textId="77777777" w:rsidR="002B183A" w:rsidRDefault="002B183A" w:rsidP="002923F3">
            <w:pPr>
              <w:spacing w:before="60"/>
              <w:rPr>
                <w:rFonts w:ascii="Segoe UI" w:eastAsia="Arial" w:hAnsi="Segoe UI" w:cs="Segoe UI"/>
                <w:color w:val="101820"/>
                <w:sz w:val="16"/>
                <w:szCs w:val="16"/>
              </w:rPr>
            </w:pPr>
          </w:p>
          <w:p w14:paraId="1059F385" w14:textId="77777777" w:rsidR="002B183A" w:rsidRDefault="002B183A" w:rsidP="002923F3">
            <w:pPr>
              <w:spacing w:before="60"/>
              <w:rPr>
                <w:rFonts w:ascii="Segoe UI" w:eastAsia="Arial" w:hAnsi="Segoe UI" w:cs="Segoe UI"/>
                <w:color w:val="101820"/>
                <w:sz w:val="16"/>
                <w:szCs w:val="16"/>
              </w:rPr>
            </w:pPr>
          </w:p>
        </w:tc>
        <w:tc>
          <w:tcPr>
            <w:tcW w:w="1843" w:type="pct"/>
            <w:vAlign w:val="center"/>
          </w:tcPr>
          <w:p w14:paraId="65DFF7B3" w14:textId="77777777" w:rsidR="002B183A" w:rsidRDefault="002B183A" w:rsidP="002923F3">
            <w:pPr>
              <w:spacing w:before="60"/>
              <w:rPr>
                <w:rFonts w:ascii="Segoe UI" w:eastAsia="Arial" w:hAnsi="Segoe UI" w:cs="Segoe UI"/>
                <w:color w:val="101820"/>
                <w:sz w:val="16"/>
                <w:szCs w:val="16"/>
              </w:rPr>
            </w:pPr>
          </w:p>
        </w:tc>
        <w:tc>
          <w:tcPr>
            <w:tcW w:w="1031" w:type="pct"/>
            <w:vAlign w:val="center"/>
          </w:tcPr>
          <w:p w14:paraId="5C2E8BAE" w14:textId="77777777" w:rsidR="002B183A" w:rsidRPr="009876A6" w:rsidRDefault="002B183A" w:rsidP="002923F3">
            <w:pPr>
              <w:spacing w:before="60"/>
              <w:rPr>
                <w:rFonts w:ascii="Segoe UI" w:eastAsia="Arial" w:hAnsi="Segoe UI" w:cs="Segoe UI"/>
                <w:color w:val="101820"/>
                <w:sz w:val="16"/>
                <w:szCs w:val="16"/>
                <w:rtl/>
                <w:lang w:bidi="ar-LB"/>
              </w:rPr>
            </w:pPr>
          </w:p>
        </w:tc>
        <w:tc>
          <w:tcPr>
            <w:tcW w:w="1319" w:type="pct"/>
            <w:vAlign w:val="center"/>
          </w:tcPr>
          <w:p w14:paraId="00B18382" w14:textId="77777777" w:rsidR="002B183A" w:rsidRPr="009876A6" w:rsidRDefault="002B183A" w:rsidP="002923F3">
            <w:pPr>
              <w:spacing w:before="60"/>
              <w:rPr>
                <w:rFonts w:ascii="Segoe UI" w:eastAsia="Arial" w:hAnsi="Segoe UI" w:cs="Segoe UI"/>
                <w:color w:val="101820"/>
                <w:sz w:val="16"/>
                <w:szCs w:val="16"/>
                <w:rtl/>
              </w:rPr>
            </w:pPr>
          </w:p>
        </w:tc>
      </w:tr>
    </w:tbl>
    <w:p w14:paraId="0965EE19" w14:textId="77777777" w:rsidR="00EE516B" w:rsidRDefault="00EE516B">
      <w:r>
        <w:lastRenderedPageBreak/>
        <w:br w:type="page"/>
      </w:r>
    </w:p>
    <w:p w14:paraId="1F938E87" w14:textId="77777777" w:rsidR="007B4988" w:rsidRDefault="007B4988"/>
    <w:p w14:paraId="4553482A" w14:textId="1F0B5849" w:rsidR="008501FA" w:rsidRPr="00EF479A" w:rsidRDefault="006470D1" w:rsidP="3B384731">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multiLevelType w:val="hybridMultilevel"/>
    <w:lvl w:ilvl="0">
      <w:start w:val="1"/>
      <w:numFmt w:val="bullet"/>
      <w:lvlText w:val="•"/>
      <w:lvlJc w:val="left"/>
      <w:pPr>
        <w:ind w:left="720" w:hanging="300"/>
      </w:pPr>
    </w:lvl>
    <w:lvl w:ilvl="1">
      <w:start w:val="1"/>
      <w:numFmt w:val="bullet"/>
      <w:lvlText w:val="–"/>
      <w:lvlJc w:val="left"/>
      <w:pPr>
        <w:ind w:left="1080" w:hanging="300"/>
      </w:pPr>
    </w:lvl>
    <w:lvl w:ilvl="2">
      <w:start w:val="1"/>
      <w:numFmt w:val="bullet"/>
      <w:lvlText w:val="◦"/>
      <w:lvlJc w:val="left"/>
      <w:pPr>
        <w:ind w:left="1440" w:hanging="300"/>
      </w:pPr>
    </w:lvl>
  </w:abstractNum>
  <w:abstractNum w:abstractNumId="3">
    <w:multiLevelType w:val="hybridMultilevel"/>
    <w:lvl w:ilvl="0">
      <w:start w:val="1"/>
      <w:numFmt w:val="decimal"/>
      <w:lvlText w:val="%1."/>
      <w:lvlJc w:val="left"/>
      <w:pPr>
        <w:ind w:left="720" w:hanging="300"/>
      </w:pPr>
    </w:lvl>
    <w:lvl w:ilvl="1">
      <w:start w:val="1"/>
      <w:numFmt w:val="lowerLetter"/>
      <w:lvlText w:val="%2."/>
      <w:lvlJc w:val="left"/>
      <w:pPr>
        <w:ind w:left="1080" w:hanging="300"/>
      </w:pPr>
    </w:lvl>
    <w:lvl w:ilvl="2">
      <w:start w:val="1"/>
      <w:numFmt w:val="lowerLetter"/>
      <w:lvlText w:val="%3."/>
      <w:lvlJc w:val="left"/>
      <w:pPr>
        <w:ind w:left="1440" w:hanging="300"/>
      </w:pPr>
    </w:lvl>
  </w:abstractNum>
  <w:num w:numId="1" w16cid:durableId="1413504409">
    <w:abstractNumId w:val="0"/>
  </w:num>
  <w:num w:numId="2" w16cid:durableId="1722510407">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183A"/>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w:type="paragraph" w:styleId="TOC1">
    <w:name w:val="toc 1"/>
    <w:basedOn w:val="Normal"/>
    <w:next w:val="Normal"/>
    <w:autoRedefine/>
    <w:uiPriority w:val="39"/>
    <w:unhideWhenUsed/>
    <w:qFormat/>
    <w:rsid w:val="002B183A"/>
    <w:pPr>
      <w:tabs>
        <w:tab w:val="left" w:pos="900"/>
        <w:tab w:val="right" w:leader="dot" w:pos="9350"/>
      </w:tabs>
      <w:spacing w:after="100" w:line="276" w:lineRule="auto"/>
      <w:jc w:val="both"/>
    </w:pPr>
    <w:rPr>
      <w:rFonts w:ascii="Segoe UI" w:eastAsia="Times New Roman" w:hAnsi="Segoe UI" w:cs="Times New Roman"/>
      <w:b/>
      <w:color w:val="101820"/>
      <w:sz w:val="20"/>
      <w:szCs w:val="22"/>
      <w:lang w:eastAsia="en-US"/>
    </w:rPr>
  </w:style>
  <w:style w:type="character" w:styleId="BookTitle">
    <w:name w:val="Book Title"/>
    <w:uiPriority w:val="33"/>
    <w:qFormat/>
    <w:rsid w:val="002B183A"/>
    <w:rPr>
      <w:b/>
      <w:bCs/>
      <w:i/>
      <w:iCs/>
      <w:spacing w:val="5"/>
    </w:rPr>
  </w:style>
  <w:style w:type="paragraph" w:customStyle="1" w:styleId="Heading2">
    <w:name w:val="heading 2"/>
    <w:basedOn w:val="Normal"/>
    <w:pPr>
      <w:keepNext/>
      <w:spacing w:before="240" w:after="80"/>
      <w:outlineLvl w:val="1"/>
    </w:pPr>
    <w:rPr>
      <w:rFonts w:ascii="Segoe UI" w:hAnsi="Segoe UI"/>
      <w:b/>
      <w:color w:val="0F4761"/>
      <w:sz w:val="26"/>
    </w:rPr>
  </w:style>
  <w:style w:type="paragraph" w:customStyle="1" w:styleId="Heading3">
    <w:name w:val="heading 3"/>
    <w:basedOn w:val="Normal"/>
    <w:pPr>
      <w:keepNext/>
      <w:spacing w:before="240" w:after="80"/>
      <w:outlineLvl w:val="2"/>
    </w:pPr>
    <w:rPr>
      <w:rFonts w:ascii="Segoe UI" w:hAnsi="Segoe UI"/>
      <w:b/>
      <w:color w:val="0F4761"/>
      <w:sz w:val="23"/>
    </w:rPr>
  </w:style>
  <w:style w:type="paragraph" w:customStyle="1" w:styleId="toc2">
    <w:name w:val="toc 2"/>
    <w:basedOn w:val="TOC1"/>
    <w:pPr>
      <w:ind w:left="340"/>
    </w:pPr>
  </w:style>
  <w:style w:type="paragraph" w:customStyle="1" w:styleId="toc3">
    <w:name w:val="toc 3"/>
    <w:basedOn w:val="TOC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8</Pages>
  <Words>812</Words>
  <Characters>4634</Characters>
  <Application>Microsoft Office Word</Application>
  <DocSecurity>0</DocSecurity>
  <Lines>38</Lines>
  <Paragraphs>10</Paragraphs>
  <ScaleCrop>false</ScaleCrop>
  <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dc:creator>
  <cp:keywords/>
  <dc:description/>
  <cp:lastModifiedBy>Andrew R</cp:lastModifiedBy>
  <cp:revision>6</cp:revision>
  <dcterms:created xsi:type="dcterms:W3CDTF">2026-06-24T05:58:00Z</dcterms:created>
  <dcterms:modified xsi:type="dcterms:W3CDTF">2026-06-24T06:48:00Z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