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04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1.1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DPO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protection officer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NDA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Non-disclosure agreement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PIA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Privacy impact assessment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RAID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Risks, assumptions, issues and dependencies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RACI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Responsible, Accountable, Consulted, Informed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ROI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Return on investment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SLA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Service level agreement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Disaster recovery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SaaS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Software as a service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How to use this index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Client-facing</w:t>
      </w:r>
      <w:r>
        <w:rPr>
          <w:rFonts w:ascii="Segoe UI" w:hAnsi="Segoe UI" w:cs="Segoe UI" w:eastAsia="Segoe UI"/>
          <w:color w:val="101820"/>
          <w:sz w:val="21"/>
        </w:rPr>
        <w:t xml:space="preserve"> files may be given to the broker, normally from the stage shown.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INTERNAL</w:t>
      </w:r>
      <w:r>
        <w:rPr>
          <w:rFonts w:ascii="Segoe UI" w:hAnsi="Segoe UI" w:cs="Segoe UI" w:eastAsia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ascii="Consolas" w:hAnsi="Consolas" w:cs="Consolas" w:eastAsia="Consolas"/>
          <w:color w:val="101820"/>
          <w:sz w:val="19"/>
        </w:rPr>
        <w:t>_INTERNAL</w:t>
      </w:r>
      <w:r>
        <w:rPr>
          <w:rFonts w:ascii="Segoe UI" w:hAnsi="Segoe UI" w:cs="Segoe UI" w:eastAsia="Segoe UI"/>
          <w:color w:val="101820"/>
          <w:sz w:val="21"/>
        </w:rPr>
        <w:t xml:space="preserve"> where the document is a sales tool.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Lifecycle stages: Pre-sales, Contracting, Implementation, Go-live, Support.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The files are kept in </w:t>
      </w:r>
      <w:r>
        <w:rPr>
          <w:rFonts w:ascii="Consolas" w:hAnsi="Consolas" w:cs="Consolas" w:eastAsia="Consolas"/>
          <w:color w:val="101820"/>
          <w:sz w:val="19"/>
        </w:rPr>
        <w:t>docs/package</w:t>
      </w:r>
      <w:r>
        <w:rPr>
          <w:rFonts w:ascii="Segoe UI" w:hAnsi="Segoe UI" w:cs="Segoe UI" w:eastAsia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holds the text sources and </w:t>
      </w:r>
      <w:r>
        <w:rPr>
          <w:rFonts w:ascii="Consolas" w:hAnsi="Consolas" w:cs="Consolas" w:eastAsia="Consolas"/>
          <w:color w:val="101820"/>
          <w:sz w:val="19"/>
        </w:rPr>
        <w:t>tools/</w:t>
      </w:r>
      <w:r>
        <w:rPr>
          <w:rFonts w:ascii="Segoe UI" w:hAnsi="Segoe UI" w:cs="Segoe UI" w:eastAsia="Segoe UI"/>
          <w:color w:val="101820"/>
          <w:sz w:val="21"/>
        </w:rPr>
        <w:t xml:space="preserve"> the builders.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891"/>
        <w:gridCol w:w="4881"/>
        <w:gridCol w:w="1242"/>
      </w:tblGrid>
      <w:tr>
        <w:trPr>
          <w:tblHeader w:val="true"/>
        </w:trPr>
        <w:tc>
          <w:tcPr>
            <w:tcW w:type="dxa" w:w="28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Folder</w:t>
            </w:r>
          </w:p>
        </w:tc>
        <w:tc>
          <w:tcPr>
            <w:tcW w:type="dxa" w:w="488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What it holds</w:t>
            </w:r>
          </w:p>
        </w:tc>
        <w:tc>
          <w:tcPr>
            <w:tcW w:type="dxa" w:w="124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Documents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01_Sales/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10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02_Commercials/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03_Contracts/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18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04_Onboarding_and_Go_Live/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05_Delivery/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ascii="Consolas" w:hAnsi="Consolas" w:cs="Consolas" w:eastAsia="Consolas"/>
                <w:color w:val="101820"/>
                <w:sz w:val="16"/>
              </w:rPr>
              <w:t>Upload_Templates/</w:t>
            </w:r>
            <w:r>
              <w:rPr>
                <w:rFonts w:ascii="Segoe UI" w:hAnsi="Segoe UI" w:cs="Segoe UI" w:eastAsia="Segoe UI"/>
                <w:color w:val="101820"/>
                <w:sz w:val="18"/>
              </w:rPr>
              <w:t>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14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06_Support/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support, business continuity and disaster recovery, and releases.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07_Technical/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Architecture, infrastructure, security and privacy, technical reference, API catalogue and data dictionary.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</w:tr>
      <w:tr>
        <w:tc>
          <w:tcPr>
            <w:tcW w:type="dxa" w:w="2891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08_Management/</w:t>
            </w:r>
          </w:p>
        </w:tc>
        <w:tc>
          <w:tcPr>
            <w:tcW w:type="dxa" w:w="488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recommendation and management register, OOTB strategy and this index.</w:t>
            </w:r>
          </w:p>
        </w:tc>
        <w:tc>
          <w:tcPr>
            <w:tcW w:type="dxa" w:w="124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Index by audience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005"/>
        <w:gridCol w:w="6009"/>
      </w:tblGrid>
      <w:tr>
        <w:trPr>
          <w:tblHeader w:val="true"/>
        </w:trPr>
        <w:tc>
          <w:tcPr>
            <w:tcW w:type="dxa" w:w="300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</w:t>
            </w:r>
          </w:p>
        </w:tc>
        <w:tc>
          <w:tcPr>
            <w:tcW w:type="dxa" w:w="600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Start with</w:t>
            </w:r>
          </w:p>
        </w:tc>
      </w:tr>
      <w:tr>
        <w:tc>
          <w:tcPr>
            <w:tcW w:type="dxa" w:w="30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 (26 entries)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Functionality, Demo Script, FAQ and Objection Handling, Rate Card, Battlecard (INTERNAL), Negotiation Playbook (INTERNAL)</w:t>
            </w:r>
          </w:p>
        </w:tc>
      </w:tr>
      <w:tr>
        <w:tc>
          <w:tcPr>
            <w:tcW w:type="dxa" w:w="30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 (31 entries)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Approach and Plan, Discovery Workbook Guide, Fit-Gap Register, RAID Log, Data Migration and Cutover Plan, User Manual</w:t>
            </w:r>
          </w:p>
        </w:tc>
      </w:tr>
      <w:tr>
        <w:tc>
          <w:tcPr>
            <w:tcW w:type="dxa" w:w="30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 (10 entries)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Technical Reference, API and Dependency Catalogue, Data Dictionary, Release Notes Template</w:t>
            </w:r>
          </w:p>
        </w:tc>
      </w:tr>
      <w:tr>
        <w:tc>
          <w:tcPr>
            <w:tcW w:type="dxa" w:w="30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 (21 entries)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c>
          <w:tcPr>
            <w:tcW w:type="dxa" w:w="30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 (38 entries)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Go/No-Go and Management Register (INTERNAL), OOTB Strategy and Playbook (INTERNAL), Commercial Proposal Note (INTERNAL), Release Notes and Roadmap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Index by lifecycle stage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35"/>
        <w:gridCol w:w="6979"/>
      </w:tblGrid>
      <w:tr>
        <w:trPr>
          <w:tblHeader w:val="true"/>
        </w:trPr>
        <w:tc>
          <w:tcPr>
            <w:tcW w:type="dxa" w:w="203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Stage</w:t>
            </w:r>
          </w:p>
        </w:tc>
        <w:tc>
          <w:tcPr>
            <w:tcW w:type="dxa" w:w="697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Documents used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(INTERNAL);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(INTERNAL);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Statement of Work; Customer Responsibilities and RACI Annex; Change Request Procedure and Form; Discovery Workbook Guide; Discovery and Configuration Workbook; Data Migration and Cutover Plan;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(INTERNAL);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and Go Live Acceptance Certificates; Hypercare Exit and Handover Certificate; Data Migration and Cutover Plan;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(INTERNAL);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(INTERNAL); OOTB Documentation Pack Index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File list by folder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Sales (01_Sales)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016"/>
        <w:gridCol w:w="3014"/>
        <w:gridCol w:w="1599"/>
        <w:gridCol w:w="1386"/>
      </w:tblGrid>
      <w:tr>
        <w:trPr>
          <w:tblHeader w:val="true"/>
        </w:trPr>
        <w:tc>
          <w:tcPr>
            <w:tcW w:type="dxa" w:w="30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30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38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iNXT_BrokerVerse_Brochure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Two-page product brochure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iNXT_BrokerVerse_One_Page_Brochure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pdf, png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One-page summary for a first e-mail or a trade event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iNXT_BrokerVerse_Client_Presentation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pptx,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presentation deck for the first meeting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iNXT_BrokerVerse_Product_Functionality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What the product does, module by module, with the vendor comparison checklist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iNXT_BrokerVerse_Demo_Script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Scripted product demonstration with personas, data and timings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iNXT_BrokerVerse_FAQ_and_Objection_Handling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Answers to common questions and objections; known limits to disclose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iNXT_BrokerVerse_Prospect_Email_Templates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E-mails from first contact to the welcome after signing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Prospect_Email_Templates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txt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Plain-text copy of the prospect e-mails for pasting into a mail client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iNXT_BrokerVerse_ROI_Calculator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Return on investment calculator filled in with the broker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iNXT_BrokerVerse_Competitive_Battlecard_INTERNAL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Competitor positioning and proof points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Commercials (02_Commercials)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016"/>
        <w:gridCol w:w="3014"/>
        <w:gridCol w:w="1599"/>
        <w:gridCol w:w="1386"/>
      </w:tblGrid>
      <w:tr>
        <w:trPr>
          <w:tblHeader w:val="true"/>
        </w:trPr>
        <w:tc>
          <w:tcPr>
            <w:tcW w:type="dxa" w:w="30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30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38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iNXT_BrokerVerse_Commercial_Proposal_Rate_Card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Rate card and commercial proposal given to the broker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BrokerVerse_Commercials_and_Pricing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Formula-driven pricing model behind the rate card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Sales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iNXT_BrokerVerse_Price_Book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Price book with quick quote, packages and negotiation limits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BrokerVerse_Commercial_Proposal_Note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Pricing rationale, market positioning and commercial assumptions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Sales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3016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iNXT_BrokerVerse_Negotiation_Playbook_INTERNAL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30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Discount limits, trade-offs and approval rules in negotiation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13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Contracts (03_Contracts)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687"/>
        <w:gridCol w:w="2687"/>
        <w:gridCol w:w="1624"/>
        <w:gridCol w:w="2016"/>
      </w:tblGrid>
      <w:tr>
        <w:trPr>
          <w:tblHeader w:val="true"/>
        </w:trPr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162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20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iNXT_BrokerVerse_Contract_Pack_Index_and_Cover_Letter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Index of the contract pack and cover letter to the broker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iNXT_BrokerVerse_Mutual_Non_Disclosure_Agreement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Mutual NDA before detailed discussions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iNXT_BrokerVerse_Letter_of_Award_and_Proposal_Acceptance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Broker letter of award and acceptance of the proposal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iNXT_BrokerVerse_Master_Services_Agreement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Services Agreement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iNXT_BrokerVerse_Order_Form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Order Form: size, model, prices, hosting and dates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iNXT_BrokerVerse_Perpetual_Software_Licence_Agreement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Licence schedule for the perpetual model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iNXT_BrokerVerse_Software_Subscription_Agreement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 schedule for the SaaS model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iNXT_BrokerVerse_Implementation_Statement_of_Work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scope, milestones, acceptance and governance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iNXT_BrokerVerse_Annual_Maintenance_Support_and_SLA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Annual maintenance, support and service levels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iNXT_BrokerVerse_Hosting_and_Infrastructure_Services_Agreement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 services, data location, backups and recovery objectives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iNXT_BrokerVerse_Data_Processing_Agreement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processing agreement under the Data Privacy Act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iNXT_BrokerVerse_Service_Catalogue_and_Rate_Annex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Optional services and day rates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iNXT_BrokerVerse_Customer_Responsibilities_and_RACI_Annex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What the broker provides and who does what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iNXT_BrokerVerse_Change_Request_Procedure_and_Form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procedure and form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Implementation,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iNXT_BrokerVerse_Source_Code_Escrow_Agreement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Optional source code escrow with the perpetual licence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iNXT_BrokerVerse_Exit_and_Transition_Plan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return and transition at the end of the contract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iNXT_BrokerVerse_UAT_and_Go_Live_Acceptance_Certificates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and go-live acceptance certificates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iNXT_BrokerVerse_Hypercare_Exit_and_Handover_Certificate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 exit and handover to support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875"/>
        <w:gridCol w:w="2861"/>
        <w:gridCol w:w="1662"/>
        <w:gridCol w:w="1616"/>
      </w:tblGrid>
      <w:tr>
        <w:trPr>
          <w:tblHeader w:val="true"/>
        </w:trPr>
        <w:tc>
          <w:tcPr>
            <w:tcW w:type="dxa" w:w="287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86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166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6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875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BrokerVerse_Security_Due_Diligence_Questionnaire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pdf, xlsx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Pre-answered security and outsourcing due diligence questionnaire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</w:t>
            </w:r>
          </w:p>
        </w:tc>
      </w:tr>
      <w:tr>
        <w:tc>
          <w:tcPr>
            <w:tcW w:type="dxa" w:w="2875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BrokerVerse_Discovery_Workbook_Guide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How to run the discovery and configuration workshops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</w:tr>
      <w:tr>
        <w:tc>
          <w:tcPr>
            <w:tcW w:type="dxa" w:w="2875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BrokerVerse_Discovery_and_Configuration_Workbook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Configuration decisions captured in discovery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</w:tr>
      <w:tr>
        <w:tc>
          <w:tcPr>
            <w:tcW w:type="dxa" w:w="2875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BrokerVerse_Data_Migration_and_Cutover_Plan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 data, templates, mock loads, reconciliation and cutover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</w:t>
            </w:r>
          </w:p>
        </w:tc>
      </w:tr>
      <w:tr>
        <w:tc>
          <w:tcPr>
            <w:tcW w:type="dxa" w:w="2875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BrokerVerse_Privacy_Impact_Assessment_and_Records_of_Processing_Templates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86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PIA and records of processing pre-filled for the broker DPO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6.5  Delivery (05_Delivery)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687"/>
        <w:gridCol w:w="2687"/>
        <w:gridCol w:w="1848"/>
        <w:gridCol w:w="1792"/>
      </w:tblGrid>
      <w:tr>
        <w:trPr>
          <w:tblHeader w:val="true"/>
        </w:trPr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184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79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BrokerVerse_Implementation_Approach_and_Plan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Method, phases, plans by size, roles, governance and risks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BrokerVerse_Implementation_Plan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Gantt plans for the three sizes and the RACI matrix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BrokerVerse_Fit_Gap_Register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Register of requirements classed Fit, Configure, Procedure or Gap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BrokerVerse_RAID_Log_Template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Risks, assumptions, issues and dependencies with scoring and summary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BrokerVerse_Project_Status_Report_Template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Weekly or fortnightly status and steering committee report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BrokerVerse_Training_Plan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Training and change management by role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BrokerVerse_User_Manual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 manual for the seven roles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BrokerVerse_Reports_Book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pdf, 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Every report, dashboard and export with its columns and rules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BrokerVerse_Communication_Templates_and_Touchpoints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Every e-mail, notification and printed document the system sends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BrokerVerse_Communication_Touchpoints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Companion workbook of the communication templates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BrokerVerse_Schedules_and_Batch_Jobs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jobs, batch processes and the operational run book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BrokerVerse_Test_Cases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test cases, traceability and defects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Development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Go-live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BrokerVerse_Test_Summary_Report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Results of the release test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Development,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Go-live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BrokerVerse_Philippine_Regulatory_Compliance_Matrix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How the product supports IC, BIR, premium tax, CTPL, DPA and AMLA obligations</w:t>
            </w:r>
          </w:p>
        </w:tc>
        <w:tc>
          <w:tcPr>
            <w:tcW w:type="dxa" w:w="184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Delivery,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79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Implementation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6.6  Support (06_Support)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687"/>
        <w:gridCol w:w="2687"/>
        <w:gridCol w:w="2016"/>
        <w:gridCol w:w="1624"/>
      </w:tblGrid>
      <w:tr>
        <w:trPr>
          <w:tblHeader w:val="true"/>
        </w:trPr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6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20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62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BrokerVerse_Production_Support_Approach_and_Standards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 model, severities, change and release management, monitoring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Go-live,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BrokerVerse_Business_Continuity_and_Disaster_Recovery_Plan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Backups, recovery objectives, scenarios and DR tests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BrokerVerse_Release_Notes_and_Roadmap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What release 1.0 delivers, known limitations, versioning policy and indicative roadmap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Delivery, 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Go-live, Support</w:t>
            </w:r>
          </w:p>
        </w:tc>
      </w:tr>
      <w:tr>
        <w:tc>
          <w:tcPr>
            <w:tcW w:type="dxa" w:w="268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BrokerVerse_Release_Notes_Template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6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notes for each patch, minor or major release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62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6.7  Technical (07_Technical)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458"/>
        <w:gridCol w:w="2458"/>
        <w:gridCol w:w="2151"/>
        <w:gridCol w:w="1946"/>
      </w:tblGrid>
      <w:tr>
        <w:trPr>
          <w:tblHeader w:val="true"/>
        </w:trPr>
        <w:tc>
          <w:tcPr>
            <w:tcW w:type="dxa" w:w="245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45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215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194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45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BrokerVerse_Architecture_Infrastructure_Security_and_Privacy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4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Architecture, hosting options, security controls and data privacy</w:t>
            </w:r>
          </w:p>
        </w:tc>
        <w:tc>
          <w:tcPr>
            <w:tcW w:type="dxa" w:w="215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Development, 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9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Contracting, Implementation</w:t>
            </w:r>
          </w:p>
        </w:tc>
      </w:tr>
      <w:tr>
        <w:tc>
          <w:tcPr>
            <w:tcW w:type="dxa" w:w="245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BrokerVerse_Technical_Reference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4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Code base, modules, security implementation and how to extend</w:t>
            </w:r>
          </w:p>
        </w:tc>
        <w:tc>
          <w:tcPr>
            <w:tcW w:type="dxa" w:w="215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9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  <w:tr>
        <w:tc>
          <w:tcPr>
            <w:tcW w:type="dxa" w:w="245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BrokerVerse_API_and_Dependency_Catalogue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xlsx</w:t>
            </w:r>
          </w:p>
        </w:tc>
        <w:tc>
          <w:tcPr>
            <w:tcW w:type="dxa" w:w="24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Every API route with its permission and the screens that call it</w:t>
            </w:r>
          </w:p>
        </w:tc>
        <w:tc>
          <w:tcPr>
            <w:tcW w:type="dxa" w:w="215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9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  <w:tr>
        <w:tc>
          <w:tcPr>
            <w:tcW w:type="dxa" w:w="245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BrokerVerse_Data_Dictionary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pdf, xlsx</w:t>
            </w:r>
          </w:p>
        </w:tc>
        <w:tc>
          <w:tcPr>
            <w:tcW w:type="dxa" w:w="24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Tables, columns, relationships, personal data and retention</w:t>
            </w:r>
          </w:p>
        </w:tc>
        <w:tc>
          <w:tcPr>
            <w:tcW w:type="dxa" w:w="215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Delivery, Development, Support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19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6.8  Management (08_Management)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182"/>
        <w:gridCol w:w="2277"/>
        <w:gridCol w:w="2277"/>
        <w:gridCol w:w="2277"/>
      </w:tblGrid>
      <w:tr>
        <w:trPr>
          <w:tblHeader w:val="true"/>
        </w:trPr>
        <w:tc>
          <w:tcPr>
            <w:tcW w:type="dxa" w:w="218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File and formats</w:t>
            </w:r>
          </w:p>
        </w:tc>
        <w:tc>
          <w:tcPr>
            <w:tcW w:type="dxa" w:w="227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Purpose</w:t>
            </w:r>
          </w:p>
        </w:tc>
        <w:tc>
          <w:tcPr>
            <w:tcW w:type="dxa" w:w="227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 and distribution</w:t>
            </w:r>
          </w:p>
        </w:tc>
        <w:tc>
          <w:tcPr>
            <w:tcW w:type="dxa" w:w="227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Used in</w:t>
            </w:r>
          </w:p>
        </w:tc>
      </w:tr>
      <w:tr>
        <w:tc>
          <w:tcPr>
            <w:tcW w:type="dxa" w:w="218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BrokerVerse_Go_No_Go_and_Management_Register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Release recommendation, go-live conditions, risks, plans and decisions needed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Delivery, Development, Support, Sales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</w:tr>
      <w:tr>
        <w:tc>
          <w:tcPr>
            <w:tcW w:type="dxa" w:w="218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iNXT_BrokerVerse_OOTB_Strategy_and_Playbook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How iorta TechNXT sells, delivers, supports and evolves the OOTB product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Management, Sales, Delivery, Development, Support</w:t>
            </w:r>
          </w:p>
          <w:p>
            <w:r>
              <w:rPr>
                <w:rFonts w:ascii="Segoe UI" w:hAnsi="Segoe UI" w:cs="Segoe UI" w:eastAsia="Segoe UI"/>
                <w:b/>
                <w:color w:val="101820"/>
                <w:sz w:val="18"/>
              </w:rPr>
              <w:t>INTERNAL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Contracting, Implementation, Go-live, Support</w:t>
            </w:r>
          </w:p>
        </w:tc>
      </w:tr>
      <w:tr>
        <w:tc>
          <w:tcPr>
            <w:tcW w:type="dxa" w:w="218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6"/>
              </w:rPr>
              <w:t>BrokerVerse_OOTB_Documentation_Pack_Index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docx, pdf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This index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Sales, Delivery, Development, Support, Management</w:t>
            </w:r>
          </w:p>
          <w:p>
            <w:r>
              <w:rPr>
                <w:rFonts w:ascii="Segoe UI" w:hAnsi="Segoe UI" w:cs="Segoe UI" w:eastAsia="Segoe UI"/>
                <w:color w:val="101820"/>
                <w:sz w:val="18"/>
              </w:rPr>
              <w:t>Client-facing</w:t>
            </w:r>
          </w:p>
        </w:tc>
        <w:tc>
          <w:tcPr>
            <w:tcW w:type="dxa" w:w="2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Pre-sales, Contracting, Implementation, Go-live, Support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INTERNAL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files never leave iorta TechNXT: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01_Sales/iNXT_BrokerVerse_Competitive_Battlecard_INTERNAL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Competitor positioning and proof points.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02_Commercials/BrokerVerse_Commercials_and_Pricing</w:t>
      </w:r>
      <w:r>
        <w:rPr>
          <w:rFonts w:ascii="Segoe UI" w:hAnsi="Segoe UI" w:cs="Segoe UI" w:eastAsia="Segoe UI"/>
          <w:color w:val="101820"/>
          <w:sz w:val="21"/>
        </w:rPr>
        <w:t xml:space="preserve"> (xlsx): Formula-driven pricing model behind the rate card.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02_Commercials/iNXT_BrokerVerse_Price_Book</w:t>
      </w:r>
      <w:r>
        <w:rPr>
          <w:rFonts w:ascii="Segoe UI" w:hAnsi="Segoe UI" w:cs="Segoe UI" w:eastAsia="Segoe UI"/>
          <w:color w:val="101820"/>
          <w:sz w:val="21"/>
        </w:rPr>
        <w:t xml:space="preserve"> (xlsx): Price book with quick quote, packages and negotiation limits.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02_Commercials/BrokerVerse_Commercial_Proposal_Note</w:t>
      </w:r>
      <w:r>
        <w:rPr>
          <w:rFonts w:ascii="Segoe UI" w:hAnsi="Segoe UI" w:cs="Segoe UI" w:eastAsia="Segoe UI"/>
          <w:color w:val="101820"/>
          <w:sz w:val="21"/>
        </w:rPr>
        <w:t xml:space="preserve"> (docx, pdf): Pricing rationale, market positioning and commercial assumptions.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02_Commercials/iNXT_BrokerVerse_Negotiation_Playbook_INTERNAL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Discount limits, trade-offs and approval rules in negotiation.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08_Management/BrokerVerse_Go_No_Go_and_Management_Register</w:t>
      </w:r>
      <w:r>
        <w:rPr>
          <w:rFonts w:ascii="Segoe UI" w:hAnsi="Segoe UI" w:cs="Segoe UI" w:eastAsia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08_Management/iNXT_BrokerVerse_OOTB_Strategy_and_Playbook</w:t>
      </w:r>
      <w:r>
        <w:rPr>
          <w:rFonts w:ascii="Segoe UI" w:hAnsi="Segoe UI" w:cs="Segoe UI" w:eastAsia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8.  Building the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Each Word and PDF document is built from its text source in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ascii="Consolas" w:hAnsi="Consolas" w:cs="Consolas" w:eastAsia="Consolas"/>
          <w:color w:val="101820"/>
          <w:sz w:val="19"/>
        </w:rPr>
        <w:t>tools/build_all.py</w:t>
      </w:r>
      <w:r>
        <w:rPr>
          <w:rFonts w:ascii="Segoe UI" w:hAnsi="Segoe UI" w:cs="Segoe UI" w:eastAsia="Segoe UI"/>
          <w:color w:val="101820"/>
          <w:sz w:val="21"/>
        </w:rPr>
        <w:t>: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cd docs/package/tools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build_all.py --list                (which source becomes which file)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build_all.py                       (every document: .docx, contents page and .pdf)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build_all.py user-manual           (one document)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build_all.py --sales --workbooks   (also brochures, presentation and workbooks)</w:t>
      </w:r>
    </w:p>
    <w:p>
      <w:pPr>
        <w:spacing w:after="80"/>
      </w:pPr>
    </w:p>
    <w:p>
      <w:pPr>
        <w:spacing w:after="120" w:line="276" w:lineRule="auto"/>
      </w:pPr>
      <w:r>
        <w:rPr>
          <w:rFonts w:ascii="Consolas" w:hAnsi="Consolas" w:cs="Consolas" w:eastAsia="Consolas"/>
          <w:color w:val="101820"/>
          <w:sz w:val="19"/>
        </w:rPr>
        <w:t>build_all.py</w:t>
      </w:r>
      <w:r>
        <w:rPr>
          <w:rFonts w:ascii="Segoe UI" w:hAnsi="Segoe UI" w:cs="Segoe UI" w:eastAsia="Segoe UI"/>
          <w:color w:val="101820"/>
          <w:sz w:val="21"/>
        </w:rPr>
        <w:t xml:space="preserve"> runs </w:t>
      </w:r>
      <w:r>
        <w:rPr>
          <w:rFonts w:ascii="Consolas" w:hAnsi="Consolas" w:cs="Consolas" w:eastAsia="Consolas"/>
          <w:color w:val="101820"/>
          <w:sz w:val="19"/>
        </w:rPr>
        <w:t>build_doc.py</w:t>
      </w:r>
      <w:r>
        <w:rPr>
          <w:rFonts w:ascii="Segoe UI" w:hAnsi="Segoe UI" w:cs="Segoe UI" w:eastAsia="Segoe UI"/>
          <w:color w:val="101820"/>
          <w:sz w:val="21"/>
        </w:rPr>
        <w:t xml:space="preserve"> (text to .docx), the post-processing step where one is needed (</w:t>
      </w:r>
      <w:r>
        <w:rPr>
          <w:rFonts w:ascii="Consolas" w:hAnsi="Consolas" w:cs="Consolas" w:eastAsia="Consolas"/>
          <w:color w:val="101820"/>
          <w:sz w:val="19"/>
        </w:rPr>
        <w:t>brochure/widths.py</w:t>
      </w:r>
      <w:r>
        <w:rPr>
          <w:rFonts w:ascii="Segoe UI" w:hAnsi="Segoe UI" w:cs="Segoe UI" w:eastAsia="Segoe UI"/>
          <w:color w:val="101820"/>
          <w:sz w:val="21"/>
        </w:rPr>
        <w:t xml:space="preserve"> for the Product Functionality document) and </w:t>
      </w:r>
      <w:r>
        <w:rPr>
          <w:rFonts w:ascii="Consolas" w:hAnsi="Consolas" w:cs="Consolas" w:eastAsia="Consolas"/>
          <w:color w:val="101820"/>
          <w:sz w:val="19"/>
        </w:rPr>
        <w:t>refresh.py</w:t>
      </w:r>
      <w:r>
        <w:rPr>
          <w:rFonts w:ascii="Segoe UI" w:hAnsi="Segoe UI" w:cs="Segoe UI" w:eastAsia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ascii="Consolas" w:hAnsi="Consolas" w:cs="Consolas" w:eastAsia="Consolas"/>
          <w:color w:val="101820"/>
          <w:sz w:val="19"/>
        </w:rPr>
        <w:t>build_pricing.py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build_price_book.py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build_roi.py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build_questionnaire_xlsx.py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build_discovery_workbook.py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build_plan_xlsx.py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build_project_templates_xlsx.py</w:t>
      </w:r>
      <w:r>
        <w:rPr>
          <w:rFonts w:ascii="Segoe UI" w:hAnsi="Segoe UI" w:cs="Segoe UI" w:eastAsia="Segoe UI"/>
          <w:color w:val="101820"/>
          <w:sz w:val="21"/>
        </w:rPr>
        <w:t xml:space="preserve"> (Fit-Gap Register and RAID Log), </w:t>
      </w:r>
      <w:r>
        <w:rPr>
          <w:rFonts w:ascii="Consolas" w:hAnsi="Consolas" w:cs="Consolas" w:eastAsia="Consolas"/>
          <w:color w:val="101820"/>
          <w:sz w:val="19"/>
        </w:rPr>
        <w:t>build_touchpoints_xlsx.py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build_api_catalogue.py</w:t>
      </w:r>
      <w:r>
        <w:rPr>
          <w:rFonts w:ascii="Segoe UI" w:hAnsi="Segoe UI" w:cs="Segoe UI" w:eastAsia="Segoe UI"/>
          <w:color w:val="101820"/>
          <w:sz w:val="21"/>
        </w:rPr>
        <w:t xml:space="preserve"> and </w:t>
      </w:r>
      <w:r>
        <w:rPr>
          <w:rFonts w:ascii="Consolas" w:hAnsi="Consolas" w:cs="Consolas" w:eastAsia="Consolas"/>
          <w:color w:val="101820"/>
          <w:sz w:val="19"/>
        </w:rPr>
        <w:t>data-dictionary/</w:t>
      </w:r>
      <w:r>
        <w:rPr>
          <w:rFonts w:ascii="Segoe UI" w:hAnsi="Segoe UI" w:cs="Segoe UI" w:eastAsia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ascii="Consolas" w:hAnsi="Consolas" w:cs="Consolas" w:eastAsia="Consolas"/>
          <w:color w:val="101820"/>
          <w:sz w:val="19"/>
        </w:rPr>
        <w:t>tools/WRITING_RULES.md</w:t>
      </w:r>
      <w:r>
        <w:rPr>
          <w:rFonts w:ascii="Segoe UI" w:hAnsi="Segoe UI" w:cs="Segoe UI" w:eastAsia="Segoe UI"/>
          <w:color w:val="101820"/>
          <w:sz w:val="21"/>
        </w:rPr>
        <w:t xml:space="preserve">. This index is generated by </w:t>
      </w:r>
      <w:r>
        <w:rPr>
          <w:rFonts w:ascii="Consolas" w:hAnsi="Consolas" w:cs="Consolas" w:eastAsia="Consolas"/>
          <w:color w:val="101820"/>
          <w:sz w:val="19"/>
        </w:rPr>
        <w:t>build_pack_index.py</w:t>
      </w:r>
      <w:r>
        <w:rPr>
          <w:rFonts w:ascii="Segoe UI" w:hAnsi="Segoe UI" w:cs="Segoe UI" w:eastAsia="Segoe UI"/>
          <w:color w:val="101820"/>
          <w:sz w:val="21"/>
        </w:rPr>
        <w:t>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9.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 open items at the time of issue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