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Documentation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Documentation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documents by department, folder and lifecycle stage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documents by department, folder and lifecycle stage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327_37984128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8329_37984128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8331_3798412894">
            <w:r>
              <w:rPr>
                <w:webHidden/>
                <w:rStyle w:val="IndexLink"/>
              </w:rPr>
              <w:t>3. How to use this index</w:t>
              <w:tab/>
              <w:t>4</w:t>
            </w:r>
          </w:hyperlink>
        </w:p>
        <w:p>
          <w:pPr>
            <w:pStyle w:val="TOC1"/>
            <w:tabs>
              <w:tab w:val="clear" w:pos="900"/>
              <w:tab w:val="clear" w:pos="9350"/>
              <w:tab w:val="right" w:pos="9025" w:leader="dot"/>
            </w:tabs>
            <w:rPr/>
          </w:pPr>
          <w:hyperlink w:anchor="__RefHeading___Toc8333_3798412894">
            <w:r>
              <w:rPr>
                <w:webHidden/>
                <w:rStyle w:val="IndexLink"/>
              </w:rPr>
              <w:t>4. Index by department</w:t>
              <w:tab/>
              <w:t>6</w:t>
            </w:r>
          </w:hyperlink>
        </w:p>
        <w:p>
          <w:pPr>
            <w:pStyle w:val="TOC2"/>
            <w:tabs>
              <w:tab w:val="clear" w:pos="900"/>
              <w:tab w:val="clear" w:pos="9350"/>
              <w:tab w:val="right" w:pos="9025" w:leader="dot"/>
            </w:tabs>
            <w:rPr/>
          </w:pPr>
          <w:hyperlink w:anchor="__RefHeading___Toc8335_3798412894">
            <w:r>
              <w:rPr>
                <w:webHidden/>
                <w:rStyle w:val="IndexLink"/>
              </w:rPr>
              <w:t>4.1 Users</w:t>
              <w:tab/>
              <w:t>6</w:t>
            </w:r>
          </w:hyperlink>
        </w:p>
        <w:p>
          <w:pPr>
            <w:pStyle w:val="TOC2"/>
            <w:tabs>
              <w:tab w:val="clear" w:pos="900"/>
              <w:tab w:val="clear" w:pos="9350"/>
              <w:tab w:val="right" w:pos="9025" w:leader="dot"/>
            </w:tabs>
            <w:rPr/>
          </w:pPr>
          <w:hyperlink w:anchor="__RefHeading___Toc8337_3798412894">
            <w:r>
              <w:rPr>
                <w:webHidden/>
                <w:rStyle w:val="IndexLink"/>
              </w:rPr>
              <w:t>4.2 Developers</w:t>
              <w:tab/>
              <w:t>6</w:t>
            </w:r>
          </w:hyperlink>
        </w:p>
        <w:p>
          <w:pPr>
            <w:pStyle w:val="TOC2"/>
            <w:tabs>
              <w:tab w:val="clear" w:pos="900"/>
              <w:tab w:val="clear" w:pos="9350"/>
              <w:tab w:val="right" w:pos="9025" w:leader="dot"/>
            </w:tabs>
            <w:rPr/>
          </w:pPr>
          <w:hyperlink w:anchor="__RefHeading___Toc8339_3798412894">
            <w:r>
              <w:rPr>
                <w:webHidden/>
                <w:rStyle w:val="IndexLink"/>
              </w:rPr>
              <w:t>4.3 Business analysts</w:t>
              <w:tab/>
              <w:t>7</w:t>
            </w:r>
          </w:hyperlink>
        </w:p>
        <w:p>
          <w:pPr>
            <w:pStyle w:val="TOC2"/>
            <w:tabs>
              <w:tab w:val="clear" w:pos="900"/>
              <w:tab w:val="clear" w:pos="9350"/>
              <w:tab w:val="right" w:pos="9025" w:leader="dot"/>
            </w:tabs>
            <w:rPr/>
          </w:pPr>
          <w:hyperlink w:anchor="__RefHeading___Toc8341_3798412894">
            <w:r>
              <w:rPr>
                <w:webHidden/>
                <w:rStyle w:val="IndexLink"/>
              </w:rPr>
              <w:t>4.4 QA</w:t>
              <w:tab/>
              <w:t>8</w:t>
            </w:r>
          </w:hyperlink>
        </w:p>
        <w:p>
          <w:pPr>
            <w:pStyle w:val="TOC2"/>
            <w:tabs>
              <w:tab w:val="clear" w:pos="900"/>
              <w:tab w:val="clear" w:pos="9350"/>
              <w:tab w:val="right" w:pos="9025" w:leader="dot"/>
            </w:tabs>
            <w:rPr/>
          </w:pPr>
          <w:hyperlink w:anchor="__RefHeading___Toc8343_3798412894">
            <w:r>
              <w:rPr>
                <w:webHidden/>
                <w:rStyle w:val="IndexLink"/>
              </w:rPr>
              <w:t>4.5 Delivery and PM</w:t>
              <w:tab/>
              <w:t>9</w:t>
            </w:r>
          </w:hyperlink>
        </w:p>
        <w:p>
          <w:pPr>
            <w:pStyle w:val="TOC2"/>
            <w:tabs>
              <w:tab w:val="clear" w:pos="900"/>
              <w:tab w:val="clear" w:pos="9350"/>
              <w:tab w:val="right" w:pos="9025" w:leader="dot"/>
            </w:tabs>
            <w:rPr/>
          </w:pPr>
          <w:hyperlink w:anchor="__RefHeading___Toc8345_3798412894">
            <w:r>
              <w:rPr>
                <w:webHidden/>
                <w:rStyle w:val="IndexLink"/>
              </w:rPr>
              <w:t>4.6 Sales</w:t>
              <w:tab/>
              <w:t>11</w:t>
            </w:r>
          </w:hyperlink>
        </w:p>
        <w:p>
          <w:pPr>
            <w:pStyle w:val="TOC2"/>
            <w:tabs>
              <w:tab w:val="clear" w:pos="900"/>
              <w:tab w:val="clear" w:pos="9350"/>
              <w:tab w:val="right" w:pos="9025" w:leader="dot"/>
            </w:tabs>
            <w:rPr/>
          </w:pPr>
          <w:hyperlink w:anchor="__RefHeading___Toc8347_3798412894">
            <w:r>
              <w:rPr>
                <w:webHidden/>
                <w:rStyle w:val="IndexLink"/>
              </w:rPr>
              <w:t>4.7 Support</w:t>
              <w:tab/>
              <w:t>12</w:t>
            </w:r>
          </w:hyperlink>
        </w:p>
        <w:p>
          <w:pPr>
            <w:pStyle w:val="TOC2"/>
            <w:tabs>
              <w:tab w:val="clear" w:pos="900"/>
              <w:tab w:val="clear" w:pos="9350"/>
              <w:tab w:val="right" w:pos="9025" w:leader="dot"/>
            </w:tabs>
            <w:rPr/>
          </w:pPr>
          <w:hyperlink w:anchor="__RefHeading___Toc8349_3798412894">
            <w:r>
              <w:rPr>
                <w:webHidden/>
                <w:rStyle w:val="IndexLink"/>
              </w:rPr>
              <w:t>4.8 Management</w:t>
              <w:tab/>
              <w:t>13</w:t>
            </w:r>
          </w:hyperlink>
        </w:p>
        <w:p>
          <w:pPr>
            <w:pStyle w:val="TOC1"/>
            <w:tabs>
              <w:tab w:val="clear" w:pos="900"/>
              <w:tab w:val="clear" w:pos="9350"/>
              <w:tab w:val="right" w:pos="9025" w:leader="dot"/>
            </w:tabs>
            <w:rPr/>
          </w:pPr>
          <w:hyperlink w:anchor="__RefHeading___Toc8351_3798412894">
            <w:r>
              <w:rPr>
                <w:webHidden/>
                <w:rStyle w:val="IndexLink"/>
              </w:rPr>
              <w:t>5. Index by lifecycle stage</w:t>
              <w:tab/>
              <w:t>16</w:t>
            </w:r>
          </w:hyperlink>
        </w:p>
        <w:p>
          <w:pPr>
            <w:pStyle w:val="TOC1"/>
            <w:tabs>
              <w:tab w:val="clear" w:pos="900"/>
              <w:tab w:val="clear" w:pos="9350"/>
              <w:tab w:val="right" w:pos="9025" w:leader="dot"/>
            </w:tabs>
            <w:rPr/>
          </w:pPr>
          <w:hyperlink w:anchor="__RefHeading___Toc8353_3798412894">
            <w:r>
              <w:rPr>
                <w:webHidden/>
                <w:rStyle w:val="IndexLink"/>
              </w:rPr>
              <w:t>6. File list by folder</w:t>
              <w:tab/>
              <w:t>18</w:t>
            </w:r>
          </w:hyperlink>
        </w:p>
        <w:p>
          <w:pPr>
            <w:pStyle w:val="TOC2"/>
            <w:tabs>
              <w:tab w:val="clear" w:pos="900"/>
              <w:tab w:val="clear" w:pos="9350"/>
              <w:tab w:val="right" w:pos="9025" w:leader="dot"/>
            </w:tabs>
            <w:rPr/>
          </w:pPr>
          <w:hyperlink w:anchor="__RefHeading___Toc8355_3798412894">
            <w:r>
              <w:rPr>
                <w:webHidden/>
                <w:rStyle w:val="IndexLink"/>
              </w:rPr>
              <w:t>6.1 Sales (01_Sales)</w:t>
              <w:tab/>
              <w:t>18</w:t>
            </w:r>
          </w:hyperlink>
        </w:p>
        <w:p>
          <w:pPr>
            <w:pStyle w:val="TOC2"/>
            <w:tabs>
              <w:tab w:val="clear" w:pos="900"/>
              <w:tab w:val="clear" w:pos="9350"/>
              <w:tab w:val="right" w:pos="9025" w:leader="dot"/>
            </w:tabs>
            <w:rPr/>
          </w:pPr>
          <w:hyperlink w:anchor="__RefHeading___Toc8357_3798412894">
            <w:r>
              <w:rPr>
                <w:webHidden/>
                <w:rStyle w:val="IndexLink"/>
              </w:rPr>
              <w:t>6.2 Commercials (02_Commercials)</w:t>
              <w:tab/>
              <w:t>18</w:t>
            </w:r>
          </w:hyperlink>
        </w:p>
        <w:p>
          <w:pPr>
            <w:pStyle w:val="TOC2"/>
            <w:tabs>
              <w:tab w:val="clear" w:pos="900"/>
              <w:tab w:val="clear" w:pos="9350"/>
              <w:tab w:val="right" w:pos="9025" w:leader="dot"/>
            </w:tabs>
            <w:rPr/>
          </w:pPr>
          <w:hyperlink w:anchor="__RefHeading___Toc8359_3798412894">
            <w:r>
              <w:rPr>
                <w:webHidden/>
                <w:rStyle w:val="IndexLink"/>
              </w:rPr>
              <w:t>6.3 Contracts (03_Contracts)</w:t>
              <w:tab/>
              <w:t>19</w:t>
            </w:r>
          </w:hyperlink>
        </w:p>
        <w:p>
          <w:pPr>
            <w:pStyle w:val="TOC2"/>
            <w:tabs>
              <w:tab w:val="clear" w:pos="900"/>
              <w:tab w:val="clear" w:pos="9350"/>
              <w:tab w:val="right" w:pos="9025" w:leader="dot"/>
            </w:tabs>
            <w:rPr/>
          </w:pPr>
          <w:hyperlink w:anchor="__RefHeading___Toc8361_3798412894">
            <w:r>
              <w:rPr>
                <w:webHidden/>
                <w:rStyle w:val="IndexLink"/>
              </w:rPr>
              <w:t>6.4 Onboarding and go-live (04_Onboarding_and_Go_Live)</w:t>
              <w:tab/>
              <w:t>20</w:t>
            </w:r>
          </w:hyperlink>
        </w:p>
        <w:p>
          <w:pPr>
            <w:pStyle w:val="TOC2"/>
            <w:tabs>
              <w:tab w:val="clear" w:pos="900"/>
              <w:tab w:val="clear" w:pos="9350"/>
              <w:tab w:val="right" w:pos="9025" w:leader="dot"/>
            </w:tabs>
            <w:rPr/>
          </w:pPr>
          <w:hyperlink w:anchor="__RefHeading___Toc8363_3798412894">
            <w:r>
              <w:rPr>
                <w:webHidden/>
                <w:rStyle w:val="IndexLink"/>
              </w:rPr>
              <w:t>6.5 Delivery (05_Delivery)</w:t>
              <w:tab/>
              <w:t>21</w:t>
            </w:r>
          </w:hyperlink>
        </w:p>
        <w:p>
          <w:pPr>
            <w:pStyle w:val="TOC2"/>
            <w:tabs>
              <w:tab w:val="clear" w:pos="900"/>
              <w:tab w:val="clear" w:pos="9350"/>
              <w:tab w:val="right" w:pos="9025" w:leader="dot"/>
            </w:tabs>
            <w:rPr/>
          </w:pPr>
          <w:hyperlink w:anchor="__RefHeading___Toc8365_3798412894">
            <w:r>
              <w:rPr>
                <w:webHidden/>
                <w:rStyle w:val="IndexLink"/>
              </w:rPr>
              <w:t>6.6 Support (06_Support)</w:t>
              <w:tab/>
              <w:t>22</w:t>
            </w:r>
          </w:hyperlink>
        </w:p>
        <w:p>
          <w:pPr>
            <w:pStyle w:val="TOC2"/>
            <w:tabs>
              <w:tab w:val="clear" w:pos="900"/>
              <w:tab w:val="clear" w:pos="9350"/>
              <w:tab w:val="right" w:pos="9025" w:leader="dot"/>
            </w:tabs>
            <w:rPr/>
          </w:pPr>
          <w:hyperlink w:anchor="__RefHeading___Toc8367_3798412894">
            <w:r>
              <w:rPr>
                <w:webHidden/>
                <w:rStyle w:val="IndexLink"/>
              </w:rPr>
              <w:t>6.7 Technical (07_Technical)</w:t>
              <w:tab/>
              <w:t>23</w:t>
            </w:r>
          </w:hyperlink>
        </w:p>
        <w:p>
          <w:pPr>
            <w:pStyle w:val="TOC2"/>
            <w:tabs>
              <w:tab w:val="clear" w:pos="900"/>
              <w:tab w:val="clear" w:pos="9350"/>
              <w:tab w:val="right" w:pos="9025" w:leader="dot"/>
            </w:tabs>
            <w:rPr/>
          </w:pPr>
          <w:hyperlink w:anchor="__RefHeading___Toc8369_3798412894">
            <w:r>
              <w:rPr>
                <w:webHidden/>
                <w:rStyle w:val="IndexLink"/>
              </w:rPr>
              <w:t>6.8 Management (08_Management)</w:t>
              <w:tab/>
              <w:t>23</w:t>
            </w:r>
          </w:hyperlink>
        </w:p>
        <w:p>
          <w:pPr>
            <w:pStyle w:val="TOC1"/>
            <w:tabs>
              <w:tab w:val="clear" w:pos="900"/>
              <w:tab w:val="clear" w:pos="9350"/>
              <w:tab w:val="right" w:pos="9025" w:leader="dot"/>
            </w:tabs>
            <w:rPr/>
          </w:pPr>
          <w:hyperlink w:anchor="__RefHeading___Toc8371_3798412894">
            <w:r>
              <w:rPr>
                <w:webHidden/>
                <w:rStyle w:val="IndexLink"/>
              </w:rPr>
              <w:t>7. INTERNAL documents</w:t>
              <w:tab/>
              <w:t>24</w:t>
            </w:r>
          </w:hyperlink>
        </w:p>
        <w:p>
          <w:pPr>
            <w:pStyle w:val="TOC1"/>
            <w:tabs>
              <w:tab w:val="clear" w:pos="900"/>
              <w:tab w:val="clear" w:pos="9350"/>
              <w:tab w:val="right" w:pos="9025" w:leader="dot"/>
            </w:tabs>
            <w:rPr/>
          </w:pPr>
          <w:hyperlink w:anchor="__RefHeading___Toc8373_3798412894">
            <w:r>
              <w:rPr>
                <w:webHidden/>
                <w:rStyle w:val="IndexLink"/>
              </w:rPr>
              <w:t>8. Building the documents</w:t>
              <w:tab/>
              <w:t>25</w:t>
            </w:r>
          </w:hyperlink>
        </w:p>
        <w:p>
          <w:pPr>
            <w:pStyle w:val="TOC1"/>
            <w:tabs>
              <w:tab w:val="clear" w:pos="900"/>
              <w:tab w:val="clear" w:pos="9350"/>
              <w:tab w:val="right" w:pos="9025" w:leader="dot"/>
            </w:tabs>
            <w:rPr/>
          </w:pPr>
          <w:hyperlink w:anchor="__RefHeading___Toc8375_3798412894">
            <w:r>
              <w:rPr>
                <w:webHidden/>
                <w:rStyle w:val="IndexLink"/>
                <w:i w:val="false"/>
                <w:iCs w:val="false"/>
              </w:rPr>
              <w:t>9.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327_37984128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Index by department (users, developers, business analysts, QA, delivery and PM, sales, support, management) with what each document is for; BRD, process flows, test strategy and plan, traceability matrix and dependency map added; brand packs and the guides kept with the code listed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329_37984128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requirements document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PFD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Process flow document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Return on investment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331_3798412894"/>
      <w:bookmarkEnd w:id="6"/>
      <w:r>
        <w:rPr>
          <w:rFonts w:eastAsia="Segoe UI" w:cs="Segoe UI" w:ascii="Segoe UI" w:hAnsi="Segoe UI"/>
          <w:b/>
          <w:color w:val="0F4761"/>
          <w:sz w:val="32"/>
        </w:rPr>
        <w:t>3.  How to use this index</w:t>
      </w:r>
    </w:p>
    <w:p>
      <w:pPr>
        <w:pStyle w:val="Normal"/>
        <w:spacing w:lineRule="auto" w:line="276" w:before="0" w:after="120"/>
        <w:rPr/>
      </w:pPr>
      <w:r>
        <w:rPr>
          <w:rFonts w:eastAsia="Segoe UI" w:cs="Segoe UI" w:ascii="Segoe UI" w:hAnsi="Segoe UI"/>
          <w:color w:val="101820"/>
          <w:sz w:val="21"/>
        </w:rPr>
        <w:t>The BrokerVerse OOTB documentation pack holds every document iorta TechNXT uses to sell, contract, implement, run and support iNXT BrokerVerse OOTB for a Philippine non-life broker. This index lists each document for each department that uses it, with what it is for, then each file by folder and by stage of the customer lifecycle.</w:t>
      </w:r>
    </w:p>
    <w:p>
      <w:pPr>
        <w:pStyle w:val="Normal"/>
        <w:numPr>
          <w:ilvl w:val="0"/>
          <w:numId w:val="1"/>
        </w:numPr>
        <w:spacing w:before="0" w:after="60"/>
        <w:rPr/>
      </w:pPr>
      <w:r>
        <w:rPr>
          <w:rFonts w:eastAsia="Segoe UI" w:cs="Segoe UI" w:ascii="Segoe UI" w:hAnsi="Segoe UI"/>
          <w:b/>
          <w:color w:val="101820"/>
          <w:sz w:val="21"/>
        </w:rPr>
        <w:t>Client-facing</w:t>
      </w:r>
      <w:r>
        <w:rPr>
          <w:rFonts w:eastAsia="Segoe UI" w:cs="Segoe UI" w:ascii="Segoe UI" w:hAnsi="Segoe UI"/>
          <w:color w:val="101820"/>
          <w:sz w:val="21"/>
        </w:rPr>
        <w:t xml:space="preserve"> files may be given to the broker, normally from the stage shown.</w:t>
      </w:r>
    </w:p>
    <w:p>
      <w:pPr>
        <w:pStyle w:val="Normal"/>
        <w:numPr>
          <w:ilvl w:val="0"/>
          <w:numId w:val="1"/>
        </w:numPr>
        <w:spacing w:before="0" w:after="60"/>
        <w:rPr/>
      </w:pPr>
      <w:r>
        <w:rPr>
          <w:rFonts w:eastAsia="Segoe UI" w:cs="Segoe UI" w:ascii="Segoe UI" w:hAnsi="Segoe UI"/>
          <w:b/>
          <w:color w:val="101820"/>
          <w:sz w:val="21"/>
        </w:rPr>
        <w:t>INTERNAL</w:t>
      </w:r>
      <w:r>
        <w:rPr>
          <w:rFonts w:eastAsia="Segoe UI" w:cs="Segoe UI" w:ascii="Segoe UI" w:hAnsi="Segoe UI"/>
          <w:color w:val="101820"/>
          <w:sz w:val="21"/>
        </w:rPr>
        <w:t xml:space="preserve"> files are for iorta TechNXT staff only. They hold pricing logic, discount limits, competitor positioning, internal strategy or a third party's marks and are never sent to a broker or attached to a proposal. Their file names end in </w:t>
      </w:r>
      <w:r>
        <w:rPr>
          <w:rFonts w:eastAsia="Consolas" w:cs="Consolas" w:ascii="Consolas" w:hAnsi="Consolas"/>
          <w:color w:val="101820"/>
          <w:sz w:val="19"/>
        </w:rPr>
        <w:t>_INTERNAL</w:t>
      </w:r>
      <w:r>
        <w:rPr>
          <w:rFonts w:eastAsia="Segoe UI" w:cs="Segoe UI" w:ascii="Segoe UI" w:hAnsi="Segoe UI"/>
          <w:color w:val="101820"/>
          <w:sz w:val="21"/>
        </w:rPr>
        <w:t xml:space="preserve"> where the document is a sales tool.</w:t>
      </w:r>
    </w:p>
    <w:p>
      <w:pPr>
        <w:pStyle w:val="Normal"/>
        <w:numPr>
          <w:ilvl w:val="0"/>
          <w:numId w:val="1"/>
        </w:numPr>
        <w:spacing w:before="0" w:after="60"/>
        <w:rPr/>
      </w:pPr>
      <w:r>
        <w:rPr>
          <w:rFonts w:eastAsia="Segoe UI" w:cs="Segoe UI" w:ascii="Segoe UI" w:hAnsi="Segoe UI"/>
          <w:color w:val="101820"/>
          <w:sz w:val="21"/>
        </w:rPr>
        <w:t>Departments: Users (the broker's users and key users, and the System Administrator, using the application day to day); Developers (product engineering and the developers who review, extend or deploy the code); Business analysts (business analysts and solution consultants who run discovery, fit-gap and configuration); QA (quality analysts and test leads who plan, run and report the tests); Delivery and PM (the delivery head, project managers and implementation consultants); Sales (account managers and presales); Support (l2 application support, L3 engineering on call and DevOps); Management (iorta TechNXT management, and the broker's management for client-facing files).</w:t>
      </w:r>
    </w:p>
    <w:p>
      <w:pPr>
        <w:pStyle w:val="Normal"/>
        <w:numPr>
          <w:ilvl w:val="0"/>
          <w:numId w:val="1"/>
        </w:numPr>
        <w:spacing w:before="0" w:after="60"/>
        <w:rPr/>
      </w:pPr>
      <w:r>
        <w:rPr>
          <w:rFonts w:eastAsia="Segoe UI" w:cs="Segoe UI" w:ascii="Segoe UI" w:hAnsi="Segoe UI"/>
          <w:color w:val="101820"/>
          <w:sz w:val="21"/>
        </w:rPr>
        <w:t>Lifecycle stages: Pre-sales, Contracting, Implementation, Go-live, Support.</w:t>
      </w:r>
    </w:p>
    <w:p>
      <w:pPr>
        <w:pStyle w:val="Normal"/>
        <w:spacing w:lineRule="auto" w:line="276" w:before="0" w:after="120"/>
        <w:rPr/>
      </w:pPr>
      <w:r>
        <w:rPr>
          <w:rFonts w:eastAsia="Segoe UI" w:cs="Segoe UI" w:ascii="Segoe UI" w:hAnsi="Segoe UI"/>
          <w:color w:val="101820"/>
          <w:sz w:val="21"/>
        </w:rPr>
        <w:t xml:space="preserve">The files are kept in </w:t>
      </w:r>
      <w:r>
        <w:rPr>
          <w:rFonts w:eastAsia="Consolas" w:cs="Consolas" w:ascii="Consolas" w:hAnsi="Consolas"/>
          <w:color w:val="101820"/>
          <w:sz w:val="19"/>
        </w:rPr>
        <w:t>docs/package</w:t>
      </w:r>
      <w:r>
        <w:rPr>
          <w:rFonts w:eastAsia="Segoe UI" w:cs="Segoe UI" w:ascii="Segoe UI" w:hAnsi="Segoe UI"/>
          <w:color w:val="101820"/>
          <w:sz w:val="21"/>
        </w:rPr>
        <w:t xml:space="preserve">, one folder per purpose in the order of the customer lifecycle, and each file is kept once, in its latest version: a superseded document is removed with its source. </w:t>
      </w:r>
      <w:r>
        <w:rPr>
          <w:rFonts w:eastAsia="Consolas" w:cs="Consolas" w:ascii="Consolas" w:hAnsi="Consolas"/>
          <w:color w:val="101820"/>
          <w:sz w:val="19"/>
        </w:rPr>
        <w:t>source/</w:t>
      </w:r>
      <w:r>
        <w:rPr>
          <w:rFonts w:eastAsia="Segoe UI" w:cs="Segoe UI" w:ascii="Segoe UI" w:hAnsi="Segoe UI"/>
          <w:color w:val="101820"/>
          <w:sz w:val="21"/>
        </w:rPr>
        <w:t xml:space="preserve"> holds the text sources and </w:t>
      </w:r>
      <w:r>
        <w:rPr>
          <w:rFonts w:eastAsia="Consolas" w:cs="Consolas" w:ascii="Consolas" w:hAnsi="Consolas"/>
          <w:color w:val="101820"/>
          <w:sz w:val="19"/>
        </w:rPr>
        <w:t>tools/</w:t>
      </w:r>
      <w:r>
        <w:rPr>
          <w:rFonts w:eastAsia="Segoe UI" w:cs="Segoe UI" w:ascii="Segoe UI" w:hAnsi="Segoe UI"/>
          <w:color w:val="101820"/>
          <w:sz w:val="21"/>
        </w:rPr>
        <w:t xml:space="preserve"> the builders.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17"/>
        <w:gridCol w:w="5090"/>
        <w:gridCol w:w="907"/>
      </w:tblGrid>
      <w:tr>
        <w:trPr>
          <w:tblHeader w:val="true"/>
        </w:trPr>
        <w:tc>
          <w:tcPr>
            <w:tcW w:w="30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Material for prospects and the sales team: brochures, presentation, functionality, demo, FAQ, e-mails, ROI calculator and the competitive battlecard.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Prices and the commercial proposal: the rate card given to the broker, and the internal pricing model, price book, proposal note and negotiation playbook.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contract pack, from the NDA to the hypercare exit certificate, including the SOW and the UAT and go-live acceptance certificates.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What the broker completes or reviews to onboard and go live: security due diligence, discovery and configuration, privacy impact assessment, data migration and cutover, environments and rollout. Brand packs are kept in the sub-folder </w:t>
            </w:r>
            <w:r>
              <w:rPr>
                <w:rFonts w:eastAsia="Consolas" w:cs="Consolas" w:ascii="Consolas" w:hAnsi="Consolas"/>
                <w:color w:val="101820"/>
                <w:kern w:val="0"/>
                <w:sz w:val="16"/>
                <w:szCs w:val="24"/>
                <w:lang w:val="en-US" w:eastAsia="ja-JP" w:bidi="ar-SA"/>
              </w:rPr>
              <w:t>Brand_Packs/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implementation project: BRD, process flows, approach and plan, dependency map, project control templates, training, user manual, reports, communications, schedules, test strategy, plan, cases, traceability and results, and the regulatory compliance matrix. The standard upload templates are kept in the sub-folder </w:t>
            </w:r>
            <w:r>
              <w:rPr>
                <w:rFonts w:eastAsia="Consolas" w:cs="Consolas" w:ascii="Consolas" w:hAnsi="Consolas"/>
                <w:color w:val="101820"/>
                <w:kern w:val="0"/>
                <w:sz w:val="16"/>
                <w:szCs w:val="24"/>
                <w:lang w:val="en-US" w:eastAsia="ja-JP" w:bidi="ar-SA"/>
              </w:rPr>
              <w:t>Upload_Templates/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and its operational procedures, business continuity and disaster recovery, and releases.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technical reference, API catalogue and data dictionary.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and management register, OOTB strategy, Philippine fit and ASEAN rollout assessment, and this index.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Heading1"/>
        <w:rPr/>
      </w:pPr>
      <w:r>
        <w:br w:type="page"/>
      </w:r>
      <w:bookmarkStart w:id="7" w:name="__RefHeading___Toc8333_3798412894"/>
      <w:bookmarkEnd w:id="7"/>
      <w:r>
        <w:rPr>
          <w:rFonts w:eastAsia="Segoe UI" w:cs="Segoe UI" w:ascii="Segoe UI" w:hAnsi="Segoe UI"/>
          <w:b/>
          <w:color w:val="0F4761"/>
          <w:sz w:val="32"/>
        </w:rPr>
        <w:t>4.  Index by department</w:t>
      </w:r>
    </w:p>
    <w:p>
      <w:pPr>
        <w:pStyle w:val="Normal"/>
        <w:spacing w:lineRule="auto" w:line="276" w:before="0" w:after="120"/>
        <w:rPr/>
      </w:pPr>
      <w:r>
        <w:rPr>
          <w:rFonts w:eastAsia="Segoe UI" w:cs="Segoe UI" w:ascii="Segoe UI" w:hAnsi="Segoe UI"/>
          <w:color w:val="101820"/>
          <w:sz w:val="21"/>
        </w:rPr>
        <w:t>Each department starts with the documents below. A document used by several departments is listed under each of them. The guides kept with the code are listed where a department uses them.</w:t>
      </w:r>
    </w:p>
    <w:p>
      <w:pPr>
        <w:pStyle w:val="Heading2"/>
        <w:rPr/>
      </w:pPr>
      <w:bookmarkStart w:id="8" w:name="__RefHeading___Toc8335_3798412894"/>
      <w:bookmarkEnd w:id="8"/>
      <w:r>
        <w:rPr>
          <w:rFonts w:eastAsia="Segoe UI" w:cs="Segoe UI"/>
          <w:b/>
          <w:color w:val="0F4761"/>
          <w:sz w:val="26"/>
        </w:rPr>
        <w:t>4.1  Users</w:t>
      </w:r>
    </w:p>
    <w:p>
      <w:pPr>
        <w:pStyle w:val="Normal"/>
        <w:spacing w:lineRule="auto" w:line="276" w:before="0" w:after="120"/>
        <w:rPr/>
      </w:pPr>
      <w:r>
        <w:rPr>
          <w:rFonts w:eastAsia="Segoe UI" w:cs="Segoe UI" w:ascii="Segoe UI" w:hAnsi="Segoe UI"/>
          <w:color w:val="101820"/>
          <w:sz w:val="21"/>
        </w:rPr>
        <w:t>The broker's users and key users, and the System Administrator, using the application day to day.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54"/>
        <w:gridCol w:w="1617"/>
        <w:gridCol w:w="3844"/>
      </w:tblGrid>
      <w:tr>
        <w:trPr>
          <w:tblHeader w:val="true"/>
        </w:trPr>
        <w:tc>
          <w:tcPr>
            <w:tcW w:w="3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8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Plan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docs/onboarding/GETTING_STARTED.md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menus per role, My Work, the Help panel</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report an issue, severities, support procedures by area</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scenarios per role for the first week</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brand packs, e-signatures and their support procedures</w:t>
            </w:r>
          </w:p>
        </w:tc>
      </w:tr>
    </w:tbl>
    <w:p>
      <w:pPr>
        <w:pStyle w:val="Normal"/>
        <w:spacing w:before="0" w:after="80"/>
        <w:rPr/>
      </w:pPr>
      <w:r>
        <w:rPr/>
      </w:r>
    </w:p>
    <w:p>
      <w:pPr>
        <w:pStyle w:val="Heading2"/>
        <w:rPr/>
      </w:pPr>
      <w:bookmarkStart w:id="9" w:name="__RefHeading___Toc8337_3798412894"/>
      <w:bookmarkEnd w:id="9"/>
      <w:r>
        <w:rPr>
          <w:rFonts w:eastAsia="Segoe UI" w:cs="Segoe UI"/>
          <w:b/>
          <w:color w:val="0F4761"/>
          <w:sz w:val="26"/>
        </w:rPr>
        <w:t>4.2  Developers</w:t>
      </w:r>
    </w:p>
    <w:p>
      <w:pPr>
        <w:pStyle w:val="Normal"/>
        <w:spacing w:lineRule="auto" w:line="276" w:before="0" w:after="120"/>
        <w:rPr/>
      </w:pPr>
      <w:r>
        <w:rPr>
          <w:rFonts w:eastAsia="Segoe UI" w:cs="Segoe UI" w:ascii="Segoe UI" w:hAnsi="Segoe UI"/>
          <w:color w:val="101820"/>
          <w:sz w:val="21"/>
        </w:rPr>
        <w:t>Product engineering and the developers who review, extend or deploy the code.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traceability to automated tests and to the process catalogue, defects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 and production support guide: back end, front end, tracing a defect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 deploy/REFERENCE.md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Installation, environment variables and keys, release pipeline, rollback</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and API touchpoint workbook</w:t>
            </w:r>
          </w:p>
        </w:tc>
      </w:tr>
    </w:tbl>
    <w:p>
      <w:pPr>
        <w:pStyle w:val="Normal"/>
        <w:spacing w:before="0" w:after="80"/>
        <w:rPr/>
      </w:pPr>
      <w:r>
        <w:rPr/>
      </w:r>
    </w:p>
    <w:p>
      <w:pPr>
        <w:pStyle w:val="Heading2"/>
        <w:rPr/>
      </w:pPr>
      <w:bookmarkStart w:id="10" w:name="__RefHeading___Toc8339_3798412894"/>
      <w:bookmarkEnd w:id="10"/>
      <w:r>
        <w:rPr>
          <w:rFonts w:eastAsia="Segoe UI" w:cs="Segoe UI"/>
          <w:b/>
          <w:color w:val="0F4761"/>
          <w:sz w:val="26"/>
        </w:rPr>
        <w:t>4.3  Business analysts</w:t>
      </w:r>
    </w:p>
    <w:p>
      <w:pPr>
        <w:pStyle w:val="Normal"/>
        <w:spacing w:lineRule="auto" w:line="276" w:before="0" w:after="120"/>
        <w:rPr/>
      </w:pPr>
      <w:r>
        <w:rPr>
          <w:rFonts w:eastAsia="Segoe UI" w:cs="Segoe UI" w:ascii="Segoe UI" w:hAnsi="Segoe UI"/>
          <w:color w:val="101820"/>
          <w:sz w:val="21"/>
        </w:rPr>
        <w:t>Business analysts and solution consultants who run discovery, fit-gap and configuration.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Workbook Guide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Configuration Workbook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Traceability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traced to processes, screens, test cases and regulatory references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bl>
    <w:p>
      <w:pPr>
        <w:pStyle w:val="Normal"/>
        <w:spacing w:before="0" w:after="80"/>
        <w:rPr/>
      </w:pPr>
      <w:r>
        <w:rPr/>
      </w:r>
    </w:p>
    <w:p>
      <w:pPr>
        <w:pStyle w:val="Heading2"/>
        <w:rPr/>
      </w:pPr>
      <w:bookmarkStart w:id="11" w:name="__RefHeading___Toc8341_3798412894"/>
      <w:bookmarkEnd w:id="11"/>
      <w:r>
        <w:rPr>
          <w:rFonts w:eastAsia="Segoe UI" w:cs="Segoe UI"/>
          <w:b/>
          <w:color w:val="0F4761"/>
          <w:sz w:val="26"/>
        </w:rPr>
        <w:t>4.4  QA</w:t>
      </w:r>
    </w:p>
    <w:p>
      <w:pPr>
        <w:pStyle w:val="Normal"/>
        <w:spacing w:lineRule="auto" w:line="276" w:before="0" w:after="120"/>
        <w:rPr/>
      </w:pPr>
      <w:r>
        <w:rPr>
          <w:rFonts w:eastAsia="Segoe UI" w:cs="Segoe UI" w:ascii="Segoe UI" w:hAnsi="Segoe UI"/>
          <w:color w:val="101820"/>
          <w:sz w:val="21"/>
        </w:rPr>
        <w:t>Quality analysts and test leads who plan, run and report the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86"/>
        <w:gridCol w:w="2098"/>
        <w:gridCol w:w="3730"/>
      </w:tblGrid>
      <w:tr>
        <w:trPr>
          <w:tblHeader w:val="true"/>
        </w:trPr>
        <w:tc>
          <w:tcPr>
            <w:tcW w:w="3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2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traceability to automated tests and to the process catalogue, defects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Traceability Matrix</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traced to processes, screens, test cases and regulatory references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scenarios per role for the first week</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docs/onboarding/DATA_MASKING.md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production copies for test and training</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and API touchpoint workbook</w:t>
            </w:r>
          </w:p>
        </w:tc>
      </w:tr>
    </w:tbl>
    <w:p>
      <w:pPr>
        <w:pStyle w:val="Normal"/>
        <w:spacing w:before="0" w:after="80"/>
        <w:rPr/>
      </w:pPr>
      <w:r>
        <w:rPr/>
      </w:r>
    </w:p>
    <w:p>
      <w:pPr>
        <w:pStyle w:val="Heading2"/>
        <w:rPr/>
      </w:pPr>
      <w:bookmarkStart w:id="12" w:name="__RefHeading___Toc8343_3798412894"/>
      <w:bookmarkEnd w:id="12"/>
      <w:r>
        <w:rPr>
          <w:rFonts w:eastAsia="Segoe UI" w:cs="Segoe UI"/>
          <w:b/>
          <w:color w:val="0F4761"/>
          <w:sz w:val="26"/>
        </w:rPr>
        <w:t>4.5  Delivery and PM</w:t>
      </w:r>
    </w:p>
    <w:p>
      <w:pPr>
        <w:pStyle w:val="Normal"/>
        <w:spacing w:lineRule="auto" w:line="276" w:before="0" w:after="120"/>
        <w:rPr/>
      </w:pPr>
      <w:r>
        <w:rPr>
          <w:rFonts w:eastAsia="Segoe UI" w:cs="Segoe UI" w:ascii="Segoe UI" w:hAnsi="Segoe UI"/>
          <w:color w:val="101820"/>
          <w:sz w:val="21"/>
        </w:rPr>
        <w:t>The delivery head, project managers and implementation consultants.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Workbook Guide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Configuration Workbook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Gantt plans for the three sizes and the RACI matrix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Map and Critical Path</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RAID Log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with scoring and summary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Status Report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Traceability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traced to processes, screens, test cases and regulatory references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carrying a third party's marks is used only in that client's environments, with its written permission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bl>
    <w:p>
      <w:pPr>
        <w:pStyle w:val="Normal"/>
        <w:spacing w:before="0" w:after="80"/>
        <w:rPr/>
      </w:pPr>
      <w:r>
        <w:rPr/>
      </w:r>
    </w:p>
    <w:p>
      <w:pPr>
        <w:pStyle w:val="Heading2"/>
        <w:rPr/>
      </w:pPr>
      <w:bookmarkStart w:id="13" w:name="__RefHeading___Toc8345_3798412894"/>
      <w:bookmarkEnd w:id="13"/>
      <w:r>
        <w:rPr>
          <w:rFonts w:eastAsia="Segoe UI" w:cs="Segoe UI"/>
          <w:b/>
          <w:color w:val="0F4761"/>
          <w:sz w:val="26"/>
        </w:rPr>
        <w:t>4.6  Sales</w:t>
      </w:r>
    </w:p>
    <w:p>
      <w:pPr>
        <w:pStyle w:val="Normal"/>
        <w:spacing w:lineRule="auto" w:line="276" w:before="0" w:after="120"/>
        <w:rPr/>
      </w:pPr>
      <w:r>
        <w:rPr>
          <w:rFonts w:eastAsia="Segoe UI" w:cs="Segoe UI" w:ascii="Segoe UI" w:hAnsi="Segoe UI"/>
          <w:color w:val="101820"/>
          <w:sz w:val="21"/>
        </w:rPr>
        <w:t>Account managers and presales.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27"/>
        <w:gridCol w:w="2011"/>
        <w:gridCol w:w="3576"/>
      </w:tblGrid>
      <w:tr>
        <w:trPr>
          <w:tblHeader w:val="true"/>
        </w:trPr>
        <w:tc>
          <w:tcPr>
            <w:tcW w:w="34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brochure (8 pages): platform, compliance, connections, roles, deployment, delivery and support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Page Brochure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One-page summary for a first e-mail, a trade event or a social post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 deck for the first meeting, with speaker notes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Scripted 60 and 30-minute demonstrations with optional segments (AML/CFT, IC registers, BIR and EOPT, integrations, dealer programmes, branding, My Work, Report Builder)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and Objection Handling</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common questions and objections; known limits to disclose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from first contact to the welcome after signing, including the compliance-led introduction</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Plain-text copy of the prospect e-mails for pasting into a mail client (generated from the same source)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ROI Calculator</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on investment calculator filled in with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Competitive Battlecard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Competitor positioning, proof points and limits to disclose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Rate Card</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Commercials and Pricing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Note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Playbook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 Disclosure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and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bl>
    <w:p>
      <w:pPr>
        <w:pStyle w:val="Normal"/>
        <w:spacing w:before="0" w:after="80"/>
        <w:rPr/>
      </w:pPr>
      <w:r>
        <w:rPr/>
      </w:r>
    </w:p>
    <w:p>
      <w:pPr>
        <w:pStyle w:val="Heading2"/>
        <w:rPr/>
      </w:pPr>
      <w:bookmarkStart w:id="14" w:name="__RefHeading___Toc8347_3798412894"/>
      <w:bookmarkEnd w:id="14"/>
      <w:r>
        <w:rPr>
          <w:rFonts w:eastAsia="Segoe UI" w:cs="Segoe UI"/>
          <w:b/>
          <w:color w:val="0F4761"/>
          <w:sz w:val="26"/>
        </w:rPr>
        <w:t>4.7  Support</w:t>
      </w:r>
    </w:p>
    <w:p>
      <w:pPr>
        <w:pStyle w:val="Normal"/>
        <w:spacing w:lineRule="auto" w:line="276" w:before="0" w:after="120"/>
        <w:rPr/>
      </w:pPr>
      <w:r>
        <w:rPr>
          <w:rFonts w:eastAsia="Segoe UI" w:cs="Segoe UI" w:ascii="Segoe UI" w:hAnsi="Segoe UI"/>
          <w:color w:val="101820"/>
          <w:sz w:val="21"/>
        </w:rPr>
        <w:t>L2 application support, L3 engineering on call and DevOps.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carrying a third party's marks is used only in that client's environments, with its written permission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report an issue, severities, support procedures by area</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brand packs, e-signatures and their support procedures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docs/onboarding/DATA_MASKING.md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production copies for test and training</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 and production support guide: back end, front end, tracing a defect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 deploy/REFERENCE.md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Installation, environment variables and keys, release pipeline, rollback</w:t>
            </w:r>
          </w:p>
        </w:tc>
      </w:tr>
    </w:tbl>
    <w:p>
      <w:pPr>
        <w:pStyle w:val="Normal"/>
        <w:spacing w:before="0" w:after="80"/>
        <w:rPr/>
      </w:pPr>
      <w:r>
        <w:rPr/>
      </w:r>
    </w:p>
    <w:p>
      <w:pPr>
        <w:pStyle w:val="Heading2"/>
        <w:rPr/>
      </w:pPr>
      <w:bookmarkStart w:id="15" w:name="__RefHeading___Toc8349_3798412894"/>
      <w:bookmarkEnd w:id="15"/>
      <w:r>
        <w:rPr>
          <w:rFonts w:eastAsia="Segoe UI" w:cs="Segoe UI"/>
          <w:b/>
          <w:color w:val="0F4761"/>
          <w:sz w:val="26"/>
        </w:rPr>
        <w:t>4.8  Management</w:t>
      </w:r>
    </w:p>
    <w:p>
      <w:pPr>
        <w:pStyle w:val="Normal"/>
        <w:spacing w:lineRule="auto" w:line="276" w:before="0" w:after="120"/>
        <w:rPr/>
      </w:pPr>
      <w:r>
        <w:rPr>
          <w:rFonts w:eastAsia="Segoe UI" w:cs="Segoe UI" w:ascii="Segoe UI" w:hAnsi="Segoe UI"/>
          <w:color w:val="101820"/>
          <w:sz w:val="21"/>
        </w:rPr>
        <w:t>iorta TechNXT management, and the broker's management for client-facing files.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Rate Card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Commercials and Pricing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Note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 Disclosure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and Proposal Acceptance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schedule for the perpetual model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schedule for the SaaS model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source code escrow with the perpetual licence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Map and Critical Path</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RAID Log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with scoring and summary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Status Report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bl>
    <w:p>
      <w:pPr>
        <w:pStyle w:val="Heading1"/>
        <w:rPr/>
      </w:pPr>
      <w:r>
        <w:br w:type="page"/>
      </w:r>
      <w:bookmarkStart w:id="16" w:name="__RefHeading___Toc8351_3798412894"/>
      <w:bookmarkEnd w:id="16"/>
      <w:r>
        <w:rPr>
          <w:rFonts w:eastAsia="Segoe UI" w:cs="Segoe UI" w:ascii="Segoe UI" w:hAnsi="Segoe UI"/>
          <w:b/>
          <w:color w:val="0F4761"/>
          <w:sz w:val="32"/>
        </w:rPr>
        <w:t>5.  Index by lifecycle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Documents used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One Page Brochure; Client Presentation; Product Functionality; Demo Script; FAQ and Objection Handling; Prospect Email Templates; Prospect Email Templates; ROI Calculator; Competitive Battlecard INTERNAL (INTERNAL); Commercial Proposal Rate Card; Commercials and Pricing (INTERNAL); Price Book (INTERNAL); Commercial Proposal Note (INTERNAL); Mutual Non Disclosure Agreement; Security Due Diligence Questionnaire; Business Requirements Document; Implementation Approach and Plan; Test Summary Report; Philippine Regulatory Compliance Matrix; Release Notes and Roadmap; Architecture Infrastructure Security and Privacy; OOTB Strategy and Playbook INTERNAL (INTERNAL); PH Fit and ASEAN Rollout Assessment (INTERNAL); OOTB Documentation Pack Index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 Prospect Email Templates; Commercial Proposal Rate Card; Commercials and Pricing (INTERNAL); Price Book (INTERNAL); Commercial Proposal Note (INTERNAL); Negotiation Playbook INTERNAL (INTERNAL); Contract Pack Index and Cover Letter; Letter of Award and Proposal Acceptance; Master Services Agreement; Order Form; Perpetual Software Licence Agreement; Software Subscription Agreement; Implementation Statement of Work; Annual Maintenance Support and SLA; Hosting and Infrastructure Services Agreement; Data Processing Agreement; Service Catalogue and Rate Annex; Customer Responsibilities and RACI Annex; Change Request Procedure and Form; Source Code Escrow Agreement; Exit and Transition Plan; Security Due Diligence Questionnaire; Production Support Approach and Standards; Business Continuity and Disaster Recovery Plan; Architecture Infrastructure Security and Privacy; OOTB Strategy and Playbook INTERNAL (INTERNAL); OOTB Documentation Pack Index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 Customer Responsibilities and RACI Annex; Change Request Procedure and Form; Discovery Workbook Guide; Discovery and Configuration Workbook; Data Migration and Cutover Plan; Environment Strategy and Production Rollout; Privacy Impact Assessment and Records of Processing Templates; Business Requirements Document; Process Flow Document; Implementation Approach and Plan; Implementation Plan; Dependency Map and Critical Path; Fit Gap Register; RAID Log Template; Project Status Report Template; Training Plan; User Manual; Reports Book; Communication Templates and Touchpoints; Communication Touchpoints; Schedules and Batch Jobs; Test Strategy; Test Plan; Test Cases; Requirements Traceability Matrix; Philippine Regulatory Compliance Matrix; Architecture Infrastructure Security and Privacy; Technical Reference; API and Dependency Catalogue; Data Dictionary; OOTB Strategy and Playbook INTERNAL (INTERNAL); OOTB Documentation Pack Index; Brand Packs (INTERNAL); Upload Templates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 Hypercare Exit and Handover Certificate; Data Migration and Cutover Plan; Environment Strategy and Production Rollout; Privacy Impact Assessment and Records of Processing Templates; Dependency Map and Critical Path; RAID Log Template; Project Status Report Template; User Manual; Schedules and Batch Jobs; Test Strategy; Test Plan; Test Cases; Requirements Traceability Matrix; Test Summary Report; Production Support Approach and Standards; Release Notes and Roadmap; Go No Go and Management Register (INTERNAL); OOTB Strategy and Playbook INTERNAL (INTERNAL); OOTB Documentation Pack Index; Brand Packs (INTERNAL); Upload Templates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 Hosting and Infrastructure Services Agreement; Service Catalogue and Rate Annex; Change Request Procedure and Form; Exit and Transition Plan; Hypercare Exit and Handover Certificate; User Manual; Reports Book; Communication Templates and Touchpoints; Communication Touchpoints; Schedules and Batch Jobs; Production Support Approach and Standards; Business Continuity and Disaster Recovery Plan; Release Notes and Roadmap; Release Notes Template; Technical Reference; API and Dependency Catalogue; Data Dictionary; OOTB Strategy and Playbook INTERNAL (INTERNAL); PH Fit and ASEAN Rollout Assessment (INTERNAL); OOTB Documentation Pack Index</w:t>
            </w:r>
          </w:p>
        </w:tc>
      </w:tr>
    </w:tbl>
    <w:p>
      <w:pPr>
        <w:pStyle w:val="Heading1"/>
        <w:rPr/>
      </w:pPr>
      <w:r>
        <w:br w:type="page"/>
      </w:r>
      <w:bookmarkStart w:id="17" w:name="__RefHeading___Toc8353_3798412894"/>
      <w:bookmarkEnd w:id="17"/>
      <w:r>
        <w:rPr>
          <w:rFonts w:eastAsia="Segoe UI" w:cs="Segoe UI" w:ascii="Segoe UI" w:hAnsi="Segoe UI"/>
          <w:b/>
          <w:color w:val="0F4761"/>
          <w:sz w:val="32"/>
        </w:rPr>
        <w:t>6.  File list by folder</w:t>
      </w:r>
    </w:p>
    <w:p>
      <w:pPr>
        <w:pStyle w:val="Heading2"/>
        <w:rPr/>
      </w:pPr>
      <w:bookmarkStart w:id="18" w:name="__RefHeading___Toc8355_3798412894"/>
      <w:bookmarkEnd w:id="18"/>
      <w:r>
        <w:rPr>
          <w:rFonts w:eastAsia="Segoe UI" w:cs="Segoe UI"/>
          <w:b/>
          <w:color w:val="0F4761"/>
          <w:sz w:val="26"/>
        </w:rPr>
        <w:t>6.1  Sales (01_Sales)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09"/>
        <w:gridCol w:w="2810"/>
        <w:gridCol w:w="2107"/>
        <w:gridCol w:w="1288"/>
      </w:tblGrid>
      <w:tr>
        <w:trPr>
          <w:tblHeader w:val="true"/>
        </w:trPr>
        <w:tc>
          <w:tcPr>
            <w:tcW w:w="2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8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iNXT_BrokerVerse_Brochure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brochure (8 pages): platform, compliance, connections, roles, deployment, delivery and support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iNXT_BrokerVerse_One_Page_Brochure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png</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One-page summary for a first e-mail, a trade event or a social post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iNXT_BrokerVerse_Client_Presentation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pptx,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 deck for the first meeting, with speaker notes</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iNXT_BrokerVerse_Product_Functionality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iNXT_BrokerVerse_Demo_Script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Scripted 60 and 30-minute demonstrations with optional segments (AML/CFT, IC registers, BIR and EOPT, integrations, dealer programmes, branding, My Work, Report Builder)</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iNXT_BrokerVerse_FAQ_and_Objection_Handling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common questions and objections; known limits to disclose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iNXT_BrokerVerse_Prospect_Email_Templates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from first contact to the welcome after signing, including the compliance-led introduction</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Prospect_Email_Templates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txt</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Plain-text copy of the prospect e-mails for pasting into a mail client (generated from the same source)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iNXT_BrokerVerse_ROI_Calculator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on investment calculator filled in with the broker</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iNXT_BrokerVerse_Competitive_Battlecard_INTERNAL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Competitor positioning, proof points and limits to disclose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bl>
    <w:p>
      <w:pPr>
        <w:pStyle w:val="Normal"/>
        <w:spacing w:before="0" w:after="80"/>
        <w:rPr/>
      </w:pPr>
      <w:r>
        <w:rPr/>
      </w:r>
    </w:p>
    <w:p>
      <w:pPr>
        <w:pStyle w:val="Heading2"/>
        <w:rPr/>
      </w:pPr>
      <w:bookmarkStart w:id="19" w:name="__RefHeading___Toc8357_3798412894"/>
      <w:bookmarkEnd w:id="19"/>
      <w:r>
        <w:rPr>
          <w:rFonts w:eastAsia="Segoe UI" w:cs="Segoe UI"/>
          <w:b/>
          <w:color w:val="0F4761"/>
          <w:sz w:val="26"/>
        </w:rPr>
        <w:t>6.2  Commercials (02_Commercials)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2964"/>
        <w:gridCol w:w="1729"/>
        <w:gridCol w:w="135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17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3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iNXT_BrokerVerse_Commercial_Proposal_Rate_Card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BrokerVerse_Commercials_and_Pricing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iNXT_BrokerVerse_Price_Book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BrokerVerse_Commercial_Proposal_Note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iNXT_BrokerVerse_Negotiation_Playbook_INTERNAL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bl>
    <w:p>
      <w:pPr>
        <w:pStyle w:val="Normal"/>
        <w:spacing w:before="0" w:after="80"/>
        <w:rPr/>
      </w:pPr>
      <w:r>
        <w:rPr/>
      </w:r>
    </w:p>
    <w:p>
      <w:pPr>
        <w:pStyle w:val="Heading2"/>
        <w:rPr/>
      </w:pPr>
      <w:bookmarkStart w:id="20" w:name="__RefHeading___Toc8359_3798412894"/>
      <w:bookmarkEnd w:id="20"/>
      <w:r>
        <w:rPr>
          <w:rFonts w:eastAsia="Segoe UI" w:cs="Segoe UI"/>
          <w:b/>
          <w:color w:val="0F4761"/>
          <w:sz w:val="26"/>
        </w:rPr>
        <w:t>6.3  Contracts (03_Contracts)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430"/>
        <w:gridCol w:w="2331"/>
        <w:gridCol w:w="1822"/>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8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iNXT_BrokerVerse_Contract_Pack_Index_and_Cover_Letter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iNXT_BrokerVerse_Mutual_Non_Disclosure_Agreement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iNXT_BrokerVerse_Letter_of_Award_and_Proposal_Acceptance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iNXT_BrokerVerse_Master_Services_Agreement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iNXT_BrokerVerse_Order_Form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iNXT_BrokerVerse_Perpetual_Software_Licence_Agreement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schedule for the perpetual model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iNXT_BrokerVerse_Software_Subscription_Agreement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schedule for the SaaS model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iNXT_BrokerVerse_Implementation_Statement_of_Work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iNXT_BrokerVerse_Annual_Maintenance_Support_and_SLA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iNXT_BrokerVerse_Hosting_and_Infrastructure_Services_Agreement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iNXT_BrokerVerse_Data_Processing_Agreement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iNXT_BrokerVerse_Service_Catalogue_and_Rate_Annex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iNXT_BrokerVerse_Customer_Responsibilities_and_RACI_Annex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iNXT_BrokerVerse_Change_Request_Procedure_and_Form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iNXT_BrokerVerse_Source_Code_Escrow_Agreement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source code escrow with the perpetual licence</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iNXT_BrokerVerse_Exit_and_Transition_Plan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iNXT_BrokerVerse_UAT_and_Go_Live_Acceptance_Certificates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QA,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iNXT_BrokerVerse_Hypercare_Exit_and_Handover_Certificate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Support</w:t>
            </w:r>
          </w:p>
        </w:tc>
      </w:tr>
    </w:tbl>
    <w:p>
      <w:pPr>
        <w:pStyle w:val="Normal"/>
        <w:spacing w:before="0" w:after="80"/>
        <w:rPr/>
      </w:pPr>
      <w:r>
        <w:rPr/>
      </w:r>
    </w:p>
    <w:p>
      <w:pPr>
        <w:pStyle w:val="Heading2"/>
        <w:rPr/>
      </w:pPr>
      <w:bookmarkStart w:id="21" w:name="__RefHeading___Toc8361_3798412894"/>
      <w:bookmarkEnd w:id="21"/>
      <w:r>
        <w:rPr>
          <w:rFonts w:eastAsia="Segoe UI" w:cs="Segoe UI"/>
          <w:b/>
          <w:color w:val="0F4761"/>
          <w:sz w:val="26"/>
        </w:rPr>
        <w:t>6.4  Onboarding and go-live (04_Onboarding_and_Go_Live)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79"/>
        <w:gridCol w:w="2454"/>
        <w:gridCol w:w="2465"/>
        <w:gridCol w:w="1616"/>
      </w:tblGrid>
      <w:tr>
        <w:trPr>
          <w:tblHeader w:val="true"/>
        </w:trPr>
        <w:tc>
          <w:tcPr>
            <w:tcW w:w="24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BrokerVerse_Security_Due_Diligence_Questionnaire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BrokerVerse_Discovery_Workbook_Guide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BrokerVerse_Discovery_and_Configuration_Workbook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BrokerVerse_Data_Migration_and_Cutover_Plan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QA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BrokerVerse_Environment_Strategy_and_Production_Rollout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Developers,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BrokerVerse_Privacy_Impact_Assessment_and_Records_of_Processing_Templates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Brand_Packs/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folder</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carrying a third party's marks is used only in that client's environments, with its written permission</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bl>
    <w:p>
      <w:pPr>
        <w:pStyle w:val="Normal"/>
        <w:spacing w:before="0" w:after="80"/>
        <w:rPr/>
      </w:pPr>
      <w:r>
        <w:rPr/>
      </w:r>
    </w:p>
    <w:p>
      <w:pPr>
        <w:pStyle w:val="Heading2"/>
        <w:rPr/>
      </w:pPr>
      <w:bookmarkStart w:id="22" w:name="__RefHeading___Toc8363_3798412894"/>
      <w:bookmarkEnd w:id="22"/>
      <w:r>
        <w:rPr>
          <w:rFonts w:eastAsia="Segoe UI" w:cs="Segoe UI"/>
          <w:b/>
          <w:color w:val="0F4761"/>
          <w:sz w:val="26"/>
        </w:rPr>
        <w:t>6.5  Delivery (05_Delivery)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2458"/>
        <w:gridCol w:w="2459"/>
        <w:gridCol w:w="1638"/>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BrokerVerse_Business_Requirements_Document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QA, Delivery and PM,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BrokerVerse_Process_Flow_Document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Users, QA,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BrokerVerse_Implementation_Approach_and_Plan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BrokerVerse_Implementation_Plan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Gantt plans for the three sizes and the RACI matrix</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BrokerVerse_Dependency_Map_and_Critical_Path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BrokerVerse_Fit_Gap_Register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BrokerVerse_RAID_Log_Template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with scoring and summary</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BrokerVerse_Project_Status_Report_Template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BrokerVerse_Training_Plan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BrokerVerse_User_Manual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Business analysts, QA,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BrokerVerse_Reports_Book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BrokerVerse_Communication_Templates_and_Touchpoints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Users,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BrokerVerse_Communication_Touchpoints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BrokerVerse_Schedules_and_Batch_Jobs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Users,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BrokerVerse_Test_Strategy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Developers,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BrokerVerse_Test_Cases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traceability to automated tests and to the process catalogue, defects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BrokerVerse_Requirements_Traceability_Matrix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traced to processes, screens, test cases and regulatory references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Business analysts,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BrokerVerse_Test_Summary_Report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Developers,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BrokerVerse_Philippine_Regulatory_Compliance_Matrix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Business analysts, QA,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folder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bl>
    <w:p>
      <w:pPr>
        <w:pStyle w:val="Normal"/>
        <w:spacing w:before="0" w:after="80"/>
        <w:rPr/>
      </w:pPr>
      <w:r>
        <w:rPr/>
      </w:r>
    </w:p>
    <w:p>
      <w:pPr>
        <w:pStyle w:val="Heading2"/>
        <w:rPr/>
      </w:pPr>
      <w:bookmarkStart w:id="23" w:name="__RefHeading___Toc8365_3798412894"/>
      <w:bookmarkEnd w:id="23"/>
      <w:r>
        <w:rPr>
          <w:rFonts w:eastAsia="Segoe UI" w:cs="Segoe UI"/>
          <w:b/>
          <w:color w:val="0F4761"/>
          <w:sz w:val="26"/>
        </w:rPr>
        <w:t>6.6  Support (06_Support)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5"/>
        <w:gridCol w:w="2575"/>
        <w:gridCol w:w="2307"/>
        <w:gridCol w:w="1555"/>
      </w:tblGrid>
      <w:tr>
        <w:trPr>
          <w:tblHeader w:val="true"/>
        </w:trPr>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BrokerVerse_Production_Support_Approach_and_Standards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Go-live,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BrokerVerse_Business_Continuity_and_Disaster_Recovery_Plan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BrokerVerse_Release_Notes_and_Roadmap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Go-live,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BrokerVerse_Release_Notes_Template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bl>
    <w:p>
      <w:pPr>
        <w:pStyle w:val="Normal"/>
        <w:spacing w:before="0" w:after="80"/>
        <w:rPr/>
      </w:pPr>
      <w:r>
        <w:rPr/>
      </w:r>
    </w:p>
    <w:p>
      <w:pPr>
        <w:pStyle w:val="Heading2"/>
        <w:rPr/>
      </w:pPr>
      <w:bookmarkStart w:id="24" w:name="__RefHeading___Toc8367_3798412894"/>
      <w:bookmarkEnd w:id="24"/>
      <w:r>
        <w:rPr>
          <w:rFonts w:eastAsia="Segoe UI" w:cs="Segoe UI"/>
          <w:b/>
          <w:color w:val="0F4761"/>
          <w:sz w:val="26"/>
        </w:rPr>
        <w:t>6.7  Technical (07_Technical)</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6"/>
        <w:gridCol w:w="2378"/>
        <w:gridCol w:w="2377"/>
        <w:gridCol w:w="1881"/>
      </w:tblGrid>
      <w:tr>
        <w:trPr>
          <w:tblHeader w:val="true"/>
        </w:trPr>
        <w:tc>
          <w:tcPr>
            <w:tcW w:w="2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8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BrokerVerse_Architecture_Infrastructure_Security_and_Privacy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BrokerVerse_Technical_Reference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BrokerVerse_API_and_Dependency_Catalogue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 QA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BrokerVerse_Data_Dictionary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bl>
    <w:p>
      <w:pPr>
        <w:pStyle w:val="Normal"/>
        <w:spacing w:before="0" w:after="80"/>
        <w:rPr/>
      </w:pPr>
      <w:r>
        <w:rPr/>
      </w:r>
    </w:p>
    <w:p>
      <w:pPr>
        <w:pStyle w:val="Heading2"/>
        <w:rPr/>
      </w:pPr>
      <w:bookmarkStart w:id="25" w:name="__RefHeading___Toc8369_3798412894"/>
      <w:bookmarkEnd w:id="25"/>
      <w:r>
        <w:rPr>
          <w:rFonts w:eastAsia="Segoe UI" w:cs="Segoe UI"/>
          <w:b/>
          <w:color w:val="0F4761"/>
          <w:sz w:val="26"/>
        </w:rPr>
        <w:t>6.8  Management (08_Management)</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BrokerVerse_Go_No_Go_and_Management_Register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Delivery and PM, Developers, Support,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iNXT_BrokerVerse_OOTB_Strategy_and_Playbook_INTERNAL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 Delivery and PM, 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 Go-live, Support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BrokerVerse_PH_Fit_and_ASEAN_Rollout_Assessment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Support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BrokerVerse_OOTB_Documentation_Pack_Index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Developers, Business analysts, QA, Delivery and PM, Sales,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 Go-live, Support</w:t>
            </w:r>
          </w:p>
        </w:tc>
      </w:tr>
    </w:tbl>
    <w:p>
      <w:pPr>
        <w:pStyle w:val="Heading1"/>
        <w:rPr/>
      </w:pPr>
      <w:r>
        <w:br w:type="page"/>
      </w:r>
      <w:bookmarkStart w:id="26" w:name="__RefHeading___Toc8371_3798412894"/>
      <w:bookmarkEnd w:id="26"/>
      <w:r>
        <w:rPr>
          <w:rFonts w:eastAsia="Segoe UI" w:cs="Segoe UI" w:ascii="Segoe UI" w:hAnsi="Segoe UI"/>
          <w:b/>
          <w:color w:val="0F4761"/>
          <w:sz w:val="32"/>
        </w:rPr>
        <w:t>7.  INTERNAL documents</w:t>
      </w:r>
    </w:p>
    <w:p>
      <w:pPr>
        <w:pStyle w:val="Normal"/>
        <w:spacing w:lineRule="auto" w:line="276" w:before="0" w:after="120"/>
        <w:rPr/>
      </w:pPr>
      <w:r>
        <w:rPr>
          <w:rFonts w:eastAsia="Segoe UI" w:cs="Segoe UI" w:ascii="Segoe UI" w:hAnsi="Segoe UI"/>
          <w:color w:val="101820"/>
          <w:sz w:val="21"/>
        </w:rPr>
        <w:t>These files never leave iorta TechNXT:</w:t>
      </w:r>
    </w:p>
    <w:p>
      <w:pPr>
        <w:pStyle w:val="Normal"/>
        <w:numPr>
          <w:ilvl w:val="0"/>
          <w:numId w:val="1"/>
        </w:numPr>
        <w:spacing w:before="0" w:after="60"/>
        <w:rPr/>
      </w:pPr>
      <w:r>
        <w:rPr>
          <w:rFonts w:eastAsia="Consolas" w:cs="Consolas" w:ascii="Consolas" w:hAnsi="Consolas"/>
          <w:color w:val="101820"/>
          <w:sz w:val="19"/>
        </w:rPr>
        <w:t>01_Sales/iNXT_BrokerVerse_Competitive_Battlecard_INTERNAL</w:t>
      </w:r>
      <w:r>
        <w:rPr>
          <w:rFonts w:eastAsia="Segoe UI" w:cs="Segoe UI" w:ascii="Segoe UI" w:hAnsi="Segoe UI"/>
          <w:color w:val="101820"/>
          <w:sz w:val="21"/>
        </w:rPr>
        <w:t xml:space="preserve"> (docx, pdf): Competitor positioning, proof points and limits to disclose.</w:t>
      </w:r>
    </w:p>
    <w:p>
      <w:pPr>
        <w:pStyle w:val="Normal"/>
        <w:numPr>
          <w:ilvl w:val="0"/>
          <w:numId w:val="1"/>
        </w:numPr>
        <w:spacing w:before="0" w:after="60"/>
        <w:rPr/>
      </w:pPr>
      <w:r>
        <w:rPr>
          <w:rFonts w:eastAsia="Consolas" w:cs="Consolas" w:ascii="Consolas" w:hAnsi="Consolas"/>
          <w:color w:val="101820"/>
          <w:sz w:val="19"/>
        </w:rPr>
        <w:t>02_Commercials/BrokerVerse_Commercials_and_Pricing</w:t>
      </w:r>
      <w:r>
        <w:rPr>
          <w:rFonts w:eastAsia="Segoe UI" w:cs="Segoe UI" w:ascii="Segoe UI" w:hAnsi="Segoe UI"/>
          <w:color w:val="101820"/>
          <w:sz w:val="21"/>
        </w:rPr>
        <w:t xml:space="preserve"> (xlsx): Formula-driven pricing model behind the rate card.</w:t>
      </w:r>
    </w:p>
    <w:p>
      <w:pPr>
        <w:pStyle w:val="Normal"/>
        <w:numPr>
          <w:ilvl w:val="0"/>
          <w:numId w:val="1"/>
        </w:numPr>
        <w:spacing w:before="0" w:after="60"/>
        <w:rPr/>
      </w:pPr>
      <w:r>
        <w:rPr>
          <w:rFonts w:eastAsia="Consolas" w:cs="Consolas" w:ascii="Consolas" w:hAnsi="Consolas"/>
          <w:color w:val="101820"/>
          <w:sz w:val="19"/>
        </w:rPr>
        <w:t>02_Commercials/iNXT_BrokerVerse_Price_Book</w:t>
      </w:r>
      <w:r>
        <w:rPr>
          <w:rFonts w:eastAsia="Segoe UI" w:cs="Segoe UI" w:ascii="Segoe UI" w:hAnsi="Segoe UI"/>
          <w:color w:val="101820"/>
          <w:sz w:val="21"/>
        </w:rPr>
        <w:t xml:space="preserve"> (xlsx): Price book with quick quote, packages and negotiation limits.</w:t>
      </w:r>
    </w:p>
    <w:p>
      <w:pPr>
        <w:pStyle w:val="Normal"/>
        <w:numPr>
          <w:ilvl w:val="0"/>
          <w:numId w:val="1"/>
        </w:numPr>
        <w:spacing w:before="0" w:after="60"/>
        <w:rPr/>
      </w:pPr>
      <w:r>
        <w:rPr>
          <w:rFonts w:eastAsia="Consolas" w:cs="Consolas" w:ascii="Consolas" w:hAnsi="Consolas"/>
          <w:color w:val="101820"/>
          <w:sz w:val="19"/>
        </w:rPr>
        <w:t>02_Commercials/BrokerVerse_Commercial_Proposal_Note</w:t>
      </w:r>
      <w:r>
        <w:rPr>
          <w:rFonts w:eastAsia="Segoe UI" w:cs="Segoe UI" w:ascii="Segoe UI" w:hAnsi="Segoe UI"/>
          <w:color w:val="101820"/>
          <w:sz w:val="21"/>
        </w:rPr>
        <w:t xml:space="preserve"> (docx, pdf): Pricing rationale, market positioning, review of the new modules against the price list.</w:t>
      </w:r>
    </w:p>
    <w:p>
      <w:pPr>
        <w:pStyle w:val="Normal"/>
        <w:numPr>
          <w:ilvl w:val="0"/>
          <w:numId w:val="1"/>
        </w:numPr>
        <w:spacing w:before="0" w:after="60"/>
        <w:rPr/>
      </w:pPr>
      <w:r>
        <w:rPr>
          <w:rFonts w:eastAsia="Consolas" w:cs="Consolas" w:ascii="Consolas" w:hAnsi="Consolas"/>
          <w:color w:val="101820"/>
          <w:sz w:val="19"/>
        </w:rPr>
        <w:t>02_Commercials/iNXT_BrokerVerse_Negotiation_Playbook_INTERNAL</w:t>
      </w:r>
      <w:r>
        <w:rPr>
          <w:rFonts w:eastAsia="Segoe UI" w:cs="Segoe UI" w:ascii="Segoe UI" w:hAnsi="Segoe UI"/>
          <w:color w:val="101820"/>
          <w:sz w:val="21"/>
        </w:rPr>
        <w:t xml:space="preserve"> (docx, pdf): Discount limits, trade-offs and approval rules in negotiation.</w:t>
      </w:r>
    </w:p>
    <w:p>
      <w:pPr>
        <w:pStyle w:val="Normal"/>
        <w:numPr>
          <w:ilvl w:val="0"/>
          <w:numId w:val="1"/>
        </w:numPr>
        <w:spacing w:before="0" w:after="60"/>
        <w:rPr/>
      </w:pPr>
      <w:r>
        <w:rPr>
          <w:rFonts w:eastAsia="Consolas" w:cs="Consolas" w:ascii="Consolas" w:hAnsi="Consolas"/>
          <w:color w:val="101820"/>
          <w:sz w:val="19"/>
        </w:rPr>
        <w:t>08_Management/BrokerVerse_Go_No_Go_and_Management_Register</w:t>
      </w:r>
      <w:r>
        <w:rPr>
          <w:rFonts w:eastAsia="Segoe UI" w:cs="Segoe UI" w:ascii="Segoe UI" w:hAnsi="Segoe UI"/>
          <w:color w:val="101820"/>
          <w:sz w:val="21"/>
        </w:rPr>
        <w:t xml:space="preserve"> (docx, pdf): Release recommendation, go-live conditions, risks, plans and decisions needed.</w:t>
      </w:r>
    </w:p>
    <w:p>
      <w:pPr>
        <w:pStyle w:val="Normal"/>
        <w:numPr>
          <w:ilvl w:val="0"/>
          <w:numId w:val="1"/>
        </w:numPr>
        <w:spacing w:before="0" w:after="60"/>
        <w:rPr/>
      </w:pPr>
      <w:r>
        <w:rPr>
          <w:rFonts w:eastAsia="Consolas" w:cs="Consolas" w:ascii="Consolas" w:hAnsi="Consolas"/>
          <w:color w:val="101820"/>
          <w:sz w:val="19"/>
        </w:rPr>
        <w:t>08_Management/iNXT_BrokerVerse_OOTB_Strategy_and_Playbook_INTERNAL</w:t>
      </w:r>
      <w:r>
        <w:rPr>
          <w:rFonts w:eastAsia="Segoe UI" w:cs="Segoe UI" w:ascii="Segoe UI" w:hAnsi="Segoe UI"/>
          <w:color w:val="101820"/>
          <w:sz w:val="21"/>
        </w:rPr>
        <w:t xml:space="preserve"> (docx, pdf): How iorta TechNXT sells, delivers, supports and evolves the OOTB product.</w:t>
      </w:r>
    </w:p>
    <w:p>
      <w:pPr>
        <w:pStyle w:val="Normal"/>
        <w:numPr>
          <w:ilvl w:val="0"/>
          <w:numId w:val="1"/>
        </w:numPr>
        <w:spacing w:before="0" w:after="60"/>
        <w:rPr/>
      </w:pPr>
      <w:r>
        <w:rPr>
          <w:rFonts w:eastAsia="Consolas" w:cs="Consolas" w:ascii="Consolas" w:hAnsi="Consolas"/>
          <w:color w:val="101820"/>
          <w:sz w:val="19"/>
        </w:rPr>
        <w:t>08_Management/BrokerVerse_PH_Fit_and_ASEAN_Rollout_Assessment</w:t>
      </w:r>
      <w:r>
        <w:rPr>
          <w:rFonts w:eastAsia="Segoe UI" w:cs="Segoe UI" w:ascii="Segoe UI" w:hAnsi="Segoe UI"/>
          <w:color w:val="101820"/>
          <w:sz w:val="21"/>
        </w:rPr>
        <w:t xml:space="preserve"> (docx, pdf, xlsx): Philippine process fit by area with evidence, gaps ranked, and the change needed for each ASEAN country.</w:t>
      </w:r>
    </w:p>
    <w:p>
      <w:pPr>
        <w:pStyle w:val="Normal"/>
        <w:numPr>
          <w:ilvl w:val="0"/>
          <w:numId w:val="1"/>
        </w:numPr>
        <w:spacing w:before="0" w:after="60"/>
        <w:rPr/>
      </w:pPr>
      <w:r>
        <w:rPr>
          <w:rFonts w:eastAsia="Consolas" w:cs="Consolas" w:ascii="Consolas" w:hAnsi="Consolas"/>
          <w:color w:val="101820"/>
          <w:sz w:val="19"/>
        </w:rPr>
        <w:t>04_Onboarding_and_Go_Live/Brand_Packs/</w:t>
      </w:r>
      <w:r>
        <w:rPr>
          <w:rFonts w:eastAsia="Segoe UI" w:cs="Segoe UI" w:ascii="Segoe UI" w:hAnsi="Segoe UI"/>
          <w:color w:val="101820"/>
          <w:sz w:val="21"/>
        </w:rPr>
        <w:t xml:space="preserve"> (folder): Brand packs to import in Theme and Branding; a client pack carrying a third party's marks is used only in that client's environments, with its written permission.</w:t>
      </w:r>
      <w:r>
        <w:br w:type="page"/>
      </w:r>
    </w:p>
    <w:p>
      <w:pPr>
        <w:pStyle w:val="Heading1"/>
        <w:rPr/>
      </w:pPr>
      <w:bookmarkStart w:id="27" w:name="__RefHeading___Toc8373_3798412894"/>
      <w:bookmarkEnd w:id="27"/>
      <w:r>
        <w:rPr>
          <w:rFonts w:eastAsia="Segoe UI" w:cs="Segoe UI" w:ascii="Segoe UI" w:hAnsi="Segoe UI"/>
          <w:b/>
          <w:color w:val="0F4761"/>
          <w:sz w:val="32"/>
        </w:rPr>
        <w:t>8.  Building the documents</w:t>
      </w:r>
    </w:p>
    <w:p>
      <w:pPr>
        <w:pStyle w:val="Normal"/>
        <w:spacing w:lineRule="auto" w:line="276" w:before="0" w:after="120"/>
        <w:rPr/>
      </w:pPr>
      <w:r>
        <w:rPr>
          <w:rFonts w:eastAsia="Segoe UI" w:cs="Segoe UI" w:ascii="Segoe UI" w:hAnsi="Segoe UI"/>
          <w:color w:val="101820"/>
          <w:sz w:val="21"/>
        </w:rPr>
        <w:t xml:space="preserve">Each Word and PDF document is built from its text source in </w:t>
      </w:r>
      <w:r>
        <w:rPr>
          <w:rFonts w:eastAsia="Consolas" w:cs="Consolas" w:ascii="Consolas" w:hAnsi="Consolas"/>
          <w:color w:val="101820"/>
          <w:sz w:val="19"/>
        </w:rPr>
        <w:t>source/</w:t>
      </w:r>
      <w:r>
        <w:rPr>
          <w:rFonts w:eastAsia="Segoe UI" w:cs="Segoe UI" w:ascii="Segoe UI" w:hAnsi="Segoe UI"/>
          <w:color w:val="101820"/>
          <w:sz w:val="21"/>
        </w:rPr>
        <w:t xml:space="preserve"> into the iorta TechNXT template. The table of sources, folders and file names is kept in one place, </w:t>
      </w:r>
      <w:r>
        <w:rPr>
          <w:rFonts w:eastAsia="Consolas" w:cs="Consolas" w:ascii="Consolas" w:hAnsi="Consolas"/>
          <w:color w:val="101820"/>
          <w:sz w:val="19"/>
        </w:rPr>
        <w:t>tools/build_all.py</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cd docs/package/tools</w:t>
      </w:r>
    </w:p>
    <w:p>
      <w:pPr>
        <w:pStyle w:val="Normal"/>
        <w:shd w:val="clear" w:color="auto" w:fill="F3F4F6"/>
        <w:spacing w:before="0" w:after="0"/>
        <w:ind w:left="170"/>
        <w:rPr/>
      </w:pPr>
      <w:r>
        <w:rPr>
          <w:rFonts w:eastAsia="Consolas" w:cs="Consolas" w:ascii="Consolas" w:hAnsi="Consolas"/>
          <w:color w:val="101820"/>
          <w:sz w:val="17"/>
        </w:rPr>
        <w:t>python3 build_all.py --list                (which source becomes which file)</w:t>
      </w:r>
    </w:p>
    <w:p>
      <w:pPr>
        <w:pStyle w:val="Normal"/>
        <w:shd w:val="clear" w:color="auto" w:fill="F3F4F6"/>
        <w:spacing w:before="0" w:after="0"/>
        <w:ind w:left="170"/>
        <w:rPr/>
      </w:pPr>
      <w:r>
        <w:rPr>
          <w:rFonts w:eastAsia="Consolas" w:cs="Consolas" w:ascii="Consolas" w:hAnsi="Consolas"/>
          <w:color w:val="101820"/>
          <w:sz w:val="17"/>
        </w:rPr>
        <w:t>python3 build_all.py                       (every document: .docx, contents page and .pdf)</w:t>
      </w:r>
    </w:p>
    <w:p>
      <w:pPr>
        <w:pStyle w:val="Normal"/>
        <w:shd w:val="clear" w:color="auto" w:fill="F3F4F6"/>
        <w:spacing w:before="0" w:after="0"/>
        <w:ind w:left="170"/>
        <w:rPr/>
      </w:pPr>
      <w:r>
        <w:rPr>
          <w:rFonts w:eastAsia="Consolas" w:cs="Consolas" w:ascii="Consolas" w:hAnsi="Consolas"/>
          <w:color w:val="101820"/>
          <w:sz w:val="17"/>
        </w:rPr>
        <w:t>python3 build_all.py user-manual           (one document)</w:t>
      </w:r>
    </w:p>
    <w:p>
      <w:pPr>
        <w:pStyle w:val="Normal"/>
        <w:shd w:val="clear" w:color="auto" w:fill="F3F4F6"/>
        <w:spacing w:before="0" w:after="0"/>
        <w:ind w:left="170"/>
        <w:rPr/>
      </w:pPr>
      <w:r>
        <w:rPr>
          <w:rFonts w:eastAsia="Consolas" w:cs="Consolas" w:ascii="Consolas" w:hAnsi="Consolas"/>
          <w:color w:val="101820"/>
          <w:sz w:val="17"/>
        </w:rPr>
        <w:t>python3 build_all.py --sales --workbooks   (also brochures, presentation, plain-text e-mails and workbooks)</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build_all.py</w:t>
      </w:r>
      <w:r>
        <w:rPr>
          <w:rFonts w:eastAsia="Segoe UI" w:cs="Segoe UI" w:ascii="Segoe UI" w:hAnsi="Segoe UI"/>
          <w:color w:val="101820"/>
          <w:sz w:val="21"/>
        </w:rPr>
        <w:t xml:space="preserve"> runs </w:t>
      </w:r>
      <w:r>
        <w:rPr>
          <w:rFonts w:eastAsia="Consolas" w:cs="Consolas" w:ascii="Consolas" w:hAnsi="Consolas"/>
          <w:color w:val="101820"/>
          <w:sz w:val="19"/>
        </w:rPr>
        <w:t>build_doc.py</w:t>
      </w:r>
      <w:r>
        <w:rPr>
          <w:rFonts w:eastAsia="Segoe UI" w:cs="Segoe UI" w:ascii="Segoe UI" w:hAnsi="Segoe UI"/>
          <w:color w:val="101820"/>
          <w:sz w:val="21"/>
        </w:rPr>
        <w:t xml:space="preserve"> (text to .docx), the post-processing step where one is needed (</w:t>
      </w:r>
      <w:r>
        <w:rPr>
          <w:rFonts w:eastAsia="Consolas" w:cs="Consolas" w:ascii="Consolas" w:hAnsi="Consolas"/>
          <w:color w:val="101820"/>
          <w:sz w:val="19"/>
        </w:rPr>
        <w:t>brochure/widths.py</w:t>
      </w:r>
      <w:r>
        <w:rPr>
          <w:rFonts w:eastAsia="Segoe UI" w:cs="Segoe UI" w:ascii="Segoe UI" w:hAnsi="Segoe UI"/>
          <w:color w:val="101820"/>
          <w:sz w:val="21"/>
        </w:rPr>
        <w:t xml:space="preserve"> for the Product Functionality document) and </w:t>
      </w:r>
      <w:r>
        <w:rPr>
          <w:rFonts w:eastAsia="Consolas" w:cs="Consolas" w:ascii="Consolas" w:hAnsi="Consolas"/>
          <w:color w:val="101820"/>
          <w:sz w:val="19"/>
        </w:rPr>
        <w:t>refresh.py</w:t>
      </w:r>
      <w:r>
        <w:rPr>
          <w:rFonts w:eastAsia="Segoe UI" w:cs="Segoe UI" w:ascii="Segoe UI" w:hAnsi="Segoe UI"/>
          <w:color w:val="101820"/>
          <w:sz w:val="21"/>
        </w:rPr>
        <w:t xml:space="preserve"> (contents page and PDF with LibreOffice, on a private profile and port). The workbooks have their own builders: </w:t>
      </w:r>
      <w:r>
        <w:rPr>
          <w:rFonts w:eastAsia="Consolas" w:cs="Consolas" w:ascii="Consolas" w:hAnsi="Consolas"/>
          <w:color w:val="101820"/>
          <w:sz w:val="19"/>
        </w:rPr>
        <w:t>build_pricing.py</w:t>
      </w:r>
      <w:r>
        <w:rPr>
          <w:rFonts w:eastAsia="Segoe UI" w:cs="Segoe UI" w:ascii="Segoe UI" w:hAnsi="Segoe UI"/>
          <w:color w:val="101820"/>
          <w:sz w:val="21"/>
        </w:rPr>
        <w:t xml:space="preserve">, </w:t>
      </w:r>
      <w:r>
        <w:rPr>
          <w:rFonts w:eastAsia="Consolas" w:cs="Consolas" w:ascii="Consolas" w:hAnsi="Consolas"/>
          <w:color w:val="101820"/>
          <w:sz w:val="19"/>
        </w:rPr>
        <w:t>build_price_book.py</w:t>
      </w:r>
      <w:r>
        <w:rPr>
          <w:rFonts w:eastAsia="Segoe UI" w:cs="Segoe UI" w:ascii="Segoe UI" w:hAnsi="Segoe UI"/>
          <w:color w:val="101820"/>
          <w:sz w:val="21"/>
        </w:rPr>
        <w:t xml:space="preserve">, </w:t>
      </w:r>
      <w:r>
        <w:rPr>
          <w:rFonts w:eastAsia="Consolas" w:cs="Consolas" w:ascii="Consolas" w:hAnsi="Consolas"/>
          <w:color w:val="101820"/>
          <w:sz w:val="19"/>
        </w:rPr>
        <w:t>build_roi.py</w:t>
      </w:r>
      <w:r>
        <w:rPr>
          <w:rFonts w:eastAsia="Segoe UI" w:cs="Segoe UI" w:ascii="Segoe UI" w:hAnsi="Segoe UI"/>
          <w:color w:val="101820"/>
          <w:sz w:val="21"/>
        </w:rPr>
        <w:t xml:space="preserve">, </w:t>
      </w:r>
      <w:r>
        <w:rPr>
          <w:rFonts w:eastAsia="Consolas" w:cs="Consolas" w:ascii="Consolas" w:hAnsi="Consolas"/>
          <w:color w:val="101820"/>
          <w:sz w:val="19"/>
        </w:rPr>
        <w:t>build_questionnaire_xlsx.py</w:t>
      </w:r>
      <w:r>
        <w:rPr>
          <w:rFonts w:eastAsia="Segoe UI" w:cs="Segoe UI" w:ascii="Segoe UI" w:hAnsi="Segoe UI"/>
          <w:color w:val="101820"/>
          <w:sz w:val="21"/>
        </w:rPr>
        <w:t xml:space="preserve">, </w:t>
      </w:r>
      <w:r>
        <w:rPr>
          <w:rFonts w:eastAsia="Consolas" w:cs="Consolas" w:ascii="Consolas" w:hAnsi="Consolas"/>
          <w:color w:val="101820"/>
          <w:sz w:val="19"/>
        </w:rPr>
        <w:t>build_discovery_workbook.py</w:t>
      </w:r>
      <w:r>
        <w:rPr>
          <w:rFonts w:eastAsia="Segoe UI" w:cs="Segoe UI" w:ascii="Segoe UI" w:hAnsi="Segoe UI"/>
          <w:color w:val="101820"/>
          <w:sz w:val="21"/>
        </w:rPr>
        <w:t xml:space="preserve">, </w:t>
      </w:r>
      <w:r>
        <w:rPr>
          <w:rFonts w:eastAsia="Consolas" w:cs="Consolas" w:ascii="Consolas" w:hAnsi="Consolas"/>
          <w:color w:val="101820"/>
          <w:sz w:val="19"/>
        </w:rPr>
        <w:t>build_plan_xlsx.py</w:t>
      </w:r>
      <w:r>
        <w:rPr>
          <w:rFonts w:eastAsia="Segoe UI" w:cs="Segoe UI" w:ascii="Segoe UI" w:hAnsi="Segoe UI"/>
          <w:color w:val="101820"/>
          <w:sz w:val="21"/>
        </w:rPr>
        <w:t xml:space="preserve">, </w:t>
      </w:r>
      <w:r>
        <w:rPr>
          <w:rFonts w:eastAsia="Consolas" w:cs="Consolas" w:ascii="Consolas" w:hAnsi="Consolas"/>
          <w:color w:val="101820"/>
          <w:sz w:val="19"/>
        </w:rPr>
        <w:t>build_project_templates_xlsx.py</w:t>
      </w:r>
      <w:r>
        <w:rPr>
          <w:rFonts w:eastAsia="Segoe UI" w:cs="Segoe UI" w:ascii="Segoe UI" w:hAnsi="Segoe UI"/>
          <w:color w:val="101820"/>
          <w:sz w:val="21"/>
        </w:rPr>
        <w:t xml:space="preserve"> (Fit-Gap Register and RAID Log), </w:t>
      </w:r>
      <w:r>
        <w:rPr>
          <w:rFonts w:eastAsia="Consolas" w:cs="Consolas" w:ascii="Consolas" w:hAnsi="Consolas"/>
          <w:color w:val="101820"/>
          <w:sz w:val="19"/>
        </w:rPr>
        <w:t>build_touchpoints_xlsx.py</w:t>
      </w:r>
      <w:r>
        <w:rPr>
          <w:rFonts w:eastAsia="Segoe UI" w:cs="Segoe UI" w:ascii="Segoe UI" w:hAnsi="Segoe UI"/>
          <w:color w:val="101820"/>
          <w:sz w:val="21"/>
        </w:rPr>
        <w:t xml:space="preserve">, </w:t>
      </w:r>
      <w:r>
        <w:rPr>
          <w:rFonts w:eastAsia="Consolas" w:cs="Consolas" w:ascii="Consolas" w:hAnsi="Consolas"/>
          <w:color w:val="101820"/>
          <w:sz w:val="19"/>
        </w:rPr>
        <w:t>build_api_catalogue.py</w:t>
      </w:r>
      <w:r>
        <w:rPr>
          <w:rFonts w:eastAsia="Segoe UI" w:cs="Segoe UI" w:ascii="Segoe UI" w:hAnsi="Segoe UI"/>
          <w:color w:val="101820"/>
          <w:sz w:val="21"/>
        </w:rPr>
        <w:t xml:space="preserve">, </w:t>
      </w:r>
      <w:r>
        <w:rPr>
          <w:rFonts w:eastAsia="Consolas" w:cs="Consolas" w:ascii="Consolas" w:hAnsi="Consolas"/>
          <w:color w:val="101820"/>
          <w:sz w:val="19"/>
        </w:rPr>
        <w:t>build_fit_assessment_xlsx.py</w:t>
      </w:r>
      <w:r>
        <w:rPr>
          <w:rFonts w:eastAsia="Segoe UI" w:cs="Segoe UI" w:ascii="Segoe UI" w:hAnsi="Segoe UI"/>
          <w:color w:val="101820"/>
          <w:sz w:val="21"/>
        </w:rPr>
        <w:t xml:space="preserve"> (Philippine fit and ASEAN rollout assessment) and </w:t>
      </w:r>
      <w:r>
        <w:rPr>
          <w:rFonts w:eastAsia="Consolas" w:cs="Consolas" w:ascii="Consolas" w:hAnsi="Consolas"/>
          <w:color w:val="101820"/>
          <w:sz w:val="19"/>
        </w:rPr>
        <w:t>data-dictionary/</w:t>
      </w:r>
      <w:r>
        <w:rPr>
          <w:rFonts w:eastAsia="Segoe UI" w:cs="Segoe UI" w:ascii="Segoe UI" w:hAnsi="Segoe UI"/>
          <w:color w:val="101820"/>
          <w:sz w:val="21"/>
        </w:rPr>
        <w:t xml:space="preserve">. The plain-text prospect e-mails come from </w:t>
      </w:r>
      <w:r>
        <w:rPr>
          <w:rFonts w:eastAsia="Consolas" w:cs="Consolas" w:ascii="Consolas" w:hAnsi="Consolas"/>
          <w:color w:val="101820"/>
          <w:sz w:val="19"/>
        </w:rPr>
        <w:t>build_prospect_emails_txt.py</w:t>
      </w:r>
      <w:r>
        <w:rPr>
          <w:rFonts w:eastAsia="Segoe UI" w:cs="Segoe UI" w:ascii="Segoe UI" w:hAnsi="Segoe UI"/>
          <w:color w:val="101820"/>
          <w:sz w:val="21"/>
        </w:rPr>
        <w:t xml:space="preserve">. The Test Cases and Reports Book workbooks are maintained directly. Writing rules: </w:t>
      </w:r>
      <w:r>
        <w:rPr>
          <w:rFonts w:eastAsia="Consolas" w:cs="Consolas" w:ascii="Consolas" w:hAnsi="Consolas"/>
          <w:color w:val="101820"/>
          <w:sz w:val="19"/>
        </w:rPr>
        <w:t>tools/WRITING_RULES.md</w:t>
      </w:r>
      <w:r>
        <w:rPr>
          <w:rFonts w:eastAsia="Segoe UI" w:cs="Segoe UI" w:ascii="Segoe UI" w:hAnsi="Segoe UI"/>
          <w:color w:val="101820"/>
          <w:sz w:val="21"/>
        </w:rPr>
        <w:t xml:space="preserve">. This index is generated by </w:t>
      </w:r>
      <w:r>
        <w:rPr>
          <w:rFonts w:eastAsia="Consolas" w:cs="Consolas" w:ascii="Consolas" w:hAnsi="Consolas"/>
          <w:color w:val="101820"/>
          <w:sz w:val="19"/>
        </w:rPr>
        <w:t>build_pack_index.py</w:t>
      </w:r>
      <w:r>
        <w:rPr>
          <w:rFonts w:eastAsia="Segoe UI" w:cs="Segoe UI" w:ascii="Segoe UI" w:hAnsi="Segoe UI"/>
          <w:color w:val="101820"/>
          <w:sz w:val="21"/>
        </w:rPr>
        <w: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8375_3798412894"/>
      <w:bookmarkStart w:id="29" w:name="_Toc233203395"/>
      <w:bookmarkEnd w:id="28"/>
      <w:r>
        <w:rPr>
          <w:rStyle w:val="BookTitle"/>
          <w:bCs w:val="false"/>
          <w:i w:val="false"/>
          <w:iCs w:val="false"/>
          <w:spacing w:val="0"/>
        </w:rPr>
        <w:t>9.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2026-10-04T09:09:50Z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