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0">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1">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1"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3"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5"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7"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Service Catalogue</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Service Catalogue</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9"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And rate annex</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And rate annex</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6273_2842061002">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16275_2842061002">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16277_2842061002">
            <w:r>
              <w:rPr>
                <w:webHidden/>
                <w:rStyle w:val="IndexLink"/>
              </w:rPr>
              <w:t>3. About this annex</w:t>
              <w:tab/>
              <w:t>4</w:t>
            </w:r>
          </w:hyperlink>
        </w:p>
        <w:p>
          <w:pPr>
            <w:pStyle w:val="TOC1"/>
            <w:tabs>
              <w:tab w:val="clear" w:pos="900"/>
              <w:tab w:val="clear" w:pos="9350"/>
              <w:tab w:val="right" w:pos="9025" w:leader="dot"/>
            </w:tabs>
            <w:rPr/>
          </w:pPr>
          <w:hyperlink w:anchor="__RefHeading___Toc16279_2842061002">
            <w:r>
              <w:rPr>
                <w:webHidden/>
                <w:rStyle w:val="IndexLink"/>
              </w:rPr>
              <w:t>4. Service catalogue</w:t>
              <w:tab/>
              <w:t>6</w:t>
            </w:r>
          </w:hyperlink>
        </w:p>
        <w:p>
          <w:pPr>
            <w:pStyle w:val="TOC2"/>
            <w:tabs>
              <w:tab w:val="clear" w:pos="900"/>
              <w:tab w:val="clear" w:pos="9350"/>
              <w:tab w:val="right" w:pos="9025" w:leader="dot"/>
            </w:tabs>
            <w:rPr/>
          </w:pPr>
          <w:hyperlink w:anchor="__RefHeading___Toc16281_2842061002">
            <w:r>
              <w:rPr>
                <w:webHidden/>
                <w:rStyle w:val="IndexLink"/>
              </w:rPr>
              <w:t>4.1 Overview</w:t>
              <w:tab/>
              <w:t>6</w:t>
            </w:r>
          </w:hyperlink>
        </w:p>
        <w:p>
          <w:pPr>
            <w:pStyle w:val="TOC2"/>
            <w:tabs>
              <w:tab w:val="clear" w:pos="900"/>
              <w:tab w:val="clear" w:pos="9350"/>
              <w:tab w:val="right" w:pos="9025" w:leader="dot"/>
            </w:tabs>
            <w:rPr/>
          </w:pPr>
          <w:hyperlink w:anchor="__RefHeading___Toc16283_2842061002">
            <w:r>
              <w:rPr>
                <w:webHidden/>
                <w:rStyle w:val="IndexLink"/>
              </w:rPr>
              <w:t>4.2 Size tiers</w:t>
              <w:tab/>
              <w:t>6</w:t>
            </w:r>
          </w:hyperlink>
        </w:p>
        <w:p>
          <w:pPr>
            <w:pStyle w:val="TOC2"/>
            <w:tabs>
              <w:tab w:val="clear" w:pos="900"/>
              <w:tab w:val="clear" w:pos="9350"/>
              <w:tab w:val="right" w:pos="9025" w:leader="dot"/>
            </w:tabs>
            <w:rPr/>
          </w:pPr>
          <w:hyperlink w:anchor="__RefHeading___Toc16285_2842061002">
            <w:r>
              <w:rPr>
                <w:webHidden/>
                <w:rStyle w:val="IndexLink"/>
              </w:rPr>
              <w:t>4.3 Packages</w:t>
              <w:tab/>
              <w:t>6</w:t>
            </w:r>
          </w:hyperlink>
        </w:p>
        <w:p>
          <w:pPr>
            <w:pStyle w:val="TOC1"/>
            <w:tabs>
              <w:tab w:val="clear" w:pos="900"/>
              <w:tab w:val="clear" w:pos="9350"/>
              <w:tab w:val="right" w:pos="9025" w:leader="dot"/>
            </w:tabs>
            <w:rPr/>
          </w:pPr>
          <w:hyperlink w:anchor="__RefHeading___Toc16287_2842061002">
            <w:r>
              <w:rPr>
                <w:webHidden/>
                <w:rStyle w:val="IndexLink"/>
              </w:rPr>
              <w:t>5. Rates</w:t>
              <w:tab/>
              <w:t>8</w:t>
            </w:r>
          </w:hyperlink>
        </w:p>
        <w:p>
          <w:pPr>
            <w:pStyle w:val="TOC2"/>
            <w:tabs>
              <w:tab w:val="clear" w:pos="900"/>
              <w:tab w:val="clear" w:pos="9350"/>
              <w:tab w:val="right" w:pos="9025" w:leader="dot"/>
            </w:tabs>
            <w:rPr/>
          </w:pPr>
          <w:hyperlink w:anchor="__RefHeading___Toc16289_2842061002">
            <w:r>
              <w:rPr>
                <w:webHidden/>
                <w:rStyle w:val="IndexLink"/>
              </w:rPr>
              <w:t>5.1 S01: perpetual licence</w:t>
              <w:tab/>
              <w:t>8</w:t>
            </w:r>
          </w:hyperlink>
        </w:p>
        <w:p>
          <w:pPr>
            <w:pStyle w:val="TOC2"/>
            <w:tabs>
              <w:tab w:val="clear" w:pos="900"/>
              <w:tab w:val="clear" w:pos="9350"/>
              <w:tab w:val="right" w:pos="9025" w:leader="dot"/>
            </w:tabs>
            <w:rPr/>
          </w:pPr>
          <w:hyperlink w:anchor="__RefHeading___Toc16291_2842061002">
            <w:r>
              <w:rPr>
                <w:webHidden/>
                <w:rStyle w:val="IndexLink"/>
              </w:rPr>
              <w:t>5.2 S02: subscription</w:t>
              <w:tab/>
              <w:t>8</w:t>
            </w:r>
          </w:hyperlink>
        </w:p>
        <w:p>
          <w:pPr>
            <w:pStyle w:val="TOC2"/>
            <w:tabs>
              <w:tab w:val="clear" w:pos="900"/>
              <w:tab w:val="clear" w:pos="9350"/>
              <w:tab w:val="right" w:pos="9025" w:leader="dot"/>
            </w:tabs>
            <w:rPr/>
          </w:pPr>
          <w:hyperlink w:anchor="__RefHeading___Toc16293_2842061002">
            <w:r>
              <w:rPr>
                <w:webHidden/>
                <w:rStyle w:val="IndexLink"/>
              </w:rPr>
              <w:t>5.3 S03: implementation or onboarding</w:t>
              <w:tab/>
              <w:t>8</w:t>
            </w:r>
          </w:hyperlink>
        </w:p>
        <w:p>
          <w:pPr>
            <w:pStyle w:val="TOC2"/>
            <w:tabs>
              <w:tab w:val="clear" w:pos="900"/>
              <w:tab w:val="clear" w:pos="9350"/>
              <w:tab w:val="right" w:pos="9025" w:leader="dot"/>
            </w:tabs>
            <w:rPr/>
          </w:pPr>
          <w:hyperlink w:anchor="__RefHeading___Toc16295_2842061002">
            <w:r>
              <w:rPr>
                <w:webHidden/>
                <w:rStyle w:val="IndexLink"/>
              </w:rPr>
              <w:t>5.4 S04 to S06: maintenance and support</w:t>
              <w:tab/>
              <w:t>8</w:t>
            </w:r>
          </w:hyperlink>
        </w:p>
        <w:p>
          <w:pPr>
            <w:pStyle w:val="TOC2"/>
            <w:tabs>
              <w:tab w:val="clear" w:pos="900"/>
              <w:tab w:val="clear" w:pos="9350"/>
              <w:tab w:val="right" w:pos="9025" w:leader="dot"/>
            </w:tabs>
            <w:rPr/>
          </w:pPr>
          <w:hyperlink w:anchor="__RefHeading___Toc16297_2842061002">
            <w:r>
              <w:rPr>
                <w:webHidden/>
                <w:rStyle w:val="IndexLink"/>
              </w:rPr>
              <w:t>5.5 S07: hosting</w:t>
              <w:tab/>
              <w:t>9</w:t>
            </w:r>
          </w:hyperlink>
        </w:p>
        <w:p>
          <w:pPr>
            <w:pStyle w:val="TOC2"/>
            <w:tabs>
              <w:tab w:val="clear" w:pos="900"/>
              <w:tab w:val="clear" w:pos="9350"/>
              <w:tab w:val="right" w:pos="9025" w:leader="dot"/>
            </w:tabs>
            <w:rPr/>
          </w:pPr>
          <w:hyperlink w:anchor="__RefHeading___Toc16299_2842061002">
            <w:r>
              <w:rPr>
                <w:webHidden/>
                <w:rStyle w:val="IndexLink"/>
              </w:rPr>
              <w:t>5.6 S08: optional services</w:t>
              <w:tab/>
              <w:t>9</w:t>
            </w:r>
          </w:hyperlink>
        </w:p>
        <w:p>
          <w:pPr>
            <w:pStyle w:val="TOC2"/>
            <w:tabs>
              <w:tab w:val="clear" w:pos="900"/>
              <w:tab w:val="clear" w:pos="9350"/>
              <w:tab w:val="right" w:pos="9025" w:leader="dot"/>
            </w:tabs>
            <w:rPr/>
          </w:pPr>
          <w:hyperlink w:anchor="__RefHeading___Toc16301_2842061002">
            <w:r>
              <w:rPr>
                <w:webHidden/>
                <w:rStyle w:val="IndexLink"/>
              </w:rPr>
              <w:t>5.7 S09: change requests and day rates</w:t>
              <w:tab/>
              <w:t>12</w:t>
            </w:r>
          </w:hyperlink>
        </w:p>
        <w:p>
          <w:pPr>
            <w:pStyle w:val="TOC2"/>
            <w:tabs>
              <w:tab w:val="clear" w:pos="900"/>
              <w:tab w:val="clear" w:pos="9350"/>
              <w:tab w:val="right" w:pos="9025" w:leader="dot"/>
            </w:tabs>
            <w:rPr/>
          </w:pPr>
          <w:hyperlink w:anchor="__RefHeading___Toc16303_2842061002">
            <w:r>
              <w:rPr>
                <w:webHidden/>
                <w:rStyle w:val="IndexLink"/>
              </w:rPr>
              <w:t>5.8 S10: exit and transition</w:t>
              <w:tab/>
              <w:t>12</w:t>
            </w:r>
          </w:hyperlink>
        </w:p>
        <w:p>
          <w:pPr>
            <w:pStyle w:val="TOC2"/>
            <w:tabs>
              <w:tab w:val="clear" w:pos="900"/>
              <w:tab w:val="clear" w:pos="9350"/>
              <w:tab w:val="right" w:pos="9025" w:leader="dot"/>
            </w:tabs>
            <w:rPr/>
          </w:pPr>
          <w:hyperlink w:anchor="__RefHeading___Toc16305_2842061002">
            <w:r>
              <w:rPr>
                <w:webHidden/>
                <w:rStyle w:val="IndexLink"/>
              </w:rPr>
              <w:t>5.9 S11: source code escrow</w:t>
              <w:tab/>
              <w:t>12</w:t>
            </w:r>
          </w:hyperlink>
        </w:p>
        <w:p>
          <w:pPr>
            <w:pStyle w:val="TOC1"/>
            <w:tabs>
              <w:tab w:val="clear" w:pos="900"/>
              <w:tab w:val="clear" w:pos="9350"/>
              <w:tab w:val="right" w:pos="9025" w:leader="dot"/>
            </w:tabs>
            <w:rPr/>
          </w:pPr>
          <w:hyperlink w:anchor="__RefHeading___Toc16307_2842061002">
            <w:r>
              <w:rPr>
                <w:webHidden/>
                <w:rStyle w:val="IndexLink"/>
              </w:rPr>
              <w:t>6. Payment terms</w:t>
              <w:tab/>
              <w:t>13</w:t>
            </w:r>
          </w:hyperlink>
        </w:p>
        <w:p>
          <w:pPr>
            <w:pStyle w:val="TOC1"/>
            <w:tabs>
              <w:tab w:val="clear" w:pos="900"/>
              <w:tab w:val="clear" w:pos="9350"/>
              <w:tab w:val="right" w:pos="9025" w:leader="dot"/>
            </w:tabs>
            <w:rPr/>
          </w:pPr>
          <w:hyperlink w:anchor="__RefHeading___Toc16309_2842061002">
            <w:r>
              <w:rPr>
                <w:webHidden/>
                <w:rStyle w:val="IndexLink"/>
              </w:rPr>
              <w:t>7. Out of scope</w:t>
              <w:tab/>
              <w:t>14</w:t>
            </w:r>
          </w:hyperlink>
        </w:p>
        <w:p>
          <w:pPr>
            <w:pStyle w:val="TOC2"/>
            <w:tabs>
              <w:tab w:val="clear" w:pos="900"/>
              <w:tab w:val="clear" w:pos="9350"/>
              <w:tab w:val="right" w:pos="9025" w:leader="dot"/>
            </w:tabs>
            <w:rPr/>
          </w:pPr>
          <w:hyperlink w:anchor="__RefHeading___Toc16311_2842061002">
            <w:r>
              <w:rPr>
                <w:webHidden/>
                <w:rStyle w:val="IndexLink"/>
              </w:rPr>
              <w:t>7.1 Product changes</w:t>
              <w:tab/>
              <w:t>14</w:t>
            </w:r>
          </w:hyperlink>
        </w:p>
        <w:p>
          <w:pPr>
            <w:pStyle w:val="TOC2"/>
            <w:tabs>
              <w:tab w:val="clear" w:pos="900"/>
              <w:tab w:val="clear" w:pos="9350"/>
              <w:tab w:val="right" w:pos="9025" w:leader="dot"/>
            </w:tabs>
            <w:rPr/>
          </w:pPr>
          <w:hyperlink w:anchor="__RefHeading___Toc16313_2842061002">
            <w:r>
              <w:rPr>
                <w:webHidden/>
                <w:rStyle w:val="IndexLink"/>
              </w:rPr>
              <w:t>7.2 Data services</w:t>
              <w:tab/>
              <w:t>14</w:t>
            </w:r>
          </w:hyperlink>
        </w:p>
        <w:p>
          <w:pPr>
            <w:pStyle w:val="TOC2"/>
            <w:tabs>
              <w:tab w:val="clear" w:pos="900"/>
              <w:tab w:val="clear" w:pos="9350"/>
              <w:tab w:val="right" w:pos="9025" w:leader="dot"/>
            </w:tabs>
            <w:rPr/>
          </w:pPr>
          <w:hyperlink w:anchor="__RefHeading___Toc16315_2842061002">
            <w:r>
              <w:rPr>
                <w:webHidden/>
                <w:rStyle w:val="IndexLink"/>
              </w:rPr>
              <w:t>7.3 Infrastructure and third parties</w:t>
              <w:tab/>
              <w:t>14</w:t>
            </w:r>
          </w:hyperlink>
        </w:p>
        <w:p>
          <w:pPr>
            <w:pStyle w:val="TOC2"/>
            <w:tabs>
              <w:tab w:val="clear" w:pos="900"/>
              <w:tab w:val="clear" w:pos="9350"/>
              <w:tab w:val="right" w:pos="9025" w:leader="dot"/>
            </w:tabs>
            <w:rPr/>
          </w:pPr>
          <w:hyperlink w:anchor="__RefHeading___Toc16317_2842061002">
            <w:r>
              <w:rPr>
                <w:webHidden/>
                <w:rStyle w:val="IndexLink"/>
              </w:rPr>
              <w:t>7.4 Regulatory and advice</w:t>
              <w:tab/>
              <w:t>14</w:t>
            </w:r>
          </w:hyperlink>
        </w:p>
        <w:p>
          <w:pPr>
            <w:pStyle w:val="TOC2"/>
            <w:tabs>
              <w:tab w:val="clear" w:pos="900"/>
              <w:tab w:val="clear" w:pos="9350"/>
              <w:tab w:val="right" w:pos="9025" w:leader="dot"/>
            </w:tabs>
            <w:rPr/>
          </w:pPr>
          <w:hyperlink w:anchor="__RefHeading___Toc16319_2842061002">
            <w:r>
              <w:rPr>
                <w:webHidden/>
                <w:rStyle w:val="IndexLink"/>
              </w:rPr>
              <w:t>7.5 Training and support</w:t>
              <w:tab/>
              <w:t>15</w:t>
            </w:r>
          </w:hyperlink>
        </w:p>
        <w:p>
          <w:pPr>
            <w:pStyle w:val="TOC1"/>
            <w:tabs>
              <w:tab w:val="clear" w:pos="900"/>
              <w:tab w:val="clear" w:pos="9350"/>
              <w:tab w:val="right" w:pos="9025" w:leader="dot"/>
            </w:tabs>
            <w:rPr/>
          </w:pPr>
          <w:hyperlink w:anchor="__RefHeading___Toc16321_2842061002">
            <w:r>
              <w:rPr>
                <w:webHidden/>
                <w:rStyle w:val="IndexLink"/>
                <w:i w:val="false"/>
                <w:iCs w:val="false"/>
              </w:rPr>
              <w:t>8. Document Sign-Off</w:t>
            </w:r>
            <w:r>
              <w:rPr>
                <w:rStyle w:val="IndexLink"/>
              </w:rPr>
              <w:tab/>
              <w:t>16</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6273_2842061002"/>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1.0.1</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Version 1.0.1: optional services confirmed by management on 04 October 2026: optional modules and partner services (module activation, connector go-live, dealer programme set-up, client brand pack, regulator and partner items) added to S08 with their man-days and rates; package totals unchanged. Version 1.0: 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6275_2842061002"/>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Development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Disaster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Pre-production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United States dollar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6277_2842061002"/>
      <w:bookmarkEnd w:id="6"/>
      <w:r>
        <w:rPr>
          <w:rFonts w:eastAsia="Segoe UI" w:cs="Segoe UI" w:ascii="Segoe UI" w:hAnsi="Segoe UI"/>
          <w:b/>
          <w:color w:val="0F4761"/>
          <w:sz w:val="32"/>
        </w:rPr>
        <w:t>3.  About this annex</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Service Catalogue and Rate Annex (the </w:t>
      </w:r>
      <w:r>
        <w:rPr>
          <w:rFonts w:eastAsia="Segoe UI" w:cs="Segoe UI" w:ascii="Segoe UI" w:hAnsi="Segoe UI"/>
          <w:b/>
          <w:color w:val="101820"/>
          <w:sz w:val="21"/>
        </w:rPr>
        <w:t>Rate Annex</w:t>
      </w:r>
      <w:r>
        <w:rPr>
          <w:rFonts w:eastAsia="Segoe UI" w:cs="Segoe UI" w:ascii="Segoe UI" w:hAnsi="Segoe UI"/>
          <w:color w:val="101820"/>
          <w:sz w:val="21"/>
        </w:rPr>
        <w:t>) lists the services of iNXT BrokerVerse OOTB that iorta TechNXT Corp. (</w:t>
      </w:r>
      <w:r>
        <w:rPr>
          <w:rFonts w:eastAsia="Segoe UI" w:cs="Segoe UI" w:ascii="Segoe UI" w:hAnsi="Segoe UI"/>
          <w:b/>
          <w:color w:val="101820"/>
          <w:sz w:val="21"/>
        </w:rPr>
        <w:t>iorta TechNXT</w:t>
      </w:r>
      <w:r>
        <w:rPr>
          <w:rFonts w:eastAsia="Segoe UI" w:cs="Segoe UI" w:ascii="Segoe UI" w:hAnsi="Segoe UI"/>
          <w:color w:val="101820"/>
          <w:sz w:val="21"/>
        </w:rPr>
        <w:t xml:space="preserve">) provides under the Master Services Agreement (the </w:t>
      </w:r>
      <w:r>
        <w:rPr>
          <w:rFonts w:eastAsia="Segoe UI" w:cs="Segoe UI" w:ascii="Segoe UI" w:hAnsi="Segoe UI"/>
          <w:b/>
          <w:color w:val="101820"/>
          <w:sz w:val="21"/>
        </w:rPr>
        <w:t>MSA</w:t>
      </w:r>
      <w:r>
        <w:rPr>
          <w:rFonts w:eastAsia="Segoe UI" w:cs="Segoe UI" w:ascii="Segoe UI" w:hAnsi="Segoe UI"/>
          <w:color w:val="101820"/>
          <w:sz w:val="21"/>
        </w:rPr>
        <w:t xml:space="preserve">), with their units and list rates, the optional services, and the work that is outside the OOTB scope. It is an annex to every Order Form between iorta TechNXT and [Client legal name] (the </w:t>
      </w:r>
      <w:r>
        <w:rPr>
          <w:rFonts w:eastAsia="Segoe UI" w:cs="Segoe UI" w:ascii="Segoe UI" w:hAnsi="Segoe UI"/>
          <w:b/>
          <w:color w:val="101820"/>
          <w:sz w:val="21"/>
        </w:rPr>
        <w:t>Client</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The rates are the list rates of the iorta TechNXT price book dated 04 October 2026 (</w:t>
      </w:r>
      <w:r>
        <w:rPr>
          <w:rFonts w:eastAsia="Consolas" w:cs="Consolas" w:ascii="Consolas" w:hAnsi="Consolas"/>
          <w:color w:val="101820"/>
          <w:sz w:val="19"/>
        </w:rPr>
        <w:t>iNXT_BrokerVerse_Price_Book.xlsx</w:t>
      </w:r>
      <w:r>
        <w:rPr>
          <w:rFonts w:eastAsia="Segoe UI" w:cs="Segoe UI" w:ascii="Segoe UI" w:hAnsi="Segoe UI"/>
          <w:color w:val="101820"/>
          <w:sz w:val="21"/>
        </w:rPr>
        <w:t xml:space="preserve"> and the Rate Card). They are the same as the rates in the Perpetual Software Licence Agreement, the Software Subscription Agreement, the Implementation SOW, the Change Request Procedure, the Annual Maintenance and Support Agreement and SLA and the Hosting and Infrastructure Services Agreement.</w:t>
      </w:r>
    </w:p>
    <w:p>
      <w:pPr>
        <w:pStyle w:val="Normal"/>
        <w:numPr>
          <w:ilvl w:val="0"/>
          <w:numId w:val="1"/>
        </w:numPr>
        <w:spacing w:before="0" w:after="60"/>
        <w:rPr/>
      </w:pPr>
      <w:r>
        <w:rPr>
          <w:rFonts w:eastAsia="Segoe UI" w:cs="Segoe UI" w:ascii="Segoe UI" w:hAnsi="Segoe UI"/>
          <w:color w:val="101820"/>
          <w:sz w:val="21"/>
        </w:rPr>
        <w:t>The rates of the signed Order Form, including any discount shown there as a separate line, prevail over this Rate Annex.</w:t>
      </w:r>
    </w:p>
    <w:p>
      <w:pPr>
        <w:pStyle w:val="Normal"/>
        <w:numPr>
          <w:ilvl w:val="0"/>
          <w:numId w:val="1"/>
        </w:numPr>
        <w:spacing w:before="0" w:after="60"/>
        <w:rPr/>
      </w:pPr>
      <w:r>
        <w:rPr>
          <w:rFonts w:eastAsia="Segoe UI" w:cs="Segoe UI" w:ascii="Segoe UI" w:hAnsi="Segoe UI"/>
          <w:color w:val="101820"/>
          <w:sz w:val="21"/>
        </w:rPr>
        <w:t>All amounts are in PHP and exclude 12% VAT. Withholding tax is handled under the Taxes clause of the MSA and does not reduce the invoice price.</w:t>
      </w:r>
    </w:p>
    <w:p>
      <w:pPr>
        <w:pStyle w:val="Normal"/>
        <w:numPr>
          <w:ilvl w:val="0"/>
          <w:numId w:val="1"/>
        </w:numPr>
        <w:spacing w:before="0" w:after="60"/>
        <w:rPr/>
      </w:pPr>
      <w:r>
        <w:rPr>
          <w:rFonts w:eastAsia="Segoe UI" w:cs="Segoe UI" w:ascii="Segoe UI" w:hAnsi="Segoe UI"/>
          <w:color w:val="101820"/>
          <w:sz w:val="21"/>
        </w:rPr>
        <w:t>Day rates are fixed for 12 months from the date of the Order Form and may then be reviewed once a year with 60 days' written notice.</w:t>
      </w:r>
    </w:p>
    <w:p>
      <w:pPr>
        <w:pStyle w:val="Normal"/>
        <w:numPr>
          <w:ilvl w:val="0"/>
          <w:numId w:val="1"/>
        </w:numPr>
        <w:spacing w:before="0" w:after="60"/>
        <w:rPr/>
      </w:pPr>
      <w:r>
        <w:rPr>
          <w:rFonts w:eastAsia="Segoe UI" w:cs="Segoe UI" w:ascii="Segoe UI" w:hAnsi="Segoe UI"/>
          <w:color w:val="101820"/>
          <w:sz w:val="21"/>
        </w:rPr>
        <w:t>Recurring fees for the subscription, the AMC and the 24x7 Severity 1 support increase by 5% at each anniversary of their start. Hosting fees do not increase yearly; they change only under the Pass-through and adjustments clause of the Hosting Agreement.</w:t>
      </w:r>
    </w:p>
    <w:p>
      <w:pPr>
        <w:pStyle w:val="Normal"/>
        <w:spacing w:lineRule="auto" w:line="276" w:before="0" w:after="120"/>
        <w:rPr/>
      </w:pPr>
      <w:r>
        <w:rPr>
          <w:rFonts w:eastAsia="Segoe UI" w:cs="Segoe UI" w:ascii="Segoe UI" w:hAnsi="Segoe UI"/>
          <w:color w:val="101820"/>
          <w:sz w:val="21"/>
        </w:rPr>
        <w:t>Text in [square brackets] is a placeholder or an option. Capitalised terms have the meaning given in the MSA.</w:t>
      </w:r>
      <w:r>
        <w:br w:type="page"/>
      </w:r>
    </w:p>
    <w:p>
      <w:pPr>
        <w:pStyle w:val="Heading1"/>
        <w:rPr/>
      </w:pPr>
      <w:bookmarkStart w:id="7" w:name="__RefHeading___Toc16279_2842061002"/>
      <w:bookmarkEnd w:id="7"/>
      <w:r>
        <w:rPr>
          <w:rFonts w:eastAsia="Segoe UI" w:cs="Segoe UI" w:ascii="Segoe UI" w:hAnsi="Segoe UI"/>
          <w:b/>
          <w:color w:val="0F4761"/>
          <w:sz w:val="32"/>
        </w:rPr>
        <w:t>4.  Service catalogue</w:t>
      </w:r>
    </w:p>
    <w:p>
      <w:pPr>
        <w:pStyle w:val="Heading2"/>
        <w:rPr/>
      </w:pPr>
      <w:bookmarkStart w:id="8" w:name="__RefHeading___Toc16281_2842061002"/>
      <w:bookmarkEnd w:id="8"/>
      <w:r>
        <w:rPr>
          <w:rFonts w:eastAsia="Segoe UI" w:cs="Segoe UI"/>
          <w:b/>
          <w:color w:val="0F4761"/>
          <w:sz w:val="26"/>
        </w:rPr>
        <w:t>4.1  Overview</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3212"/>
        <w:gridCol w:w="1685"/>
        <w:gridCol w:w="3211"/>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Code</w:t>
            </w:r>
          </w:p>
        </w:tc>
        <w:tc>
          <w:tcPr>
            <w:tcW w:w="32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Service</w:t>
            </w:r>
          </w:p>
        </w:tc>
        <w:tc>
          <w:tcPr>
            <w:tcW w:w="16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Model</w:t>
            </w:r>
          </w:p>
        </w:tc>
        <w:tc>
          <w:tcPr>
            <w:tcW w:w="32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 the terms are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S01</w:t>
            </w:r>
          </w:p>
        </w:tc>
        <w:tc>
          <w:tcPr>
            <w:tcW w:w="3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licence of iNXT BrokerVerse OOTB</w:t>
            </w:r>
          </w:p>
        </w:tc>
        <w:tc>
          <w:tcPr>
            <w:tcW w:w="1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w:t>
            </w:r>
          </w:p>
        </w:tc>
        <w:tc>
          <w:tcPr>
            <w:tcW w:w="3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Software Licence Agreement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S02</w:t>
            </w:r>
          </w:p>
        </w:tc>
        <w:tc>
          <w:tcPr>
            <w:tcW w:w="3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to iNXT BrokerVerse OOTB</w:t>
            </w:r>
          </w:p>
        </w:tc>
        <w:tc>
          <w:tcPr>
            <w:tcW w:w="1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w:t>
            </w:r>
          </w:p>
        </w:tc>
        <w:tc>
          <w:tcPr>
            <w:tcW w:w="3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Software Subscription Agreement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S03</w:t>
            </w:r>
          </w:p>
        </w:tc>
        <w:tc>
          <w:tcPr>
            <w:tcW w:w="3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(perpetual) or onboarding (subscription)</w:t>
            </w:r>
          </w:p>
        </w:tc>
        <w:tc>
          <w:tcPr>
            <w:tcW w:w="1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Both</w:t>
            </w:r>
          </w:p>
        </w:tc>
        <w:tc>
          <w:tcPr>
            <w:tcW w:w="3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SOW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S04</w:t>
            </w:r>
          </w:p>
        </w:tc>
        <w:tc>
          <w:tcPr>
            <w:tcW w:w="3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Maintenance and standard support (AMC)</w:t>
            </w:r>
          </w:p>
        </w:tc>
        <w:tc>
          <w:tcPr>
            <w:tcW w:w="1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from Year 2</w:t>
            </w:r>
          </w:p>
        </w:tc>
        <w:tc>
          <w:tcPr>
            <w:tcW w:w="3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Annual Maintenance and Support Agreement and SLA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S05</w:t>
            </w:r>
          </w:p>
        </w:tc>
        <w:tc>
          <w:tcPr>
            <w:tcW w:w="3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Standard support included in the subscription</w:t>
            </w:r>
          </w:p>
        </w:tc>
        <w:tc>
          <w:tcPr>
            <w:tcW w:w="1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w:t>
            </w:r>
          </w:p>
        </w:tc>
        <w:tc>
          <w:tcPr>
            <w:tcW w:w="3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Annual Maintenance and Support Agreement and SLA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S06</w:t>
            </w:r>
          </w:p>
        </w:tc>
        <w:tc>
          <w:tcPr>
            <w:tcW w:w="3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24x7 Severity 1 support (extended P1 support)</w:t>
            </w:r>
          </w:p>
        </w:tc>
        <w:tc>
          <w:tcPr>
            <w:tcW w:w="1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Both, optional</w:t>
            </w:r>
          </w:p>
        </w:tc>
        <w:tc>
          <w:tcPr>
            <w:tcW w:w="3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Annual Maintenance and Support Agreement and SLA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S07</w:t>
            </w:r>
          </w:p>
        </w:tc>
        <w:tc>
          <w:tcPr>
            <w:tcW w:w="3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of the environment set of the size and the temporary Pre-Prod</w:t>
            </w:r>
          </w:p>
        </w:tc>
        <w:tc>
          <w:tcPr>
            <w:tcW w:w="1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Both, optional</w:t>
            </w:r>
          </w:p>
        </w:tc>
        <w:tc>
          <w:tcPr>
            <w:tcW w:w="3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and Infrastructure Services Agreement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S08</w:t>
            </w:r>
          </w:p>
        </w:tc>
        <w:tc>
          <w:tcPr>
            <w:tcW w:w="3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services: environments, training, data migration, integrations, lines of business, reports, on-site days; optional modules and partner services (module activation, connector go-live, dealer programme set-up, client brand pack, regulator and partner items)</w:t>
            </w:r>
          </w:p>
        </w:tc>
        <w:tc>
          <w:tcPr>
            <w:tcW w:w="1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Both</w:t>
            </w:r>
          </w:p>
        </w:tc>
        <w:tc>
          <w:tcPr>
            <w:tcW w:w="3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Form and this Rate Annex</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S09</w:t>
            </w:r>
          </w:p>
        </w:tc>
        <w:tc>
          <w:tcPr>
            <w:tcW w:w="3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requests</w:t>
            </w:r>
          </w:p>
        </w:tc>
        <w:tc>
          <w:tcPr>
            <w:tcW w:w="1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Both</w:t>
            </w:r>
          </w:p>
        </w:tc>
        <w:tc>
          <w:tcPr>
            <w:tcW w:w="3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 Procedure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S10</w:t>
            </w:r>
          </w:p>
        </w:tc>
        <w:tc>
          <w:tcPr>
            <w:tcW w:w="3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Exit and transition assistance</w:t>
            </w:r>
          </w:p>
        </w:tc>
        <w:tc>
          <w:tcPr>
            <w:tcW w:w="1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and hosting</w:t>
            </w:r>
          </w:p>
        </w:tc>
        <w:tc>
          <w:tcPr>
            <w:tcW w:w="3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Exit and Transition Plan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S11</w:t>
            </w:r>
          </w:p>
        </w:tc>
        <w:tc>
          <w:tcPr>
            <w:tcW w:w="3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code escrow</w:t>
            </w:r>
          </w:p>
        </w:tc>
        <w:tc>
          <w:tcPr>
            <w:tcW w:w="1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optional</w:t>
            </w:r>
          </w:p>
        </w:tc>
        <w:tc>
          <w:tcPr>
            <w:tcW w:w="3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Code Escrow Agreement</w:t>
            </w:r>
          </w:p>
        </w:tc>
      </w:tr>
    </w:tbl>
    <w:p>
      <w:pPr>
        <w:pStyle w:val="Normal"/>
        <w:spacing w:before="0" w:after="80"/>
        <w:rPr/>
      </w:pPr>
      <w:r>
        <w:rPr/>
      </w:r>
    </w:p>
    <w:p>
      <w:pPr>
        <w:pStyle w:val="Heading2"/>
        <w:rPr/>
      </w:pPr>
      <w:bookmarkStart w:id="9" w:name="__RefHeading___Toc16283_2842061002"/>
      <w:bookmarkEnd w:id="9"/>
      <w:r>
        <w:rPr>
          <w:rFonts w:eastAsia="Segoe UI" w:cs="Segoe UI"/>
          <w:b/>
          <w:color w:val="0F4761"/>
          <w:sz w:val="26"/>
        </w:rPr>
        <w:t>4.2  Size tiers</w:t>
      </w:r>
    </w:p>
    <w:p>
      <w:pPr>
        <w:pStyle w:val="Normal"/>
        <w:spacing w:lineRule="auto" w:line="276" w:before="0" w:after="120"/>
        <w:rPr/>
      </w:pPr>
      <w:r>
        <w:rPr>
          <w:rFonts w:eastAsia="Segoe UI" w:cs="Segoe UI" w:ascii="Segoe UI" w:hAnsi="Segoe UI"/>
          <w:color w:val="101820"/>
          <w:sz w:val="21"/>
        </w:rPr>
        <w:t>The size, set by the number of Named Users, decides the implementation effort, the included lines of business and training days, the minimum billable users of a subscription, the hosting size and the price of the 24x7 Severity 1 support.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907"/>
        <w:gridCol w:w="2045"/>
        <w:gridCol w:w="1744"/>
        <w:gridCol w:w="3185"/>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Named users</w:t>
            </w:r>
          </w:p>
        </w:tc>
        <w:tc>
          <w:tcPr>
            <w:tcW w:w="20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Lines of business included</w:t>
            </w:r>
          </w:p>
        </w:tc>
        <w:tc>
          <w:tcPr>
            <w:tcW w:w="17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Training days included</w:t>
            </w:r>
          </w:p>
        </w:tc>
        <w:tc>
          <w:tcPr>
            <w:tcW w:w="31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Duration to hypercare exit</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to 25</w:t>
            </w:r>
          </w:p>
        </w:tc>
        <w:tc>
          <w:tcPr>
            <w:tcW w:w="20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7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3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 weeks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 to 100</w:t>
            </w:r>
          </w:p>
        </w:tc>
        <w:tc>
          <w:tcPr>
            <w:tcW w:w="20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7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3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 weeks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101 to 300</w:t>
            </w:r>
          </w:p>
        </w:tc>
        <w:tc>
          <w:tcPr>
            <w:tcW w:w="20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7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3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 to 20 weeks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Above 300</w:t>
            </w:r>
          </w:p>
        </w:tc>
        <w:tc>
          <w:tcPr>
            <w:tcW w:w="20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7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31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weeks or more, planned at mobilisation</w:t>
            </w:r>
          </w:p>
        </w:tc>
      </w:tr>
    </w:tbl>
    <w:p>
      <w:pPr>
        <w:pStyle w:val="Normal"/>
        <w:spacing w:before="0" w:after="80"/>
        <w:rPr/>
      </w:pPr>
      <w:r>
        <w:rPr/>
      </w:r>
    </w:p>
    <w:p>
      <w:pPr>
        <w:pStyle w:val="Heading2"/>
        <w:rPr/>
      </w:pPr>
      <w:bookmarkStart w:id="10" w:name="__RefHeading___Toc16285_2842061002"/>
      <w:bookmarkEnd w:id="10"/>
      <w:r>
        <w:rPr>
          <w:rFonts w:eastAsia="Segoe UI" w:cs="Segoe UI"/>
          <w:b/>
          <w:color w:val="0F4761"/>
          <w:sz w:val="26"/>
        </w:rPr>
        <w:t>4.3  Packages</w:t>
      </w:r>
    </w:p>
    <w:p>
      <w:pPr>
        <w:pStyle w:val="Normal"/>
        <w:spacing w:lineRule="auto" w:line="276" w:before="0" w:after="120"/>
        <w:rPr/>
      </w:pPr>
      <w:r>
        <w:rPr>
          <w:rFonts w:eastAsia="Segoe UI" w:cs="Segoe UI" w:ascii="Segoe UI" w:hAnsi="Segoe UI"/>
          <w:color w:val="101820"/>
          <w:sz w:val="21"/>
        </w:rPr>
        <w:t>The packages are pre-set combinations of the services above, priced with the same rates. Any other combination is quoted with the same rates.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1618"/>
        <w:gridCol w:w="1964"/>
        <w:gridCol w:w="2652"/>
        <w:gridCol w:w="1647"/>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6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Licence model</w:t>
            </w:r>
          </w:p>
        </w:tc>
        <w:tc>
          <w:tcPr>
            <w:tcW w:w="19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Hosting</w:t>
            </w:r>
          </w:p>
        </w:tc>
        <w:tc>
          <w:tcPr>
            <w:tcW w:w="26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Support</w:t>
            </w:r>
          </w:p>
        </w:tc>
        <w:tc>
          <w:tcPr>
            <w:tcW w:w="16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Term shown in the Rate Card</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w:t>
            </w:r>
          </w:p>
        </w:tc>
        <w:tc>
          <w:tcPr>
            <w:tcW w:w="1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Hosted by the Client</w:t>
            </w:r>
          </w:p>
        </w:tc>
        <w:tc>
          <w:tcPr>
            <w:tcW w:w="2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w:t>
            </w:r>
          </w:p>
        </w:tc>
        <w:tc>
          <w:tcPr>
            <w:tcW w:w="16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years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w:t>
            </w:r>
          </w:p>
        </w:tc>
        <w:tc>
          <w:tcPr>
            <w:tcW w:w="1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on AWS (Singapore)</w:t>
            </w:r>
          </w:p>
        </w:tc>
        <w:tc>
          <w:tcPr>
            <w:tcW w:w="2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w:t>
            </w:r>
          </w:p>
        </w:tc>
        <w:tc>
          <w:tcPr>
            <w:tcW w:w="16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years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licence with AMC</w:t>
            </w:r>
          </w:p>
        </w:tc>
        <w:tc>
          <w:tcPr>
            <w:tcW w:w="1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on AWS (Singapore)</w:t>
            </w:r>
          </w:p>
        </w:tc>
        <w:tc>
          <w:tcPr>
            <w:tcW w:w="2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w:t>
            </w:r>
          </w:p>
        </w:tc>
        <w:tc>
          <w:tcPr>
            <w:tcW w:w="16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years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licence with AMC</w:t>
            </w:r>
          </w:p>
        </w:tc>
        <w:tc>
          <w:tcPr>
            <w:tcW w:w="1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Local partner in the Philippines</w:t>
            </w:r>
          </w:p>
        </w:tc>
        <w:tc>
          <w:tcPr>
            <w:tcW w:w="2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 and 24x7 Severity 1 support</w:t>
            </w:r>
          </w:p>
        </w:tc>
        <w:tc>
          <w:tcPr>
            <w:tcW w:w="16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years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Plus also includes 2 extra training days and the migration of 1 legacy data source.</w:t>
      </w:r>
      <w:r>
        <w:br w:type="page"/>
      </w:r>
    </w:p>
    <w:p>
      <w:pPr>
        <w:pStyle w:val="Heading1"/>
        <w:rPr/>
      </w:pPr>
      <w:bookmarkStart w:id="11" w:name="__RefHeading___Toc16287_2842061002"/>
      <w:bookmarkEnd w:id="11"/>
      <w:r>
        <w:rPr>
          <w:rFonts w:eastAsia="Segoe UI" w:cs="Segoe UI" w:ascii="Segoe UI" w:hAnsi="Segoe UI"/>
          <w:b/>
          <w:color w:val="0F4761"/>
          <w:sz w:val="32"/>
        </w:rPr>
        <w:t>5.  Rates</w:t>
      </w:r>
    </w:p>
    <w:p>
      <w:pPr>
        <w:pStyle w:val="Heading2"/>
        <w:rPr/>
      </w:pPr>
      <w:bookmarkStart w:id="12" w:name="__RefHeading___Toc16289_2842061002"/>
      <w:bookmarkEnd w:id="12"/>
      <w:r>
        <w:rPr>
          <w:rFonts w:eastAsia="Segoe UI" w:cs="Segoe UI"/>
          <w:b/>
          <w:color w:val="0F4761"/>
          <w:sz w:val="26"/>
        </w:rPr>
        <w:t>5.1  S01: perpetual licence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97"/>
        <w:gridCol w:w="6716"/>
      </w:tblGrid>
      <w:tr>
        <w:trPr>
          <w:tblHeader w:val="true"/>
        </w:trPr>
        <w:tc>
          <w:tcPr>
            <w:tcW w:w="22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Users in slab</w:t>
            </w:r>
          </w:p>
        </w:tc>
        <w:tc>
          <w:tcPr>
            <w:tcW w:w="67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Licence per Named User, one-time (PHP)</w:t>
            </w:r>
          </w:p>
        </w:tc>
      </w:tr>
      <w:tr>
        <w:trPr/>
        <w:tc>
          <w:tcPr>
            <w:tcW w:w="22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25</w:t>
            </w:r>
          </w:p>
        </w:tc>
        <w:tc>
          <w:tcPr>
            <w:tcW w:w="67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90,000.00</w:t>
            </w:r>
          </w:p>
        </w:tc>
      </w:tr>
      <w:tr>
        <w:trPr/>
        <w:tc>
          <w:tcPr>
            <w:tcW w:w="22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to 100</w:t>
            </w:r>
          </w:p>
        </w:tc>
        <w:tc>
          <w:tcPr>
            <w:tcW w:w="67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78,000.00</w:t>
            </w:r>
          </w:p>
        </w:tc>
      </w:tr>
      <w:tr>
        <w:trPr/>
        <w:tc>
          <w:tcPr>
            <w:tcW w:w="22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to 300</w:t>
            </w:r>
          </w:p>
        </w:tc>
        <w:tc>
          <w:tcPr>
            <w:tcW w:w="67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66,000.00</w:t>
            </w:r>
          </w:p>
        </w:tc>
      </w:tr>
      <w:tr>
        <w:trPr/>
        <w:tc>
          <w:tcPr>
            <w:tcW w:w="22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Above 300</w:t>
            </w:r>
          </w:p>
        </w:tc>
        <w:tc>
          <w:tcPr>
            <w:tcW w:w="67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54,000.00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Graduated slabs: the first 25 users at the first rate, users 26 to 100 at the second, users 101 to 300 at the third and the rest at the fourth. Payable 100% on Go-Live. Warranty Period of 12 months from Go-Live.</w:t>
      </w:r>
    </w:p>
    <w:p>
      <w:pPr>
        <w:pStyle w:val="Heading2"/>
        <w:rPr/>
      </w:pPr>
      <w:bookmarkStart w:id="13" w:name="__RefHeading___Toc16291_2842061002"/>
      <w:bookmarkEnd w:id="13"/>
      <w:r>
        <w:rPr>
          <w:rFonts w:eastAsia="Segoe UI" w:cs="Segoe UI"/>
          <w:b/>
          <w:color w:val="0F4761"/>
          <w:sz w:val="26"/>
        </w:rPr>
        <w:t>5.2  S02: subscription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79"/>
        <w:gridCol w:w="4030"/>
        <w:gridCol w:w="3606"/>
      </w:tblGrid>
      <w:tr>
        <w:trPr>
          <w:tblHeader w:val="true"/>
        </w:trPr>
        <w:tc>
          <w:tcPr>
            <w:tcW w:w="13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Users in slab</w:t>
            </w:r>
          </w:p>
        </w:tc>
        <w:tc>
          <w:tcPr>
            <w:tcW w:w="40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 Named User per month, Year 1 (PHP)</w:t>
            </w:r>
          </w:p>
        </w:tc>
        <w:tc>
          <w:tcPr>
            <w:tcW w:w="36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Minimum billable users of the size</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25</w:t>
            </w:r>
          </w:p>
        </w:tc>
        <w:tc>
          <w:tcPr>
            <w:tcW w:w="4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3,200.00</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10</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to 100</w:t>
            </w:r>
          </w:p>
        </w:tc>
        <w:tc>
          <w:tcPr>
            <w:tcW w:w="4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2,800.00</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 26</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to 300</w:t>
            </w:r>
          </w:p>
        </w:tc>
        <w:tc>
          <w:tcPr>
            <w:tcW w:w="4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2,400.00</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 101</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Above 300</w:t>
            </w:r>
          </w:p>
        </w:tc>
        <w:tc>
          <w:tcPr>
            <w:tcW w:w="4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2,000.00</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 301</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Graduated slabs as for the licence. Monthly in advance from Go-Live; minimum Initial Term 12 months; plus 5% at each anniversary of Go-Live. Hosting is not included.</w:t>
      </w:r>
    </w:p>
    <w:p>
      <w:pPr>
        <w:pStyle w:val="Heading2"/>
        <w:rPr/>
      </w:pPr>
      <w:bookmarkStart w:id="14" w:name="__RefHeading___Toc16293_2842061002"/>
      <w:bookmarkEnd w:id="14"/>
      <w:r>
        <w:rPr>
          <w:rFonts w:eastAsia="Segoe UI" w:cs="Segoe UI"/>
          <w:b/>
          <w:color w:val="0F4761"/>
          <w:sz w:val="26"/>
        </w:rPr>
        <w:t>5.3  S03: implementation or onboarding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78"/>
        <w:gridCol w:w="1921"/>
        <w:gridCol w:w="3841"/>
        <w:gridCol w:w="1773"/>
      </w:tblGrid>
      <w:tr>
        <w:trPr>
          <w:tblHeader w:val="true"/>
        </w:trPr>
        <w:tc>
          <w:tcPr>
            <w:tcW w:w="14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19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Base man-days</w:t>
            </w:r>
          </w:p>
        </w:tc>
        <w:tc>
          <w:tcPr>
            <w:tcW w:w="38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Lines of business included</w:t>
            </w:r>
          </w:p>
        </w:tc>
        <w:tc>
          <w:tcPr>
            <w:tcW w:w="17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Fee (PHP)</w:t>
            </w:r>
          </w:p>
        </w:tc>
      </w:tr>
      <w:tr>
        <w:trPr/>
        <w:tc>
          <w:tcPr>
            <w:tcW w:w="14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70</w:t>
            </w:r>
          </w:p>
        </w:tc>
        <w:tc>
          <w:tcPr>
            <w:tcW w:w="38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17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1,130,000.00</w:t>
            </w:r>
          </w:p>
        </w:tc>
      </w:tr>
      <w:tr>
        <w:trPr/>
        <w:tc>
          <w:tcPr>
            <w:tcW w:w="14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130</w:t>
            </w:r>
          </w:p>
        </w:tc>
        <w:tc>
          <w:tcPr>
            <w:tcW w:w="38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17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2,090,000.00</w:t>
            </w:r>
          </w:p>
        </w:tc>
      </w:tr>
      <w:tr>
        <w:trPr/>
        <w:tc>
          <w:tcPr>
            <w:tcW w:w="14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230</w:t>
            </w:r>
          </w:p>
        </w:tc>
        <w:tc>
          <w:tcPr>
            <w:tcW w:w="38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17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3,700,000.00</w:t>
            </w:r>
          </w:p>
        </w:tc>
      </w:tr>
      <w:tr>
        <w:trPr/>
        <w:tc>
          <w:tcPr>
            <w:tcW w:w="14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360</w:t>
            </w:r>
          </w:p>
        </w:tc>
        <w:tc>
          <w:tcPr>
            <w:tcW w:w="38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17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5,800,000.00</w:t>
            </w:r>
          </w:p>
        </w:tc>
      </w:tr>
    </w:tbl>
    <w:p>
      <w:pPr>
        <w:pStyle w:val="Normal"/>
        <w:spacing w:before="0" w:after="80"/>
        <w:rPr/>
      </w:pPr>
      <w:r>
        <w:rPr/>
      </w:r>
    </w:p>
    <w:p>
      <w:pPr>
        <w:pStyle w:val="Normal"/>
        <w:numPr>
          <w:ilvl w:val="0"/>
          <w:numId w:val="9"/>
        </w:numPr>
        <w:spacing w:before="0" w:after="60"/>
        <w:rPr/>
      </w:pPr>
      <w:r>
        <w:rPr>
          <w:rFonts w:eastAsia="Segoe UI" w:cs="Segoe UI" w:ascii="Segoe UI" w:hAnsi="Segoe UI"/>
          <w:color w:val="101820"/>
          <w:sz w:val="21"/>
        </w:rPr>
        <w:t>Fee = (base man-days + 6 man-days for each line of business above the included number) x PHP 16,100.00, rounded to PHP 10,000.00. Example: Small with 6 lines of business, 76 man-days, PHP 1,220,000.00.</w:t>
      </w:r>
    </w:p>
    <w:p>
      <w:pPr>
        <w:pStyle w:val="Normal"/>
        <w:numPr>
          <w:ilvl w:val="0"/>
          <w:numId w:val="2"/>
        </w:numPr>
        <w:spacing w:before="0" w:after="60"/>
        <w:rPr/>
      </w:pPr>
      <w:r>
        <w:rPr>
          <w:rFonts w:eastAsia="Segoe UI" w:cs="Segoe UI" w:ascii="Segoe UI" w:hAnsi="Segoe UI"/>
          <w:color w:val="101820"/>
          <w:sz w:val="21"/>
        </w:rPr>
        <w:t>The onboarding fee of a subscription equals the implementation fee, unless the Order Form states a lower percentage.</w:t>
      </w:r>
    </w:p>
    <w:p>
      <w:pPr>
        <w:pStyle w:val="Normal"/>
        <w:numPr>
          <w:ilvl w:val="0"/>
          <w:numId w:val="2"/>
        </w:numPr>
        <w:spacing w:before="0" w:after="60"/>
        <w:rPr/>
      </w:pPr>
      <w:r>
        <w:rPr>
          <w:rFonts w:eastAsia="Segoe UI" w:cs="Segoe UI" w:ascii="Segoe UI" w:hAnsi="Segoe UI"/>
          <w:color w:val="101820"/>
          <w:sz w:val="21"/>
        </w:rPr>
        <w:t>Payable 40% on signing of the Order Form, 40% on UAT sign-off and 20% on Go-Live.</w:t>
      </w:r>
    </w:p>
    <w:p>
      <w:pPr>
        <w:pStyle w:val="Heading2"/>
        <w:rPr/>
      </w:pPr>
      <w:bookmarkStart w:id="15" w:name="__RefHeading___Toc16295_2842061002"/>
      <w:bookmarkEnd w:id="15"/>
      <w:r>
        <w:rPr>
          <w:rFonts w:eastAsia="Segoe UI" w:cs="Segoe UI"/>
          <w:b/>
          <w:color w:val="0F4761"/>
          <w:sz w:val="26"/>
        </w:rPr>
        <w:t>5.4  S04 to S06: maintenance and support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7"/>
        <w:gridCol w:w="3304"/>
        <w:gridCol w:w="3303"/>
      </w:tblGrid>
      <w:tr>
        <w:trPr>
          <w:tblHeader w:val="true"/>
        </w:trPr>
        <w:tc>
          <w:tcPr>
            <w:tcW w:w="24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3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Rate</w:t>
            </w:r>
          </w:p>
        </w:tc>
        <w:tc>
          <w:tcPr>
            <w:tcW w:w="33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Billing</w:t>
            </w:r>
          </w:p>
        </w:tc>
      </w:tr>
      <w:tr>
        <w:trPr/>
        <w:tc>
          <w:tcPr>
            <w:tcW w:w="2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 (perpetual)</w:t>
            </w:r>
          </w:p>
        </w:tc>
        <w:tc>
          <w:tcPr>
            <w:tcW w:w="3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 of the Licence Fee a year, from the start of Year 2</w:t>
            </w:r>
          </w:p>
        </w:tc>
        <w:tc>
          <w:tcPr>
            <w:tcW w:w="3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 advance; plus 5% at each anniversary of the AMC start</w:t>
            </w:r>
          </w:p>
        </w:tc>
      </w:tr>
      <w:tr>
        <w:trPr/>
        <w:tc>
          <w:tcPr>
            <w:tcW w:w="2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Standard support (subscription)</w:t>
            </w:r>
          </w:p>
        </w:tc>
        <w:tc>
          <w:tcPr>
            <w:tcW w:w="3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Included in the Monthly Fee</w:t>
            </w:r>
          </w:p>
        </w:tc>
        <w:tc>
          <w:tcPr>
            <w:tcW w:w="3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w:t>
            </w:r>
          </w:p>
        </w:tc>
      </w:tr>
      <w:tr>
        <w:trPr/>
        <w:tc>
          <w:tcPr>
            <w:tcW w:w="2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24x7 Severity 1 support, Small</w:t>
            </w:r>
          </w:p>
        </w:tc>
        <w:tc>
          <w:tcPr>
            <w:tcW w:w="3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240,000.00 a year (Year 1)</w:t>
            </w:r>
          </w:p>
        </w:tc>
        <w:tc>
          <w:tcPr>
            <w:tcW w:w="3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 advance; plus 5% a year</w:t>
            </w:r>
          </w:p>
        </w:tc>
      </w:tr>
      <w:tr>
        <w:trPr/>
        <w:tc>
          <w:tcPr>
            <w:tcW w:w="2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24x7 Severity 1 support, Medium</w:t>
            </w:r>
          </w:p>
        </w:tc>
        <w:tc>
          <w:tcPr>
            <w:tcW w:w="3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480,000.00 a year (Year 1)</w:t>
            </w:r>
          </w:p>
        </w:tc>
        <w:tc>
          <w:tcPr>
            <w:tcW w:w="3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above</w:t>
            </w:r>
          </w:p>
        </w:tc>
      </w:tr>
      <w:tr>
        <w:trPr/>
        <w:tc>
          <w:tcPr>
            <w:tcW w:w="2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24x7 Severity 1 support, Large</w:t>
            </w:r>
          </w:p>
        </w:tc>
        <w:tc>
          <w:tcPr>
            <w:tcW w:w="3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900,000.00 a year (Year 1)</w:t>
            </w:r>
          </w:p>
        </w:tc>
        <w:tc>
          <w:tcPr>
            <w:tcW w:w="3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above</w:t>
            </w:r>
          </w:p>
        </w:tc>
      </w:tr>
      <w:tr>
        <w:trPr/>
        <w:tc>
          <w:tcPr>
            <w:tcW w:w="2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24x7 Severity 1 support, Enterprise</w:t>
            </w:r>
          </w:p>
        </w:tc>
        <w:tc>
          <w:tcPr>
            <w:tcW w:w="3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1,500,000.00 a year (Year 1)</w:t>
            </w:r>
          </w:p>
        </w:tc>
        <w:tc>
          <w:tcPr>
            <w:tcW w:w="3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above</w:t>
            </w:r>
          </w:p>
        </w:tc>
      </w:tr>
      <w:tr>
        <w:trPr/>
        <w:tc>
          <w:tcPr>
            <w:tcW w:w="2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Reinstatement of a lapsed AMC</w:t>
            </w:r>
          </w:p>
        </w:tc>
        <w:tc>
          <w:tcPr>
            <w:tcW w:w="3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AMC fees for the lapsed period plus [10%] of those fees, and the upgrade to the current release at day rates</w:t>
            </w:r>
          </w:p>
        </w:tc>
        <w:tc>
          <w:tcPr>
            <w:tcW w:w="3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reinstatement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Standard support hours: 08:00 to 18:00 PHT, Monday to Friday, except Philippine regular holidays.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02"/>
        <w:gridCol w:w="2458"/>
        <w:gridCol w:w="4754"/>
      </w:tblGrid>
      <w:tr>
        <w:trPr>
          <w:tblHeader w:val="true"/>
        </w:trPr>
        <w:tc>
          <w:tcPr>
            <w:tcW w:w="18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c>
          <w:tcPr>
            <w:tcW w:w="24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First response</w:t>
            </w:r>
          </w:p>
        </w:tc>
        <w:tc>
          <w:tcPr>
            <w:tcW w:w="4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Restore service or workaround</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Critical</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minutes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service hours</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High</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service hours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Business Days</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 Medium</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Business Day</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Business Days</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P4 Low</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Business Days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w:t>
            </w:r>
          </w:p>
        </w:tc>
      </w:tr>
    </w:tbl>
    <w:p>
      <w:pPr>
        <w:pStyle w:val="Normal"/>
        <w:spacing w:before="0" w:after="80"/>
        <w:rPr/>
      </w:pPr>
      <w:r>
        <w:rPr/>
      </w:r>
    </w:p>
    <w:p>
      <w:pPr>
        <w:pStyle w:val="Heading2"/>
        <w:rPr/>
      </w:pPr>
      <w:bookmarkStart w:id="16" w:name="__RefHeading___Toc16297_2842061002"/>
      <w:bookmarkEnd w:id="16"/>
      <w:r>
        <w:rPr>
          <w:rFonts w:eastAsia="Segoe UI" w:cs="Segoe UI"/>
          <w:b/>
          <w:color w:val="0F4761"/>
          <w:sz w:val="26"/>
        </w:rPr>
        <w:t>5.5  S07: hosting</w:t>
      </w:r>
    </w:p>
    <w:p>
      <w:pPr>
        <w:pStyle w:val="Normal"/>
        <w:spacing w:lineRule="auto" w:line="276" w:before="0" w:after="120"/>
        <w:rPr/>
      </w:pPr>
      <w:r>
        <w:rPr>
          <w:rFonts w:eastAsia="Segoe UI" w:cs="Segoe UI" w:ascii="Segoe UI" w:hAnsi="Segoe UI"/>
          <w:color w:val="101820"/>
          <w:sz w:val="21"/>
        </w:rPr>
        <w:t>Hosting is priced per environment set. Small and Medium: Dev, UAT and Production. Large and Enterprise: Dev, SIT, UAT and Production with high availability. Daily backups, monitoring, patching and certificates are included. Per month, monthly in advance from the date each environment is handed over.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1617"/>
        <w:gridCol w:w="1568"/>
        <w:gridCol w:w="2108"/>
        <w:gridCol w:w="2588"/>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16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Hosted by the Client</w:t>
            </w:r>
          </w:p>
        </w:tc>
        <w:tc>
          <w:tcPr>
            <w:tcW w:w="15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AWS Singapore (PHP)</w:t>
            </w:r>
          </w:p>
        </w:tc>
        <w:tc>
          <w:tcPr>
            <w:tcW w:w="21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Azure Southeast Asia (PHP)</w:t>
            </w:r>
          </w:p>
        </w:tc>
        <w:tc>
          <w:tcPr>
            <w:tcW w:w="25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Local partner, Philippines (PHP)</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16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43,000.00</w:t>
            </w:r>
          </w:p>
        </w:tc>
        <w:tc>
          <w:tcPr>
            <w:tcW w:w="21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46,000.00</w:t>
            </w:r>
          </w:p>
        </w:tc>
        <w:tc>
          <w:tcPr>
            <w:tcW w:w="2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6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69,000.00</w:t>
            </w:r>
          </w:p>
        </w:tc>
        <w:tc>
          <w:tcPr>
            <w:tcW w:w="21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73,000.00</w:t>
            </w:r>
          </w:p>
        </w:tc>
        <w:tc>
          <w:tcPr>
            <w:tcW w:w="2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67,000.00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16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143,000.00</w:t>
            </w:r>
          </w:p>
        </w:tc>
        <w:tc>
          <w:tcPr>
            <w:tcW w:w="21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150,000.00</w:t>
            </w:r>
          </w:p>
        </w:tc>
        <w:tc>
          <w:tcPr>
            <w:tcW w:w="2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135,000.00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16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256,000.00</w:t>
            </w:r>
          </w:p>
        </w:tc>
        <w:tc>
          <w:tcPr>
            <w:tcW w:w="21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269,000.00</w:t>
            </w:r>
          </w:p>
        </w:tc>
        <w:tc>
          <w:tcPr>
            <w:tcW w:w="2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242,000.00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Pre-Prod is temporary for every size: created from a production backup for the cutover rehearsal and for each major release, then removed. It is billed per month of use, monthly in advance: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1617"/>
        <w:gridCol w:w="1568"/>
        <w:gridCol w:w="2108"/>
        <w:gridCol w:w="2588"/>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16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Hosted by the Client</w:t>
            </w:r>
          </w:p>
        </w:tc>
        <w:tc>
          <w:tcPr>
            <w:tcW w:w="15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AWS Singapore (PHP)</w:t>
            </w:r>
          </w:p>
        </w:tc>
        <w:tc>
          <w:tcPr>
            <w:tcW w:w="21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Azure Southeast Asia (PHP)</w:t>
            </w:r>
          </w:p>
        </w:tc>
        <w:tc>
          <w:tcPr>
            <w:tcW w:w="25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Local partner, Philippines (PHP)</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16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21,000.00</w:t>
            </w:r>
          </w:p>
        </w:tc>
        <w:tc>
          <w:tcPr>
            <w:tcW w:w="21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22,000.00</w:t>
            </w:r>
          </w:p>
        </w:tc>
        <w:tc>
          <w:tcPr>
            <w:tcW w:w="2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6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47,000.00</w:t>
            </w:r>
          </w:p>
        </w:tc>
        <w:tc>
          <w:tcPr>
            <w:tcW w:w="21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49,000.00</w:t>
            </w:r>
          </w:p>
        </w:tc>
        <w:tc>
          <w:tcPr>
            <w:tcW w:w="2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45,000.00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16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86,000.00</w:t>
            </w:r>
          </w:p>
        </w:tc>
        <w:tc>
          <w:tcPr>
            <w:tcW w:w="21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90,000.00</w:t>
            </w:r>
          </w:p>
        </w:tc>
        <w:tc>
          <w:tcPr>
            <w:tcW w:w="2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82,000.00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16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169,000.00</w:t>
            </w:r>
          </w:p>
        </w:tc>
        <w:tc>
          <w:tcPr>
            <w:tcW w:w="21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177,000.00</w:t>
            </w:r>
          </w:p>
        </w:tc>
        <w:tc>
          <w:tcPr>
            <w:tcW w:w="2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160,000.00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fee of each environment is in Annex A of the Hosting Agreement. Cloud and local partner prices are confirmed with the provider before the Order Form is signed. When the Client hosts, it provides the same environment set; iorta TechNXT supplies the deployment guide and charges set-up support at day rates.</w:t>
      </w:r>
    </w:p>
    <w:p>
      <w:pPr>
        <w:pStyle w:val="Heading2"/>
        <w:rPr/>
      </w:pPr>
      <w:bookmarkStart w:id="17" w:name="__RefHeading___Toc16299_2842061002"/>
      <w:bookmarkEnd w:id="17"/>
      <w:r>
        <w:rPr>
          <w:rFonts w:eastAsia="Segoe UI" w:cs="Segoe UI"/>
          <w:b/>
          <w:color w:val="0F4761"/>
          <w:sz w:val="26"/>
        </w:rPr>
        <w:t>5.6  S08: optional services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00"/>
        <w:gridCol w:w="2241"/>
        <w:gridCol w:w="2501"/>
        <w:gridCol w:w="1772"/>
      </w:tblGrid>
      <w:tr>
        <w:trPr>
          <w:tblHeader w:val="true"/>
        </w:trPr>
        <w:tc>
          <w:tcPr>
            <w:tcW w:w="25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22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Unit</w:t>
            </w:r>
          </w:p>
        </w:tc>
        <w:tc>
          <w:tcPr>
            <w:tcW w:w="25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Rate (PHP)</w:t>
            </w:r>
          </w:p>
        </w:tc>
        <w:tc>
          <w:tcPr>
            <w:tcW w:w="17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Billing</w:t>
            </w:r>
          </w:p>
        </w:tc>
      </w:tr>
      <w:tr>
        <w:trPr/>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 (training or second UAT), set-up</w:t>
            </w:r>
          </w:p>
        </w:tc>
        <w:tc>
          <w:tcPr>
            <w:tcW w:w="2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One-time</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100,000.00</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delivery</w:t>
            </w:r>
          </w:p>
        </w:tc>
      </w:tr>
      <w:tr>
        <w:trPr/>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 hosted by iorta TechNXT</w:t>
            </w:r>
          </w:p>
        </w:tc>
        <w:tc>
          <w:tcPr>
            <w:tcW w:w="2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month</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11,000.00</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as for hosting</w:t>
            </w:r>
          </w:p>
        </w:tc>
      </w:tr>
      <w:tr>
        <w:trPr/>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beyond the included days</w:t>
            </w:r>
          </w:p>
        </w:tc>
        <w:tc>
          <w:tcPr>
            <w:tcW w:w="2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trainer day, up to 15 participants</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30,000.00</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delivery</w:t>
            </w:r>
          </w:p>
        </w:tc>
      </w:tr>
      <w:tr>
        <w:trPr/>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beyond the standard templates</w:t>
            </w:r>
          </w:p>
        </w:tc>
        <w:tc>
          <w:tcPr>
            <w:tcW w:w="2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legacy source</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240,000.00</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quoted</w:t>
            </w:r>
          </w:p>
        </w:tc>
      </w:tr>
      <w:tr>
        <w:trPr/>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additional effort</w:t>
            </w:r>
          </w:p>
        </w:tc>
        <w:tc>
          <w:tcPr>
            <w:tcW w:w="2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man-day</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16,100.00</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arrears</w:t>
            </w:r>
          </w:p>
        </w:tc>
      </w:tr>
      <w:tr>
        <w:trPr/>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integration, standard (one documented API or file exchange in one direction)</w:t>
            </w:r>
          </w:p>
        </w:tc>
        <w:tc>
          <w:tcPr>
            <w:tcW w:w="2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integration</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320,000.00</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quoted</w:t>
            </w:r>
          </w:p>
        </w:tc>
      </w:tr>
      <w:tr>
        <w:trPr/>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integration, complex (two-way, no API, or batch with reconciliation)</w:t>
            </w:r>
          </w:p>
        </w:tc>
        <w:tc>
          <w:tcPr>
            <w:tcW w:w="2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integration</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720,000.00</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quoted</w:t>
            </w:r>
          </w:p>
        </w:tc>
      </w:tr>
      <w:tr>
        <w:trPr/>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line of business at implementation</w:t>
            </w:r>
          </w:p>
        </w:tc>
        <w:tc>
          <w:tcPr>
            <w:tcW w:w="2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man-days at the blended rate</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96,600.00 before the rounding of the implementation fee</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 the implementation fee</w:t>
            </w:r>
          </w:p>
        </w:tc>
      </w:tr>
      <w:tr>
        <w:trPr/>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line of business after go-live</w:t>
            </w:r>
          </w:p>
        </w:tc>
        <w:tc>
          <w:tcPr>
            <w:tcW w:w="2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line</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100,000.00</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quoted</w:t>
            </w:r>
          </w:p>
        </w:tc>
      </w:tr>
      <w:tr>
        <w:trPr/>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report or document template (typical)</w:t>
            </w:r>
          </w:p>
        </w:tc>
        <w:tc>
          <w:tcPr>
            <w:tcW w:w="2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item</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60,000.00</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a change request</w:t>
            </w:r>
          </w:p>
        </w:tc>
      </w:tr>
      <w:tr>
        <w:trPr/>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On-site consultant day in Metro Manila</w:t>
            </w:r>
          </w:p>
        </w:tc>
        <w:tc>
          <w:tcPr>
            <w:tcW w:w="2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day</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20,000.00</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arrears</w:t>
            </w:r>
          </w:p>
        </w:tc>
      </w:tr>
      <w:tr>
        <w:trPr/>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Set-up support where the Client hosts</w:t>
            </w:r>
          </w:p>
        </w:tc>
        <w:tc>
          <w:tcPr>
            <w:tcW w:w="2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man-day</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rates of S09</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arrears</w:t>
            </w:r>
          </w:p>
        </w:tc>
      </w:tr>
      <w:tr>
        <w:trPr/>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configuration on the Client's behalf beyond [8] hours a month (AMC exclusion)</w:t>
            </w:r>
          </w:p>
        </w:tc>
        <w:tc>
          <w:tcPr>
            <w:tcW w:w="2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man-day</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rates of S09</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arrears</w:t>
            </w:r>
          </w:p>
        </w:tc>
      </w:tr>
      <w:tr>
        <w:trPr/>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Refresher training beyond [one] session a year (AMC exclusion)</w:t>
            </w:r>
          </w:p>
        </w:tc>
        <w:tc>
          <w:tcPr>
            <w:tcW w:w="2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trainer day</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30,000.00</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delivery</w:t>
            </w:r>
          </w:p>
        </w:tc>
      </w:tr>
      <w:tr>
        <w:trPr/>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Travel, lodging and meals outside Metro Manila</w:t>
            </w:r>
          </w:p>
        </w:tc>
        <w:tc>
          <w:tcPr>
            <w:tcW w:w="2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cost, with receipts, approved in advance</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cost</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arrears</w:t>
            </w:r>
          </w:p>
        </w:tc>
      </w:tr>
    </w:tbl>
    <w:p>
      <w:pPr>
        <w:pStyle w:val="Normal"/>
        <w:spacing w:before="0" w:after="80"/>
        <w:rPr/>
      </w:pPr>
      <w:r>
        <w:rPr/>
      </w:r>
    </w:p>
    <w:p>
      <w:pPr>
        <w:pStyle w:val="Heading3"/>
        <w:rPr/>
      </w:pPr>
      <w:r>
        <w:rPr>
          <w:rFonts w:eastAsia="Segoe UI" w:cs="Segoe UI"/>
          <w:b/>
          <w:color w:val="0F4761"/>
          <w:sz w:val="23"/>
        </w:rPr>
        <w:t>5.6.1  Optional modules and partner services</w:t>
      </w:r>
    </w:p>
    <w:p>
      <w:pPr>
        <w:pStyle w:val="Normal"/>
        <w:spacing w:lineRule="auto" w:line="276" w:before="0" w:after="120"/>
        <w:rPr/>
      </w:pPr>
      <w:r>
        <w:rPr>
          <w:rFonts w:eastAsia="Segoe UI" w:cs="Segoe UI" w:ascii="Segoe UI" w:hAnsi="Segoe UI"/>
          <w:color w:val="101820"/>
          <w:sz w:val="21"/>
        </w:rPr>
        <w:t>Every module of the Software is included in the licence or subscription fee and in every package. The services in this table are optional, add-on items that the Client may order on an Order Form at any time: the set-up of a module with the Client's officers and advisers, the go-live of a delivered connector with its partner, and the validation or certification steps a regulator or a partner requires before first use. Each rate is the stated man-days at the blended day rate of S09 (PHP 16,100.00), rounded to PHP 10,000.00. The fees of the regulator or the partner (AMLC, IC, BIR, the CTPL provider, insurers, banks, gateways and screening list providers) are not included; the Client contracts with and pays the partner directly, and every filing, registration and enrolment with a regulator is made by the Client in its own name. The Client's compliance officer, accountant and tax adviser confirm the settings and the treatment. Ordering any of these services does not change the price of a package.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37"/>
        <w:gridCol w:w="1123"/>
        <w:gridCol w:w="1413"/>
        <w:gridCol w:w="2737"/>
        <w:gridCol w:w="1004"/>
      </w:tblGrid>
      <w:tr>
        <w:trPr>
          <w:tblHeader w:val="true"/>
        </w:trPr>
        <w:tc>
          <w:tcPr>
            <w:tcW w:w="27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Item</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Man-days</w:t>
            </w:r>
          </w:p>
        </w:tc>
        <w:tc>
          <w:tcPr>
            <w:tcW w:w="14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Rate (PHP)</w:t>
            </w:r>
          </w:p>
        </w:tc>
        <w:tc>
          <w:tcPr>
            <w:tcW w:w="27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Scope</w:t>
            </w:r>
          </w:p>
        </w:tc>
        <w:tc>
          <w:tcPr>
            <w:tcW w:w="10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Billing</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Connector go-live with a partner</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80,000.00 per connector</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delivered connector (one SMS gateway, the CTPL provider and LTO feed, one insurer's API mapping, one bank's file layout, or the BIR EIS) taken live: configuration, credential check, live test and support of the partner's acceptance</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Activation of the AML/CFT toolkit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130,000.00 one-time</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Risk factors and rules workshop with the compliance officer, settings, first list loads, provider set-up and a test AMLC file</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Activation of the IC compliance registers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100,000.00 one-time</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Licence and fit and proper register load, insurer certificates, complaints and breach settings, mapping of the IC statement to the Client's chart of accounts</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Activation of the BIR pack</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130,000.00 one-time</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and EOPT invoice settings with the tax adviser, ATC mapping, DAT file dry run, CAS books pack</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Dealer programme set-up</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50,000.00 per programme</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Channels, rates, subsidy, bank letter and the first upload of one programme</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brand pack</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30,000.00 per pack</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Theme, sign-in picture, document and e-mail branding, e-signature mapping and the exported pack; third-party marks only with the owner's written permission</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 reporting file validation and portal test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50,000.00 one-time</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CTR and STR layout, institution and transaction codes confirmed with the AMLC, test file accepted in the AMLC portal</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 annual statement form alignment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50,000.00 one-time</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accountant's working paper mapped to the IC form set in force for the year</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EOPT invoicing review with the Client's tax adviser</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30,000.00 one-time</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Registered invoice documents, supplementary wording, VAT treatment, ATP or CAS</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CAS registration support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60,000.00 one-time</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Books, system description and the Permit to Use filing prepared with the Client</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EIS enrolment and certification</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80,000.00 one-time</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EIS enrolment, signing certificate, final field list, production endpoint and certification of the connector</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CTPL authentication and LTO interface certification</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60,000.00 one-time</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Acceptance of the live requests by the accredited provider, COC series and the LTO interface where the provider does not transmit</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API onboarding</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50,000.00 per insurer</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Endpoint, credentials, field mapping and live test with one insurer</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payment file certification</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30,000.00 per bank</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Layout validated against the bank's specification and a test file accepted by the bank</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SMS or Viber gateway activation</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20,000.00 one-time</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Sender name or short code, live credentials, templates and consent check tested with the gateway</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r>
        <w:trPr/>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Screening list provider onboarding</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4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30,000.00 one-time</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Provider contract data, API key, adapter test and first screening run</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 delivery</w:t>
            </w:r>
          </w:p>
        </w:tc>
      </w:tr>
    </w:tbl>
    <w:p>
      <w:pPr>
        <w:pStyle w:val="Normal"/>
        <w:spacing w:before="0" w:after="80"/>
        <w:rPr/>
      </w:pPr>
      <w:r>
        <w:rPr/>
      </w:r>
    </w:p>
    <w:p>
      <w:pPr>
        <w:pStyle w:val="Heading2"/>
        <w:rPr/>
      </w:pPr>
      <w:bookmarkStart w:id="18" w:name="__RefHeading___Toc16301_2842061002"/>
      <w:bookmarkEnd w:id="18"/>
      <w:r>
        <w:rPr>
          <w:rFonts w:eastAsia="Segoe UI" w:cs="Segoe UI"/>
          <w:b/>
          <w:color w:val="0F4761"/>
          <w:sz w:val="26"/>
        </w:rPr>
        <w:t>5.7  S09: change requests and day rates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07"/>
        <w:gridCol w:w="4207"/>
      </w:tblGrid>
      <w:tr>
        <w:trPr>
          <w:tblHeader w:val="true"/>
        </w:trPr>
        <w:tc>
          <w:tcPr>
            <w:tcW w:w="48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42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Day rate (PHP)</w:t>
            </w:r>
          </w:p>
        </w:tc>
      </w:tr>
      <w:tr>
        <w:trPr/>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analyst</w:t>
            </w:r>
          </w:p>
        </w:tc>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18,000.00</w:t>
            </w:r>
          </w:p>
        </w:tc>
      </w:tr>
      <w:tr>
        <w:trPr/>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Developer</w:t>
            </w:r>
          </w:p>
        </w:tc>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16,000.00</w:t>
            </w:r>
          </w:p>
        </w:tc>
      </w:tr>
      <w:tr>
        <w:trPr/>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engineer</w:t>
            </w:r>
          </w:p>
        </w:tc>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12,000.00</w:t>
            </w:r>
          </w:p>
        </w:tc>
      </w:tr>
      <w:tr>
        <w:trPr/>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22,000.00</w:t>
            </w:r>
          </w:p>
        </w:tc>
      </w:tr>
      <w:tr>
        <w:trPr/>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Blended rate</w:t>
            </w:r>
          </w:p>
        </w:tc>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16,100.00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man-day is 8 hours. Estimates follow the Change Request Procedure: business analysis 30% of development, testing 40% of development, project management 10% of the subtotal, contingency 10% of the total, each line rounded up to the half day.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123"/>
        <w:gridCol w:w="2386"/>
        <w:gridCol w:w="1362"/>
        <w:gridCol w:w="323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Band</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Total man-days</w:t>
            </w:r>
          </w:p>
        </w:tc>
        <w:tc>
          <w:tcPr>
            <w:tcW w:w="23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Example</w:t>
            </w:r>
          </w:p>
        </w:tc>
        <w:tc>
          <w:tcPr>
            <w:tcW w:w="1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Example price (PHP)</w:t>
            </w:r>
          </w:p>
        </w:tc>
        <w:tc>
          <w:tcPr>
            <w:tcW w:w="32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Payment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0.5 to 5</w:t>
            </w:r>
          </w:p>
        </w:tc>
        <w:tc>
          <w:tcPr>
            <w:tcW w:w="2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developer days, 5 days in total</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81,050.00</w:t>
            </w:r>
          </w:p>
        </w:tc>
        <w:tc>
          <w:tcPr>
            <w:tcW w:w="32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100% on delivery to production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 to 20</w:t>
            </w:r>
          </w:p>
        </w:tc>
        <w:tc>
          <w:tcPr>
            <w:tcW w:w="2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 developer days, 16 days in total</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250,150.00</w:t>
            </w:r>
          </w:p>
        </w:tc>
        <w:tc>
          <w:tcPr>
            <w:tcW w:w="32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 on approval, 50% on UAT sign-off</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20.5 to 60</w:t>
            </w:r>
          </w:p>
        </w:tc>
        <w:tc>
          <w:tcPr>
            <w:tcW w:w="2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developer days, 42 days in total</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665,400.00</w:t>
            </w:r>
          </w:p>
        </w:tc>
        <w:tc>
          <w:tcPr>
            <w:tcW w:w="32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on approval, 50% on UAT sign-off, 20% on deployment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Above 60</w:t>
            </w:r>
          </w:p>
        </w:tc>
        <w:tc>
          <w:tcPr>
            <w:tcW w:w="2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Separate SOW</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c>
          <w:tcPr>
            <w:tcW w:w="32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in the SOW</w:t>
            </w:r>
          </w:p>
        </w:tc>
      </w:tr>
    </w:tbl>
    <w:p>
      <w:pPr>
        <w:pStyle w:val="Normal"/>
        <w:spacing w:before="0" w:after="80"/>
        <w:rPr/>
      </w:pPr>
      <w:r>
        <w:rPr/>
      </w:r>
    </w:p>
    <w:p>
      <w:pPr>
        <w:pStyle w:val="Heading2"/>
        <w:rPr/>
      </w:pPr>
      <w:bookmarkStart w:id="19" w:name="__RefHeading___Toc16303_2842061002"/>
      <w:bookmarkEnd w:id="19"/>
      <w:r>
        <w:rPr>
          <w:rFonts w:eastAsia="Segoe UI" w:cs="Segoe UI"/>
          <w:b/>
          <w:color w:val="0F4761"/>
          <w:sz w:val="26"/>
        </w:rPr>
        <w:t>5.8  S10: exit and transition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full export of the Client Data</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Included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Transition assistance where iorta TechNXT hosts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 to [5] man-days included, then day rates of S09</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Further exports, data mapping, answers to a new provider, parallel running</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rates of S09</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Read-only access for the System Administrator for up to 60 days after the End Date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charge / the Monthly Fee prorated]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Hosted environment kept running after the End Date, up to 90 days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hosting fee, prorated by day</w:t>
            </w:r>
          </w:p>
        </w:tc>
      </w:tr>
    </w:tbl>
    <w:p>
      <w:pPr>
        <w:pStyle w:val="Normal"/>
        <w:spacing w:before="0" w:after="80"/>
        <w:rPr/>
      </w:pPr>
      <w:r>
        <w:rPr/>
      </w:r>
    </w:p>
    <w:p>
      <w:pPr>
        <w:pStyle w:val="Heading2"/>
        <w:rPr/>
      </w:pPr>
      <w:bookmarkStart w:id="20" w:name="__RefHeading___Toc16305_2842061002"/>
      <w:bookmarkEnd w:id="20"/>
      <w:r>
        <w:rPr>
          <w:rFonts w:eastAsia="Segoe UI" w:cs="Segoe UI"/>
          <w:b/>
          <w:color w:val="0F4761"/>
          <w:sz w:val="26"/>
        </w:rPr>
        <w:t>5.9  S11: source code escrow</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Escrow Agent fees (set-up, yearly, updates, verification, release)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quoted by the Escrow Agent; paid by the Client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Preparation and delivery of Deposits by iorta TechNXT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Included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assistance to a Verification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 to [1] man-day included per Verification, then day rates of S09</w:t>
            </w:r>
          </w:p>
        </w:tc>
      </w:tr>
    </w:tbl>
    <w:p>
      <w:pPr>
        <w:pStyle w:val="Heading1"/>
        <w:rPr/>
      </w:pPr>
      <w:r>
        <w:br w:type="page"/>
      </w:r>
      <w:bookmarkStart w:id="21" w:name="__RefHeading___Toc16307_2842061002"/>
      <w:bookmarkEnd w:id="21"/>
      <w:r>
        <w:rPr>
          <w:rFonts w:eastAsia="Segoe UI" w:cs="Segoe UI" w:ascii="Segoe UI" w:hAnsi="Segoe UI"/>
          <w:b/>
          <w:color w:val="0F4761"/>
          <w:sz w:val="32"/>
        </w:rPr>
        <w:t>6.  Payment terms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07"/>
        <w:gridCol w:w="4807"/>
      </w:tblGrid>
      <w:tr>
        <w:trPr>
          <w:tblHeader w:val="true"/>
        </w:trPr>
        <w:tc>
          <w:tcPr>
            <w:tcW w:w="42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8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Terms</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or onboarding fee</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 on signing, 40% on UAT sign-off, 20% on Go-Live</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Licence Fee</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on Go-Live</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 advance, from the start of Year 2</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from Go-Live</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and additional hosted environments</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from environment handover</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24x7 Severity 1 support</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 advance</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requests</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By band, as in S09</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services</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arrears at actual days, or as quoted for fixed-price items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Invoices are payable within 30 days of the invoice date. Late amounts bear interest as stated in the MSA. Subscription, hosting and support may be suspended after 60 days of non-payment, after 10 Business Days' written notice.</w:t>
      </w:r>
      <w:r>
        <w:br w:type="page"/>
      </w:r>
    </w:p>
    <w:p>
      <w:pPr>
        <w:pStyle w:val="Heading1"/>
        <w:rPr/>
      </w:pPr>
      <w:bookmarkStart w:id="22" w:name="__RefHeading___Toc16309_2842061002"/>
      <w:bookmarkEnd w:id="22"/>
      <w:r>
        <w:rPr>
          <w:rFonts w:eastAsia="Segoe UI" w:cs="Segoe UI" w:ascii="Segoe UI" w:hAnsi="Segoe UI"/>
          <w:b/>
          <w:color w:val="0F4761"/>
          <w:sz w:val="32"/>
        </w:rPr>
        <w:t>7.  Out of scope</w:t>
      </w:r>
    </w:p>
    <w:p>
      <w:pPr>
        <w:pStyle w:val="Normal"/>
        <w:spacing w:lineRule="auto" w:line="276" w:before="0" w:after="120"/>
        <w:rPr/>
      </w:pPr>
      <w:r>
        <w:rPr>
          <w:rFonts w:eastAsia="Segoe UI" w:cs="Segoe UI" w:ascii="Segoe UI" w:hAnsi="Segoe UI"/>
          <w:color w:val="101820"/>
          <w:sz w:val="21"/>
        </w:rPr>
        <w:t>The following are outside the OOTB scope and outside the AMC and the subscription. Each can be quoted as an optional service or a change request at the rates above.</w:t>
      </w:r>
    </w:p>
    <w:p>
      <w:pPr>
        <w:pStyle w:val="Heading2"/>
        <w:rPr/>
      </w:pPr>
      <w:bookmarkStart w:id="23" w:name="__RefHeading___Toc16311_2842061002"/>
      <w:bookmarkEnd w:id="23"/>
      <w:r>
        <w:rPr>
          <w:rFonts w:eastAsia="Segoe UI" w:cs="Segoe UI"/>
          <w:b/>
          <w:color w:val="0F4761"/>
          <w:sz w:val="26"/>
        </w:rPr>
        <w:t>7.1  Product changes</w:t>
      </w:r>
    </w:p>
    <w:p>
      <w:pPr>
        <w:pStyle w:val="Normal"/>
        <w:numPr>
          <w:ilvl w:val="0"/>
          <w:numId w:val="10"/>
        </w:numPr>
        <w:spacing w:before="0" w:after="60"/>
        <w:rPr/>
      </w:pPr>
      <w:r>
        <w:rPr>
          <w:rFonts w:eastAsia="Segoe UI" w:cs="Segoe UI" w:ascii="Segoe UI" w:hAnsi="Segoe UI"/>
          <w:color w:val="101820"/>
          <w:sz w:val="21"/>
        </w:rPr>
        <w:t>Customisation of screens, workflows, reports, printed documents or the database, and new reports.</w:t>
      </w:r>
    </w:p>
    <w:p>
      <w:pPr>
        <w:pStyle w:val="Normal"/>
        <w:numPr>
          <w:ilvl w:val="0"/>
          <w:numId w:val="11"/>
        </w:numPr>
        <w:spacing w:before="0" w:after="60"/>
        <w:rPr/>
      </w:pPr>
      <w:r>
        <w:rPr>
          <w:rFonts w:eastAsia="Segoe UI" w:cs="Segoe UI" w:ascii="Segoe UI" w:hAnsi="Segoe UI"/>
          <w:color w:val="101820"/>
          <w:sz w:val="21"/>
        </w:rPr>
        <w:t>New integrations, for example with insurer systems, core banking, bank payment file generation, SMS gateways, accounting packages, BIR eFPS or eBIRForms, LTO or IC systems, and payment gateways other than PayMongo and Dragonpay.</w:t>
      </w:r>
    </w:p>
    <w:p>
      <w:pPr>
        <w:pStyle w:val="Normal"/>
        <w:numPr>
          <w:ilvl w:val="0"/>
          <w:numId w:val="12"/>
        </w:numPr>
        <w:spacing w:before="0" w:after="60"/>
        <w:rPr/>
      </w:pPr>
      <w:r>
        <w:rPr>
          <w:rFonts w:eastAsia="Segoe UI" w:cs="Segoe UI" w:ascii="Segoe UI" w:hAnsi="Segoe UI"/>
          <w:color w:val="101820"/>
          <w:sz w:val="21"/>
        </w:rPr>
        <w:t>Changes caused by a third party (insurer, bank, payment gateway, e-mail provider) changing its interface.</w:t>
      </w:r>
    </w:p>
    <w:p>
      <w:pPr>
        <w:pStyle w:val="Normal"/>
        <w:numPr>
          <w:ilvl w:val="0"/>
          <w:numId w:val="13"/>
        </w:numPr>
        <w:spacing w:before="0" w:after="60"/>
        <w:rPr/>
      </w:pPr>
      <w:r>
        <w:rPr>
          <w:rFonts w:eastAsia="Segoe UI" w:cs="Segoe UI" w:ascii="Segoe UI" w:hAnsi="Segoe UI"/>
          <w:color w:val="101820"/>
          <w:sz w:val="21"/>
        </w:rPr>
        <w:t>Translation of the screens.</w:t>
      </w:r>
    </w:p>
    <w:p>
      <w:pPr>
        <w:pStyle w:val="Normal"/>
        <w:numPr>
          <w:ilvl w:val="0"/>
          <w:numId w:val="14"/>
        </w:numPr>
        <w:spacing w:before="0" w:after="60"/>
        <w:rPr/>
      </w:pPr>
      <w:r>
        <w:rPr>
          <w:rFonts w:eastAsia="Segoe UI" w:cs="Segoe UI" w:ascii="Segoe UI" w:hAnsi="Segoe UI"/>
          <w:color w:val="101820"/>
          <w:sz w:val="21"/>
        </w:rPr>
        <w:t>Support of customised code that has not been merged into the product line, after its 30-day warranty.</w:t>
      </w:r>
    </w:p>
    <w:p>
      <w:pPr>
        <w:pStyle w:val="Heading2"/>
        <w:rPr/>
      </w:pPr>
      <w:bookmarkStart w:id="24" w:name="__RefHeading___Toc16313_2842061002"/>
      <w:bookmarkEnd w:id="24"/>
      <w:r>
        <w:rPr>
          <w:rFonts w:eastAsia="Segoe UI" w:cs="Segoe UI"/>
          <w:b/>
          <w:color w:val="0F4761"/>
          <w:sz w:val="26"/>
        </w:rPr>
        <w:t>7.2  Data services</w:t>
      </w:r>
    </w:p>
    <w:p>
      <w:pPr>
        <w:pStyle w:val="Normal"/>
        <w:numPr>
          <w:ilvl w:val="0"/>
          <w:numId w:val="15"/>
        </w:numPr>
        <w:spacing w:before="0" w:after="60"/>
        <w:rPr/>
      </w:pPr>
      <w:r>
        <w:rPr>
          <w:rFonts w:eastAsia="Segoe UI" w:cs="Segoe UI" w:ascii="Segoe UI" w:hAnsi="Segoe UI"/>
          <w:color w:val="101820"/>
          <w:sz w:val="21"/>
        </w:rPr>
        <w:t>Data cleansing, de-duplication and enrichment of the Client's data, and extraction from the old system.</w:t>
      </w:r>
    </w:p>
    <w:p>
      <w:pPr>
        <w:pStyle w:val="Normal"/>
        <w:numPr>
          <w:ilvl w:val="0"/>
          <w:numId w:val="16"/>
        </w:numPr>
        <w:spacing w:before="0" w:after="60"/>
        <w:rPr/>
      </w:pPr>
      <w:r>
        <w:rPr>
          <w:rFonts w:eastAsia="Segoe UI" w:cs="Segoe UI" w:ascii="Segoe UI" w:hAnsi="Segoe UI"/>
          <w:color w:val="101820"/>
          <w:sz w:val="21"/>
        </w:rPr>
        <w:t>Migration of closed or expired policies, settled claims, paid receivables, transaction history and documents, and more than one fiscal year of balances.</w:t>
      </w:r>
    </w:p>
    <w:p>
      <w:pPr>
        <w:pStyle w:val="Normal"/>
        <w:numPr>
          <w:ilvl w:val="0"/>
          <w:numId w:val="17"/>
        </w:numPr>
        <w:spacing w:before="0" w:after="60"/>
        <w:rPr/>
      </w:pPr>
      <w:r>
        <w:rPr>
          <w:rFonts w:eastAsia="Segoe UI" w:cs="Segoe UI" w:ascii="Segoe UI" w:hAnsi="Segoe UI"/>
          <w:color w:val="101820"/>
          <w:sz w:val="21"/>
        </w:rPr>
        <w:t>Data entry and bulk data work for the Client's business.</w:t>
      </w:r>
    </w:p>
    <w:p>
      <w:pPr>
        <w:pStyle w:val="Normal"/>
        <w:numPr>
          <w:ilvl w:val="0"/>
          <w:numId w:val="18"/>
        </w:numPr>
        <w:spacing w:before="0" w:after="60"/>
        <w:rPr/>
      </w:pPr>
      <w:r>
        <w:rPr>
          <w:rFonts w:eastAsia="Segoe UI" w:cs="Segoe UI" w:ascii="Segoe UI" w:hAnsi="Segoe UI"/>
          <w:color w:val="101820"/>
          <w:sz w:val="21"/>
        </w:rPr>
        <w:t>Recovery of data deleted by the Client's users beyond what the backups hold.</w:t>
      </w:r>
    </w:p>
    <w:p>
      <w:pPr>
        <w:pStyle w:val="Heading2"/>
        <w:rPr/>
      </w:pPr>
      <w:bookmarkStart w:id="25" w:name="__RefHeading___Toc16315_2842061002"/>
      <w:bookmarkEnd w:id="25"/>
      <w:r>
        <w:rPr>
          <w:rFonts w:eastAsia="Segoe UI" w:cs="Segoe UI"/>
          <w:b/>
          <w:color w:val="0F4761"/>
          <w:sz w:val="26"/>
        </w:rPr>
        <w:t>7.3  Infrastructure and third parties</w:t>
      </w:r>
    </w:p>
    <w:p>
      <w:pPr>
        <w:pStyle w:val="Normal"/>
        <w:numPr>
          <w:ilvl w:val="0"/>
          <w:numId w:val="19"/>
        </w:numPr>
        <w:spacing w:before="0" w:after="60"/>
        <w:rPr/>
      </w:pPr>
      <w:r>
        <w:rPr>
          <w:rFonts w:eastAsia="Segoe UI" w:cs="Segoe UI" w:ascii="Segoe UI" w:hAnsi="Segoe UI"/>
          <w:color w:val="101820"/>
          <w:sz w:val="21"/>
        </w:rPr>
        <w:t>Hardware, end-user devices, networks, browsers and office software.</w:t>
      </w:r>
    </w:p>
    <w:p>
      <w:pPr>
        <w:pStyle w:val="Normal"/>
        <w:numPr>
          <w:ilvl w:val="0"/>
          <w:numId w:val="20"/>
        </w:numPr>
        <w:spacing w:before="0" w:after="60"/>
        <w:rPr/>
      </w:pPr>
      <w:r>
        <w:rPr>
          <w:rFonts w:eastAsia="Segoe UI" w:cs="Segoe UI" w:ascii="Segoe UI" w:hAnsi="Segoe UI"/>
          <w:color w:val="101820"/>
          <w:sz w:val="21"/>
        </w:rPr>
        <w:t>Infrastructure, operating system and database support where the Client hosts.</w:t>
      </w:r>
    </w:p>
    <w:p>
      <w:pPr>
        <w:pStyle w:val="Normal"/>
        <w:numPr>
          <w:ilvl w:val="0"/>
          <w:numId w:val="21"/>
        </w:numPr>
        <w:spacing w:before="0" w:after="60"/>
        <w:rPr/>
      </w:pPr>
      <w:r>
        <w:rPr>
          <w:rFonts w:eastAsia="Segoe UI" w:cs="Segoe UI" w:ascii="Segoe UI" w:hAnsi="Segoe UI"/>
          <w:color w:val="101820"/>
          <w:sz w:val="21"/>
        </w:rPr>
        <w:t>Third-party licences and fees: cloud subscriptions beyond the agreed hosting, mailboxes, payment gateway merchant fees, SMS charges, certificates for Client-owned domains, escrow agent fees, and the fees of the partners whose interfaces the optional modules and partner services of S08 take live (CTPL provider, insurers, banks, gateways, screening list providers).</w:t>
      </w:r>
    </w:p>
    <w:p>
      <w:pPr>
        <w:pStyle w:val="Heading2"/>
        <w:rPr/>
      </w:pPr>
      <w:bookmarkStart w:id="26" w:name="__RefHeading___Toc16317_2842061002"/>
      <w:bookmarkEnd w:id="26"/>
      <w:r>
        <w:rPr>
          <w:rFonts w:eastAsia="Segoe UI" w:cs="Segoe UI"/>
          <w:b/>
          <w:color w:val="0F4761"/>
          <w:sz w:val="26"/>
        </w:rPr>
        <w:t>7.4  Regulatory and advice</w:t>
      </w:r>
    </w:p>
    <w:p>
      <w:pPr>
        <w:pStyle w:val="Normal"/>
        <w:numPr>
          <w:ilvl w:val="0"/>
          <w:numId w:val="22"/>
        </w:numPr>
        <w:spacing w:before="0" w:after="60"/>
        <w:rPr/>
      </w:pPr>
      <w:r>
        <w:rPr>
          <w:rFonts w:eastAsia="Segoe UI" w:cs="Segoe UI" w:ascii="Segoe UI" w:hAnsi="Segoe UI"/>
          <w:color w:val="101820"/>
          <w:sz w:val="21"/>
        </w:rPr>
        <w:t>Regulatory filings and registrations: BIR returns and alphalists, Computerized Accounting System registration, Authority to Print, IC reports, NPC registration, AMLC reports. The preparation support for some of these (CAS registration, EIS enrolment, AMLC file validation, IC statement form alignment, EOPT invoicing review) is available as an optional module or partner service of S08; the filing itself and the regulator's fees remain with the Client.</w:t>
      </w:r>
    </w:p>
    <w:p>
      <w:pPr>
        <w:pStyle w:val="Normal"/>
        <w:numPr>
          <w:ilvl w:val="0"/>
          <w:numId w:val="23"/>
        </w:numPr>
        <w:spacing w:before="0" w:after="60"/>
        <w:rPr/>
      </w:pPr>
      <w:r>
        <w:rPr>
          <w:rFonts w:eastAsia="Segoe UI" w:cs="Segoe UI" w:ascii="Segoe UI" w:hAnsi="Segoe UI"/>
          <w:color w:val="101820"/>
          <w:sz w:val="21"/>
        </w:rPr>
        <w:t>Tax, legal, actuarial or audit advice.</w:t>
      </w:r>
    </w:p>
    <w:p>
      <w:pPr>
        <w:pStyle w:val="Heading2"/>
        <w:rPr/>
      </w:pPr>
      <w:bookmarkStart w:id="27" w:name="__RefHeading___Toc16319_2842061002"/>
      <w:bookmarkEnd w:id="27"/>
      <w:r>
        <w:rPr>
          <w:rFonts w:eastAsia="Segoe UI" w:cs="Segoe UI"/>
          <w:b/>
          <w:color w:val="0F4761"/>
          <w:sz w:val="26"/>
        </w:rPr>
        <w:t>7.5  Training and support</w:t>
      </w:r>
    </w:p>
    <w:p>
      <w:pPr>
        <w:pStyle w:val="Normal"/>
        <w:numPr>
          <w:ilvl w:val="0"/>
          <w:numId w:val="24"/>
        </w:numPr>
        <w:spacing w:before="0" w:after="60"/>
        <w:rPr/>
      </w:pPr>
      <w:r>
        <w:rPr>
          <w:rFonts w:eastAsia="Segoe UI" w:cs="Segoe UI" w:ascii="Segoe UI" w:hAnsi="Segoe UI"/>
          <w:color w:val="101820"/>
          <w:sz w:val="21"/>
        </w:rPr>
        <w:t>Training beyond the included days and the agreed refresher sessions, and training of users added after go-live.</w:t>
      </w:r>
    </w:p>
    <w:p>
      <w:pPr>
        <w:pStyle w:val="Normal"/>
        <w:numPr>
          <w:ilvl w:val="0"/>
          <w:numId w:val="25"/>
        </w:numPr>
        <w:spacing w:before="0" w:after="60"/>
        <w:rPr/>
      </w:pPr>
      <w:r>
        <w:rPr>
          <w:rFonts w:eastAsia="Segoe UI" w:cs="Segoe UI" w:ascii="Segoe UI" w:hAnsi="Segoe UI"/>
          <w:color w:val="101820"/>
          <w:sz w:val="21"/>
        </w:rPr>
        <w:t>Support of releases more than two planned releases behind the current one.</w:t>
      </w:r>
    </w:p>
    <w:p>
      <w:pPr>
        <w:pStyle w:val="Normal"/>
        <w:numPr>
          <w:ilvl w:val="0"/>
          <w:numId w:val="26"/>
        </w:numPr>
        <w:spacing w:before="0" w:after="60"/>
        <w:rPr/>
      </w:pPr>
      <w:r>
        <w:rPr>
          <w:rFonts w:eastAsia="Segoe UI" w:cs="Segoe UI" w:ascii="Segoe UI" w:hAnsi="Segoe UI"/>
          <w:color w:val="101820"/>
          <w:sz w:val="21"/>
        </w:rPr>
        <w:t>Issues caused by changes the Client made outside the change process, or by the Client's network, devices or browsers.</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28" w:name="__RefHeading___Toc16321_2842061002"/>
      <w:bookmarkStart w:id="29" w:name="_Toc233203395"/>
      <w:bookmarkEnd w:id="28"/>
      <w:r>
        <w:rPr>
          <w:rStyle w:val="BookTitle"/>
          <w:bCs w:val="false"/>
          <w:i w:val="false"/>
          <w:iCs w:val="false"/>
          <w:spacing w:val="0"/>
        </w:rPr>
        <w:t>8.  Document Sign-Off</w:t>
      </w:r>
      <w:bookmarkEnd w:id="29"/>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Rates to be confirmed against the price book at each issue; review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9">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8">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8">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2"/>
    <w:lvlOverride w:ilvl="0">
      <w:startOverride w:val="1"/>
    </w:lvlOverride>
  </w:num>
  <w:num w:numId="10">
    <w:abstractNumId w:val="2"/>
    <w:lvlOverride w:ilvl="0">
      <w:startOverride w:val="1"/>
    </w:lvlOverride>
  </w:num>
  <w:num w:numId="11">
    <w:abstractNumId w:val="2"/>
  </w:num>
  <w:num w:numId="12">
    <w:abstractNumId w:val="2"/>
  </w:num>
  <w:num w:numId="13">
    <w:abstractNumId w:val="2"/>
  </w:num>
  <w:num w:numId="14">
    <w:abstractNumId w:val="2"/>
  </w:num>
  <w:num w:numId="15">
    <w:abstractNumId w:val="2"/>
    <w:lvlOverride w:ilvl="0">
      <w:startOverride w:val="1"/>
    </w:lvlOverride>
  </w:num>
  <w:num w:numId="16">
    <w:abstractNumId w:val="2"/>
  </w:num>
  <w:num w:numId="17">
    <w:abstractNumId w:val="2"/>
  </w:num>
  <w:num w:numId="18">
    <w:abstractNumId w:val="2"/>
  </w:num>
  <w:num w:numId="19">
    <w:abstractNumId w:val="2"/>
    <w:lvlOverride w:ilvl="0">
      <w:startOverride w:val="1"/>
    </w:lvlOverride>
  </w:num>
  <w:num w:numId="20">
    <w:abstractNumId w:val="2"/>
  </w:num>
  <w:num w:numId="21">
    <w:abstractNumId w:val="2"/>
  </w:num>
  <w:num w:numId="22">
    <w:abstractNumId w:val="2"/>
    <w:lvlOverride w:ilvl="0">
      <w:startOverride w:val="1"/>
    </w:lvlOverride>
  </w:num>
  <w:num w:numId="23">
    <w:abstractNumId w:val="2"/>
  </w:num>
  <w:num w:numId="24">
    <w:abstractNumId w:val="2"/>
    <w:lvlOverride w:ilvl="0">
      <w:startOverride w:val="1"/>
    </w:lvlOverride>
  </w:num>
  <w:num w:numId="25">
    <w:abstractNumId w:val="2"/>
  </w:num>
  <w:num w:numId="26">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2026-10-04T12:28:20Z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