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4">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5">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5"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7"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1.1</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1.1</w:t>
                      </w:r>
                    </w:p>
                  </w:txbxContent>
                </v:textbox>
                <w10:wrap type="square"/>
              </v:rect>
            </w:pict>
          </mc:Fallback>
        </mc:AlternateContent>
        <mc:AlternateContent>
          <mc:Choice Requires="wps">
            <w:drawing>
              <wp:anchor behindDoc="0" distT="45720" distB="45720" distL="114300" distR="113665" simplePos="0" locked="0" layoutInCell="0" allowOverlap="1" relativeHeight="29"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1"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Competitive Battlecard</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Competitive Battlecard</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3"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INTERNAL: not for clients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INTERNAL: not for clients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8886_1360963153">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8888_1360963153">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8890_1360963153">
            <w:r>
              <w:rPr>
                <w:webHidden/>
                <w:rStyle w:val="IndexLink"/>
              </w:rPr>
              <w:t>3. Purpose and handling</w:t>
              <w:tab/>
              <w:t>5</w:t>
            </w:r>
          </w:hyperlink>
        </w:p>
        <w:p>
          <w:pPr>
            <w:pStyle w:val="TOC1"/>
            <w:tabs>
              <w:tab w:val="clear" w:pos="900"/>
              <w:tab w:val="clear" w:pos="9350"/>
              <w:tab w:val="right" w:pos="9025" w:leader="dot"/>
            </w:tabs>
            <w:rPr/>
          </w:pPr>
          <w:hyperlink w:anchor="__RefHeading___Toc8892_1360963153">
            <w:r>
              <w:rPr>
                <w:webHidden/>
                <w:rStyle w:val="IndexLink"/>
              </w:rPr>
              <w:t>4. Where we win and where we do not</w:t>
              <w:tab/>
              <w:t>7</w:t>
            </w:r>
          </w:hyperlink>
        </w:p>
        <w:p>
          <w:pPr>
            <w:pStyle w:val="TOC2"/>
            <w:tabs>
              <w:tab w:val="clear" w:pos="900"/>
              <w:tab w:val="clear" w:pos="9350"/>
              <w:tab w:val="right" w:pos="9025" w:leader="dot"/>
            </w:tabs>
            <w:rPr/>
          </w:pPr>
          <w:hyperlink w:anchor="__RefHeading___Toc8894_1360963153">
            <w:r>
              <w:rPr>
                <w:webHidden/>
                <w:rStyle w:val="IndexLink"/>
              </w:rPr>
              <w:t>4.1 Our position in one paragraph</w:t>
              <w:tab/>
              <w:t>7</w:t>
            </w:r>
          </w:hyperlink>
        </w:p>
        <w:p>
          <w:pPr>
            <w:pStyle w:val="TOC2"/>
            <w:tabs>
              <w:tab w:val="clear" w:pos="900"/>
              <w:tab w:val="clear" w:pos="9350"/>
              <w:tab w:val="right" w:pos="9025" w:leader="dot"/>
            </w:tabs>
            <w:rPr/>
          </w:pPr>
          <w:hyperlink w:anchor="__RefHeading___Toc8896_1360963153">
            <w:r>
              <w:rPr>
                <w:webHidden/>
                <w:rStyle w:val="IndexLink"/>
              </w:rPr>
              <w:t>4.2 Strong fit</w:t>
              <w:tab/>
              <w:t>7</w:t>
            </w:r>
          </w:hyperlink>
        </w:p>
        <w:p>
          <w:pPr>
            <w:pStyle w:val="TOC2"/>
            <w:tabs>
              <w:tab w:val="clear" w:pos="900"/>
              <w:tab w:val="clear" w:pos="9350"/>
              <w:tab w:val="right" w:pos="9025" w:leader="dot"/>
            </w:tabs>
            <w:rPr/>
          </w:pPr>
          <w:hyperlink w:anchor="__RefHeading___Toc8898_1360963153">
            <w:r>
              <w:rPr>
                <w:webHidden/>
                <w:rStyle w:val="IndexLink"/>
              </w:rPr>
              <w:t>4.3 Weak fit (qualify out or set expectations early)</w:t>
              <w:tab/>
              <w:t>7</w:t>
            </w:r>
          </w:hyperlink>
        </w:p>
        <w:p>
          <w:pPr>
            <w:pStyle w:val="TOC1"/>
            <w:tabs>
              <w:tab w:val="clear" w:pos="900"/>
              <w:tab w:val="clear" w:pos="9350"/>
              <w:tab w:val="right" w:pos="9025" w:leader="dot"/>
            </w:tabs>
            <w:rPr/>
          </w:pPr>
          <w:hyperlink w:anchor="__RefHeading___Toc8900_1360963153">
            <w:r>
              <w:rPr>
                <w:webHidden/>
                <w:rStyle w:val="IndexLink"/>
              </w:rPr>
              <w:t>5. Alternative 1: spreadsheets and an accounting package</w:t>
              <w:tab/>
              <w:t>8</w:t>
            </w:r>
          </w:hyperlink>
        </w:p>
        <w:p>
          <w:pPr>
            <w:pStyle w:val="TOC2"/>
            <w:tabs>
              <w:tab w:val="clear" w:pos="900"/>
              <w:tab w:val="clear" w:pos="9350"/>
              <w:tab w:val="right" w:pos="9025" w:leader="dot"/>
            </w:tabs>
            <w:rPr/>
          </w:pPr>
          <w:hyperlink w:anchor="__RefHeading___Toc8902_1360963153">
            <w:r>
              <w:rPr>
                <w:webHidden/>
                <w:rStyle w:val="IndexLink"/>
              </w:rPr>
              <w:t>5.1 What the broker has</w:t>
              <w:tab/>
              <w:t>8</w:t>
            </w:r>
          </w:hyperlink>
        </w:p>
        <w:p>
          <w:pPr>
            <w:pStyle w:val="TOC2"/>
            <w:tabs>
              <w:tab w:val="clear" w:pos="900"/>
              <w:tab w:val="clear" w:pos="9350"/>
              <w:tab w:val="right" w:pos="9025" w:leader="dot"/>
            </w:tabs>
            <w:rPr/>
          </w:pPr>
          <w:hyperlink w:anchor="__RefHeading___Toc8904_1360963153">
            <w:r>
              <w:rPr>
                <w:webHidden/>
                <w:rStyle w:val="IndexLink"/>
              </w:rPr>
              <w:t>5.2 Why they stay</w:t>
              <w:tab/>
              <w:t>8</w:t>
            </w:r>
          </w:hyperlink>
        </w:p>
        <w:p>
          <w:pPr>
            <w:pStyle w:val="TOC2"/>
            <w:tabs>
              <w:tab w:val="clear" w:pos="900"/>
              <w:tab w:val="clear" w:pos="9350"/>
              <w:tab w:val="right" w:pos="9025" w:leader="dot"/>
            </w:tabs>
            <w:rPr/>
          </w:pPr>
          <w:hyperlink w:anchor="__RefHeading___Toc8906_1360963153">
            <w:r>
              <w:rPr>
                <w:webHidden/>
                <w:rStyle w:val="IndexLink"/>
              </w:rPr>
              <w:t>5.3 Where it hurts (to uncover, not to assert)</w:t>
              <w:tab/>
              <w:t>8</w:t>
            </w:r>
          </w:hyperlink>
        </w:p>
        <w:p>
          <w:pPr>
            <w:pStyle w:val="TOC2"/>
            <w:tabs>
              <w:tab w:val="clear" w:pos="900"/>
              <w:tab w:val="clear" w:pos="9350"/>
              <w:tab w:val="right" w:pos="9025" w:leader="dot"/>
            </w:tabs>
            <w:rPr/>
          </w:pPr>
          <w:hyperlink w:anchor="__RefHeading___Toc8908_1360963153">
            <w:r>
              <w:rPr>
                <w:webHidden/>
                <w:rStyle w:val="IndexLink"/>
              </w:rPr>
              <w:t>5.4 Discovery questions</w:t>
              <w:tab/>
              <w:t>8</w:t>
            </w:r>
          </w:hyperlink>
        </w:p>
        <w:p>
          <w:pPr>
            <w:pStyle w:val="TOC2"/>
            <w:tabs>
              <w:tab w:val="clear" w:pos="900"/>
              <w:tab w:val="clear" w:pos="9350"/>
              <w:tab w:val="right" w:pos="9025" w:leader="dot"/>
            </w:tabs>
            <w:rPr/>
          </w:pPr>
          <w:hyperlink w:anchor="__RefHeading___Toc8910_1360963153">
            <w:r>
              <w:rPr>
                <w:webHidden/>
                <w:rStyle w:val="IndexLink"/>
              </w:rPr>
              <w:t>5.5 Proof points</w:t>
              <w:tab/>
              <w:t>8</w:t>
            </w:r>
          </w:hyperlink>
        </w:p>
        <w:p>
          <w:pPr>
            <w:pStyle w:val="TOC2"/>
            <w:tabs>
              <w:tab w:val="clear" w:pos="900"/>
              <w:tab w:val="clear" w:pos="9350"/>
              <w:tab w:val="right" w:pos="9025" w:leader="dot"/>
            </w:tabs>
            <w:rPr/>
          </w:pPr>
          <w:hyperlink w:anchor="__RefHeading___Toc8912_1360963153">
            <w:r>
              <w:rPr>
                <w:webHidden/>
                <w:rStyle w:val="IndexLink"/>
              </w:rPr>
              <w:t>5.6 Landmines to set</w:t>
              <w:tab/>
              <w:t>9</w:t>
            </w:r>
          </w:hyperlink>
        </w:p>
        <w:p>
          <w:pPr>
            <w:pStyle w:val="TOC2"/>
            <w:tabs>
              <w:tab w:val="clear" w:pos="900"/>
              <w:tab w:val="clear" w:pos="9350"/>
              <w:tab w:val="right" w:pos="9025" w:leader="dot"/>
            </w:tabs>
            <w:rPr/>
          </w:pPr>
          <w:hyperlink w:anchor="__RefHeading___Toc8914_1360963153">
            <w:r>
              <w:rPr>
                <w:webHidden/>
                <w:rStyle w:val="IndexLink"/>
              </w:rPr>
              <w:t>5.7 Watch out</w:t>
              <w:tab/>
              <w:t>9</w:t>
            </w:r>
          </w:hyperlink>
        </w:p>
        <w:p>
          <w:pPr>
            <w:pStyle w:val="TOC1"/>
            <w:tabs>
              <w:tab w:val="clear" w:pos="900"/>
              <w:tab w:val="clear" w:pos="9350"/>
              <w:tab w:val="right" w:pos="9025" w:leader="dot"/>
            </w:tabs>
            <w:rPr/>
          </w:pPr>
          <w:hyperlink w:anchor="__RefHeading___Toc8916_1360963153">
            <w:r>
              <w:rPr>
                <w:webHidden/>
                <w:rStyle w:val="IndexLink"/>
              </w:rPr>
              <w:t>6. Alternative 2: insurer portals</w:t>
              <w:tab/>
              <w:t>10</w:t>
            </w:r>
          </w:hyperlink>
        </w:p>
        <w:p>
          <w:pPr>
            <w:pStyle w:val="TOC2"/>
            <w:tabs>
              <w:tab w:val="clear" w:pos="900"/>
              <w:tab w:val="clear" w:pos="9350"/>
              <w:tab w:val="right" w:pos="9025" w:leader="dot"/>
            </w:tabs>
            <w:rPr/>
          </w:pPr>
          <w:hyperlink w:anchor="__RefHeading___Toc8918_1360963153">
            <w:r>
              <w:rPr>
                <w:webHidden/>
                <w:rStyle w:val="IndexLink"/>
              </w:rPr>
              <w:t>6.1 What the broker has</w:t>
              <w:tab/>
              <w:t>10</w:t>
            </w:r>
          </w:hyperlink>
        </w:p>
        <w:p>
          <w:pPr>
            <w:pStyle w:val="TOC2"/>
            <w:tabs>
              <w:tab w:val="clear" w:pos="900"/>
              <w:tab w:val="clear" w:pos="9350"/>
              <w:tab w:val="right" w:pos="9025" w:leader="dot"/>
            </w:tabs>
            <w:rPr/>
          </w:pPr>
          <w:hyperlink w:anchor="__RefHeading___Toc8920_1360963153">
            <w:r>
              <w:rPr>
                <w:webHidden/>
                <w:rStyle w:val="IndexLink"/>
              </w:rPr>
              <w:t>6.2 Why they stay</w:t>
              <w:tab/>
              <w:t>10</w:t>
            </w:r>
          </w:hyperlink>
        </w:p>
        <w:p>
          <w:pPr>
            <w:pStyle w:val="TOC2"/>
            <w:tabs>
              <w:tab w:val="clear" w:pos="900"/>
              <w:tab w:val="clear" w:pos="9350"/>
              <w:tab w:val="right" w:pos="9025" w:leader="dot"/>
            </w:tabs>
            <w:rPr/>
          </w:pPr>
          <w:hyperlink w:anchor="__RefHeading___Toc8922_1360963153">
            <w:r>
              <w:rPr>
                <w:webHidden/>
                <w:rStyle w:val="IndexLink"/>
              </w:rPr>
              <w:t>6.3 Where it hurts</w:t>
              <w:tab/>
              <w:t>10</w:t>
            </w:r>
          </w:hyperlink>
        </w:p>
        <w:p>
          <w:pPr>
            <w:pStyle w:val="TOC2"/>
            <w:tabs>
              <w:tab w:val="clear" w:pos="900"/>
              <w:tab w:val="clear" w:pos="9350"/>
              <w:tab w:val="right" w:pos="9025" w:leader="dot"/>
            </w:tabs>
            <w:rPr/>
          </w:pPr>
          <w:hyperlink w:anchor="__RefHeading___Toc8924_1360963153">
            <w:r>
              <w:rPr>
                <w:webHidden/>
                <w:rStyle w:val="IndexLink"/>
              </w:rPr>
              <w:t>6.4 Discovery questions</w:t>
              <w:tab/>
              <w:t>10</w:t>
            </w:r>
          </w:hyperlink>
        </w:p>
        <w:p>
          <w:pPr>
            <w:pStyle w:val="TOC2"/>
            <w:tabs>
              <w:tab w:val="clear" w:pos="900"/>
              <w:tab w:val="clear" w:pos="9350"/>
              <w:tab w:val="right" w:pos="9025" w:leader="dot"/>
            </w:tabs>
            <w:rPr/>
          </w:pPr>
          <w:hyperlink w:anchor="__RefHeading___Toc8926_1360963153">
            <w:r>
              <w:rPr>
                <w:webHidden/>
                <w:rStyle w:val="IndexLink"/>
              </w:rPr>
              <w:t>6.5 Proof points</w:t>
              <w:tab/>
              <w:t>10</w:t>
            </w:r>
          </w:hyperlink>
        </w:p>
        <w:p>
          <w:pPr>
            <w:pStyle w:val="TOC2"/>
            <w:tabs>
              <w:tab w:val="clear" w:pos="900"/>
              <w:tab w:val="clear" w:pos="9350"/>
              <w:tab w:val="right" w:pos="9025" w:leader="dot"/>
            </w:tabs>
            <w:rPr/>
          </w:pPr>
          <w:hyperlink w:anchor="__RefHeading___Toc8928_1360963153">
            <w:r>
              <w:rPr>
                <w:webHidden/>
                <w:rStyle w:val="IndexLink"/>
              </w:rPr>
              <w:t>6.6 Landmines to set</w:t>
              <w:tab/>
              <w:t>10</w:t>
            </w:r>
          </w:hyperlink>
        </w:p>
        <w:p>
          <w:pPr>
            <w:pStyle w:val="TOC2"/>
            <w:tabs>
              <w:tab w:val="clear" w:pos="900"/>
              <w:tab w:val="clear" w:pos="9350"/>
              <w:tab w:val="right" w:pos="9025" w:leader="dot"/>
            </w:tabs>
            <w:rPr/>
          </w:pPr>
          <w:hyperlink w:anchor="__RefHeading___Toc8930_1360963153">
            <w:r>
              <w:rPr>
                <w:webHidden/>
                <w:rStyle w:val="IndexLink"/>
              </w:rPr>
              <w:t>6.7 Watch out</w:t>
              <w:tab/>
              <w:t>11</w:t>
            </w:r>
          </w:hyperlink>
        </w:p>
        <w:p>
          <w:pPr>
            <w:pStyle w:val="TOC1"/>
            <w:tabs>
              <w:tab w:val="clear" w:pos="900"/>
              <w:tab w:val="clear" w:pos="9350"/>
              <w:tab w:val="right" w:pos="9025" w:leader="dot"/>
            </w:tabs>
            <w:rPr/>
          </w:pPr>
          <w:hyperlink w:anchor="__RefHeading___Toc8932_1360963153">
            <w:r>
              <w:rPr>
                <w:webHidden/>
                <w:rStyle w:val="IndexLink"/>
              </w:rPr>
              <w:t>7. Alternative 3: regional or global broking systems</w:t>
              <w:tab/>
              <w:t>12</w:t>
            </w:r>
          </w:hyperlink>
        </w:p>
        <w:p>
          <w:pPr>
            <w:pStyle w:val="TOC2"/>
            <w:tabs>
              <w:tab w:val="clear" w:pos="900"/>
              <w:tab w:val="clear" w:pos="9350"/>
              <w:tab w:val="right" w:pos="9025" w:leader="dot"/>
            </w:tabs>
            <w:rPr/>
          </w:pPr>
          <w:hyperlink w:anchor="__RefHeading___Toc8934_1360963153">
            <w:r>
              <w:rPr>
                <w:webHidden/>
                <w:rStyle w:val="IndexLink"/>
              </w:rPr>
              <w:t>7.1 What the broker sees</w:t>
              <w:tab/>
              <w:t>12</w:t>
            </w:r>
          </w:hyperlink>
        </w:p>
        <w:p>
          <w:pPr>
            <w:pStyle w:val="TOC2"/>
            <w:tabs>
              <w:tab w:val="clear" w:pos="900"/>
              <w:tab w:val="clear" w:pos="9350"/>
              <w:tab w:val="right" w:pos="9025" w:leader="dot"/>
            </w:tabs>
            <w:rPr/>
          </w:pPr>
          <w:hyperlink w:anchor="__RefHeading___Toc8936_1360963153">
            <w:r>
              <w:rPr>
                <w:webHidden/>
                <w:rStyle w:val="IndexLink"/>
              </w:rPr>
              <w:t>7.2 Why they are chosen</w:t>
              <w:tab/>
              <w:t>12</w:t>
            </w:r>
          </w:hyperlink>
        </w:p>
        <w:p>
          <w:pPr>
            <w:pStyle w:val="TOC2"/>
            <w:tabs>
              <w:tab w:val="clear" w:pos="900"/>
              <w:tab w:val="clear" w:pos="9350"/>
              <w:tab w:val="right" w:pos="9025" w:leader="dot"/>
            </w:tabs>
            <w:rPr/>
          </w:pPr>
          <w:hyperlink w:anchor="__RefHeading___Toc8938_1360963153">
            <w:r>
              <w:rPr>
                <w:webHidden/>
                <w:rStyle w:val="IndexLink"/>
              </w:rPr>
              <w:t>7.3 Where we compete</w:t>
              <w:tab/>
              <w:t>12</w:t>
            </w:r>
          </w:hyperlink>
        </w:p>
        <w:p>
          <w:pPr>
            <w:pStyle w:val="TOC2"/>
            <w:tabs>
              <w:tab w:val="clear" w:pos="900"/>
              <w:tab w:val="clear" w:pos="9350"/>
              <w:tab w:val="right" w:pos="9025" w:leader="dot"/>
            </w:tabs>
            <w:rPr/>
          </w:pPr>
          <w:hyperlink w:anchor="__RefHeading___Toc8940_1360963153">
            <w:r>
              <w:rPr>
                <w:webHidden/>
                <w:rStyle w:val="IndexLink"/>
              </w:rPr>
              <w:t>7.4 Discovery questions</w:t>
              <w:tab/>
              <w:t>12</w:t>
            </w:r>
          </w:hyperlink>
        </w:p>
        <w:p>
          <w:pPr>
            <w:pStyle w:val="TOC2"/>
            <w:tabs>
              <w:tab w:val="clear" w:pos="900"/>
              <w:tab w:val="clear" w:pos="9350"/>
              <w:tab w:val="right" w:pos="9025" w:leader="dot"/>
            </w:tabs>
            <w:rPr/>
          </w:pPr>
          <w:hyperlink w:anchor="__RefHeading___Toc8942_1360963153">
            <w:r>
              <w:rPr>
                <w:webHidden/>
                <w:rStyle w:val="IndexLink"/>
              </w:rPr>
              <w:t>7.5 Proof points</w:t>
              <w:tab/>
              <w:t>13</w:t>
            </w:r>
          </w:hyperlink>
        </w:p>
        <w:p>
          <w:pPr>
            <w:pStyle w:val="TOC2"/>
            <w:tabs>
              <w:tab w:val="clear" w:pos="900"/>
              <w:tab w:val="clear" w:pos="9350"/>
              <w:tab w:val="right" w:pos="9025" w:leader="dot"/>
            </w:tabs>
            <w:rPr/>
          </w:pPr>
          <w:hyperlink w:anchor="__RefHeading___Toc8944_1360963153">
            <w:r>
              <w:rPr>
                <w:webHidden/>
                <w:rStyle w:val="IndexLink"/>
              </w:rPr>
              <w:t>7.6 Landmines to set</w:t>
              <w:tab/>
              <w:t>13</w:t>
            </w:r>
          </w:hyperlink>
        </w:p>
        <w:p>
          <w:pPr>
            <w:pStyle w:val="TOC2"/>
            <w:tabs>
              <w:tab w:val="clear" w:pos="900"/>
              <w:tab w:val="clear" w:pos="9350"/>
              <w:tab w:val="right" w:pos="9025" w:leader="dot"/>
            </w:tabs>
            <w:rPr/>
          </w:pPr>
          <w:hyperlink w:anchor="__RefHeading___Toc8946_1360963153">
            <w:r>
              <w:rPr>
                <w:webHidden/>
                <w:rStyle w:val="IndexLink"/>
              </w:rPr>
              <w:t>7.7 Watch out</w:t>
              <w:tab/>
              <w:t>13</w:t>
            </w:r>
          </w:hyperlink>
        </w:p>
        <w:p>
          <w:pPr>
            <w:pStyle w:val="TOC1"/>
            <w:tabs>
              <w:tab w:val="clear" w:pos="900"/>
              <w:tab w:val="clear" w:pos="9350"/>
              <w:tab w:val="right" w:pos="9025" w:leader="dot"/>
            </w:tabs>
            <w:rPr/>
          </w:pPr>
          <w:hyperlink w:anchor="__RefHeading___Toc8948_1360963153">
            <w:r>
              <w:rPr>
                <w:webHidden/>
                <w:rStyle w:val="IndexLink"/>
              </w:rPr>
              <w:t>8. Alternative 4: a custom build</w:t>
              <w:tab/>
              <w:t>14</w:t>
            </w:r>
          </w:hyperlink>
        </w:p>
        <w:p>
          <w:pPr>
            <w:pStyle w:val="TOC2"/>
            <w:tabs>
              <w:tab w:val="clear" w:pos="900"/>
              <w:tab w:val="clear" w:pos="9350"/>
              <w:tab w:val="right" w:pos="9025" w:leader="dot"/>
            </w:tabs>
            <w:rPr/>
          </w:pPr>
          <w:hyperlink w:anchor="__RefHeading___Toc8950_1360963153">
            <w:r>
              <w:rPr>
                <w:webHidden/>
                <w:rStyle w:val="IndexLink"/>
              </w:rPr>
              <w:t>8.1 What the broker considers</w:t>
              <w:tab/>
              <w:t>14</w:t>
            </w:r>
          </w:hyperlink>
        </w:p>
        <w:p>
          <w:pPr>
            <w:pStyle w:val="TOC2"/>
            <w:tabs>
              <w:tab w:val="clear" w:pos="900"/>
              <w:tab w:val="clear" w:pos="9350"/>
              <w:tab w:val="right" w:pos="9025" w:leader="dot"/>
            </w:tabs>
            <w:rPr/>
          </w:pPr>
          <w:hyperlink w:anchor="__RefHeading___Toc8952_1360963153">
            <w:r>
              <w:rPr>
                <w:webHidden/>
                <w:rStyle w:val="IndexLink"/>
              </w:rPr>
              <w:t>8.2 Why they choose it</w:t>
              <w:tab/>
              <w:t>14</w:t>
            </w:r>
          </w:hyperlink>
        </w:p>
        <w:p>
          <w:pPr>
            <w:pStyle w:val="TOC2"/>
            <w:tabs>
              <w:tab w:val="clear" w:pos="900"/>
              <w:tab w:val="clear" w:pos="9350"/>
              <w:tab w:val="right" w:pos="9025" w:leader="dot"/>
            </w:tabs>
            <w:rPr/>
          </w:pPr>
          <w:hyperlink w:anchor="__RefHeading___Toc8954_1360963153">
            <w:r>
              <w:rPr>
                <w:webHidden/>
                <w:rStyle w:val="IndexLink"/>
              </w:rPr>
              <w:t>8.3 Where it hurts</w:t>
              <w:tab/>
              <w:t>14</w:t>
            </w:r>
          </w:hyperlink>
        </w:p>
        <w:p>
          <w:pPr>
            <w:pStyle w:val="TOC2"/>
            <w:tabs>
              <w:tab w:val="clear" w:pos="900"/>
              <w:tab w:val="clear" w:pos="9350"/>
              <w:tab w:val="right" w:pos="9025" w:leader="dot"/>
            </w:tabs>
            <w:rPr/>
          </w:pPr>
          <w:hyperlink w:anchor="__RefHeading___Toc8956_1360963153">
            <w:r>
              <w:rPr>
                <w:webHidden/>
                <w:rStyle w:val="IndexLink"/>
              </w:rPr>
              <w:t>8.4 Discovery questions</w:t>
              <w:tab/>
              <w:t>14</w:t>
            </w:r>
          </w:hyperlink>
        </w:p>
        <w:p>
          <w:pPr>
            <w:pStyle w:val="TOC2"/>
            <w:tabs>
              <w:tab w:val="clear" w:pos="900"/>
              <w:tab w:val="clear" w:pos="9350"/>
              <w:tab w:val="right" w:pos="9025" w:leader="dot"/>
            </w:tabs>
            <w:rPr/>
          </w:pPr>
          <w:hyperlink w:anchor="__RefHeading___Toc8958_1360963153">
            <w:r>
              <w:rPr>
                <w:webHidden/>
                <w:rStyle w:val="IndexLink"/>
              </w:rPr>
              <w:t>8.5 Proof points</w:t>
              <w:tab/>
              <w:t>14</w:t>
            </w:r>
          </w:hyperlink>
        </w:p>
        <w:p>
          <w:pPr>
            <w:pStyle w:val="TOC2"/>
            <w:tabs>
              <w:tab w:val="clear" w:pos="900"/>
              <w:tab w:val="clear" w:pos="9350"/>
              <w:tab w:val="right" w:pos="9025" w:leader="dot"/>
            </w:tabs>
            <w:rPr/>
          </w:pPr>
          <w:hyperlink w:anchor="__RefHeading___Toc8960_1360963153">
            <w:r>
              <w:rPr>
                <w:webHidden/>
                <w:rStyle w:val="IndexLink"/>
              </w:rPr>
              <w:t>8.6 Landmines to set</w:t>
              <w:tab/>
              <w:t>15</w:t>
            </w:r>
          </w:hyperlink>
        </w:p>
        <w:p>
          <w:pPr>
            <w:pStyle w:val="TOC2"/>
            <w:tabs>
              <w:tab w:val="clear" w:pos="900"/>
              <w:tab w:val="clear" w:pos="9350"/>
              <w:tab w:val="right" w:pos="9025" w:leader="dot"/>
            </w:tabs>
            <w:rPr/>
          </w:pPr>
          <w:hyperlink w:anchor="__RefHeading___Toc8962_1360963153">
            <w:r>
              <w:rPr>
                <w:webHidden/>
                <w:rStyle w:val="IndexLink"/>
              </w:rPr>
              <w:t>8.7 Watch out</w:t>
              <w:tab/>
              <w:t>15</w:t>
            </w:r>
          </w:hyperlink>
        </w:p>
        <w:p>
          <w:pPr>
            <w:pStyle w:val="TOC1"/>
            <w:tabs>
              <w:tab w:val="clear" w:pos="900"/>
              <w:tab w:val="clear" w:pos="9350"/>
              <w:tab w:val="right" w:pos="9025" w:leader="dot"/>
            </w:tabs>
            <w:rPr/>
          </w:pPr>
          <w:hyperlink w:anchor="__RefHeading___Toc8964_1360963153">
            <w:r>
              <w:rPr>
                <w:webHidden/>
                <w:rStyle w:val="IndexLink"/>
              </w:rPr>
              <w:t>9. Alternative 5: do nothing now</w:t>
              <w:tab/>
              <w:t>16</w:t>
            </w:r>
          </w:hyperlink>
        </w:p>
        <w:p>
          <w:pPr>
            <w:pStyle w:val="TOC1"/>
            <w:tabs>
              <w:tab w:val="clear" w:pos="900"/>
              <w:tab w:val="clear" w:pos="9350"/>
              <w:tab w:val="right" w:pos="9025" w:leader="dot"/>
            </w:tabs>
            <w:rPr/>
          </w:pPr>
          <w:hyperlink w:anchor="__RefHeading___Toc8966_1360963153">
            <w:r>
              <w:rPr>
                <w:webHidden/>
                <w:rStyle w:val="IndexLink"/>
              </w:rPr>
              <w:t>10. Objections specific to competition</w:t>
              <w:tab/>
              <w:t>17</w:t>
            </w:r>
          </w:hyperlink>
        </w:p>
        <w:p>
          <w:pPr>
            <w:pStyle w:val="TOC1"/>
            <w:tabs>
              <w:tab w:val="clear" w:pos="900"/>
              <w:tab w:val="clear" w:pos="9350"/>
              <w:tab w:val="right" w:pos="9025" w:leader="dot"/>
            </w:tabs>
            <w:rPr/>
          </w:pPr>
          <w:hyperlink w:anchor="__RefHeading___Toc8968_1360963153">
            <w:r>
              <w:rPr>
                <w:webHidden/>
                <w:rStyle w:val="IndexLink"/>
              </w:rPr>
              <w:t>11. Disclose early: known limits that competitors may raise</w:t>
              <w:tab/>
              <w:t>18</w:t>
            </w:r>
          </w:hyperlink>
        </w:p>
        <w:p>
          <w:pPr>
            <w:pStyle w:val="TOC1"/>
            <w:tabs>
              <w:tab w:val="clear" w:pos="900"/>
              <w:tab w:val="clear" w:pos="9350"/>
              <w:tab w:val="right" w:pos="9025" w:leader="dot"/>
            </w:tabs>
            <w:rPr/>
          </w:pPr>
          <w:hyperlink w:anchor="__RefHeading___Toc8970_1360963153">
            <w:r>
              <w:rPr>
                <w:webHidden/>
                <w:rStyle w:val="IndexLink"/>
              </w:rPr>
              <w:t>12. Win and loss log</w:t>
              <w:tab/>
              <w:t>19</w:t>
            </w:r>
          </w:hyperlink>
        </w:p>
        <w:p>
          <w:pPr>
            <w:pStyle w:val="TOC1"/>
            <w:tabs>
              <w:tab w:val="clear" w:pos="900"/>
              <w:tab w:val="clear" w:pos="9350"/>
              <w:tab w:val="right" w:pos="9025" w:leader="dot"/>
            </w:tabs>
            <w:rPr/>
          </w:pPr>
          <w:hyperlink w:anchor="__RefHeading___Toc8972_1360963153">
            <w:r>
              <w:rPr>
                <w:webHidden/>
                <w:rStyle w:val="IndexLink"/>
                <w:i w:val="false"/>
                <w:iCs w:val="false"/>
              </w:rPr>
              <w:t>13. Document Sign-Off</w:t>
            </w:r>
            <w:r>
              <w:rPr>
                <w:rStyle w:val="IndexLink"/>
              </w:rPr>
              <w:tab/>
              <w:t>20</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8886_1360963153"/>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1.1</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Position, proof points and limits updated for AML/CFT, the IC and NPC registers, BIR forms and EOPT, integrations, dealer programmes, branding, My Work and the Report Builder</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8888_1360963153"/>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AE</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Account executive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EIS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Invoicing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Alphalist of Withholding Taxes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Quarterly Alphalist of Payees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List of Sales and Purchases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Segregation of duties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TCO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Total cost of ownership</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8890_1360963153"/>
      <w:bookmarkEnd w:id="6"/>
      <w:r>
        <w:rPr>
          <w:rFonts w:eastAsia="Segoe UI" w:cs="Segoe UI" w:ascii="Segoe UI" w:hAnsi="Segoe UI"/>
          <w:b/>
          <w:color w:val="0F4761"/>
          <w:sz w:val="32"/>
        </w:rPr>
        <w:t>3.  Purpose and handling</w:t>
      </w:r>
    </w:p>
    <w:p>
      <w:pPr>
        <w:pStyle w:val="Normal"/>
        <w:spacing w:lineRule="auto" w:line="276" w:before="0" w:after="120"/>
        <w:rPr/>
      </w:pPr>
      <w:r>
        <w:rPr>
          <w:rFonts w:eastAsia="Segoe UI" w:cs="Segoe UI" w:ascii="Segoe UI" w:hAnsi="Segoe UI"/>
          <w:color w:val="101820"/>
          <w:sz w:val="21"/>
        </w:rPr>
        <w:t xml:space="preserve">This battlecard helps the iorta TechNXT sales team win against the alternatives a Philippine non-life broker already uses or is considering instead of iNXT BrokerVerse OOTB. It is organised by </w:t>
      </w:r>
      <w:r>
        <w:rPr>
          <w:rFonts w:eastAsia="Segoe UI" w:cs="Segoe UI" w:ascii="Segoe UI" w:hAnsi="Segoe UI"/>
          <w:b/>
          <w:color w:val="101820"/>
          <w:sz w:val="21"/>
        </w:rPr>
        <w:t>category of alternative</w:t>
      </w:r>
      <w:r>
        <w:rPr>
          <w:rFonts w:eastAsia="Segoe UI" w:cs="Segoe UI" w:ascii="Segoe UI" w:hAnsi="Segoe UI"/>
          <w:color w:val="101820"/>
          <w:sz w:val="21"/>
        </w:rPr>
        <w:t>, not by competitor: what the broker gets from it, where it hurts, what to ask, what to show and what to avoid saying.</w:t>
      </w:r>
    </w:p>
    <w:p>
      <w:pPr>
        <w:pStyle w:val="Normal"/>
        <w:shd w:val="clear" w:color="auto" w:fill="EAF2FB"/>
        <w:spacing w:before="0" w:after="160"/>
        <w:ind w:left="170"/>
        <w:rPr/>
      </w:pPr>
      <w:r>
        <w:rPr>
          <w:rFonts w:eastAsia="Segoe UI" w:cs="Segoe UI" w:ascii="Segoe UI" w:hAnsi="Segoe UI"/>
          <w:color w:val="101820"/>
          <w:sz w:val="20"/>
        </w:rPr>
        <w:t>INTERNAL. Do not send, forward or show this document to a prospect, a client or a partner. Prospect-facing answers are in the FAQ and Objection Handling document and the Demo Script.</w:t>
      </w:r>
    </w:p>
    <w:p>
      <w:pPr>
        <w:pStyle w:val="Normal"/>
        <w:spacing w:lineRule="auto" w:line="276" w:before="0" w:after="120"/>
        <w:rPr/>
      </w:pPr>
      <w:r>
        <w:rPr>
          <w:rFonts w:eastAsia="Segoe UI" w:cs="Segoe UI" w:ascii="Segoe UI" w:hAnsi="Segoe UI"/>
          <w:color w:val="101820"/>
          <w:sz w:val="21"/>
        </w:rPr>
        <w:t>Rules for using it:</w:t>
      </w:r>
    </w:p>
    <w:p>
      <w:pPr>
        <w:pStyle w:val="Normal"/>
        <w:numPr>
          <w:ilvl w:val="0"/>
          <w:numId w:val="1"/>
        </w:numPr>
        <w:spacing w:before="0" w:after="60"/>
        <w:rPr/>
      </w:pPr>
      <w:r>
        <w:rPr>
          <w:rFonts w:eastAsia="Segoe UI" w:cs="Segoe UI" w:ascii="Segoe UI" w:hAnsi="Segoe UI"/>
          <w:b/>
          <w:color w:val="101820"/>
          <w:sz w:val="21"/>
        </w:rPr>
        <w:t>No claims about named competitors.</w:t>
      </w:r>
      <w:r>
        <w:rPr>
          <w:rFonts w:eastAsia="Segoe UI" w:cs="Segoe UI" w:ascii="Segoe UI" w:hAnsi="Segoe UI"/>
          <w:color w:val="101820"/>
          <w:sz w:val="21"/>
        </w:rPr>
        <w:t xml:space="preserve"> Do not describe a named product's features, prices, clients or weaknesses. If a prospect names a product, ask what they like about it and compare against the category, using facts about iNXT BrokerVerse only.</w:t>
      </w:r>
    </w:p>
    <w:p>
      <w:pPr>
        <w:pStyle w:val="Normal"/>
        <w:numPr>
          <w:ilvl w:val="0"/>
          <w:numId w:val="1"/>
        </w:numPr>
        <w:spacing w:before="0" w:after="60"/>
        <w:rPr/>
      </w:pPr>
      <w:r>
        <w:rPr>
          <w:rFonts w:eastAsia="Segoe UI" w:cs="Segoe UI" w:ascii="Segoe UI" w:hAnsi="Segoe UI"/>
          <w:color w:val="101820"/>
          <w:sz w:val="21"/>
        </w:rPr>
        <w:t xml:space="preserve">If a named competitor must be discussed internally, keep to its own published positioning and mark the statement </w:t>
      </w:r>
      <w:r>
        <w:rPr>
          <w:rFonts w:eastAsia="Segoe UI" w:cs="Segoe UI" w:ascii="Segoe UI" w:hAnsi="Segoe UI"/>
          <w:b/>
          <w:color w:val="101820"/>
          <w:sz w:val="21"/>
        </w:rPr>
        <w:t>[to verify]</w:t>
      </w:r>
      <w:r>
        <w:rPr>
          <w:rFonts w:eastAsia="Segoe UI" w:cs="Segoe UI" w:ascii="Segoe UI" w:hAnsi="Segoe UI"/>
          <w:color w:val="101820"/>
          <w:sz w:val="21"/>
        </w:rPr>
        <w:t xml:space="preserve"> until checked against the competitor's current public material. None is named in this version.</w:t>
      </w:r>
    </w:p>
    <w:p>
      <w:pPr>
        <w:pStyle w:val="Normal"/>
        <w:numPr>
          <w:ilvl w:val="0"/>
          <w:numId w:val="1"/>
        </w:numPr>
        <w:spacing w:before="0" w:after="60"/>
        <w:rPr/>
      </w:pPr>
      <w:r>
        <w:rPr>
          <w:rFonts w:eastAsia="Segoe UI" w:cs="Segoe UI" w:ascii="Segoe UI" w:hAnsi="Segoe UI"/>
          <w:color w:val="101820"/>
          <w:sz w:val="21"/>
        </w:rPr>
        <w:t>Every proof point must be something the prospect can see: a screen in the demo, a document in the package, or a figure from the Rate Card or the pricing workbook.</w:t>
      </w:r>
    </w:p>
    <w:p>
      <w:pPr>
        <w:pStyle w:val="Normal"/>
        <w:numPr>
          <w:ilvl w:val="0"/>
          <w:numId w:val="1"/>
        </w:numPr>
        <w:spacing w:before="0" w:after="60"/>
        <w:rPr/>
      </w:pPr>
      <w:r>
        <w:rPr>
          <w:rFonts w:eastAsia="Segoe UI" w:cs="Segoe UI" w:ascii="Segoe UI" w:hAnsi="Segoe UI"/>
          <w:color w:val="101820"/>
          <w:sz w:val="21"/>
        </w:rPr>
        <w:t>Say plainly what the OOTB version does not do (FAQ, chapter on known limits). Losing a deal on a disclosed limit costs less than losing a reference after go-live.</w:t>
      </w:r>
      <w:r>
        <w:br w:type="page"/>
      </w:r>
    </w:p>
    <w:p>
      <w:pPr>
        <w:pStyle w:val="Heading1"/>
        <w:rPr/>
      </w:pPr>
      <w:bookmarkStart w:id="7" w:name="__RefHeading___Toc8892_1360963153"/>
      <w:bookmarkEnd w:id="7"/>
      <w:r>
        <w:rPr>
          <w:rFonts w:eastAsia="Segoe UI" w:cs="Segoe UI" w:ascii="Segoe UI" w:hAnsi="Segoe UI"/>
          <w:b/>
          <w:color w:val="0F4761"/>
          <w:sz w:val="32"/>
        </w:rPr>
        <w:t>4.  Where we win and where we do not</w:t>
      </w:r>
    </w:p>
    <w:p>
      <w:pPr>
        <w:pStyle w:val="Heading2"/>
        <w:rPr/>
      </w:pPr>
      <w:bookmarkStart w:id="8" w:name="__RefHeading___Toc8894_1360963153"/>
      <w:bookmarkEnd w:id="8"/>
      <w:r>
        <w:rPr>
          <w:rFonts w:eastAsia="Segoe UI" w:cs="Segoe UI"/>
          <w:b/>
          <w:color w:val="0F4761"/>
          <w:sz w:val="26"/>
        </w:rPr>
        <w:t>4.1  Our position in one paragraph</w:t>
      </w:r>
    </w:p>
    <w:p>
      <w:pPr>
        <w:pStyle w:val="Normal"/>
        <w:spacing w:lineRule="auto" w:line="276" w:before="0" w:after="120"/>
        <w:rPr/>
      </w:pPr>
      <w:r>
        <w:rPr>
          <w:rFonts w:eastAsia="Segoe UI" w:cs="Segoe UI" w:ascii="Segoe UI" w:hAnsi="Segoe UI"/>
          <w:color w:val="101820"/>
          <w:sz w:val="21"/>
        </w:rPr>
        <w:t>iNXT BrokerVerse OOTB keeps the broker's policy, money and books in one record, built for Philippine non-life broking: premium taxes by LGU, CTPL tariff and authentication, client onboarding with risk-based AML/CFT due diligence, screening and AMLC report files, co-insurance, remittance to insurers by share, direct bill, commission with withholding and the licence check on agents, bank and insurer reconciliation, bank payment files, month-end close, the BIR forms and DAT files (2307, 0619-E, 1601-EQ, 1604-E, 2551Q, SAWT, QAP, SLSP), EOPT sales invoices and the CAS books pack, the IC registers and working papers, and the Data Privacy Act functions with a breach register. Connectors to SMS gateways, the CTPL provider, insurers and banks run through one monitored outbox, and each broker's brand prints on every screen, document and e-mail. It is delivered as a configured product, not a project, with a published price list, an 8-week plan for a small broker and hosting in Singapore or the Philippines.</w:t>
      </w:r>
    </w:p>
    <w:p>
      <w:pPr>
        <w:pStyle w:val="Heading2"/>
        <w:rPr/>
      </w:pPr>
      <w:bookmarkStart w:id="9" w:name="__RefHeading___Toc8896_1360963153"/>
      <w:bookmarkEnd w:id="9"/>
      <w:r>
        <w:rPr>
          <w:rFonts w:eastAsia="Segoe UI" w:cs="Segoe UI"/>
          <w:b/>
          <w:color w:val="0F4761"/>
          <w:sz w:val="26"/>
        </w:rPr>
        <w:t>4.2  Strong fit</w:t>
      </w:r>
    </w:p>
    <w:p>
      <w:pPr>
        <w:pStyle w:val="Normal"/>
        <w:numPr>
          <w:ilvl w:val="0"/>
          <w:numId w:val="1"/>
        </w:numPr>
        <w:spacing w:before="0" w:after="60"/>
        <w:rPr/>
      </w:pPr>
      <w:r>
        <w:rPr>
          <w:rFonts w:eastAsia="Segoe UI" w:cs="Segoe UI" w:ascii="Segoe UI" w:hAnsi="Segoe UI"/>
          <w:color w:val="101820"/>
          <w:sz w:val="21"/>
        </w:rPr>
        <w:t>Brokers with 10 to 300 users who run placement, collections, remittance and accounting themselves.</w:t>
      </w:r>
    </w:p>
    <w:p>
      <w:pPr>
        <w:pStyle w:val="Normal"/>
        <w:numPr>
          <w:ilvl w:val="0"/>
          <w:numId w:val="1"/>
        </w:numPr>
        <w:spacing w:before="0" w:after="60"/>
        <w:rPr/>
      </w:pPr>
      <w:r>
        <w:rPr>
          <w:rFonts w:eastAsia="Segoe UI" w:cs="Segoe UI" w:ascii="Segoe UI" w:hAnsi="Segoe UI"/>
          <w:color w:val="101820"/>
          <w:sz w:val="21"/>
        </w:rPr>
        <w:t>Brokers with several insurers, co-insurance or direct bill business, where the remittance and reconciliation work is heavy.</w:t>
      </w:r>
    </w:p>
    <w:p>
      <w:pPr>
        <w:pStyle w:val="Normal"/>
        <w:numPr>
          <w:ilvl w:val="0"/>
          <w:numId w:val="1"/>
        </w:numPr>
        <w:spacing w:before="0" w:after="60"/>
        <w:rPr/>
      </w:pPr>
      <w:r>
        <w:rPr>
          <w:rFonts w:eastAsia="Segoe UI" w:cs="Segoe UI" w:ascii="Segoe UI" w:hAnsi="Segoe UI"/>
          <w:color w:val="101820"/>
          <w:sz w:val="21"/>
        </w:rPr>
        <w:t>Brokers preparing for an IC examination, a BIR audit or a Data Privacy Act review who need records, controls and an audit trail.</w:t>
      </w:r>
    </w:p>
    <w:p>
      <w:pPr>
        <w:pStyle w:val="Normal"/>
        <w:numPr>
          <w:ilvl w:val="0"/>
          <w:numId w:val="1"/>
        </w:numPr>
        <w:spacing w:before="0" w:after="60"/>
        <w:rPr/>
      </w:pPr>
      <w:r>
        <w:rPr>
          <w:rFonts w:eastAsia="Segoe UI" w:cs="Segoe UI" w:ascii="Segoe UI" w:hAnsi="Segoe UI"/>
          <w:color w:val="101820"/>
          <w:sz w:val="21"/>
        </w:rPr>
        <w:t>Brokers whose key staff hold the process in spreadsheets and who worry about a person leaving.</w:t>
      </w:r>
    </w:p>
    <w:p>
      <w:pPr>
        <w:pStyle w:val="Normal"/>
        <w:numPr>
          <w:ilvl w:val="0"/>
          <w:numId w:val="1"/>
        </w:numPr>
        <w:spacing w:before="0" w:after="60"/>
        <w:rPr/>
      </w:pPr>
      <w:r>
        <w:rPr>
          <w:rFonts w:eastAsia="Segoe UI" w:cs="Segoe UI" w:ascii="Segoe UI" w:hAnsi="Segoe UI"/>
          <w:color w:val="101820"/>
          <w:sz w:val="21"/>
        </w:rPr>
        <w:t>Brokers who must stand up an AML/CFT programme, IC complaints handling or EOPT invoicing and have no tool for it.</w:t>
      </w:r>
    </w:p>
    <w:p>
      <w:pPr>
        <w:pStyle w:val="Normal"/>
        <w:numPr>
          <w:ilvl w:val="0"/>
          <w:numId w:val="1"/>
        </w:numPr>
        <w:spacing w:before="0" w:after="60"/>
        <w:rPr/>
      </w:pPr>
      <w:r>
        <w:rPr>
          <w:rFonts w:eastAsia="Segoe UI" w:cs="Segoe UI" w:ascii="Segoe UI" w:hAnsi="Segoe UI"/>
          <w:color w:val="101820"/>
          <w:sz w:val="21"/>
        </w:rPr>
        <w:t>Captive agencies and brokers of motor dealers and banks: dealer programmes, fleets and bank endorsement letters.</w:t>
      </w:r>
    </w:p>
    <w:p>
      <w:pPr>
        <w:pStyle w:val="Heading2"/>
        <w:rPr/>
      </w:pPr>
      <w:bookmarkStart w:id="10" w:name="__RefHeading___Toc8898_1360963153"/>
      <w:bookmarkEnd w:id="10"/>
      <w:r>
        <w:rPr>
          <w:rFonts w:eastAsia="Segoe UI" w:cs="Segoe UI"/>
          <w:b/>
          <w:color w:val="0F4761"/>
          <w:sz w:val="26"/>
        </w:rPr>
        <w:t>4.3  Weak fit (qualify out or set expectations early)</w:t>
      </w:r>
    </w:p>
    <w:p>
      <w:pPr>
        <w:pStyle w:val="Normal"/>
        <w:numPr>
          <w:ilvl w:val="0"/>
          <w:numId w:val="1"/>
        </w:numPr>
        <w:spacing w:before="0" w:after="60"/>
        <w:rPr/>
      </w:pPr>
      <w:r>
        <w:rPr>
          <w:rFonts w:eastAsia="Segoe UI" w:cs="Segoe UI" w:ascii="Segoe UI" w:hAnsi="Segoe UI"/>
          <w:color w:val="101820"/>
          <w:sz w:val="21"/>
        </w:rPr>
        <w:t>A broker that wants every screen to match its current process exactly: OOTB means configuration, and changes are priced change requests.</w:t>
      </w:r>
    </w:p>
    <w:p>
      <w:pPr>
        <w:pStyle w:val="Normal"/>
        <w:numPr>
          <w:ilvl w:val="0"/>
          <w:numId w:val="1"/>
        </w:numPr>
        <w:spacing w:before="0" w:after="60"/>
        <w:rPr/>
      </w:pPr>
      <w:r>
        <w:rPr>
          <w:rFonts w:eastAsia="Segoe UI" w:cs="Segoe UI" w:ascii="Segoe UI" w:hAnsi="Segoe UI"/>
          <w:color w:val="101820"/>
          <w:sz w:val="21"/>
        </w:rPr>
        <w:t>A broker whose main need is a live API to many insurers on day one: the insurer connector is in the product, but each insurer goes live separately with its own endpoint and acceptance during onboarding.</w:t>
      </w:r>
    </w:p>
    <w:p>
      <w:pPr>
        <w:pStyle w:val="Normal"/>
        <w:numPr>
          <w:ilvl w:val="0"/>
          <w:numId w:val="1"/>
        </w:numPr>
        <w:spacing w:before="0" w:after="60"/>
        <w:rPr/>
      </w:pPr>
      <w:r>
        <w:rPr>
          <w:rFonts w:eastAsia="Segoe UI" w:cs="Segoe UI" w:ascii="Segoe UI" w:hAnsi="Segoe UI"/>
          <w:color w:val="101820"/>
          <w:sz w:val="21"/>
        </w:rPr>
        <w:t>Life, pre-need or HMO business: the product is built for non-life broking.</w:t>
      </w:r>
    </w:p>
    <w:p>
      <w:pPr>
        <w:pStyle w:val="Normal"/>
        <w:numPr>
          <w:ilvl w:val="0"/>
          <w:numId w:val="1"/>
        </w:numPr>
        <w:spacing w:before="0" w:after="60"/>
        <w:rPr/>
      </w:pPr>
      <w:r>
        <w:rPr>
          <w:rFonts w:eastAsia="Segoe UI" w:cs="Segoe UI" w:ascii="Segoe UI" w:hAnsi="Segoe UI"/>
          <w:color w:val="101820"/>
          <w:sz w:val="21"/>
        </w:rPr>
        <w:t>A buyer who needs a native mobile application or Filipino screens now.</w:t>
      </w:r>
    </w:p>
    <w:p>
      <w:pPr>
        <w:pStyle w:val="Normal"/>
        <w:numPr>
          <w:ilvl w:val="0"/>
          <w:numId w:val="1"/>
        </w:numPr>
        <w:spacing w:before="0" w:after="60"/>
        <w:rPr/>
      </w:pPr>
      <w:r>
        <w:rPr>
          <w:rFonts w:eastAsia="Segoe UI" w:cs="Segoe UI" w:ascii="Segoe UI" w:hAnsi="Segoe UI"/>
          <w:color w:val="101820"/>
          <w:sz w:val="21"/>
        </w:rPr>
        <w:t>A broker that only needs a contact list and quote tracking: a CRM or spreadsheet may be enough for them.</w:t>
      </w:r>
      <w:r>
        <w:br w:type="page"/>
      </w:r>
    </w:p>
    <w:p>
      <w:pPr>
        <w:pStyle w:val="Heading1"/>
        <w:rPr/>
      </w:pPr>
      <w:bookmarkStart w:id="11" w:name="__RefHeading___Toc8900_1360963153"/>
      <w:bookmarkEnd w:id="11"/>
      <w:r>
        <w:rPr>
          <w:rFonts w:eastAsia="Segoe UI" w:cs="Segoe UI" w:ascii="Segoe UI" w:hAnsi="Segoe UI"/>
          <w:b/>
          <w:color w:val="0F4761"/>
          <w:sz w:val="32"/>
        </w:rPr>
        <w:t>5.  Alternative 1: spreadsheets and an accounting package</w:t>
      </w:r>
    </w:p>
    <w:p>
      <w:pPr>
        <w:pStyle w:val="Heading2"/>
        <w:rPr/>
      </w:pPr>
      <w:bookmarkStart w:id="12" w:name="__RefHeading___Toc8902_1360963153"/>
      <w:bookmarkEnd w:id="12"/>
      <w:r>
        <w:rPr>
          <w:rFonts w:eastAsia="Segoe UI" w:cs="Segoe UI"/>
          <w:b/>
          <w:color w:val="0F4761"/>
          <w:sz w:val="26"/>
        </w:rPr>
        <w:t>5.1  What the broker has</w:t>
      </w:r>
    </w:p>
    <w:p>
      <w:pPr>
        <w:pStyle w:val="Normal"/>
        <w:spacing w:lineRule="auto" w:line="276" w:before="0" w:after="120"/>
        <w:rPr/>
      </w:pPr>
      <w:r>
        <w:rPr>
          <w:rFonts w:eastAsia="Segoe UI" w:cs="Segoe UI" w:ascii="Segoe UI" w:hAnsi="Segoe UI"/>
          <w:color w:val="101820"/>
          <w:sz w:val="21"/>
        </w:rPr>
        <w:t>Excel workbooks for the policy register, renewals, collections and remittance; an off-the-shelf accounting package for the books; e-mail and paper for approvals. Often run well by long-serving staff.</w:t>
      </w:r>
    </w:p>
    <w:p>
      <w:pPr>
        <w:pStyle w:val="Heading2"/>
        <w:rPr/>
      </w:pPr>
      <w:bookmarkStart w:id="13" w:name="__RefHeading___Toc8904_1360963153"/>
      <w:bookmarkEnd w:id="13"/>
      <w:r>
        <w:rPr>
          <w:rFonts w:eastAsia="Segoe UI" w:cs="Segoe UI"/>
          <w:b/>
          <w:color w:val="0F4761"/>
          <w:sz w:val="26"/>
        </w:rPr>
        <w:t>5.2  Why they stay</w:t>
      </w:r>
    </w:p>
    <w:p>
      <w:pPr>
        <w:pStyle w:val="Normal"/>
        <w:numPr>
          <w:ilvl w:val="0"/>
          <w:numId w:val="1"/>
        </w:numPr>
        <w:spacing w:before="0" w:after="60"/>
        <w:rPr/>
      </w:pPr>
      <w:r>
        <w:rPr>
          <w:rFonts w:eastAsia="Segoe UI" w:cs="Segoe UI" w:ascii="Segoe UI" w:hAnsi="Segoe UI"/>
          <w:color w:val="101820"/>
          <w:sz w:val="21"/>
        </w:rPr>
        <w:t>No licence cost visible; the team knows the files.</w:t>
      </w:r>
    </w:p>
    <w:p>
      <w:pPr>
        <w:pStyle w:val="Normal"/>
        <w:numPr>
          <w:ilvl w:val="0"/>
          <w:numId w:val="1"/>
        </w:numPr>
        <w:spacing w:before="0" w:after="60"/>
        <w:rPr/>
      </w:pPr>
      <w:r>
        <w:rPr>
          <w:rFonts w:eastAsia="Segoe UI" w:cs="Segoe UI" w:ascii="Segoe UI" w:hAnsi="Segoe UI"/>
          <w:color w:val="101820"/>
          <w:sz w:val="21"/>
        </w:rPr>
        <w:t>The accounting package is trusted by the external auditor.</w:t>
      </w:r>
    </w:p>
    <w:p>
      <w:pPr>
        <w:pStyle w:val="Normal"/>
        <w:numPr>
          <w:ilvl w:val="0"/>
          <w:numId w:val="1"/>
        </w:numPr>
        <w:spacing w:before="0" w:after="60"/>
        <w:rPr/>
      </w:pPr>
      <w:r>
        <w:rPr>
          <w:rFonts w:eastAsia="Segoe UI" w:cs="Segoe UI" w:ascii="Segoe UI" w:hAnsi="Segoe UI"/>
          <w:color w:val="101820"/>
          <w:sz w:val="21"/>
        </w:rPr>
        <w:t>Fear of a long project and of disruption at month-end.</w:t>
      </w:r>
    </w:p>
    <w:p>
      <w:pPr>
        <w:pStyle w:val="Heading2"/>
        <w:rPr/>
      </w:pPr>
      <w:bookmarkStart w:id="14" w:name="__RefHeading___Toc8906_1360963153"/>
      <w:bookmarkEnd w:id="14"/>
      <w:r>
        <w:rPr>
          <w:rFonts w:eastAsia="Segoe UI" w:cs="Segoe UI"/>
          <w:b/>
          <w:color w:val="0F4761"/>
          <w:sz w:val="26"/>
        </w:rPr>
        <w:t>5.3  Where it hurts (to uncover, not to assert)</w:t>
      </w:r>
    </w:p>
    <w:p>
      <w:pPr>
        <w:pStyle w:val="Normal"/>
        <w:numPr>
          <w:ilvl w:val="0"/>
          <w:numId w:val="1"/>
        </w:numPr>
        <w:spacing w:before="0" w:after="60"/>
        <w:rPr/>
      </w:pPr>
      <w:r>
        <w:rPr>
          <w:rFonts w:eastAsia="Segoe UI" w:cs="Segoe UI" w:ascii="Segoe UI" w:hAnsi="Segoe UI"/>
          <w:color w:val="101820"/>
          <w:sz w:val="21"/>
        </w:rPr>
        <w:t>Premium collected but not yet remitted, per insurer, is worked out by hand.</w:t>
      </w:r>
    </w:p>
    <w:p>
      <w:pPr>
        <w:pStyle w:val="Normal"/>
        <w:numPr>
          <w:ilvl w:val="0"/>
          <w:numId w:val="1"/>
        </w:numPr>
        <w:spacing w:before="0" w:after="60"/>
        <w:rPr/>
      </w:pPr>
      <w:r>
        <w:rPr>
          <w:rFonts w:eastAsia="Segoe UI" w:cs="Segoe UI" w:ascii="Segoe UI" w:hAnsi="Segoe UI"/>
          <w:color w:val="101820"/>
          <w:sz w:val="21"/>
        </w:rPr>
        <w:t>Commission, EWT and Form 2307 are prepared outside the books and reconciled late.</w:t>
      </w:r>
    </w:p>
    <w:p>
      <w:pPr>
        <w:pStyle w:val="Normal"/>
        <w:numPr>
          <w:ilvl w:val="0"/>
          <w:numId w:val="1"/>
        </w:numPr>
        <w:spacing w:before="0" w:after="60"/>
        <w:rPr/>
      </w:pPr>
      <w:r>
        <w:rPr>
          <w:rFonts w:eastAsia="Segoe UI" w:cs="Segoe UI" w:ascii="Segoe UI" w:hAnsi="Segoe UI"/>
          <w:color w:val="101820"/>
          <w:sz w:val="21"/>
        </w:rPr>
        <w:t>Renewals depend on one person's calendar.</w:t>
      </w:r>
    </w:p>
    <w:p>
      <w:pPr>
        <w:pStyle w:val="Normal"/>
        <w:numPr>
          <w:ilvl w:val="0"/>
          <w:numId w:val="1"/>
        </w:numPr>
        <w:spacing w:before="0" w:after="60"/>
        <w:rPr/>
      </w:pPr>
      <w:r>
        <w:rPr>
          <w:rFonts w:eastAsia="Segoe UI" w:cs="Segoe UI" w:ascii="Segoe UI" w:hAnsi="Segoe UI"/>
          <w:color w:val="101820"/>
          <w:sz w:val="21"/>
        </w:rPr>
        <w:t>No audit trail of who changed a premium or a rate; no maker-checker.</w:t>
      </w:r>
    </w:p>
    <w:p>
      <w:pPr>
        <w:pStyle w:val="Normal"/>
        <w:numPr>
          <w:ilvl w:val="0"/>
          <w:numId w:val="1"/>
        </w:numPr>
        <w:spacing w:before="0" w:after="60"/>
        <w:rPr/>
      </w:pPr>
      <w:r>
        <w:rPr>
          <w:rFonts w:eastAsia="Segoe UI" w:cs="Segoe UI" w:ascii="Segoe UI" w:hAnsi="Segoe UI"/>
          <w:color w:val="101820"/>
          <w:sz w:val="21"/>
        </w:rPr>
        <w:t>Personal data in files on laptops and e-mail, with no record of consent or of data subject requests.</w:t>
      </w:r>
    </w:p>
    <w:p>
      <w:pPr>
        <w:pStyle w:val="Heading2"/>
        <w:rPr/>
      </w:pPr>
      <w:bookmarkStart w:id="15" w:name="__RefHeading___Toc8908_1360963153"/>
      <w:bookmarkEnd w:id="15"/>
      <w:r>
        <w:rPr>
          <w:rFonts w:eastAsia="Segoe UI" w:cs="Segoe UI"/>
          <w:b/>
          <w:color w:val="0F4761"/>
          <w:sz w:val="26"/>
        </w:rPr>
        <w:t>5.4  Discovery questions</w:t>
      </w:r>
    </w:p>
    <w:p>
      <w:pPr>
        <w:pStyle w:val="Normal"/>
        <w:numPr>
          <w:ilvl w:val="0"/>
          <w:numId w:val="1"/>
        </w:numPr>
        <w:spacing w:before="0" w:after="60"/>
        <w:rPr/>
      </w:pPr>
      <w:r>
        <w:rPr>
          <w:rFonts w:eastAsia="Segoe UI" w:cs="Segoe UI" w:ascii="Segoe UI" w:hAnsi="Segoe UI"/>
          <w:color w:val="101820"/>
          <w:sz w:val="21"/>
        </w:rPr>
        <w:t>"When a client pays, how many places is the payment typed before it reaches the insurer's remittance?"</w:t>
      </w:r>
    </w:p>
    <w:p>
      <w:pPr>
        <w:pStyle w:val="Normal"/>
        <w:numPr>
          <w:ilvl w:val="0"/>
          <w:numId w:val="1"/>
        </w:numPr>
        <w:spacing w:before="0" w:after="60"/>
        <w:rPr/>
      </w:pPr>
      <w:r>
        <w:rPr>
          <w:rFonts w:eastAsia="Segoe UI" w:cs="Segoe UI" w:ascii="Segoe UI" w:hAnsi="Segoe UI"/>
          <w:color w:val="101820"/>
          <w:sz w:val="21"/>
        </w:rPr>
        <w:t>"How do you know today which premium is collected but not yet remitted, per insurer?"</w:t>
      </w:r>
    </w:p>
    <w:p>
      <w:pPr>
        <w:pStyle w:val="Normal"/>
        <w:numPr>
          <w:ilvl w:val="0"/>
          <w:numId w:val="1"/>
        </w:numPr>
        <w:spacing w:before="0" w:after="60"/>
        <w:rPr/>
      </w:pPr>
      <w:r>
        <w:rPr>
          <w:rFonts w:eastAsia="Segoe UI" w:cs="Segoe UI" w:ascii="Segoe UI" w:hAnsi="Segoe UI"/>
          <w:color w:val="101820"/>
          <w:sz w:val="21"/>
        </w:rPr>
        <w:t>"Who prepares Form 2307 and the QAP, and how long does it take each quarter?"</w:t>
      </w:r>
    </w:p>
    <w:p>
      <w:pPr>
        <w:pStyle w:val="Normal"/>
        <w:numPr>
          <w:ilvl w:val="0"/>
          <w:numId w:val="1"/>
        </w:numPr>
        <w:spacing w:before="0" w:after="60"/>
        <w:rPr/>
      </w:pPr>
      <w:r>
        <w:rPr>
          <w:rFonts w:eastAsia="Segoe UI" w:cs="Segoe UI" w:ascii="Segoe UI" w:hAnsi="Segoe UI"/>
          <w:color w:val="101820"/>
          <w:sz w:val="21"/>
        </w:rPr>
        <w:t>"If the person who keeps the renewal file is on leave, who sends the notices?"</w:t>
      </w:r>
    </w:p>
    <w:p>
      <w:pPr>
        <w:pStyle w:val="Normal"/>
        <w:numPr>
          <w:ilvl w:val="0"/>
          <w:numId w:val="1"/>
        </w:numPr>
        <w:spacing w:before="0" w:after="60"/>
        <w:rPr/>
      </w:pPr>
      <w:r>
        <w:rPr>
          <w:rFonts w:eastAsia="Segoe UI" w:cs="Segoe UI" w:ascii="Segoe UI" w:hAnsi="Segoe UI"/>
          <w:color w:val="101820"/>
          <w:sz w:val="21"/>
        </w:rPr>
        <w:t>"If a client asked for all personal data you hold on them, how would you find it?"</w:t>
      </w:r>
    </w:p>
    <w:p>
      <w:pPr>
        <w:pStyle w:val="Heading2"/>
        <w:rPr/>
      </w:pPr>
      <w:bookmarkStart w:id="16" w:name="__RefHeading___Toc8910_1360963153"/>
      <w:bookmarkEnd w:id="16"/>
      <w:r>
        <w:rPr>
          <w:rFonts w:eastAsia="Segoe UI" w:cs="Segoe UI"/>
          <w:b/>
          <w:color w:val="0F4761"/>
          <w:sz w:val="26"/>
        </w:rPr>
        <w:t>5.5  Proof points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62"/>
        <w:gridCol w:w="3279"/>
        <w:gridCol w:w="3073"/>
      </w:tblGrid>
      <w:tr>
        <w:trPr>
          <w:tblHeader w:val="true"/>
        </w:trPr>
        <w:tc>
          <w:tcPr>
            <w:tcW w:w="26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Point</w:t>
            </w:r>
          </w:p>
        </w:tc>
        <w:tc>
          <w:tcPr>
            <w:tcW w:w="32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Show</w:t>
            </w:r>
          </w:p>
        </w:tc>
        <w:tc>
          <w:tcPr>
            <w:tcW w:w="30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Demo Script reference</w:t>
            </w:r>
          </w:p>
        </w:tc>
      </w:tr>
      <w:tr>
        <w:trPr/>
        <w:tc>
          <w:tcPr>
            <w:tcW w:w="2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record from quotation to remittance</w:t>
            </w:r>
          </w:p>
        </w:tc>
        <w:tc>
          <w:tcPr>
            <w:tcW w:w="3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Follow one policy from the Placement Slip to the official receipt and the remittance</w:t>
            </w:r>
          </w:p>
        </w:tc>
        <w:tc>
          <w:tcPr>
            <w:tcW w:w="3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0:15 Placement; 0:33 Money in; 0:39 Money out</w:t>
            </w:r>
          </w:p>
        </w:tc>
      </w:tr>
      <w:tr>
        <w:trPr/>
        <w:tc>
          <w:tcPr>
            <w:tcW w:w="2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books follow the business</w:t>
            </w:r>
          </w:p>
        </w:tc>
        <w:tc>
          <w:tcPr>
            <w:tcW w:w="3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month-end close approval, posting rules readable and approved by a second user</w:t>
            </w:r>
          </w:p>
        </w:tc>
        <w:tc>
          <w:tcPr>
            <w:tcW w:w="3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0:45 Close and tax</w:t>
            </w:r>
          </w:p>
        </w:tc>
      </w:tr>
      <w:tr>
        <w:trPr/>
        <w:tc>
          <w:tcPr>
            <w:tcW w:w="2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working papers from the same ledger</w:t>
            </w:r>
          </w:p>
        </w:tc>
        <w:tc>
          <w:tcPr>
            <w:tcW w:w="3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 2307, VAT Summary, SAWT, QAP</w:t>
            </w:r>
          </w:p>
        </w:tc>
        <w:tc>
          <w:tcPr>
            <w:tcW w:w="3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0:45 Close and tax</w:t>
            </w:r>
          </w:p>
        </w:tc>
      </w:tr>
      <w:tr>
        <w:trPr/>
        <w:tc>
          <w:tcPr>
            <w:tcW w:w="2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 do not depend on one person</w:t>
            </w:r>
          </w:p>
        </w:tc>
        <w:tc>
          <w:tcPr>
            <w:tcW w:w="3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Queue with notices at 60, 30 and 15 days</w:t>
            </w:r>
          </w:p>
        </w:tc>
        <w:tc>
          <w:tcPr>
            <w:tcW w:w="3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0:29 Renewals</w:t>
            </w:r>
          </w:p>
        </w:tc>
      </w:tr>
      <w:tr>
        <w:trPr/>
        <w:tc>
          <w:tcPr>
            <w:tcW w:w="2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3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Segregation of Duties, Audit Trail</w:t>
            </w:r>
          </w:p>
        </w:tc>
        <w:tc>
          <w:tcPr>
            <w:tcW w:w="3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0:51 Controls and data privacy</w:t>
            </w:r>
          </w:p>
        </w:tc>
      </w:tr>
      <w:tr>
        <w:trPr/>
        <w:tc>
          <w:tcPr>
            <w:tcW w:w="2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without a second tool</w:t>
            </w:r>
          </w:p>
        </w:tc>
        <w:tc>
          <w:tcPr>
            <w:tcW w:w="3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 dashboard, client risk rating and EDD, transaction alerts; licence register with the commission hold; complaints register</w:t>
            </w:r>
          </w:p>
        </w:tc>
        <w:tc>
          <w:tcPr>
            <w:tcW w:w="3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segments: AML/CFT; IC compliance</w:t>
            </w:r>
          </w:p>
        </w:tc>
      </w:tr>
      <w:tr>
        <w:trPr/>
        <w:tc>
          <w:tcPr>
            <w:tcW w:w="2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Everyone knows what to do today</w:t>
            </w:r>
          </w:p>
        </w:tc>
        <w:tc>
          <w:tcPr>
            <w:tcW w:w="3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My Work: items by category, team view, tasks and calendar</w:t>
            </w:r>
          </w:p>
        </w:tc>
        <w:tc>
          <w:tcPr>
            <w:tcW w:w="30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segment: My Work</w:t>
            </w:r>
          </w:p>
        </w:tc>
      </w:tr>
    </w:tbl>
    <w:p>
      <w:pPr>
        <w:pStyle w:val="Normal"/>
        <w:spacing w:before="0" w:after="80"/>
        <w:rPr/>
      </w:pPr>
      <w:r>
        <w:rPr/>
      </w:r>
    </w:p>
    <w:p>
      <w:pPr>
        <w:pStyle w:val="Heading2"/>
        <w:rPr/>
      </w:pPr>
      <w:bookmarkStart w:id="17" w:name="__RefHeading___Toc8912_1360963153"/>
      <w:bookmarkEnd w:id="17"/>
      <w:r>
        <w:rPr>
          <w:rFonts w:eastAsia="Segoe UI" w:cs="Segoe UI"/>
          <w:b/>
          <w:color w:val="0F4761"/>
          <w:sz w:val="26"/>
        </w:rPr>
        <w:t>5.6  Landmines to set</w:t>
      </w:r>
    </w:p>
    <w:p>
      <w:pPr>
        <w:pStyle w:val="Normal"/>
        <w:numPr>
          <w:ilvl w:val="0"/>
          <w:numId w:val="1"/>
        </w:numPr>
        <w:spacing w:before="0" w:after="60"/>
        <w:rPr/>
      </w:pPr>
      <w:r>
        <w:rPr>
          <w:rFonts w:eastAsia="Segoe UI" w:cs="Segoe UI" w:ascii="Segoe UI" w:hAnsi="Segoe UI"/>
          <w:color w:val="101820"/>
          <w:sz w:val="21"/>
        </w:rPr>
        <w:t>"Ask any system you look at to show the remittance to one insurer built from what was actually collected, split by co-insurance share."</w:t>
      </w:r>
    </w:p>
    <w:p>
      <w:pPr>
        <w:pStyle w:val="Normal"/>
        <w:numPr>
          <w:ilvl w:val="0"/>
          <w:numId w:val="1"/>
        </w:numPr>
        <w:spacing w:before="0" w:after="60"/>
        <w:rPr/>
      </w:pPr>
      <w:r>
        <w:rPr>
          <w:rFonts w:eastAsia="Segoe UI" w:cs="Segoe UI" w:ascii="Segoe UI" w:hAnsi="Segoe UI"/>
          <w:color w:val="101820"/>
          <w:sz w:val="21"/>
        </w:rPr>
        <w:t>"Ask to see Form 2307 and the SAWT come out of the same ledger as the commission."</w:t>
      </w:r>
    </w:p>
    <w:p>
      <w:pPr>
        <w:pStyle w:val="Normal"/>
        <w:numPr>
          <w:ilvl w:val="0"/>
          <w:numId w:val="1"/>
        </w:numPr>
        <w:spacing w:before="0" w:after="60"/>
        <w:rPr/>
      </w:pPr>
      <w:r>
        <w:rPr>
          <w:rFonts w:eastAsia="Segoe UI" w:cs="Segoe UI" w:ascii="Segoe UI" w:hAnsi="Segoe UI"/>
          <w:color w:val="101820"/>
          <w:sz w:val="21"/>
        </w:rPr>
        <w:t>"Ask who approves a change to a commission rate, and where that approval is recorded."</w:t>
      </w:r>
    </w:p>
    <w:p>
      <w:pPr>
        <w:pStyle w:val="Heading2"/>
        <w:rPr/>
      </w:pPr>
      <w:bookmarkStart w:id="18" w:name="__RefHeading___Toc8914_1360963153"/>
      <w:bookmarkEnd w:id="18"/>
      <w:r>
        <w:rPr>
          <w:rFonts w:eastAsia="Segoe UI" w:cs="Segoe UI"/>
          <w:b/>
          <w:color w:val="0F4761"/>
          <w:sz w:val="26"/>
        </w:rPr>
        <w:t>5.7  Watch out</w:t>
      </w:r>
    </w:p>
    <w:p>
      <w:pPr>
        <w:pStyle w:val="Normal"/>
        <w:numPr>
          <w:ilvl w:val="0"/>
          <w:numId w:val="1"/>
        </w:numPr>
        <w:spacing w:before="0" w:after="60"/>
        <w:rPr/>
      </w:pPr>
      <w:r>
        <w:rPr>
          <w:rFonts w:eastAsia="Segoe UI" w:cs="Segoe UI" w:ascii="Segoe UI" w:hAnsi="Segoe UI"/>
          <w:color w:val="101820"/>
          <w:sz w:val="21"/>
        </w:rPr>
        <w:t>Do not criticise the finance team's accounting package. If they keep it, BrokerVerse can be the broking ledger and send the trial balance or journal register to it as Excel or CSV.</w:t>
      </w:r>
    </w:p>
    <w:p>
      <w:pPr>
        <w:pStyle w:val="Normal"/>
        <w:numPr>
          <w:ilvl w:val="0"/>
          <w:numId w:val="1"/>
        </w:numPr>
        <w:spacing w:before="0" w:after="60"/>
        <w:rPr/>
      </w:pPr>
      <w:r>
        <w:rPr>
          <w:rFonts w:eastAsia="Segoe UI" w:cs="Segoe UI" w:ascii="Segoe UI" w:hAnsi="Segoe UI"/>
          <w:color w:val="101820"/>
          <w:sz w:val="21"/>
        </w:rPr>
        <w:t>Do not promise a direct interface to their package; it is a change request.</w:t>
      </w:r>
      <w:r>
        <w:br w:type="page"/>
      </w:r>
    </w:p>
    <w:p>
      <w:pPr>
        <w:pStyle w:val="Heading1"/>
        <w:rPr/>
      </w:pPr>
      <w:bookmarkStart w:id="19" w:name="__RefHeading___Toc8916_1360963153"/>
      <w:bookmarkEnd w:id="19"/>
      <w:r>
        <w:rPr>
          <w:rFonts w:eastAsia="Segoe UI" w:cs="Segoe UI" w:ascii="Segoe UI" w:hAnsi="Segoe UI"/>
          <w:b/>
          <w:color w:val="0F4761"/>
          <w:sz w:val="32"/>
        </w:rPr>
        <w:t>6.  Alternative 2: insurer portals</w:t>
      </w:r>
    </w:p>
    <w:p>
      <w:pPr>
        <w:pStyle w:val="Heading2"/>
        <w:rPr/>
      </w:pPr>
      <w:bookmarkStart w:id="20" w:name="__RefHeading___Toc8918_1360963153"/>
      <w:bookmarkEnd w:id="20"/>
      <w:r>
        <w:rPr>
          <w:rFonts w:eastAsia="Segoe UI" w:cs="Segoe UI"/>
          <w:b/>
          <w:color w:val="0F4761"/>
          <w:sz w:val="26"/>
        </w:rPr>
        <w:t>6.1  What the broker has</w:t>
      </w:r>
    </w:p>
    <w:p>
      <w:pPr>
        <w:pStyle w:val="Normal"/>
        <w:spacing w:lineRule="auto" w:line="276" w:before="0" w:after="120"/>
        <w:rPr/>
      </w:pPr>
      <w:r>
        <w:rPr>
          <w:rFonts w:eastAsia="Segoe UI" w:cs="Segoe UI" w:ascii="Segoe UI" w:hAnsi="Segoe UI"/>
          <w:color w:val="101820"/>
          <w:sz w:val="21"/>
        </w:rPr>
        <w:t>Each insurer's own portal or agent system to quote and issue motor, CTPL and simple personal lines, plus the insurer's statements of account. The broker keeps its own records in spreadsheets around these portals.</w:t>
      </w:r>
    </w:p>
    <w:p>
      <w:pPr>
        <w:pStyle w:val="Heading2"/>
        <w:rPr/>
      </w:pPr>
      <w:bookmarkStart w:id="21" w:name="__RefHeading___Toc8920_1360963153"/>
      <w:bookmarkEnd w:id="21"/>
      <w:r>
        <w:rPr>
          <w:rFonts w:eastAsia="Segoe UI" w:cs="Segoe UI"/>
          <w:b/>
          <w:color w:val="0F4761"/>
          <w:sz w:val="26"/>
        </w:rPr>
        <w:t>6.2  Why they stay</w:t>
      </w:r>
    </w:p>
    <w:p>
      <w:pPr>
        <w:pStyle w:val="Normal"/>
        <w:numPr>
          <w:ilvl w:val="0"/>
          <w:numId w:val="1"/>
        </w:numPr>
        <w:spacing w:before="0" w:after="60"/>
        <w:rPr/>
      </w:pPr>
      <w:r>
        <w:rPr>
          <w:rFonts w:eastAsia="Segoe UI" w:cs="Segoe UI" w:ascii="Segoe UI" w:hAnsi="Segoe UI"/>
          <w:color w:val="101820"/>
          <w:sz w:val="21"/>
        </w:rPr>
        <w:t>Issuance is fast for simple lines and the insurer bears the system cost.</w:t>
      </w:r>
    </w:p>
    <w:p>
      <w:pPr>
        <w:pStyle w:val="Normal"/>
        <w:numPr>
          <w:ilvl w:val="0"/>
          <w:numId w:val="1"/>
        </w:numPr>
        <w:spacing w:before="0" w:after="60"/>
        <w:rPr/>
      </w:pPr>
      <w:r>
        <w:rPr>
          <w:rFonts w:eastAsia="Segoe UI" w:cs="Segoe UI" w:ascii="Segoe UI" w:hAnsi="Segoe UI"/>
          <w:color w:val="101820"/>
          <w:sz w:val="21"/>
        </w:rPr>
        <w:t>The CTPL certificate and authentication are completed in the insurer's or the government's system anyway.</w:t>
      </w:r>
    </w:p>
    <w:p>
      <w:pPr>
        <w:pStyle w:val="Heading2"/>
        <w:rPr/>
      </w:pPr>
      <w:bookmarkStart w:id="22" w:name="__RefHeading___Toc8922_1360963153"/>
      <w:bookmarkEnd w:id="22"/>
      <w:r>
        <w:rPr>
          <w:rFonts w:eastAsia="Segoe UI" w:cs="Segoe UI"/>
          <w:b/>
          <w:color w:val="0F4761"/>
          <w:sz w:val="26"/>
        </w:rPr>
        <w:t>6.3  Where it hurts</w:t>
      </w:r>
    </w:p>
    <w:p>
      <w:pPr>
        <w:pStyle w:val="Normal"/>
        <w:numPr>
          <w:ilvl w:val="0"/>
          <w:numId w:val="1"/>
        </w:numPr>
        <w:spacing w:before="0" w:after="60"/>
        <w:rPr/>
      </w:pPr>
      <w:r>
        <w:rPr>
          <w:rFonts w:eastAsia="Segoe UI" w:cs="Segoe UI" w:ascii="Segoe UI" w:hAnsi="Segoe UI"/>
          <w:color w:val="101820"/>
          <w:sz w:val="21"/>
        </w:rPr>
        <w:t>One login per insurer; no comparison across insurers for the client.</w:t>
      </w:r>
    </w:p>
    <w:p>
      <w:pPr>
        <w:pStyle w:val="Normal"/>
        <w:numPr>
          <w:ilvl w:val="0"/>
          <w:numId w:val="1"/>
        </w:numPr>
        <w:spacing w:before="0" w:after="60"/>
        <w:rPr/>
      </w:pPr>
      <w:r>
        <w:rPr>
          <w:rFonts w:eastAsia="Segoe UI" w:cs="Segoe UI" w:ascii="Segoe UI" w:hAnsi="Segoe UI"/>
          <w:color w:val="101820"/>
          <w:sz w:val="21"/>
        </w:rPr>
        <w:t>The broker's view of its own book is spread across portals; the client belongs to the portal, not the broker.</w:t>
      </w:r>
    </w:p>
    <w:p>
      <w:pPr>
        <w:pStyle w:val="Normal"/>
        <w:numPr>
          <w:ilvl w:val="0"/>
          <w:numId w:val="1"/>
        </w:numPr>
        <w:spacing w:before="0" w:after="60"/>
        <w:rPr/>
      </w:pPr>
      <w:r>
        <w:rPr>
          <w:rFonts w:eastAsia="Segoe UI" w:cs="Segoe UI" w:ascii="Segoe UI" w:hAnsi="Segoe UI"/>
          <w:color w:val="101820"/>
          <w:sz w:val="21"/>
        </w:rPr>
        <w:t>Collections, remittance, commission, co-insurance and the broker's books are not covered by any one insurer's portal.</w:t>
      </w:r>
    </w:p>
    <w:p>
      <w:pPr>
        <w:pStyle w:val="Normal"/>
        <w:numPr>
          <w:ilvl w:val="0"/>
          <w:numId w:val="1"/>
        </w:numPr>
        <w:spacing w:before="0" w:after="60"/>
        <w:rPr/>
      </w:pPr>
      <w:r>
        <w:rPr>
          <w:rFonts w:eastAsia="Segoe UI" w:cs="Segoe UI" w:ascii="Segoe UI" w:hAnsi="Segoe UI"/>
          <w:color w:val="101820"/>
          <w:sz w:val="21"/>
        </w:rPr>
        <w:t>Commercial lines (fire, IAR, marine, casualty, engineering) need slips to several insurers that portals do not handle.</w:t>
      </w:r>
    </w:p>
    <w:p>
      <w:pPr>
        <w:pStyle w:val="Heading2"/>
        <w:rPr/>
      </w:pPr>
      <w:bookmarkStart w:id="23" w:name="__RefHeading___Toc8924_1360963153"/>
      <w:bookmarkEnd w:id="23"/>
      <w:r>
        <w:rPr>
          <w:rFonts w:eastAsia="Segoe UI" w:cs="Segoe UI"/>
          <w:b/>
          <w:color w:val="0F4761"/>
          <w:sz w:val="26"/>
        </w:rPr>
        <w:t>6.4  Discovery questions</w:t>
      </w:r>
    </w:p>
    <w:p>
      <w:pPr>
        <w:pStyle w:val="Normal"/>
        <w:numPr>
          <w:ilvl w:val="0"/>
          <w:numId w:val="1"/>
        </w:numPr>
        <w:spacing w:before="0" w:after="60"/>
        <w:rPr/>
      </w:pPr>
      <w:r>
        <w:rPr>
          <w:rFonts w:eastAsia="Segoe UI" w:cs="Segoe UI" w:ascii="Segoe UI" w:hAnsi="Segoe UI"/>
          <w:color w:val="101820"/>
          <w:sz w:val="21"/>
        </w:rPr>
        <w:t>"How many insurer portals do your staff sign into each day?"</w:t>
      </w:r>
    </w:p>
    <w:p>
      <w:pPr>
        <w:pStyle w:val="Normal"/>
        <w:numPr>
          <w:ilvl w:val="0"/>
          <w:numId w:val="1"/>
        </w:numPr>
        <w:spacing w:before="0" w:after="60"/>
        <w:rPr/>
      </w:pPr>
      <w:r>
        <w:rPr>
          <w:rFonts w:eastAsia="Segoe UI" w:cs="Segoe UI" w:ascii="Segoe UI" w:hAnsi="Segoe UI"/>
          <w:color w:val="101820"/>
          <w:sz w:val="21"/>
        </w:rPr>
        <w:t>"Where do you see one client's policies across all insurers?"</w:t>
      </w:r>
    </w:p>
    <w:p>
      <w:pPr>
        <w:pStyle w:val="Normal"/>
        <w:numPr>
          <w:ilvl w:val="0"/>
          <w:numId w:val="1"/>
        </w:numPr>
        <w:spacing w:before="0" w:after="60"/>
        <w:rPr/>
      </w:pPr>
      <w:r>
        <w:rPr>
          <w:rFonts w:eastAsia="Segoe UI" w:cs="Segoe UI" w:ascii="Segoe UI" w:hAnsi="Segoe UI"/>
          <w:color w:val="101820"/>
          <w:sz w:val="21"/>
        </w:rPr>
        <w:t>"How do you compare insurers' offers for a client today?"</w:t>
      </w:r>
    </w:p>
    <w:p>
      <w:pPr>
        <w:pStyle w:val="Normal"/>
        <w:numPr>
          <w:ilvl w:val="0"/>
          <w:numId w:val="1"/>
        </w:numPr>
        <w:spacing w:before="0" w:after="60"/>
        <w:rPr/>
      </w:pPr>
      <w:r>
        <w:rPr>
          <w:rFonts w:eastAsia="Segoe UI" w:cs="Segoe UI" w:ascii="Segoe UI" w:hAnsi="Segoe UI"/>
          <w:color w:val="101820"/>
          <w:sz w:val="21"/>
        </w:rPr>
        <w:t>"How do you reconcile each insurer's statement of account against what you collected and remitted?"</w:t>
      </w:r>
    </w:p>
    <w:p>
      <w:pPr>
        <w:pStyle w:val="Heading2"/>
        <w:rPr/>
      </w:pPr>
      <w:bookmarkStart w:id="24" w:name="__RefHeading___Toc8926_1360963153"/>
      <w:bookmarkEnd w:id="24"/>
      <w:r>
        <w:rPr>
          <w:rFonts w:eastAsia="Segoe UI" w:cs="Segoe UI"/>
          <w:b/>
          <w:color w:val="0F4761"/>
          <w:sz w:val="26"/>
        </w:rPr>
        <w:t>6.5  Proof points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3328"/>
        <w:gridCol w:w="3328"/>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Point</w:t>
            </w:r>
          </w:p>
        </w:tc>
        <w:tc>
          <w:tcPr>
            <w:tcW w:w="33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Show</w:t>
            </w:r>
          </w:p>
        </w:tc>
        <w:tc>
          <w:tcPr>
            <w:tcW w:w="33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Demo Script reference</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 owns the client view</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Clients: one client with its policies, claims, renewals and endorsements across insurers</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0:23 Servicing and claims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Compare insurers for the client</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 with market responses from several insurers; Compare offers</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0:15 Placement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Commercial lines with co-insurance</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 with lead and co-insurers, shares to 100%</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0:15 Placement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statements matched</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Insurer Reconciliation with an imported statement</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in the standard script: add on request after 0:39 Money out</w:t>
            </w:r>
          </w:p>
        </w:tc>
      </w:tr>
    </w:tbl>
    <w:p>
      <w:pPr>
        <w:pStyle w:val="Normal"/>
        <w:spacing w:before="0" w:after="80"/>
        <w:rPr/>
      </w:pPr>
      <w:r>
        <w:rPr/>
      </w:r>
    </w:p>
    <w:p>
      <w:pPr>
        <w:pStyle w:val="Heading2"/>
        <w:rPr/>
      </w:pPr>
      <w:bookmarkStart w:id="25" w:name="__RefHeading___Toc8928_1360963153"/>
      <w:bookmarkEnd w:id="25"/>
      <w:r>
        <w:rPr>
          <w:rFonts w:eastAsia="Segoe UI" w:cs="Segoe UI"/>
          <w:b/>
          <w:color w:val="0F4761"/>
          <w:sz w:val="26"/>
        </w:rPr>
        <w:t>6.6  Landmines to set</w:t>
      </w:r>
    </w:p>
    <w:p>
      <w:pPr>
        <w:pStyle w:val="Normal"/>
        <w:numPr>
          <w:ilvl w:val="0"/>
          <w:numId w:val="1"/>
        </w:numPr>
        <w:spacing w:before="0" w:after="60"/>
        <w:rPr/>
      </w:pPr>
      <w:r>
        <w:rPr>
          <w:rFonts w:eastAsia="Segoe UI" w:cs="Segoe UI" w:ascii="Segoe UI" w:hAnsi="Segoe UI"/>
          <w:color w:val="101820"/>
          <w:sz w:val="21"/>
        </w:rPr>
        <w:t>"Ask whether the system gives you one view of a client across every insurer."</w:t>
      </w:r>
    </w:p>
    <w:p>
      <w:pPr>
        <w:pStyle w:val="Normal"/>
        <w:numPr>
          <w:ilvl w:val="0"/>
          <w:numId w:val="1"/>
        </w:numPr>
        <w:spacing w:before="0" w:after="60"/>
        <w:rPr/>
      </w:pPr>
      <w:r>
        <w:rPr>
          <w:rFonts w:eastAsia="Segoe UI" w:cs="Segoe UI" w:ascii="Segoe UI" w:hAnsi="Segoe UI"/>
          <w:color w:val="101820"/>
          <w:sz w:val="21"/>
        </w:rPr>
        <w:t>"Ask how a co-insured fire risk is placed, billed and remitted by share."</w:t>
      </w:r>
    </w:p>
    <w:p>
      <w:pPr>
        <w:pStyle w:val="Heading2"/>
        <w:rPr/>
      </w:pPr>
      <w:bookmarkStart w:id="26" w:name="__RefHeading___Toc8930_1360963153"/>
      <w:bookmarkEnd w:id="26"/>
      <w:r>
        <w:rPr>
          <w:rFonts w:eastAsia="Segoe UI" w:cs="Segoe UI"/>
          <w:b/>
          <w:color w:val="0F4761"/>
          <w:sz w:val="26"/>
        </w:rPr>
        <w:t>6.7  Watch out</w:t>
      </w:r>
    </w:p>
    <w:p>
      <w:pPr>
        <w:pStyle w:val="Normal"/>
        <w:numPr>
          <w:ilvl w:val="0"/>
          <w:numId w:val="1"/>
        </w:numPr>
        <w:spacing w:before="0" w:after="60"/>
        <w:rPr/>
      </w:pPr>
      <w:r>
        <w:rPr>
          <w:rFonts w:eastAsia="Segoe UI" w:cs="Segoe UI" w:ascii="Segoe UI" w:hAnsi="Segoe UI"/>
          <w:color w:val="101820"/>
          <w:sz w:val="21"/>
        </w:rPr>
        <w:t>Do not position BrokerVerse as a replacement for the CTPL authentication provider. The IC-accredited provider authenticates; BrokerVerse sends the request through its connector, keeps the COC series and records the authentication code.</w:t>
      </w:r>
    </w:p>
    <w:p>
      <w:pPr>
        <w:pStyle w:val="Normal"/>
        <w:numPr>
          <w:ilvl w:val="0"/>
          <w:numId w:val="1"/>
        </w:numPr>
        <w:spacing w:before="0" w:after="60"/>
        <w:rPr/>
      </w:pPr>
      <w:r>
        <w:rPr>
          <w:rFonts w:eastAsia="Segoe UI" w:cs="Segoe UI" w:ascii="Segoe UI" w:hAnsi="Segoe UI"/>
          <w:color w:val="101820"/>
          <w:sz w:val="21"/>
        </w:rPr>
        <w:t>The insurer connector is delivered in test mode. Each insurer goes live with its own endpoint, credentials and acceptance during onboarding, priced per connector; do not promise a date for an insurer before it has agreed.</w:t>
      </w:r>
      <w:r>
        <w:br w:type="page"/>
      </w:r>
    </w:p>
    <w:p>
      <w:pPr>
        <w:pStyle w:val="Heading1"/>
        <w:rPr/>
      </w:pPr>
      <w:bookmarkStart w:id="27" w:name="__RefHeading___Toc8932_1360963153"/>
      <w:bookmarkEnd w:id="27"/>
      <w:r>
        <w:rPr>
          <w:rFonts w:eastAsia="Segoe UI" w:cs="Segoe UI" w:ascii="Segoe UI" w:hAnsi="Segoe UI"/>
          <w:b/>
          <w:color w:val="0F4761"/>
          <w:sz w:val="32"/>
        </w:rPr>
        <w:t>7.  Alternative 3: regional or global broking systems</w:t>
      </w:r>
    </w:p>
    <w:p>
      <w:pPr>
        <w:pStyle w:val="Heading2"/>
        <w:rPr/>
      </w:pPr>
      <w:bookmarkStart w:id="28" w:name="__RefHeading___Toc8934_1360963153"/>
      <w:bookmarkEnd w:id="28"/>
      <w:r>
        <w:rPr>
          <w:rFonts w:eastAsia="Segoe UI" w:cs="Segoe UI"/>
          <w:b/>
          <w:color w:val="0F4761"/>
          <w:sz w:val="26"/>
        </w:rPr>
        <w:t>7.1  What the broker sees</w:t>
      </w:r>
    </w:p>
    <w:p>
      <w:pPr>
        <w:pStyle w:val="Normal"/>
        <w:spacing w:lineRule="auto" w:line="276" w:before="0" w:after="120"/>
        <w:rPr/>
      </w:pPr>
      <w:r>
        <w:rPr>
          <w:rFonts w:eastAsia="Segoe UI" w:cs="Segoe UI" w:ascii="Segoe UI" w:hAnsi="Segoe UI"/>
          <w:color w:val="101820"/>
          <w:sz w:val="21"/>
        </w:rPr>
        <w:t>Broker management systems sold across several countries, often with a large feature list, a regional reference base and a partner-led implementation. A broker with a foreign parent may be asked to use the group system.</w:t>
      </w:r>
    </w:p>
    <w:p>
      <w:pPr>
        <w:pStyle w:val="Heading2"/>
        <w:rPr/>
      </w:pPr>
      <w:bookmarkStart w:id="29" w:name="__RefHeading___Toc8936_1360963153"/>
      <w:bookmarkEnd w:id="29"/>
      <w:r>
        <w:rPr>
          <w:rFonts w:eastAsia="Segoe UI" w:cs="Segoe UI"/>
          <w:b/>
          <w:color w:val="0F4761"/>
          <w:sz w:val="26"/>
        </w:rPr>
        <w:t>7.2  Why they are chosen</w:t>
      </w:r>
    </w:p>
    <w:p>
      <w:pPr>
        <w:pStyle w:val="Normal"/>
        <w:numPr>
          <w:ilvl w:val="0"/>
          <w:numId w:val="1"/>
        </w:numPr>
        <w:spacing w:before="0" w:after="60"/>
        <w:rPr/>
      </w:pPr>
      <w:r>
        <w:rPr>
          <w:rFonts w:eastAsia="Segoe UI" w:cs="Segoe UI" w:ascii="Segoe UI" w:hAnsi="Segoe UI"/>
          <w:color w:val="101820"/>
          <w:sz w:val="21"/>
        </w:rPr>
        <w:t>A group mandate or a familiar brand.</w:t>
      </w:r>
    </w:p>
    <w:p>
      <w:pPr>
        <w:pStyle w:val="Normal"/>
        <w:numPr>
          <w:ilvl w:val="0"/>
          <w:numId w:val="1"/>
        </w:numPr>
        <w:spacing w:before="0" w:after="60"/>
        <w:rPr/>
      </w:pPr>
      <w:r>
        <w:rPr>
          <w:rFonts w:eastAsia="Segoe UI" w:cs="Segoe UI" w:ascii="Segoe UI" w:hAnsi="Segoe UI"/>
          <w:color w:val="101820"/>
          <w:sz w:val="21"/>
        </w:rPr>
        <w:t>Broad functions, including some the broker may not use.</w:t>
      </w:r>
    </w:p>
    <w:p>
      <w:pPr>
        <w:pStyle w:val="Normal"/>
        <w:numPr>
          <w:ilvl w:val="0"/>
          <w:numId w:val="1"/>
        </w:numPr>
        <w:spacing w:before="0" w:after="60"/>
        <w:rPr/>
      </w:pPr>
      <w:r>
        <w:rPr>
          <w:rFonts w:eastAsia="Segoe UI" w:cs="Segoe UI" w:ascii="Segoe UI" w:hAnsi="Segoe UI"/>
          <w:color w:val="101820"/>
          <w:sz w:val="21"/>
        </w:rPr>
        <w:t>Perceived lower risk of a vendor with many countries.</w:t>
      </w:r>
    </w:p>
    <w:p>
      <w:pPr>
        <w:pStyle w:val="Heading2"/>
        <w:rPr/>
      </w:pPr>
      <w:bookmarkStart w:id="30" w:name="__RefHeading___Toc8938_1360963153"/>
      <w:bookmarkEnd w:id="30"/>
      <w:r>
        <w:rPr>
          <w:rFonts w:eastAsia="Segoe UI" w:cs="Segoe UI"/>
          <w:b/>
          <w:color w:val="0F4761"/>
          <w:sz w:val="26"/>
        </w:rPr>
        <w:t>7.3  Where we compete</w:t>
      </w:r>
    </w:p>
    <w:p>
      <w:pPr>
        <w:pStyle w:val="Normal"/>
        <w:spacing w:lineRule="auto" w:line="276" w:before="0" w:after="120"/>
        <w:rPr/>
      </w:pPr>
      <w:r>
        <w:rPr>
          <w:rFonts w:eastAsia="Segoe UI" w:cs="Segoe UI" w:ascii="Segoe UI" w:hAnsi="Segoe UI"/>
          <w:color w:val="101820"/>
          <w:sz w:val="21"/>
        </w:rPr>
        <w:t>Compare against Philippine work the broker does every day, not against feature counts. Ask the prospect to verify each point with the other vendor, not to take our word for it.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Question for the prospect to put to any vendor</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iNXT BrokerVerse shows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Are DST, VAT, LGT by city or municipality and FST computed on the quotation and the bill?</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Taxes &amp; LGU Rates applied on every quotation, policy, endorsement and renewal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 the CTPL tariff per vehicle class held in the system and protected from discount?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 template with 1-year and 3-year CTPL, read-only and never discounted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Are Form 2307, 0619-E, 1601-EQ, 1604-E and 2551Q, with the DAT files of the alphalists, produced from the ledger and reconciled?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Withholding Returns, BIR DAT Files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Are sales invoices issued under the EOPT Act, and is the CAS books pack produced?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Sales Invoices, CAS Books and Documents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 there an AML/CFT programme with screening, transaction monitoring and AMLC report files?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menu</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Are IC licences, insurer certificates of authority and complaints tracked with deadlines?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&gt; Insurance Commission (compliance registers)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Are Philippine bank statement formats delivered for reconciliation?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BDO, BPI, Metrobank and generic formats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 the implementation priced and planned before signature?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Rate Card; 8, 12 or 16 to 20 weeks by size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 the data stay in the Philippines?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 partner or broker-hosted options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 consent and data subject request handling in the product, with a breach register on the 72-hour clock?</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Data Privacy; Breach Register</w:t>
            </w:r>
          </w:p>
        </w:tc>
      </w:tr>
    </w:tbl>
    <w:p>
      <w:pPr>
        <w:pStyle w:val="Normal"/>
        <w:spacing w:before="0" w:after="80"/>
        <w:rPr/>
      </w:pPr>
      <w:r>
        <w:rPr/>
      </w:r>
    </w:p>
    <w:p>
      <w:pPr>
        <w:pStyle w:val="Heading2"/>
        <w:rPr/>
      </w:pPr>
      <w:bookmarkStart w:id="31" w:name="__RefHeading___Toc8940_1360963153"/>
      <w:bookmarkEnd w:id="31"/>
      <w:r>
        <w:rPr>
          <w:rFonts w:eastAsia="Segoe UI" w:cs="Segoe UI"/>
          <w:b/>
          <w:color w:val="0F4761"/>
          <w:sz w:val="26"/>
        </w:rPr>
        <w:t>7.4  Discovery questions</w:t>
      </w:r>
    </w:p>
    <w:p>
      <w:pPr>
        <w:pStyle w:val="Normal"/>
        <w:numPr>
          <w:ilvl w:val="0"/>
          <w:numId w:val="1"/>
        </w:numPr>
        <w:spacing w:before="0" w:after="60"/>
        <w:rPr/>
      </w:pPr>
      <w:r>
        <w:rPr>
          <w:rFonts w:eastAsia="Segoe UI" w:cs="Segoe UI" w:ascii="Segoe UI" w:hAnsi="Segoe UI"/>
          <w:color w:val="101820"/>
          <w:sz w:val="21"/>
        </w:rPr>
        <w:t>"Which functions of that system would your team use every day?"</w:t>
      </w:r>
    </w:p>
    <w:p>
      <w:pPr>
        <w:pStyle w:val="Normal"/>
        <w:numPr>
          <w:ilvl w:val="0"/>
          <w:numId w:val="1"/>
        </w:numPr>
        <w:spacing w:before="0" w:after="60"/>
        <w:rPr/>
      </w:pPr>
      <w:r>
        <w:rPr>
          <w:rFonts w:eastAsia="Segoe UI" w:cs="Segoe UI" w:ascii="Segoe UI" w:hAnsi="Segoe UI"/>
          <w:color w:val="101820"/>
          <w:sz w:val="21"/>
        </w:rPr>
        <w:t>"Who would configure the Philippine taxes and BIR forms, and is that in the quoted price?"</w:t>
      </w:r>
    </w:p>
    <w:p>
      <w:pPr>
        <w:pStyle w:val="Normal"/>
        <w:numPr>
          <w:ilvl w:val="0"/>
          <w:numId w:val="1"/>
        </w:numPr>
        <w:spacing w:before="0" w:after="60"/>
        <w:rPr/>
      </w:pPr>
      <w:r>
        <w:rPr>
          <w:rFonts w:eastAsia="Segoe UI" w:cs="Segoe UI" w:ascii="Segoe UI" w:hAnsi="Segoe UI"/>
          <w:color w:val="101820"/>
          <w:sz w:val="21"/>
        </w:rPr>
        <w:t>"Where would your data be hosted, and who signs the data processing agreement?"</w:t>
      </w:r>
    </w:p>
    <w:p>
      <w:pPr>
        <w:pStyle w:val="Normal"/>
        <w:numPr>
          <w:ilvl w:val="0"/>
          <w:numId w:val="1"/>
        </w:numPr>
        <w:spacing w:before="0" w:after="60"/>
        <w:rPr/>
      </w:pPr>
      <w:r>
        <w:rPr>
          <w:rFonts w:eastAsia="Segoe UI" w:cs="Segoe UI" w:ascii="Segoe UI" w:hAnsi="Segoe UI"/>
          <w:color w:val="101820"/>
          <w:sz w:val="21"/>
        </w:rPr>
        <w:t>"What is the total cost over five years, including implementation, localisation and support?"</w:t>
      </w:r>
    </w:p>
    <w:p>
      <w:pPr>
        <w:pStyle w:val="Heading2"/>
        <w:rPr/>
      </w:pPr>
      <w:bookmarkStart w:id="32" w:name="__RefHeading___Toc8942_1360963153"/>
      <w:bookmarkEnd w:id="32"/>
      <w:r>
        <w:rPr>
          <w:rFonts w:eastAsia="Segoe UI" w:cs="Segoe UI"/>
          <w:b/>
          <w:color w:val="0F4761"/>
          <w:sz w:val="26"/>
        </w:rPr>
        <w:t>7.5  Proof points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04"/>
        <w:gridCol w:w="3204"/>
        <w:gridCol w:w="3206"/>
      </w:tblGrid>
      <w:tr>
        <w:trPr>
          <w:tblHeader w:val="true"/>
        </w:trPr>
        <w:tc>
          <w:tcPr>
            <w:tcW w:w="26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Point</w:t>
            </w:r>
          </w:p>
        </w:tc>
        <w:tc>
          <w:tcPr>
            <w:tcW w:w="32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Show</w:t>
            </w:r>
          </w:p>
        </w:tc>
        <w:tc>
          <w:tcPr>
            <w:tcW w:w="32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Reference</w:t>
            </w:r>
          </w:p>
        </w:tc>
      </w:tr>
      <w:tr>
        <w:trPr/>
        <w:tc>
          <w:tcPr>
            <w:tcW w:w="26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premium taxes on a quotation</w:t>
            </w:r>
          </w:p>
        </w:tc>
        <w:tc>
          <w:tcPr>
            <w:tcW w:w="32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Summary of a quotation with VAT 12%, DST of PHP 0.50 per PHP 4.00 or fraction, LGT 0.75% and CTPL</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Script 0:09 Prospect and quotation</w:t>
            </w:r>
          </w:p>
        </w:tc>
      </w:tr>
      <w:tr>
        <w:trPr/>
        <w:tc>
          <w:tcPr>
            <w:tcW w:w="26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outputs</w:t>
            </w:r>
          </w:p>
        </w:tc>
        <w:tc>
          <w:tcPr>
            <w:tcW w:w="32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Form 2307, 1601-EQ with its reconciliation, DAT files, a sales invoice</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Script 0:45 Close and tax; optional segment BIR and EOPT</w:t>
            </w:r>
          </w:p>
        </w:tc>
      </w:tr>
      <w:tr>
        <w:trPr/>
        <w:tc>
          <w:tcPr>
            <w:tcW w:w="26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Price certainty</w:t>
            </w:r>
          </w:p>
        </w:tc>
        <w:tc>
          <w:tcPr>
            <w:tcW w:w="32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totals over 5 years</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Rate Card; Price Book workbook</w:t>
            </w:r>
          </w:p>
        </w:tc>
      </w:tr>
      <w:tr>
        <w:trPr/>
        <w:tc>
          <w:tcPr>
            <w:tcW w:w="26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 mapping</w:t>
            </w:r>
          </w:p>
        </w:tc>
        <w:tc>
          <w:tcPr>
            <w:tcW w:w="32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Regulatory Compliance Matrix</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document</w:t>
            </w:r>
          </w:p>
        </w:tc>
      </w:tr>
    </w:tbl>
    <w:p>
      <w:pPr>
        <w:pStyle w:val="Normal"/>
        <w:spacing w:before="0" w:after="80"/>
        <w:rPr/>
      </w:pPr>
      <w:r>
        <w:rPr/>
      </w:r>
    </w:p>
    <w:p>
      <w:pPr>
        <w:pStyle w:val="Heading2"/>
        <w:rPr/>
      </w:pPr>
      <w:bookmarkStart w:id="33" w:name="__RefHeading___Toc8944_1360963153"/>
      <w:bookmarkEnd w:id="33"/>
      <w:r>
        <w:rPr>
          <w:rFonts w:eastAsia="Segoe UI" w:cs="Segoe UI"/>
          <w:b/>
          <w:color w:val="0F4761"/>
          <w:sz w:val="26"/>
        </w:rPr>
        <w:t>7.6  Landmines to set</w:t>
      </w:r>
    </w:p>
    <w:p>
      <w:pPr>
        <w:pStyle w:val="Normal"/>
        <w:numPr>
          <w:ilvl w:val="0"/>
          <w:numId w:val="1"/>
        </w:numPr>
        <w:spacing w:before="0" w:after="60"/>
        <w:rPr/>
      </w:pPr>
      <w:r>
        <w:rPr>
          <w:rFonts w:eastAsia="Segoe UI" w:cs="Segoe UI" w:ascii="Segoe UI" w:hAnsi="Segoe UI"/>
          <w:color w:val="101820"/>
          <w:sz w:val="21"/>
        </w:rPr>
        <w:t>"Ask for the five-year cost with the Philippine localisation and BIR outputs included and priced."</w:t>
      </w:r>
    </w:p>
    <w:p>
      <w:pPr>
        <w:pStyle w:val="Normal"/>
        <w:numPr>
          <w:ilvl w:val="0"/>
          <w:numId w:val="1"/>
        </w:numPr>
        <w:spacing w:before="0" w:after="60"/>
        <w:rPr/>
      </w:pPr>
      <w:r>
        <w:rPr>
          <w:rFonts w:eastAsia="Segoe UI" w:cs="Segoe UI" w:ascii="Segoe UI" w:hAnsi="Segoe UI"/>
          <w:color w:val="101820"/>
          <w:sz w:val="21"/>
        </w:rPr>
        <w:t>"Ask to see the LGT of a client in a named city computed on the quotation."</w:t>
      </w:r>
    </w:p>
    <w:p>
      <w:pPr>
        <w:pStyle w:val="Normal"/>
        <w:numPr>
          <w:ilvl w:val="0"/>
          <w:numId w:val="1"/>
        </w:numPr>
        <w:spacing w:before="0" w:after="60"/>
        <w:rPr/>
      </w:pPr>
      <w:r>
        <w:rPr>
          <w:rFonts w:eastAsia="Segoe UI" w:cs="Segoe UI" w:ascii="Segoe UI" w:hAnsi="Segoe UI"/>
          <w:color w:val="101820"/>
          <w:sz w:val="21"/>
        </w:rPr>
        <w:t>"Ask where support is provided from and in which time zone."</w:t>
      </w:r>
    </w:p>
    <w:p>
      <w:pPr>
        <w:pStyle w:val="Heading2"/>
        <w:rPr/>
      </w:pPr>
      <w:bookmarkStart w:id="34" w:name="__RefHeading___Toc8946_1360963153"/>
      <w:bookmarkEnd w:id="34"/>
      <w:r>
        <w:rPr>
          <w:rFonts w:eastAsia="Segoe UI" w:cs="Segoe UI"/>
          <w:b/>
          <w:color w:val="0F4761"/>
          <w:sz w:val="26"/>
        </w:rPr>
        <w:t>7.7  Watch out</w:t>
      </w:r>
    </w:p>
    <w:p>
      <w:pPr>
        <w:pStyle w:val="Normal"/>
        <w:numPr>
          <w:ilvl w:val="0"/>
          <w:numId w:val="1"/>
        </w:numPr>
        <w:spacing w:before="0" w:after="60"/>
        <w:rPr/>
      </w:pPr>
      <w:r>
        <w:rPr>
          <w:rFonts w:eastAsia="Segoe UI" w:cs="Segoe UI" w:ascii="Segoe UI" w:hAnsi="Segoe UI"/>
          <w:color w:val="101820"/>
          <w:sz w:val="21"/>
        </w:rPr>
        <w:t xml:space="preserve">Do not quote other vendors' prices or published estimates in front of a prospect unless the source is verified and current </w:t>
      </w:r>
      <w:r>
        <w:rPr>
          <w:rFonts w:eastAsia="Segoe UI" w:cs="Segoe UI" w:ascii="Segoe UI" w:hAnsi="Segoe UI"/>
          <w:b/>
          <w:color w:val="101820"/>
          <w:sz w:val="21"/>
        </w:rPr>
        <w:t>[to verify]</w:t>
      </w:r>
      <w:r>
        <w:rPr>
          <w:rFonts w:eastAsia="Segoe UI" w:cs="Segoe UI" w:ascii="Segoe UI" w:hAnsi="Segoe UI"/>
          <w:color w:val="101820"/>
          <w:sz w:val="21"/>
        </w:rPr>
        <w:t>. The FAQ's comparison with global system pricing is for internal context only until verified.</w:t>
      </w:r>
    </w:p>
    <w:p>
      <w:pPr>
        <w:pStyle w:val="Normal"/>
        <w:numPr>
          <w:ilvl w:val="0"/>
          <w:numId w:val="1"/>
        </w:numPr>
        <w:spacing w:before="0" w:after="60"/>
        <w:rPr/>
      </w:pPr>
      <w:r>
        <w:rPr>
          <w:rFonts w:eastAsia="Segoe UI" w:cs="Segoe UI" w:ascii="Segoe UI" w:hAnsi="Segoe UI"/>
          <w:color w:val="101820"/>
          <w:sz w:val="21"/>
        </w:rPr>
        <w:t>With a group mandate, sell to the local finance and operations pain (remittance, BIR, reconciliation) and offer BrokerVerse as the local system feeding the group with exports.</w:t>
      </w:r>
      <w:r>
        <w:br w:type="page"/>
      </w:r>
    </w:p>
    <w:p>
      <w:pPr>
        <w:pStyle w:val="Heading1"/>
        <w:rPr/>
      </w:pPr>
      <w:bookmarkStart w:id="35" w:name="__RefHeading___Toc8948_1360963153"/>
      <w:bookmarkEnd w:id="35"/>
      <w:r>
        <w:rPr>
          <w:rFonts w:eastAsia="Segoe UI" w:cs="Segoe UI" w:ascii="Segoe UI" w:hAnsi="Segoe UI"/>
          <w:b/>
          <w:color w:val="0F4761"/>
          <w:sz w:val="32"/>
        </w:rPr>
        <w:t>8.  Alternative 4: a custom build</w:t>
      </w:r>
    </w:p>
    <w:p>
      <w:pPr>
        <w:pStyle w:val="Heading2"/>
        <w:rPr/>
      </w:pPr>
      <w:bookmarkStart w:id="36" w:name="__RefHeading___Toc8950_1360963153"/>
      <w:bookmarkEnd w:id="36"/>
      <w:r>
        <w:rPr>
          <w:rFonts w:eastAsia="Segoe UI" w:cs="Segoe UI"/>
          <w:b/>
          <w:color w:val="0F4761"/>
          <w:sz w:val="26"/>
        </w:rPr>
        <w:t>8.1  What the broker considers</w:t>
      </w:r>
    </w:p>
    <w:p>
      <w:pPr>
        <w:pStyle w:val="Normal"/>
        <w:spacing w:lineRule="auto" w:line="276" w:before="0" w:after="120"/>
        <w:rPr/>
      </w:pPr>
      <w:r>
        <w:rPr>
          <w:rFonts w:eastAsia="Segoe UI" w:cs="Segoe UI" w:ascii="Segoe UI" w:hAnsi="Segoe UI"/>
          <w:color w:val="101820"/>
          <w:sz w:val="21"/>
        </w:rPr>
        <w:t>An in-house development team, a local software house, or a low-code platform, building a system "exactly to our process".</w:t>
      </w:r>
    </w:p>
    <w:p>
      <w:pPr>
        <w:pStyle w:val="Heading2"/>
        <w:rPr/>
      </w:pPr>
      <w:bookmarkStart w:id="37" w:name="__RefHeading___Toc8952_1360963153"/>
      <w:bookmarkEnd w:id="37"/>
      <w:r>
        <w:rPr>
          <w:rFonts w:eastAsia="Segoe UI" w:cs="Segoe UI"/>
          <w:b/>
          <w:color w:val="0F4761"/>
          <w:sz w:val="26"/>
        </w:rPr>
        <w:t>8.2  Why they choose it</w:t>
      </w:r>
    </w:p>
    <w:p>
      <w:pPr>
        <w:pStyle w:val="Normal"/>
        <w:numPr>
          <w:ilvl w:val="0"/>
          <w:numId w:val="1"/>
        </w:numPr>
        <w:spacing w:before="0" w:after="60"/>
        <w:rPr/>
      </w:pPr>
      <w:r>
        <w:rPr>
          <w:rFonts w:eastAsia="Segoe UI" w:cs="Segoe UI" w:ascii="Segoe UI" w:hAnsi="Segoe UI"/>
          <w:color w:val="101820"/>
          <w:sz w:val="21"/>
        </w:rPr>
        <w:t>Exact fit to current processes; ownership of the code.</w:t>
      </w:r>
    </w:p>
    <w:p>
      <w:pPr>
        <w:pStyle w:val="Normal"/>
        <w:numPr>
          <w:ilvl w:val="0"/>
          <w:numId w:val="1"/>
        </w:numPr>
        <w:spacing w:before="0" w:after="60"/>
        <w:rPr/>
      </w:pPr>
      <w:r>
        <w:rPr>
          <w:rFonts w:eastAsia="Segoe UI" w:cs="Segoe UI" w:ascii="Segoe UI" w:hAnsi="Segoe UI"/>
          <w:color w:val="101820"/>
          <w:sz w:val="21"/>
        </w:rPr>
        <w:t>A trusted developer relationship.</w:t>
      </w:r>
    </w:p>
    <w:p>
      <w:pPr>
        <w:pStyle w:val="Normal"/>
        <w:numPr>
          <w:ilvl w:val="0"/>
          <w:numId w:val="1"/>
        </w:numPr>
        <w:spacing w:before="0" w:after="60"/>
        <w:rPr/>
      </w:pPr>
      <w:r>
        <w:rPr>
          <w:rFonts w:eastAsia="Segoe UI" w:cs="Segoe UI" w:ascii="Segoe UI" w:hAnsi="Segoe UI"/>
          <w:color w:val="101820"/>
          <w:sz w:val="21"/>
        </w:rPr>
        <w:t>A belief that the broker's process is too unusual for a product.</w:t>
      </w:r>
    </w:p>
    <w:p>
      <w:pPr>
        <w:pStyle w:val="Heading2"/>
        <w:rPr/>
      </w:pPr>
      <w:bookmarkStart w:id="38" w:name="__RefHeading___Toc8954_1360963153"/>
      <w:bookmarkEnd w:id="38"/>
      <w:r>
        <w:rPr>
          <w:rFonts w:eastAsia="Segoe UI" w:cs="Segoe UI"/>
          <w:b/>
          <w:color w:val="0F4761"/>
          <w:sz w:val="26"/>
        </w:rPr>
        <w:t>8.3  Where it hurts</w:t>
      </w:r>
    </w:p>
    <w:p>
      <w:pPr>
        <w:pStyle w:val="Normal"/>
        <w:numPr>
          <w:ilvl w:val="0"/>
          <w:numId w:val="1"/>
        </w:numPr>
        <w:spacing w:before="0" w:after="60"/>
        <w:rPr/>
      </w:pPr>
      <w:r>
        <w:rPr>
          <w:rFonts w:eastAsia="Segoe UI" w:cs="Segoe UI" w:ascii="Segoe UI" w:hAnsi="Segoe UI"/>
          <w:color w:val="101820"/>
          <w:sz w:val="21"/>
        </w:rPr>
        <w:t>Time: a broking and accounting system takes a long time to build and test; the broker pays during the build.</w:t>
      </w:r>
    </w:p>
    <w:p>
      <w:pPr>
        <w:pStyle w:val="Normal"/>
        <w:numPr>
          <w:ilvl w:val="0"/>
          <w:numId w:val="1"/>
        </w:numPr>
        <w:spacing w:before="0" w:after="60"/>
        <w:rPr/>
      </w:pPr>
      <w:r>
        <w:rPr>
          <w:rFonts w:eastAsia="Segoe UI" w:cs="Segoe UI" w:ascii="Segoe UI" w:hAnsi="Segoe UI"/>
          <w:color w:val="101820"/>
          <w:sz w:val="21"/>
        </w:rPr>
        <w:t>Scope: policy, remittance, commission, co-insurance, reconciliation, close, BIR forms, privacy, security controls are each a project.</w:t>
      </w:r>
    </w:p>
    <w:p>
      <w:pPr>
        <w:pStyle w:val="Normal"/>
        <w:numPr>
          <w:ilvl w:val="0"/>
          <w:numId w:val="1"/>
        </w:numPr>
        <w:spacing w:before="0" w:after="60"/>
        <w:rPr/>
      </w:pPr>
      <w:r>
        <w:rPr>
          <w:rFonts w:eastAsia="Segoe UI" w:cs="Segoe UI" w:ascii="Segoe UI" w:hAnsi="Segoe UI"/>
          <w:color w:val="101820"/>
          <w:sz w:val="21"/>
        </w:rPr>
        <w:t>Keeping up: BIR, IC and NPC changes must be built and paid for by the broker each time.</w:t>
      </w:r>
    </w:p>
    <w:p>
      <w:pPr>
        <w:pStyle w:val="Normal"/>
        <w:numPr>
          <w:ilvl w:val="0"/>
          <w:numId w:val="1"/>
        </w:numPr>
        <w:spacing w:before="0" w:after="60"/>
        <w:rPr/>
      </w:pPr>
      <w:r>
        <w:rPr>
          <w:rFonts w:eastAsia="Segoe UI" w:cs="Segoe UI" w:ascii="Segoe UI" w:hAnsi="Segoe UI"/>
          <w:color w:val="101820"/>
          <w:sz w:val="21"/>
        </w:rPr>
        <w:t>Key person risk moves from the spreadsheet owner to the developer.</w:t>
      </w:r>
    </w:p>
    <w:p>
      <w:pPr>
        <w:pStyle w:val="Heading2"/>
        <w:rPr/>
      </w:pPr>
      <w:bookmarkStart w:id="39" w:name="__RefHeading___Toc8956_1360963153"/>
      <w:bookmarkEnd w:id="39"/>
      <w:r>
        <w:rPr>
          <w:rFonts w:eastAsia="Segoe UI" w:cs="Segoe UI"/>
          <w:b/>
          <w:color w:val="0F4761"/>
          <w:sz w:val="26"/>
        </w:rPr>
        <w:t>8.4  Discovery questions</w:t>
      </w:r>
    </w:p>
    <w:p>
      <w:pPr>
        <w:pStyle w:val="Normal"/>
        <w:numPr>
          <w:ilvl w:val="0"/>
          <w:numId w:val="1"/>
        </w:numPr>
        <w:spacing w:before="0" w:after="60"/>
        <w:rPr/>
      </w:pPr>
      <w:r>
        <w:rPr>
          <w:rFonts w:eastAsia="Segoe UI" w:cs="Segoe UI" w:ascii="Segoe UI" w:hAnsi="Segoe UI"/>
          <w:color w:val="101820"/>
          <w:sz w:val="21"/>
        </w:rPr>
        <w:t>"What is the build estimate, and does it include accounting, BIR forms, reconciliation and the security controls?"</w:t>
      </w:r>
    </w:p>
    <w:p>
      <w:pPr>
        <w:pStyle w:val="Normal"/>
        <w:numPr>
          <w:ilvl w:val="0"/>
          <w:numId w:val="1"/>
        </w:numPr>
        <w:spacing w:before="0" w:after="60"/>
        <w:rPr/>
      </w:pPr>
      <w:r>
        <w:rPr>
          <w:rFonts w:eastAsia="Segoe UI" w:cs="Segoe UI" w:ascii="Segoe UI" w:hAnsi="Segoe UI"/>
          <w:color w:val="101820"/>
          <w:sz w:val="21"/>
        </w:rPr>
        <w:t>"Who maintains it when a BIR form changes, and who pays?"</w:t>
      </w:r>
    </w:p>
    <w:p>
      <w:pPr>
        <w:pStyle w:val="Normal"/>
        <w:numPr>
          <w:ilvl w:val="0"/>
          <w:numId w:val="1"/>
        </w:numPr>
        <w:spacing w:before="0" w:after="60"/>
        <w:rPr/>
      </w:pPr>
      <w:r>
        <w:rPr>
          <w:rFonts w:eastAsia="Segoe UI" w:cs="Segoe UI" w:ascii="Segoe UI" w:hAnsi="Segoe UI"/>
          <w:color w:val="101820"/>
          <w:sz w:val="21"/>
        </w:rPr>
        <w:t>"How will it be tested before go-live? How many test cases?"</w:t>
      </w:r>
    </w:p>
    <w:p>
      <w:pPr>
        <w:pStyle w:val="Normal"/>
        <w:numPr>
          <w:ilvl w:val="0"/>
          <w:numId w:val="1"/>
        </w:numPr>
        <w:spacing w:before="0" w:after="60"/>
        <w:rPr/>
      </w:pPr>
      <w:r>
        <w:rPr>
          <w:rFonts w:eastAsia="Segoe UI" w:cs="Segoe UI" w:ascii="Segoe UI" w:hAnsi="Segoe UI"/>
          <w:color w:val="101820"/>
          <w:sz w:val="21"/>
        </w:rPr>
        <w:t>"What happens if the developer leaves?"</w:t>
      </w:r>
    </w:p>
    <w:p>
      <w:pPr>
        <w:pStyle w:val="Heading2"/>
        <w:rPr/>
      </w:pPr>
      <w:bookmarkStart w:id="40" w:name="__RefHeading___Toc8958_1360963153"/>
      <w:bookmarkEnd w:id="40"/>
      <w:r>
        <w:rPr>
          <w:rFonts w:eastAsia="Segoe UI" w:cs="Segoe UI"/>
          <w:b/>
          <w:color w:val="0F4761"/>
          <w:sz w:val="26"/>
        </w:rPr>
        <w:t>8.5  Proof points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3328"/>
        <w:gridCol w:w="3328"/>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Point</w:t>
            </w:r>
          </w:p>
        </w:tc>
        <w:tc>
          <w:tcPr>
            <w:tcW w:w="33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Show</w:t>
            </w:r>
          </w:p>
        </w:tc>
        <w:tc>
          <w:tcPr>
            <w:tcW w:w="33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Reference</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Already built and tested</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497 test cases, 634 automated business-rule tests, 371-step end-to-end cycle</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Summary Report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 not code</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 by business area; Product Configurator; Document Numbering</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Script 0:51 Controls and data privacy; Implementation Approach</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controls already in place</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Two-step verification, lockout, maker-checker, audit trail, OWASP mapping</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Architecture, Infrastructure, Security and Privacy; Security Due Diligence Questionnaire</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Continuity</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Mainstream technology (React, Node.js, PostgreSQL); optional source code escrow with the perpetual licence; broker can host</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FAQ; Escrow Agreement</w:t>
            </w:r>
          </w:p>
        </w:tc>
      </w:tr>
    </w:tbl>
    <w:p>
      <w:pPr>
        <w:pStyle w:val="Normal"/>
        <w:spacing w:before="0" w:after="80"/>
        <w:rPr/>
      </w:pPr>
      <w:r>
        <w:rPr/>
      </w:r>
    </w:p>
    <w:p>
      <w:pPr>
        <w:pStyle w:val="Heading2"/>
        <w:rPr/>
      </w:pPr>
      <w:bookmarkStart w:id="41" w:name="__RefHeading___Toc8960_1360963153"/>
      <w:bookmarkEnd w:id="41"/>
      <w:r>
        <w:rPr>
          <w:rFonts w:eastAsia="Segoe UI" w:cs="Segoe UI"/>
          <w:b/>
          <w:color w:val="0F4761"/>
          <w:sz w:val="26"/>
        </w:rPr>
        <w:t>8.6  Landmines to set</w:t>
      </w:r>
    </w:p>
    <w:p>
      <w:pPr>
        <w:pStyle w:val="Normal"/>
        <w:numPr>
          <w:ilvl w:val="0"/>
          <w:numId w:val="1"/>
        </w:numPr>
        <w:spacing w:before="0" w:after="60"/>
        <w:rPr/>
      </w:pPr>
      <w:r>
        <w:rPr>
          <w:rFonts w:eastAsia="Segoe UI" w:cs="Segoe UI" w:ascii="Segoe UI" w:hAnsi="Segoe UI"/>
          <w:color w:val="101820"/>
          <w:sz w:val="21"/>
        </w:rPr>
        <w:t>"Ask the builder for the test evidence they will hand over at go-live."</w:t>
      </w:r>
    </w:p>
    <w:p>
      <w:pPr>
        <w:pStyle w:val="Normal"/>
        <w:numPr>
          <w:ilvl w:val="0"/>
          <w:numId w:val="1"/>
        </w:numPr>
        <w:spacing w:before="0" w:after="60"/>
        <w:rPr/>
      </w:pPr>
      <w:r>
        <w:rPr>
          <w:rFonts w:eastAsia="Segoe UI" w:cs="Segoe UI" w:ascii="Segoe UI" w:hAnsi="Segoe UI"/>
          <w:color w:val="101820"/>
          <w:sz w:val="21"/>
        </w:rPr>
        <w:t>"Ask how the month-end close and sub-ledger tie-out will be built and proven."</w:t>
      </w:r>
    </w:p>
    <w:p>
      <w:pPr>
        <w:pStyle w:val="Normal"/>
        <w:numPr>
          <w:ilvl w:val="0"/>
          <w:numId w:val="1"/>
        </w:numPr>
        <w:spacing w:before="0" w:after="60"/>
        <w:rPr/>
      </w:pPr>
      <w:r>
        <w:rPr>
          <w:rFonts w:eastAsia="Segoe UI" w:cs="Segoe UI" w:ascii="Segoe UI" w:hAnsi="Segoe UI"/>
          <w:color w:val="101820"/>
          <w:sz w:val="21"/>
        </w:rPr>
        <w:t>"Ask who will update the system when the BIR changes a form."</w:t>
      </w:r>
    </w:p>
    <w:p>
      <w:pPr>
        <w:pStyle w:val="Heading2"/>
        <w:rPr/>
      </w:pPr>
      <w:bookmarkStart w:id="42" w:name="__RefHeading___Toc8962_1360963153"/>
      <w:bookmarkEnd w:id="42"/>
      <w:r>
        <w:rPr>
          <w:rFonts w:eastAsia="Segoe UI" w:cs="Segoe UI"/>
          <w:b/>
          <w:color w:val="0F4761"/>
          <w:sz w:val="26"/>
        </w:rPr>
        <w:t>8.7  Watch out</w:t>
      </w:r>
    </w:p>
    <w:p>
      <w:pPr>
        <w:pStyle w:val="Normal"/>
        <w:numPr>
          <w:ilvl w:val="0"/>
          <w:numId w:val="1"/>
        </w:numPr>
        <w:spacing w:before="0" w:after="60"/>
        <w:rPr/>
      </w:pPr>
      <w:r>
        <w:rPr>
          <w:rFonts w:eastAsia="Segoe UI" w:cs="Segoe UI" w:ascii="Segoe UI" w:hAnsi="Segoe UI"/>
          <w:color w:val="101820"/>
          <w:sz w:val="21"/>
        </w:rPr>
        <w:t>Do not dismiss the developer relationship. Offer the change request route for genuine gaps, priced at the published day rates, and the API for the developer to build around the product.</w:t>
      </w:r>
      <w:r>
        <w:br w:type="page"/>
      </w:r>
    </w:p>
    <w:p>
      <w:pPr>
        <w:pStyle w:val="Heading1"/>
        <w:rPr/>
      </w:pPr>
      <w:bookmarkStart w:id="43" w:name="__RefHeading___Toc8964_1360963153"/>
      <w:bookmarkEnd w:id="43"/>
      <w:r>
        <w:rPr>
          <w:rFonts w:eastAsia="Segoe UI" w:cs="Segoe UI" w:ascii="Segoe UI" w:hAnsi="Segoe UI"/>
          <w:b/>
          <w:color w:val="0F4761"/>
          <w:sz w:val="32"/>
        </w:rPr>
        <w:t>9.  Alternative 5: do nothing now</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Signal</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Response</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Proof</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"Next year"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Offer the workshop now: a sized plan and a price valid 90 days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Rate Card validity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 audit or IC examination is coming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Show the audit trail, the IC registers, the AML programme and the controls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Script 0:51 Controls and data privacy; optional segments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new rule takes effect (EOPT invoicing, AMLC reporting, complaints handling)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Show the screen that meets it and who confirms the settings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segments; FAQ</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key person is leaving or retiring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Show renewals, remittance and close running without one person's files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Script 0:29 Renewals; 0:45 Close and tax</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system contract is ending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 back from the end date; small broker 8 weeks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Approach</w:t>
            </w:r>
          </w:p>
        </w:tc>
      </w:tr>
    </w:tbl>
    <w:p>
      <w:pPr>
        <w:pStyle w:val="Heading1"/>
        <w:rPr/>
      </w:pPr>
      <w:r>
        <w:br w:type="page"/>
      </w:r>
      <w:bookmarkStart w:id="44" w:name="__RefHeading___Toc8966_1360963153"/>
      <w:bookmarkEnd w:id="44"/>
      <w:r>
        <w:rPr>
          <w:rFonts w:eastAsia="Segoe UI" w:cs="Segoe UI" w:ascii="Segoe UI" w:hAnsi="Segoe UI"/>
          <w:b/>
          <w:color w:val="0F4761"/>
          <w:sz w:val="32"/>
        </w:rPr>
        <w:t>10.  Objections specific to competition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07"/>
        <w:gridCol w:w="3253"/>
        <w:gridCol w:w="3254"/>
      </w:tblGrid>
      <w:tr>
        <w:trPr>
          <w:tblHeader w:val="true"/>
        </w:trPr>
        <w:tc>
          <w:tcPr>
            <w:tcW w:w="2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Objection</w:t>
            </w:r>
          </w:p>
        </w:tc>
        <w:tc>
          <w:tcPr>
            <w:tcW w:w="3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Answer with a fact</w:t>
            </w:r>
          </w:p>
        </w:tc>
        <w:tc>
          <w:tcPr>
            <w:tcW w:w="3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Proof</w:t>
            </w:r>
          </w:p>
        </w:tc>
      </w:tr>
      <w:tr>
        <w:trPr/>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other system has more features."</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"Which of them would your team use every day? Let us look at those against your own example."</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with the prospect's example</w:t>
            </w:r>
          </w:p>
        </w:tc>
      </w:tr>
      <w:tr>
        <w:trPr/>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other vendor is bigger."</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"Size matters less than who supports you in Manila time and how quickly. Here are our support targets and the agreement that fixes them."</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Support Approach; SLA</w:t>
            </w:r>
          </w:p>
        </w:tc>
      </w:tr>
      <w:tr>
        <w:trPr/>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other quote is cheaper."</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"Let us compare five-year totals with implementation, localisation, hosting and support included."</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Rate Card five-year totals</w:t>
            </w:r>
          </w:p>
        </w:tc>
      </w:tr>
      <w:tr>
        <w:trPr/>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"Our developer can build this."</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"Here is what is already built and tested; your developer can extend around it through the API."</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Summary Report; API catalogue</w:t>
            </w:r>
          </w:p>
        </w:tc>
      </w:tr>
      <w:tr>
        <w:trPr/>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"Our insurer gives us a free portal."</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it for issuance; BrokerVerse gives you the client view across insurers and does the money and the books."</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Script 0:23 Servicing and claims; 0:39 Money out</w:t>
            </w:r>
          </w:p>
        </w:tc>
      </w:tr>
    </w:tbl>
    <w:p>
      <w:pPr>
        <w:pStyle w:val="Heading1"/>
        <w:rPr/>
      </w:pPr>
      <w:r>
        <w:br w:type="page"/>
      </w:r>
      <w:bookmarkStart w:id="45" w:name="__RefHeading___Toc8968_1360963153"/>
      <w:bookmarkEnd w:id="45"/>
      <w:r>
        <w:rPr>
          <w:rFonts w:eastAsia="Segoe UI" w:cs="Segoe UI" w:ascii="Segoe UI" w:hAnsi="Segoe UI"/>
          <w:b/>
          <w:color w:val="0F4761"/>
          <w:sz w:val="32"/>
        </w:rPr>
        <w:t>11.  Disclose early: known limits that competitors may raise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Limit</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Honest position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Partner interfaces in test mode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SMS, CTPL, LTO, insurer, bank file and EIS connectors are delivered in test mode; each partner certifies its interface during onboarding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reports are working papers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accountant confirms the IC annual statement figures and transcribes them onto the IC form set; the broker files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native mobile app</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application for desktop and laptop browsers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 lists not supplied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 loads the lists it is entitled to use or contracts a screening provider; the AMLC file layout is confirmed by the compliance officer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treatment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tax adviser confirms ATCs, rates, invoice wording and VAT treatment; the system does not e-file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external penetration test yet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Recommended before go-live; committed yearly once hosted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ISO/IEC 27001 or SOC 2 certificate of iorta TechNXT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Cloud providers hold theirs; iorta TechNXT plan [to confirm]</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references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 which clients iorta TechNXT may name]</w:t>
            </w:r>
          </w:p>
        </w:tc>
      </w:tr>
    </w:tbl>
    <w:p>
      <w:pPr>
        <w:pStyle w:val="Heading1"/>
        <w:rPr/>
      </w:pPr>
      <w:r>
        <w:br w:type="page"/>
      </w:r>
      <w:bookmarkStart w:id="46" w:name="__RefHeading___Toc8970_1360963153"/>
      <w:bookmarkEnd w:id="46"/>
      <w:r>
        <w:rPr>
          <w:rFonts w:eastAsia="Segoe UI" w:cs="Segoe UI" w:ascii="Segoe UI" w:hAnsi="Segoe UI"/>
          <w:b/>
          <w:color w:val="0F4761"/>
          <w:sz w:val="32"/>
        </w:rPr>
        <w:t>12.  Win and loss log</w:t>
      </w:r>
    </w:p>
    <w:p>
      <w:pPr>
        <w:pStyle w:val="Normal"/>
        <w:spacing w:lineRule="auto" w:line="276" w:before="0" w:after="120"/>
        <w:rPr/>
      </w:pPr>
      <w:r>
        <w:rPr>
          <w:rFonts w:eastAsia="Segoe UI" w:cs="Segoe UI" w:ascii="Segoe UI" w:hAnsi="Segoe UI"/>
          <w:color w:val="101820"/>
          <w:sz w:val="21"/>
        </w:rPr>
        <w:t>After every decision, the account executive records in the sales pipeline record: the alternative chosen, the reason given, the reason believed, the price gap if any, and the limit that mattered. The sales head reviews the log each quarter and updates this battlecard. Win and loss figures: [to confirm once the first decisions are logged].</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47" w:name="__RefHeading___Toc8972_1360963153"/>
      <w:bookmarkStart w:id="48" w:name="_Toc233203395"/>
      <w:bookmarkEnd w:id="47"/>
      <w:r>
        <w:rPr>
          <w:rStyle w:val="BookTitle"/>
          <w:bCs w:val="false"/>
          <w:i w:val="false"/>
          <w:iCs w:val="false"/>
          <w:spacing w:val="0"/>
        </w:rPr>
        <w:t>13.  Document Sign-Off</w:t>
      </w:r>
      <w:bookmarkEnd w:id="48"/>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Win and loss evidence, client references and any named competitor positioning to be verified before use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3">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2">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2">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2026-10-04T09:06:30Z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