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032_1360963153">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4034_1360963153">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4036_1360963153">
            <w:r>
              <w:rPr>
                <w:webHidden/>
                <w:rStyle w:val="IndexLink"/>
              </w:rPr>
              <w:t>3. How to use this document</w:t>
              <w:tab/>
              <w:t>6</w:t>
            </w:r>
          </w:hyperlink>
        </w:p>
        <w:p>
          <w:pPr>
            <w:pStyle w:val="TOC2"/>
            <w:tabs>
              <w:tab w:val="clear" w:pos="900"/>
              <w:tab w:val="clear" w:pos="9350"/>
              <w:tab w:val="right" w:pos="9025" w:leader="dot"/>
            </w:tabs>
            <w:rPr/>
          </w:pPr>
          <w:hyperlink w:anchor="__RefHeading___Toc4038_1360963153">
            <w:r>
              <w:rPr>
                <w:webHidden/>
                <w:rStyle w:val="IndexLink"/>
              </w:rPr>
              <w:t>3.1 Purpose</w:t>
              <w:tab/>
              <w:t>6</w:t>
            </w:r>
          </w:hyperlink>
        </w:p>
        <w:p>
          <w:pPr>
            <w:pStyle w:val="TOC2"/>
            <w:tabs>
              <w:tab w:val="clear" w:pos="900"/>
              <w:tab w:val="clear" w:pos="9350"/>
              <w:tab w:val="right" w:pos="9025" w:leader="dot"/>
            </w:tabs>
            <w:rPr/>
          </w:pPr>
          <w:hyperlink w:anchor="__RefHeading___Toc4040_1360963153">
            <w:r>
              <w:rPr>
                <w:webHidden/>
                <w:rStyle w:val="IndexLink"/>
              </w:rPr>
              <w:t>3.2 Rules for the sales team</w:t>
              <w:tab/>
              <w:t>7</w:t>
            </w:r>
          </w:hyperlink>
        </w:p>
        <w:p>
          <w:pPr>
            <w:pStyle w:val="TOC1"/>
            <w:tabs>
              <w:tab w:val="clear" w:pos="900"/>
              <w:tab w:val="clear" w:pos="9350"/>
              <w:tab w:val="right" w:pos="9025" w:leader="dot"/>
            </w:tabs>
            <w:rPr/>
          </w:pPr>
          <w:hyperlink w:anchor="__RefHeading___Toc4042_1360963153">
            <w:r>
              <w:rPr>
                <w:webHidden/>
                <w:rStyle w:val="IndexLink"/>
              </w:rPr>
              <w:t>4. Product and scope</w:t>
              <w:tab/>
              <w:t>8</w:t>
            </w:r>
          </w:hyperlink>
        </w:p>
        <w:p>
          <w:pPr>
            <w:pStyle w:val="TOC2"/>
            <w:tabs>
              <w:tab w:val="clear" w:pos="900"/>
              <w:tab w:val="clear" w:pos="9350"/>
              <w:tab w:val="right" w:pos="9025" w:leader="dot"/>
            </w:tabs>
            <w:rPr/>
          </w:pPr>
          <w:hyperlink w:anchor="__RefHeading___Toc4044_1360963153">
            <w:r>
              <w:rPr>
                <w:webHidden/>
                <w:rStyle w:val="IndexLink"/>
              </w:rPr>
              <w:t>4.1 What is iNXT BrokerVerse OOTB?</w:t>
              <w:tab/>
              <w:t>8</w:t>
            </w:r>
          </w:hyperlink>
        </w:p>
        <w:p>
          <w:pPr>
            <w:pStyle w:val="TOC2"/>
            <w:tabs>
              <w:tab w:val="clear" w:pos="900"/>
              <w:tab w:val="clear" w:pos="9350"/>
              <w:tab w:val="right" w:pos="9025" w:leader="dot"/>
            </w:tabs>
            <w:rPr/>
          </w:pPr>
          <w:hyperlink w:anchor="__RefHeading___Toc4046_1360963153">
            <w:r>
              <w:rPr>
                <w:webHidden/>
                <w:rStyle w:val="IndexLink"/>
              </w:rPr>
              <w:t>4.2 Which lines of business does it support?</w:t>
              <w:tab/>
              <w:t>8</w:t>
            </w:r>
          </w:hyperlink>
        </w:p>
        <w:p>
          <w:pPr>
            <w:pStyle w:val="TOC2"/>
            <w:tabs>
              <w:tab w:val="clear" w:pos="900"/>
              <w:tab w:val="clear" w:pos="9350"/>
              <w:tab w:val="right" w:pos="9025" w:leader="dot"/>
            </w:tabs>
            <w:rPr/>
          </w:pPr>
          <w:hyperlink w:anchor="__RefHeading___Toc4048_1360963153">
            <w:r>
              <w:rPr>
                <w:webHidden/>
                <w:rStyle w:val="IndexLink"/>
              </w:rPr>
              <w:t>4.3 Does it handle co-insurance?</w:t>
              <w:tab/>
              <w:t>8</w:t>
            </w:r>
          </w:hyperlink>
        </w:p>
        <w:p>
          <w:pPr>
            <w:pStyle w:val="TOC2"/>
            <w:tabs>
              <w:tab w:val="clear" w:pos="900"/>
              <w:tab w:val="clear" w:pos="9350"/>
              <w:tab w:val="right" w:pos="9025" w:leader="dot"/>
            </w:tabs>
            <w:rPr/>
          </w:pPr>
          <w:hyperlink w:anchor="__RefHeading___Toc4050_1360963153">
            <w:r>
              <w:rPr>
                <w:webHidden/>
                <w:rStyle w:val="IndexLink"/>
              </w:rPr>
              <w:t>4.4 Does it handle direct bill as well as broker billed?</w:t>
              <w:tab/>
              <w:t>8</w:t>
            </w:r>
          </w:hyperlink>
        </w:p>
        <w:p>
          <w:pPr>
            <w:pStyle w:val="TOC2"/>
            <w:tabs>
              <w:tab w:val="clear" w:pos="900"/>
              <w:tab w:val="clear" w:pos="9350"/>
              <w:tab w:val="right" w:pos="9025" w:leader="dot"/>
            </w:tabs>
            <w:rPr/>
          </w:pPr>
          <w:hyperlink w:anchor="__RefHeading___Toc4052_1360963153">
            <w:r>
              <w:rPr>
                <w:webHidden/>
                <w:rStyle w:val="IndexLink"/>
              </w:rPr>
              <w:t>4.5 Do referrers and sub-agents need a login?</w:t>
              <w:tab/>
              <w:t>8</w:t>
            </w:r>
          </w:hyperlink>
        </w:p>
        <w:p>
          <w:pPr>
            <w:pStyle w:val="TOC2"/>
            <w:tabs>
              <w:tab w:val="clear" w:pos="900"/>
              <w:tab w:val="clear" w:pos="9350"/>
              <w:tab w:val="right" w:pos="9025" w:leader="dot"/>
            </w:tabs>
            <w:rPr/>
          </w:pPr>
          <w:hyperlink w:anchor="__RefHeading___Toc4054_1360963153">
            <w:r>
              <w:rPr>
                <w:webHidden/>
                <w:rStyle w:val="IndexLink"/>
              </w:rPr>
              <w:t>4.6 Which roles are delivered?</w:t>
              <w:tab/>
              <w:t>9</w:t>
            </w:r>
          </w:hyperlink>
        </w:p>
        <w:p>
          <w:pPr>
            <w:pStyle w:val="TOC2"/>
            <w:tabs>
              <w:tab w:val="clear" w:pos="900"/>
              <w:tab w:val="clear" w:pos="9350"/>
              <w:tab w:val="right" w:pos="9025" w:leader="dot"/>
            </w:tabs>
            <w:rPr/>
          </w:pPr>
          <w:hyperlink w:anchor="__RefHeading___Toc4056_1360963153">
            <w:r>
              <w:rPr>
                <w:webHidden/>
                <w:rStyle w:val="IndexLink"/>
              </w:rPr>
              <w:t>4.7 Can clients approve quotations or pay online?</w:t>
              <w:tab/>
              <w:t>9</w:t>
            </w:r>
          </w:hyperlink>
        </w:p>
        <w:p>
          <w:pPr>
            <w:pStyle w:val="TOC2"/>
            <w:tabs>
              <w:tab w:val="clear" w:pos="900"/>
              <w:tab w:val="clear" w:pos="9350"/>
              <w:tab w:val="right" w:pos="9025" w:leader="dot"/>
            </w:tabs>
            <w:rPr/>
          </w:pPr>
          <w:hyperlink w:anchor="__RefHeading___Toc4058_1360963153">
            <w:r>
              <w:rPr>
                <w:webHidden/>
                <w:rStyle w:val="IndexLink"/>
              </w:rPr>
              <w:t>4.8 Does the client receive documents by e-mail?</w:t>
              <w:tab/>
              <w:t>9</w:t>
            </w:r>
          </w:hyperlink>
        </w:p>
        <w:p>
          <w:pPr>
            <w:pStyle w:val="TOC2"/>
            <w:tabs>
              <w:tab w:val="clear" w:pos="900"/>
              <w:tab w:val="clear" w:pos="9350"/>
              <w:tab w:val="right" w:pos="9025" w:leader="dot"/>
            </w:tabs>
            <w:rPr/>
          </w:pPr>
          <w:hyperlink w:anchor="__RefHeading___Toc4060_1360963153">
            <w:r>
              <w:rPr>
                <w:webHidden/>
                <w:rStyle w:val="IndexLink"/>
              </w:rPr>
              <w:t>4.9 What reports come with the product?</w:t>
              <w:tab/>
              <w:t>9</w:t>
            </w:r>
          </w:hyperlink>
        </w:p>
        <w:p>
          <w:pPr>
            <w:pStyle w:val="TOC2"/>
            <w:tabs>
              <w:tab w:val="clear" w:pos="900"/>
              <w:tab w:val="clear" w:pos="9350"/>
              <w:tab w:val="right" w:pos="9025" w:leader="dot"/>
            </w:tabs>
            <w:rPr/>
          </w:pPr>
          <w:hyperlink w:anchor="__RefHeading___Toc4062_1360963153">
            <w:r>
              <w:rPr>
                <w:webHidden/>
                <w:rStyle w:val="IndexLink"/>
              </w:rPr>
              <w:t>4.10 Can it carry our brand?</w:t>
              <w:tab/>
              <w:t>9</w:t>
            </w:r>
          </w:hyperlink>
        </w:p>
        <w:p>
          <w:pPr>
            <w:pStyle w:val="TOC2"/>
            <w:tabs>
              <w:tab w:val="clear" w:pos="900"/>
              <w:tab w:val="clear" w:pos="9350"/>
              <w:tab w:val="right" w:pos="9025" w:leader="dot"/>
            </w:tabs>
            <w:rPr/>
          </w:pPr>
          <w:hyperlink w:anchor="__RefHeading___Toc4064_1360963153">
            <w:r>
              <w:rPr>
                <w:webHidden/>
                <w:rStyle w:val="IndexLink"/>
              </w:rPr>
              <w:t>4.11 Does it handle dealer programmes for brand-new vehicles?</w:t>
              <w:tab/>
              <w:t>10</w:t>
            </w:r>
          </w:hyperlink>
        </w:p>
        <w:p>
          <w:pPr>
            <w:pStyle w:val="TOC2"/>
            <w:tabs>
              <w:tab w:val="clear" w:pos="900"/>
              <w:tab w:val="clear" w:pos="9350"/>
              <w:tab w:val="right" w:pos="9025" w:leader="dot"/>
            </w:tabs>
            <w:rPr/>
          </w:pPr>
          <w:hyperlink w:anchor="__RefHeading___Toc4066_1360963153">
            <w:r>
              <w:rPr>
                <w:webHidden/>
                <w:rStyle w:val="IndexLink"/>
              </w:rPr>
              <w:t>4.12 Is there a mobile app?</w:t>
              <w:tab/>
              <w:t>10</w:t>
            </w:r>
          </w:hyperlink>
        </w:p>
        <w:p>
          <w:pPr>
            <w:pStyle w:val="TOC1"/>
            <w:tabs>
              <w:tab w:val="clear" w:pos="900"/>
              <w:tab w:val="clear" w:pos="9350"/>
              <w:tab w:val="right" w:pos="9025" w:leader="dot"/>
            </w:tabs>
            <w:rPr/>
          </w:pPr>
          <w:hyperlink w:anchor="__RefHeading___Toc4068_1360963153">
            <w:r>
              <w:rPr>
                <w:webHidden/>
                <w:rStyle w:val="IndexLink"/>
              </w:rPr>
              <w:t>5. Regulation and compliance</w:t>
              <w:tab/>
              <w:t>11</w:t>
            </w:r>
          </w:hyperlink>
        </w:p>
        <w:p>
          <w:pPr>
            <w:pStyle w:val="TOC2"/>
            <w:tabs>
              <w:tab w:val="clear" w:pos="900"/>
              <w:tab w:val="clear" w:pos="9350"/>
              <w:tab w:val="right" w:pos="9025" w:leader="dot"/>
            </w:tabs>
            <w:rPr/>
          </w:pPr>
          <w:hyperlink w:anchor="__RefHeading___Toc4070_1360963153">
            <w:r>
              <w:rPr>
                <w:webHidden/>
                <w:rStyle w:val="IndexLink"/>
              </w:rPr>
              <w:t>5.1 Does it support Insurance Commission requirements?</w:t>
              <w:tab/>
              <w:t>11</w:t>
            </w:r>
          </w:hyperlink>
        </w:p>
        <w:p>
          <w:pPr>
            <w:pStyle w:val="TOC2"/>
            <w:tabs>
              <w:tab w:val="clear" w:pos="900"/>
              <w:tab w:val="clear" w:pos="9350"/>
              <w:tab w:val="right" w:pos="9025" w:leader="dot"/>
            </w:tabs>
            <w:rPr/>
          </w:pPr>
          <w:hyperlink w:anchor="__RefHeading___Toc4072_1360963153">
            <w:r>
              <w:rPr>
                <w:webHidden/>
                <w:rStyle w:val="IndexLink"/>
              </w:rPr>
              <w:t>5.2 Which BIR outputs are included?</w:t>
              <w:tab/>
              <w:t>11</w:t>
            </w:r>
          </w:hyperlink>
        </w:p>
        <w:p>
          <w:pPr>
            <w:pStyle w:val="TOC2"/>
            <w:tabs>
              <w:tab w:val="clear" w:pos="900"/>
              <w:tab w:val="clear" w:pos="9350"/>
              <w:tab w:val="right" w:pos="9025" w:leader="dot"/>
            </w:tabs>
            <w:rPr/>
          </w:pPr>
          <w:hyperlink w:anchor="__RefHeading___Toc4074_1360963153">
            <w:r>
              <w:rPr>
                <w:webHidden/>
                <w:rStyle w:val="IndexLink"/>
              </w:rPr>
              <w:t>5.3 Is the system registered with the BIR as a Computerized Accounting System?</w:t>
              <w:tab/>
              <w:t>11</w:t>
            </w:r>
          </w:hyperlink>
        </w:p>
        <w:p>
          <w:pPr>
            <w:pStyle w:val="TOC2"/>
            <w:tabs>
              <w:tab w:val="clear" w:pos="900"/>
              <w:tab w:val="clear" w:pos="9350"/>
              <w:tab w:val="right" w:pos="9025" w:leader="dot"/>
            </w:tabs>
            <w:rPr/>
          </w:pPr>
          <w:hyperlink w:anchor="__RefHeading___Toc4076_1360963153">
            <w:r>
              <w:rPr>
                <w:webHidden/>
                <w:rStyle w:val="IndexLink"/>
              </w:rPr>
              <w:t>5.4 How does it handle invoices and receipts under the EOPT Act?</w:t>
              <w:tab/>
              <w:t>11</w:t>
            </w:r>
          </w:hyperlink>
        </w:p>
        <w:p>
          <w:pPr>
            <w:pStyle w:val="TOC2"/>
            <w:tabs>
              <w:tab w:val="clear" w:pos="900"/>
              <w:tab w:val="clear" w:pos="9350"/>
              <w:tab w:val="right" w:pos="9025" w:leader="dot"/>
            </w:tabs>
            <w:rPr/>
          </w:pPr>
          <w:hyperlink w:anchor="__RefHeading___Toc4078_1360963153">
            <w:r>
              <w:rPr>
                <w:webHidden/>
                <w:rStyle w:val="IndexLink"/>
              </w:rPr>
              <w:t>5.5 How are premium taxes calculated?</w:t>
              <w:tab/>
              <w:t>12</w:t>
            </w:r>
          </w:hyperlink>
        </w:p>
        <w:p>
          <w:pPr>
            <w:pStyle w:val="TOC2"/>
            <w:tabs>
              <w:tab w:val="clear" w:pos="900"/>
              <w:tab w:val="clear" w:pos="9350"/>
              <w:tab w:val="right" w:pos="9025" w:leader="dot"/>
            </w:tabs>
            <w:rPr/>
          </w:pPr>
          <w:hyperlink w:anchor="__RefHeading___Toc4080_1360963153">
            <w:r>
              <w:rPr>
                <w:webHidden/>
                <w:rStyle w:val="IndexLink"/>
              </w:rPr>
              <w:t>5.6 What does it do for the Data Privacy Act?</w:t>
              <w:tab/>
              <w:t>12</w:t>
            </w:r>
          </w:hyperlink>
        </w:p>
        <w:p>
          <w:pPr>
            <w:pStyle w:val="TOC2"/>
            <w:tabs>
              <w:tab w:val="clear" w:pos="900"/>
              <w:tab w:val="clear" w:pos="9350"/>
              <w:tab w:val="right" w:pos="9025" w:leader="dot"/>
            </w:tabs>
            <w:rPr/>
          </w:pPr>
          <w:hyperlink w:anchor="__RefHeading___Toc4082_1360963153">
            <w:r>
              <w:rPr>
                <w:webHidden/>
                <w:rStyle w:val="IndexLink"/>
              </w:rPr>
              <w:t>5.7 Does it cover anti-money laundering?</w:t>
              <w:tab/>
              <w:t>13</w:t>
            </w:r>
          </w:hyperlink>
        </w:p>
        <w:p>
          <w:pPr>
            <w:pStyle w:val="TOC1"/>
            <w:tabs>
              <w:tab w:val="clear" w:pos="900"/>
              <w:tab w:val="clear" w:pos="9350"/>
              <w:tab w:val="right" w:pos="9025" w:leader="dot"/>
            </w:tabs>
            <w:rPr/>
          </w:pPr>
          <w:hyperlink w:anchor="__RefHeading___Toc4084_1360963153">
            <w:r>
              <w:rPr>
                <w:webHidden/>
                <w:rStyle w:val="IndexLink"/>
              </w:rPr>
              <w:t>6. Integration and data</w:t>
              <w:tab/>
              <w:t>14</w:t>
            </w:r>
          </w:hyperlink>
        </w:p>
        <w:p>
          <w:pPr>
            <w:pStyle w:val="TOC2"/>
            <w:tabs>
              <w:tab w:val="clear" w:pos="900"/>
              <w:tab w:val="clear" w:pos="9350"/>
              <w:tab w:val="right" w:pos="9025" w:leader="dot"/>
            </w:tabs>
            <w:rPr/>
          </w:pPr>
          <w:hyperlink w:anchor="__RefHeading___Toc4086_1360963153">
            <w:r>
              <w:rPr>
                <w:webHidden/>
                <w:rStyle w:val="IndexLink"/>
              </w:rPr>
              <w:t>6.1 Does it connect to insurers' systems?</w:t>
              <w:tab/>
              <w:t>14</w:t>
            </w:r>
          </w:hyperlink>
        </w:p>
        <w:p>
          <w:pPr>
            <w:pStyle w:val="TOC2"/>
            <w:tabs>
              <w:tab w:val="clear" w:pos="900"/>
              <w:tab w:val="clear" w:pos="9350"/>
              <w:tab w:val="right" w:pos="9025" w:leader="dot"/>
            </w:tabs>
            <w:rPr/>
          </w:pPr>
          <w:hyperlink w:anchor="__RefHeading___Toc4088_1360963153">
            <w:r>
              <w:rPr>
                <w:webHidden/>
                <w:rStyle w:val="IndexLink"/>
              </w:rPr>
              <w:t>6.2 Which banks are supported for reconciliation?</w:t>
              <w:tab/>
              <w:t>14</w:t>
            </w:r>
          </w:hyperlink>
        </w:p>
        <w:p>
          <w:pPr>
            <w:pStyle w:val="TOC2"/>
            <w:tabs>
              <w:tab w:val="clear" w:pos="900"/>
              <w:tab w:val="clear" w:pos="9350"/>
              <w:tab w:val="right" w:pos="9025" w:leader="dot"/>
            </w:tabs>
            <w:rPr/>
          </w:pPr>
          <w:hyperlink w:anchor="__RefHeading___Toc4090_1360963153">
            <w:r>
              <w:rPr>
                <w:webHidden/>
                <w:rStyle w:val="IndexLink"/>
              </w:rPr>
              <w:t>6.3 Does it connect to our accounting package?</w:t>
              <w:tab/>
              <w:t>14</w:t>
            </w:r>
          </w:hyperlink>
        </w:p>
        <w:p>
          <w:pPr>
            <w:pStyle w:val="TOC2"/>
            <w:tabs>
              <w:tab w:val="clear" w:pos="900"/>
              <w:tab w:val="clear" w:pos="9350"/>
              <w:tab w:val="right" w:pos="9025" w:leader="dot"/>
            </w:tabs>
            <w:rPr/>
          </w:pPr>
          <w:hyperlink w:anchor="__RefHeading___Toc4092_1360963153">
            <w:r>
              <w:rPr>
                <w:webHidden/>
                <w:rStyle w:val="IndexLink"/>
              </w:rPr>
              <w:t>6.4 How is our existing data loaded?</w:t>
              <w:tab/>
              <w:t>14</w:t>
            </w:r>
          </w:hyperlink>
        </w:p>
        <w:p>
          <w:pPr>
            <w:pStyle w:val="TOC2"/>
            <w:tabs>
              <w:tab w:val="clear" w:pos="900"/>
              <w:tab w:val="clear" w:pos="9350"/>
              <w:tab w:val="right" w:pos="9025" w:leader="dot"/>
            </w:tabs>
            <w:rPr/>
          </w:pPr>
          <w:hyperlink w:anchor="__RefHeading___Toc4094_1360963153">
            <w:r>
              <w:rPr>
                <w:webHidden/>
                <w:rStyle w:val="IndexLink"/>
              </w:rPr>
              <w:t>6.5 Does it send SMS or connect to the CTPL authentication provider?</w:t>
              <w:tab/>
              <w:t>14</w:t>
            </w:r>
          </w:hyperlink>
        </w:p>
        <w:p>
          <w:pPr>
            <w:pStyle w:val="TOC2"/>
            <w:tabs>
              <w:tab w:val="clear" w:pos="900"/>
              <w:tab w:val="clear" w:pos="9350"/>
              <w:tab w:val="right" w:pos="9025" w:leader="dot"/>
            </w:tabs>
            <w:rPr/>
          </w:pPr>
          <w:hyperlink w:anchor="__RefHeading___Toc4096_1360963153">
            <w:r>
              <w:rPr>
                <w:webHidden/>
                <w:rStyle w:val="IndexLink"/>
              </w:rPr>
              <w:t>6.6 Is there an API?</w:t>
              <w:tab/>
              <w:t>15</w:t>
            </w:r>
          </w:hyperlink>
        </w:p>
        <w:p>
          <w:pPr>
            <w:pStyle w:val="TOC1"/>
            <w:tabs>
              <w:tab w:val="clear" w:pos="900"/>
              <w:tab w:val="clear" w:pos="9350"/>
              <w:tab w:val="right" w:pos="9025" w:leader="dot"/>
            </w:tabs>
            <w:rPr/>
          </w:pPr>
          <w:hyperlink w:anchor="__RefHeading___Toc4098_1360963153">
            <w:r>
              <w:rPr>
                <w:webHidden/>
                <w:rStyle w:val="IndexLink"/>
              </w:rPr>
              <w:t>7. Technology, hosting and security</w:t>
              <w:tab/>
              <w:t>16</w:t>
            </w:r>
          </w:hyperlink>
        </w:p>
        <w:p>
          <w:pPr>
            <w:pStyle w:val="TOC2"/>
            <w:tabs>
              <w:tab w:val="clear" w:pos="900"/>
              <w:tab w:val="clear" w:pos="9350"/>
              <w:tab w:val="right" w:pos="9025" w:leader="dot"/>
            </w:tabs>
            <w:rPr/>
          </w:pPr>
          <w:hyperlink w:anchor="__RefHeading___Toc4100_1360963153">
            <w:r>
              <w:rPr>
                <w:webHidden/>
                <w:rStyle w:val="IndexLink"/>
              </w:rPr>
              <w:t>7.1 What is it built on?</w:t>
              <w:tab/>
              <w:t>16</w:t>
            </w:r>
          </w:hyperlink>
        </w:p>
        <w:p>
          <w:pPr>
            <w:pStyle w:val="TOC2"/>
            <w:tabs>
              <w:tab w:val="clear" w:pos="900"/>
              <w:tab w:val="clear" w:pos="9350"/>
              <w:tab w:val="right" w:pos="9025" w:leader="dot"/>
            </w:tabs>
            <w:rPr/>
          </w:pPr>
          <w:hyperlink w:anchor="__RefHeading___Toc4102_1360963153">
            <w:r>
              <w:rPr>
                <w:webHidden/>
                <w:rStyle w:val="IndexLink"/>
              </w:rPr>
              <w:t>7.2 Where can it be hosted?</w:t>
              <w:tab/>
              <w:t>16</w:t>
            </w:r>
          </w:hyperlink>
        </w:p>
        <w:p>
          <w:pPr>
            <w:pStyle w:val="TOC2"/>
            <w:tabs>
              <w:tab w:val="clear" w:pos="900"/>
              <w:tab w:val="clear" w:pos="9350"/>
              <w:tab w:val="right" w:pos="9025" w:leader="dot"/>
            </w:tabs>
            <w:rPr/>
          </w:pPr>
          <w:hyperlink w:anchor="__RefHeading___Toc4104_1360963153">
            <w:r>
              <w:rPr>
                <w:webHidden/>
                <w:rStyle w:val="IndexLink"/>
              </w:rPr>
              <w:t>7.3 Our data must stay in the Philippines. Can it?</w:t>
              <w:tab/>
              <w:t>16</w:t>
            </w:r>
          </w:hyperlink>
        </w:p>
        <w:p>
          <w:pPr>
            <w:pStyle w:val="TOC2"/>
            <w:tabs>
              <w:tab w:val="clear" w:pos="900"/>
              <w:tab w:val="clear" w:pos="9350"/>
              <w:tab w:val="right" w:pos="9025" w:leader="dot"/>
            </w:tabs>
            <w:rPr/>
          </w:pPr>
          <w:hyperlink w:anchor="__RefHeading___Toc4106_1360963153">
            <w:r>
              <w:rPr>
                <w:webHidden/>
                <w:rStyle w:val="IndexLink"/>
              </w:rPr>
              <w:t>7.4 How is the system secured?</w:t>
              <w:tab/>
              <w:t>16</w:t>
            </w:r>
          </w:hyperlink>
        </w:p>
        <w:p>
          <w:pPr>
            <w:pStyle w:val="TOC2"/>
            <w:tabs>
              <w:tab w:val="clear" w:pos="900"/>
              <w:tab w:val="clear" w:pos="9350"/>
              <w:tab w:val="right" w:pos="9025" w:leader="dot"/>
            </w:tabs>
            <w:rPr/>
          </w:pPr>
          <w:hyperlink w:anchor="__RefHeading___Toc4108_1360963153">
            <w:r>
              <w:rPr>
                <w:webHidden/>
                <w:rStyle w:val="IndexLink"/>
              </w:rPr>
              <w:t>7.5 What about backups and disaster recovery?</w:t>
              <w:tab/>
              <w:t>16</w:t>
            </w:r>
          </w:hyperlink>
        </w:p>
        <w:p>
          <w:pPr>
            <w:pStyle w:val="TOC2"/>
            <w:tabs>
              <w:tab w:val="clear" w:pos="900"/>
              <w:tab w:val="clear" w:pos="9350"/>
              <w:tab w:val="right" w:pos="9025" w:leader="dot"/>
            </w:tabs>
            <w:rPr/>
          </w:pPr>
          <w:hyperlink w:anchor="__RefHeading___Toc4110_1360963153">
            <w:r>
              <w:rPr>
                <w:webHidden/>
                <w:rStyle w:val="IndexLink"/>
              </w:rPr>
              <w:t>7.6 Has it been tested?</w:t>
              <w:tab/>
              <w:t>17</w:t>
            </w:r>
          </w:hyperlink>
        </w:p>
        <w:p>
          <w:pPr>
            <w:pStyle w:val="TOC1"/>
            <w:tabs>
              <w:tab w:val="clear" w:pos="900"/>
              <w:tab w:val="clear" w:pos="9350"/>
              <w:tab w:val="right" w:pos="9025" w:leader="dot"/>
            </w:tabs>
            <w:rPr/>
          </w:pPr>
          <w:hyperlink w:anchor="__RefHeading___Toc4112_1360963153">
            <w:r>
              <w:rPr>
                <w:webHidden/>
                <w:rStyle w:val="IndexLink"/>
              </w:rPr>
              <w:t>8. Implementation</w:t>
              <w:tab/>
              <w:t>18</w:t>
            </w:r>
          </w:hyperlink>
        </w:p>
        <w:p>
          <w:pPr>
            <w:pStyle w:val="TOC2"/>
            <w:tabs>
              <w:tab w:val="clear" w:pos="900"/>
              <w:tab w:val="clear" w:pos="9350"/>
              <w:tab w:val="right" w:pos="9025" w:leader="dot"/>
            </w:tabs>
            <w:rPr/>
          </w:pPr>
          <w:hyperlink w:anchor="__RefHeading___Toc4114_1360963153">
            <w:r>
              <w:rPr>
                <w:webHidden/>
                <w:rStyle w:val="IndexLink"/>
              </w:rPr>
              <w:t>8.1 How long does it take?</w:t>
              <w:tab/>
              <w:t>18</w:t>
            </w:r>
          </w:hyperlink>
        </w:p>
        <w:p>
          <w:pPr>
            <w:pStyle w:val="TOC2"/>
            <w:tabs>
              <w:tab w:val="clear" w:pos="900"/>
              <w:tab w:val="clear" w:pos="9350"/>
              <w:tab w:val="right" w:pos="9025" w:leader="dot"/>
            </w:tabs>
            <w:rPr/>
          </w:pPr>
          <w:hyperlink w:anchor="__RefHeading___Toc4116_1360963153">
            <w:r>
              <w:rPr>
                <w:webHidden/>
                <w:rStyle w:val="IndexLink"/>
              </w:rPr>
              <w:t>8.2 What do you need from us?</w:t>
              <w:tab/>
              <w:t>18</w:t>
            </w:r>
          </w:hyperlink>
        </w:p>
        <w:p>
          <w:pPr>
            <w:pStyle w:val="TOC2"/>
            <w:tabs>
              <w:tab w:val="clear" w:pos="900"/>
              <w:tab w:val="clear" w:pos="9350"/>
              <w:tab w:val="right" w:pos="9025" w:leader="dot"/>
            </w:tabs>
            <w:rPr/>
          </w:pPr>
          <w:hyperlink w:anchor="__RefHeading___Toc4118_1360963153">
            <w:r>
              <w:rPr>
                <w:webHidden/>
                <w:rStyle w:val="IndexLink"/>
              </w:rPr>
              <w:t>8.3 Can you customise it to our process?</w:t>
              <w:tab/>
              <w:t>18</w:t>
            </w:r>
          </w:hyperlink>
        </w:p>
        <w:p>
          <w:pPr>
            <w:pStyle w:val="TOC2"/>
            <w:tabs>
              <w:tab w:val="clear" w:pos="900"/>
              <w:tab w:val="clear" w:pos="9350"/>
              <w:tab w:val="right" w:pos="9025" w:leader="dot"/>
            </w:tabs>
            <w:rPr/>
          </w:pPr>
          <w:hyperlink w:anchor="__RefHeading___Toc4120_1360963153">
            <w:r>
              <w:rPr>
                <w:webHidden/>
                <w:rStyle w:val="IndexLink"/>
              </w:rPr>
              <w:t>8.4 How are users trained?</w:t>
              <w:tab/>
              <w:t>18</w:t>
            </w:r>
          </w:hyperlink>
        </w:p>
        <w:p>
          <w:pPr>
            <w:pStyle w:val="TOC1"/>
            <w:tabs>
              <w:tab w:val="clear" w:pos="900"/>
              <w:tab w:val="clear" w:pos="9350"/>
              <w:tab w:val="right" w:pos="9025" w:leader="dot"/>
            </w:tabs>
            <w:rPr/>
          </w:pPr>
          <w:hyperlink w:anchor="__RefHeading___Toc4122_1360963153">
            <w:r>
              <w:rPr>
                <w:webHidden/>
                <w:rStyle w:val="IndexLink"/>
              </w:rPr>
              <w:t>9. Support and maintenance</w:t>
              <w:tab/>
              <w:t>19</w:t>
            </w:r>
          </w:hyperlink>
        </w:p>
        <w:p>
          <w:pPr>
            <w:pStyle w:val="TOC2"/>
            <w:tabs>
              <w:tab w:val="clear" w:pos="900"/>
              <w:tab w:val="clear" w:pos="9350"/>
              <w:tab w:val="right" w:pos="9025" w:leader="dot"/>
            </w:tabs>
            <w:rPr/>
          </w:pPr>
          <w:hyperlink w:anchor="__RefHeading___Toc4124_1360963153">
            <w:r>
              <w:rPr>
                <w:webHidden/>
                <w:rStyle w:val="IndexLink"/>
              </w:rPr>
              <w:t>9.1 How does support work?</w:t>
              <w:tab/>
              <w:t>19</w:t>
            </w:r>
          </w:hyperlink>
        </w:p>
        <w:p>
          <w:pPr>
            <w:pStyle w:val="TOC2"/>
            <w:tabs>
              <w:tab w:val="clear" w:pos="900"/>
              <w:tab w:val="clear" w:pos="9350"/>
              <w:tab w:val="right" w:pos="9025" w:leader="dot"/>
            </w:tabs>
            <w:rPr/>
          </w:pPr>
          <w:hyperlink w:anchor="__RefHeading___Toc4126_1360963153">
            <w:r>
              <w:rPr>
                <w:webHidden/>
                <w:rStyle w:val="IndexLink"/>
              </w:rPr>
              <w:t>9.2 What does the AMC cover?</w:t>
              <w:tab/>
              <w:t>19</w:t>
            </w:r>
          </w:hyperlink>
        </w:p>
        <w:p>
          <w:pPr>
            <w:pStyle w:val="TOC2"/>
            <w:tabs>
              <w:tab w:val="clear" w:pos="900"/>
              <w:tab w:val="clear" w:pos="9350"/>
              <w:tab w:val="right" w:pos="9025" w:leader="dot"/>
            </w:tabs>
            <w:rPr/>
          </w:pPr>
          <w:hyperlink w:anchor="__RefHeading___Toc4128_1360963153">
            <w:r>
              <w:rPr>
                <w:webHidden/>
                <w:rStyle w:val="IndexLink"/>
              </w:rPr>
              <w:t>9.3 Will we get updates for new BIR forms?</w:t>
              <w:tab/>
              <w:t>19</w:t>
            </w:r>
          </w:hyperlink>
        </w:p>
        <w:p>
          <w:pPr>
            <w:pStyle w:val="TOC1"/>
            <w:tabs>
              <w:tab w:val="clear" w:pos="900"/>
              <w:tab w:val="clear" w:pos="9350"/>
              <w:tab w:val="right" w:pos="9025" w:leader="dot"/>
            </w:tabs>
            <w:rPr/>
          </w:pPr>
          <w:hyperlink w:anchor="__RefHeading___Toc4130_1360963153">
            <w:r>
              <w:rPr>
                <w:webHidden/>
                <w:rStyle w:val="IndexLink"/>
              </w:rPr>
              <w:t>10. Commercials</w:t>
              <w:tab/>
              <w:t>20</w:t>
            </w:r>
          </w:hyperlink>
        </w:p>
        <w:p>
          <w:pPr>
            <w:pStyle w:val="TOC2"/>
            <w:tabs>
              <w:tab w:val="clear" w:pos="900"/>
              <w:tab w:val="clear" w:pos="9350"/>
              <w:tab w:val="right" w:pos="9025" w:leader="dot"/>
            </w:tabs>
            <w:rPr/>
          </w:pPr>
          <w:hyperlink w:anchor="__RefHeading___Toc4132_1360963153">
            <w:r>
              <w:rPr>
                <w:webHidden/>
                <w:rStyle w:val="IndexLink"/>
              </w:rPr>
              <w:t>10.1 How is iNXT BrokerVerse priced?</w:t>
              <w:tab/>
              <w:t>20</w:t>
            </w:r>
          </w:hyperlink>
        </w:p>
        <w:p>
          <w:pPr>
            <w:pStyle w:val="TOC2"/>
            <w:tabs>
              <w:tab w:val="clear" w:pos="900"/>
              <w:tab w:val="clear" w:pos="9350"/>
              <w:tab w:val="right" w:pos="9025" w:leader="dot"/>
            </w:tabs>
            <w:rPr/>
          </w:pPr>
          <w:hyperlink w:anchor="__RefHeading___Toc4134_1360963153">
            <w:r>
              <w:rPr>
                <w:webHidden/>
                <w:rStyle w:val="IndexLink"/>
              </w:rPr>
              <w:t>10.2 Which model should we choose?</w:t>
              <w:tab/>
              <w:t>20</w:t>
            </w:r>
          </w:hyperlink>
        </w:p>
        <w:p>
          <w:pPr>
            <w:pStyle w:val="TOC2"/>
            <w:tabs>
              <w:tab w:val="clear" w:pos="900"/>
              <w:tab w:val="clear" w:pos="9350"/>
              <w:tab w:val="right" w:pos="9025" w:leader="dot"/>
            </w:tabs>
            <w:rPr/>
          </w:pPr>
          <w:hyperlink w:anchor="__RefHeading___Toc4136_1360963153">
            <w:r>
              <w:rPr>
                <w:webHidden/>
                <w:rStyle w:val="IndexLink"/>
              </w:rPr>
              <w:t>10.3 Who counts as a user?</w:t>
              <w:tab/>
              <w:t>20</w:t>
            </w:r>
          </w:hyperlink>
        </w:p>
        <w:p>
          <w:pPr>
            <w:pStyle w:val="TOC2"/>
            <w:tabs>
              <w:tab w:val="clear" w:pos="900"/>
              <w:tab w:val="clear" w:pos="9350"/>
              <w:tab w:val="right" w:pos="9025" w:leader="dot"/>
            </w:tabs>
            <w:rPr/>
          </w:pPr>
          <w:hyperlink w:anchor="__RefHeading___Toc4138_1360963153">
            <w:r>
              <w:rPr>
                <w:webHidden/>
                <w:rStyle w:val="IndexLink"/>
              </w:rPr>
              <w:t>10.4 What are the payment terms?</w:t>
              <w:tab/>
              <w:t>20</w:t>
            </w:r>
          </w:hyperlink>
        </w:p>
        <w:p>
          <w:pPr>
            <w:pStyle w:val="TOC2"/>
            <w:tabs>
              <w:tab w:val="clear" w:pos="900"/>
              <w:tab w:val="clear" w:pos="9350"/>
              <w:tab w:val="right" w:pos="9025" w:leader="dot"/>
            </w:tabs>
            <w:rPr/>
          </w:pPr>
          <w:hyperlink w:anchor="__RefHeading___Toc4140_1360963153">
            <w:r>
              <w:rPr>
                <w:webHidden/>
                <w:rStyle w:val="IndexLink"/>
              </w:rPr>
              <w:t>10.5 Can we withhold tax on your invoices?</w:t>
              <w:tab/>
              <w:t>20</w:t>
            </w:r>
          </w:hyperlink>
        </w:p>
        <w:p>
          <w:pPr>
            <w:pStyle w:val="TOC2"/>
            <w:tabs>
              <w:tab w:val="clear" w:pos="900"/>
              <w:tab w:val="clear" w:pos="9350"/>
              <w:tab w:val="right" w:pos="9025" w:leader="dot"/>
            </w:tabs>
            <w:rPr/>
          </w:pPr>
          <w:hyperlink w:anchor="__RefHeading___Toc4142_1360963153">
            <w:r>
              <w:rPr>
                <w:webHidden/>
                <w:rStyle w:val="IndexLink"/>
              </w:rPr>
              <w:t>10.6 Is there a discount?</w:t>
              <w:tab/>
              <w:t>20</w:t>
            </w:r>
          </w:hyperlink>
        </w:p>
        <w:p>
          <w:pPr>
            <w:pStyle w:val="TOC1"/>
            <w:tabs>
              <w:tab w:val="clear" w:pos="900"/>
              <w:tab w:val="clear" w:pos="9350"/>
              <w:tab w:val="right" w:pos="9025" w:leader="dot"/>
            </w:tabs>
            <w:rPr/>
          </w:pPr>
          <w:hyperlink w:anchor="__RefHeading___Toc4144_1360963153">
            <w:r>
              <w:rPr>
                <w:webHidden/>
                <w:rStyle w:val="IndexLink"/>
              </w:rPr>
              <w:t>11. Objection handling</w:t>
              <w:tab/>
              <w:t>21</w:t>
            </w:r>
          </w:hyperlink>
        </w:p>
        <w:p>
          <w:pPr>
            <w:pStyle w:val="TOC2"/>
            <w:tabs>
              <w:tab w:val="clear" w:pos="900"/>
              <w:tab w:val="clear" w:pos="9350"/>
              <w:tab w:val="right" w:pos="9025" w:leader="dot"/>
            </w:tabs>
            <w:rPr/>
          </w:pPr>
          <w:hyperlink w:anchor="__RefHeading___Toc4146_1360963153">
            <w:r>
              <w:rPr>
                <w:webHidden/>
                <w:rStyle w:val="IndexLink"/>
              </w:rPr>
              <w:t>11.1 How to handle an objection</w:t>
              <w:tab/>
              <w:t>21</w:t>
            </w:r>
          </w:hyperlink>
        </w:p>
        <w:p>
          <w:pPr>
            <w:pStyle w:val="TOC2"/>
            <w:tabs>
              <w:tab w:val="clear" w:pos="900"/>
              <w:tab w:val="clear" w:pos="9350"/>
              <w:tab w:val="right" w:pos="9025" w:leader="dot"/>
            </w:tabs>
            <w:rPr/>
          </w:pPr>
          <w:hyperlink w:anchor="__RefHeading___Toc4148_1360963153">
            <w:r>
              <w:rPr>
                <w:webHidden/>
                <w:rStyle w:val="IndexLink"/>
              </w:rPr>
              <w:t>11.2 "Our spreadsheets and current system work well enough."</w:t>
              <w:tab/>
              <w:t>21</w:t>
            </w:r>
          </w:hyperlink>
        </w:p>
        <w:p>
          <w:pPr>
            <w:pStyle w:val="TOC2"/>
            <w:tabs>
              <w:tab w:val="clear" w:pos="900"/>
              <w:tab w:val="clear" w:pos="9350"/>
              <w:tab w:val="right" w:pos="9025" w:leader="dot"/>
            </w:tabs>
            <w:rPr/>
          </w:pPr>
          <w:hyperlink w:anchor="__RefHeading___Toc4150_1360963153">
            <w:r>
              <w:rPr>
                <w:webHidden/>
                <w:rStyle w:val="IndexLink"/>
              </w:rPr>
              <w:t>11.3 "It is too expensive."</w:t>
              <w:tab/>
              <w:t>21</w:t>
            </w:r>
          </w:hyperlink>
        </w:p>
        <w:p>
          <w:pPr>
            <w:pStyle w:val="TOC2"/>
            <w:tabs>
              <w:tab w:val="clear" w:pos="900"/>
              <w:tab w:val="clear" w:pos="9350"/>
              <w:tab w:val="right" w:pos="9025" w:leader="dot"/>
            </w:tabs>
            <w:rPr/>
          </w:pPr>
          <w:hyperlink w:anchor="__RefHeading___Toc4152_1360963153">
            <w:r>
              <w:rPr>
                <w:webHidden/>
                <w:rStyle w:val="IndexLink"/>
              </w:rPr>
              <w:t>11.4 "A global broker system has more features."</w:t>
              <w:tab/>
              <w:t>21</w:t>
            </w:r>
          </w:hyperlink>
        </w:p>
        <w:p>
          <w:pPr>
            <w:pStyle w:val="TOC2"/>
            <w:tabs>
              <w:tab w:val="clear" w:pos="900"/>
              <w:tab w:val="clear" w:pos="9350"/>
              <w:tab w:val="right" w:pos="9025" w:leader="dot"/>
            </w:tabs>
            <w:rPr/>
          </w:pPr>
          <w:hyperlink w:anchor="__RefHeading___Toc4154_1360963153">
            <w:r>
              <w:rPr>
                <w:webHidden/>
                <w:rStyle w:val="IndexLink"/>
              </w:rPr>
              <w:t>11.5 "We are too small for a system like this."</w:t>
              <w:tab/>
              <w:t>22</w:t>
            </w:r>
          </w:hyperlink>
        </w:p>
        <w:p>
          <w:pPr>
            <w:pStyle w:val="TOC2"/>
            <w:tabs>
              <w:tab w:val="clear" w:pos="900"/>
              <w:tab w:val="clear" w:pos="9350"/>
              <w:tab w:val="right" w:pos="9025" w:leader="dot"/>
            </w:tabs>
            <w:rPr/>
          </w:pPr>
          <w:hyperlink w:anchor="__RefHeading___Toc4156_1360963153">
            <w:r>
              <w:rPr>
                <w:webHidden/>
                <w:rStyle w:val="IndexLink"/>
              </w:rPr>
              <w:t>11.6 "We need it to work exactly like our current process."</w:t>
              <w:tab/>
              <w:t>22</w:t>
            </w:r>
          </w:hyperlink>
        </w:p>
        <w:p>
          <w:pPr>
            <w:pStyle w:val="TOC2"/>
            <w:tabs>
              <w:tab w:val="clear" w:pos="900"/>
              <w:tab w:val="clear" w:pos="9350"/>
              <w:tab w:val="right" w:pos="9025" w:leader="dot"/>
            </w:tabs>
            <w:rPr/>
          </w:pPr>
          <w:hyperlink w:anchor="__RefHeading___Toc4158_1360963153">
            <w:r>
              <w:rPr>
                <w:webHidden/>
                <w:rStyle w:val="IndexLink"/>
              </w:rPr>
              <w:t>11.7 "Implementation projects always run late."</w:t>
              <w:tab/>
              <w:t>22</w:t>
            </w:r>
          </w:hyperlink>
        </w:p>
        <w:p>
          <w:pPr>
            <w:pStyle w:val="TOC2"/>
            <w:tabs>
              <w:tab w:val="clear" w:pos="900"/>
              <w:tab w:val="clear" w:pos="9350"/>
              <w:tab w:val="right" w:pos="9025" w:leader="dot"/>
            </w:tabs>
            <w:rPr/>
          </w:pPr>
          <w:hyperlink w:anchor="__RefHeading___Toc4160_1360963153">
            <w:r>
              <w:rPr>
                <w:webHidden/>
                <w:rStyle w:val="IndexLink"/>
              </w:rPr>
              <w:t>11.8 "We do not want our data in the cloud abroad."</w:t>
              <w:tab/>
              <w:t>22</w:t>
            </w:r>
          </w:hyperlink>
        </w:p>
        <w:p>
          <w:pPr>
            <w:pStyle w:val="TOC2"/>
            <w:tabs>
              <w:tab w:val="clear" w:pos="900"/>
              <w:tab w:val="clear" w:pos="9350"/>
              <w:tab w:val="right" w:pos="9025" w:leader="dot"/>
            </w:tabs>
            <w:rPr/>
          </w:pPr>
          <w:hyperlink w:anchor="__RefHeading___Toc4162_1360963153">
            <w:r>
              <w:rPr>
                <w:webHidden/>
                <w:rStyle w:val="IndexLink"/>
              </w:rPr>
              <w:t>11.9 "We need direct integration with our insurers."</w:t>
              <w:tab/>
              <w:t>22</w:t>
            </w:r>
          </w:hyperlink>
        </w:p>
        <w:p>
          <w:pPr>
            <w:pStyle w:val="TOC2"/>
            <w:tabs>
              <w:tab w:val="clear" w:pos="900"/>
              <w:tab w:val="clear" w:pos="9350"/>
              <w:tab w:val="right" w:pos="9025" w:leader="dot"/>
            </w:tabs>
            <w:rPr/>
          </w:pPr>
          <w:hyperlink w:anchor="__RefHeading___Toc4164_1360963153">
            <w:r>
              <w:rPr>
                <w:webHidden/>
                <w:rStyle w:val="IndexLink"/>
              </w:rPr>
              <w:t>11.10 "Our finance team will not change the accounting system."</w:t>
              <w:tab/>
              <w:t>23</w:t>
            </w:r>
          </w:hyperlink>
        </w:p>
        <w:p>
          <w:pPr>
            <w:pStyle w:val="TOC2"/>
            <w:tabs>
              <w:tab w:val="clear" w:pos="900"/>
              <w:tab w:val="clear" w:pos="9350"/>
              <w:tab w:val="right" w:pos="9025" w:leader="dot"/>
            </w:tabs>
            <w:rPr/>
          </w:pPr>
          <w:hyperlink w:anchor="__RefHeading___Toc4166_1360963153">
            <w:r>
              <w:rPr>
                <w:webHidden/>
                <w:rStyle w:val="IndexLink"/>
              </w:rPr>
              <w:t>11.11 "Twenty-two percent AMC is high."</w:t>
              <w:tab/>
              <w:t>23</w:t>
            </w:r>
          </w:hyperlink>
        </w:p>
        <w:p>
          <w:pPr>
            <w:pStyle w:val="TOC2"/>
            <w:tabs>
              <w:tab w:val="clear" w:pos="900"/>
              <w:tab w:val="clear" w:pos="9350"/>
              <w:tab w:val="right" w:pos="9025" w:leader="dot"/>
            </w:tabs>
            <w:rPr/>
          </w:pPr>
          <w:hyperlink w:anchor="__RefHeading___Toc4168_1360963153">
            <w:r>
              <w:rPr>
                <w:webHidden/>
                <w:rStyle w:val="IndexLink"/>
              </w:rPr>
              <w:t>11.12 "The 5% yearly increase is a concern."</w:t>
              <w:tab/>
              <w:t>23</w:t>
            </w:r>
          </w:hyperlink>
        </w:p>
        <w:p>
          <w:pPr>
            <w:pStyle w:val="TOC2"/>
            <w:tabs>
              <w:tab w:val="clear" w:pos="900"/>
              <w:tab w:val="clear" w:pos="9350"/>
              <w:tab w:val="right" w:pos="9025" w:leader="dot"/>
            </w:tabs>
            <w:rPr/>
          </w:pPr>
          <w:hyperlink w:anchor="__RefHeading___Toc4170_1360963153">
            <w:r>
              <w:rPr>
                <w:webHidden/>
                <w:rStyle w:val="IndexLink"/>
              </w:rPr>
              <w:t>11.13 "Who are your other clients?"</w:t>
              <w:tab/>
              <w:t>23</w:t>
            </w:r>
          </w:hyperlink>
        </w:p>
        <w:p>
          <w:pPr>
            <w:pStyle w:val="TOC2"/>
            <w:tabs>
              <w:tab w:val="clear" w:pos="900"/>
              <w:tab w:val="clear" w:pos="9350"/>
              <w:tab w:val="right" w:pos="9025" w:leader="dot"/>
            </w:tabs>
            <w:rPr/>
          </w:pPr>
          <w:hyperlink w:anchor="__RefHeading___Toc4172_1360963153">
            <w:r>
              <w:rPr>
                <w:webHidden/>
                <w:rStyle w:val="IndexLink"/>
              </w:rPr>
              <w:t>11.14 "What happens if iorta TechNXT is no longer there?"</w:t>
              <w:tab/>
              <w:t>23</w:t>
            </w:r>
          </w:hyperlink>
        </w:p>
        <w:p>
          <w:pPr>
            <w:pStyle w:val="TOC2"/>
            <w:tabs>
              <w:tab w:val="clear" w:pos="900"/>
              <w:tab w:val="clear" w:pos="9350"/>
              <w:tab w:val="right" w:pos="9025" w:leader="dot"/>
            </w:tabs>
            <w:rPr/>
          </w:pPr>
          <w:hyperlink w:anchor="__RefHeading___Toc4174_1360963153">
            <w:r>
              <w:rPr>
                <w:webHidden/>
                <w:rStyle w:val="IndexLink"/>
              </w:rPr>
              <w:t>11.15 "Our users will not adopt a new system."</w:t>
              <w:tab/>
              <w:t>24</w:t>
            </w:r>
          </w:hyperlink>
        </w:p>
        <w:p>
          <w:pPr>
            <w:pStyle w:val="TOC2"/>
            <w:tabs>
              <w:tab w:val="clear" w:pos="900"/>
              <w:tab w:val="clear" w:pos="9350"/>
              <w:tab w:val="right" w:pos="9025" w:leader="dot"/>
            </w:tabs>
            <w:rPr/>
          </w:pPr>
          <w:hyperlink w:anchor="__RefHeading___Toc4176_1360963153">
            <w:r>
              <w:rPr>
                <w:webHidden/>
                <w:rStyle w:val="IndexLink"/>
              </w:rPr>
              <w:t>11.16 "The timing is not right. Maybe next year."</w:t>
              <w:tab/>
              <w:t>24</w:t>
            </w:r>
          </w:hyperlink>
        </w:p>
        <w:p>
          <w:pPr>
            <w:pStyle w:val="TOC1"/>
            <w:tabs>
              <w:tab w:val="clear" w:pos="900"/>
              <w:tab w:val="clear" w:pos="9350"/>
              <w:tab w:val="right" w:pos="9025" w:leader="dot"/>
            </w:tabs>
            <w:rPr/>
          </w:pPr>
          <w:hyperlink w:anchor="__RefHeading___Toc4178_1360963153">
            <w:r>
              <w:rPr>
                <w:webHidden/>
                <w:rStyle w:val="IndexLink"/>
              </w:rPr>
              <w:t>12. Known limits of the OOTB version</w:t>
              <w:tab/>
              <w:t>25</w:t>
            </w:r>
          </w:hyperlink>
        </w:p>
        <w:p>
          <w:pPr>
            <w:pStyle w:val="TOC1"/>
            <w:tabs>
              <w:tab w:val="clear" w:pos="900"/>
              <w:tab w:val="clear" w:pos="9350"/>
              <w:tab w:val="right" w:pos="9025" w:leader="dot"/>
            </w:tabs>
            <w:rPr/>
          </w:pPr>
          <w:hyperlink w:anchor="__RefHeading___Toc4180_1360963153">
            <w:r>
              <w:rPr>
                <w:webHidden/>
                <w:rStyle w:val="IndexLink"/>
                <w:i w:val="false"/>
                <w:iCs w:val="false"/>
              </w:rPr>
              <w:t>13.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032_136096315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updated for AML/CFT, the IC and NPC compliance registers, BIR forms and EOPT invoices, integrations, dealer programmes, branding, My Work and the Report Builder; known limits revised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034_136096315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Covered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Suspicious transaction report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Politically exposed person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Short message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036_1360963153"/>
      <w:bookmarkEnd w:id="6"/>
      <w:r>
        <w:rPr>
          <w:rFonts w:eastAsia="Segoe UI" w:cs="Segoe UI" w:ascii="Segoe UI" w:hAnsi="Segoe UI"/>
          <w:b/>
          <w:color w:val="0F4761"/>
          <w:sz w:val="32"/>
        </w:rPr>
        <w:t>3.  How to use this document</w:t>
      </w:r>
    </w:p>
    <w:p>
      <w:pPr>
        <w:pStyle w:val="Heading2"/>
        <w:rPr/>
      </w:pPr>
      <w:bookmarkStart w:id="7" w:name="__RefHeading___Toc4038_136096315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4040_1360963153"/>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4042_1360963153"/>
      <w:bookmarkEnd w:id="9"/>
      <w:r>
        <w:rPr>
          <w:rFonts w:eastAsia="Segoe UI" w:cs="Segoe UI" w:ascii="Segoe UI" w:hAnsi="Segoe UI"/>
          <w:b/>
          <w:color w:val="0F4761"/>
          <w:sz w:val="32"/>
        </w:rPr>
        <w:t>4.  Product and scope</w:t>
      </w:r>
    </w:p>
    <w:p>
      <w:pPr>
        <w:pStyle w:val="Heading2"/>
        <w:rPr/>
      </w:pPr>
      <w:bookmarkStart w:id="10" w:name="__RefHeading___Toc4044_1360963153"/>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cover notes, endorsements, cancellations, claims, renewals, billing, official receipts and sales invoices, collections and credit control, remittance to insurers, direct bill, commission and incentives, reinsurance, the general ledger, bank and insurer reconciliation, accounts payable and fixed assets, the month-end and year-end close, BIR forms and returns, anti-money laundering, the Insurance Commission and privacy registers, integrations with SMS gateways, the CTPL authentication provider, insurers and banks, dealer programmes, fleets and open covers, My Work, the Report Builder, reports and dashboards, and the broker's own branding. "OOTB" means it is delivered as it is and fitted to the broker by configuration; changes to the product are change requests.</w:t>
      </w:r>
    </w:p>
    <w:p>
      <w:pPr>
        <w:pStyle w:val="Heading2"/>
        <w:rPr/>
      </w:pPr>
      <w:bookmarkStart w:id="11" w:name="__RefHeading___Toc4046_1360963153"/>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4048_1360963153"/>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4050_1360963153"/>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4052_1360963153"/>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4054_1360963153"/>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Eight: System Administrator, Sales &amp; Marketing, Processing Team, Operations, Claims, Accounting, Accounting Manager and Compliance Officer (AML/CFT). Each has its own menus, landing page and server-side permissions. Roles can be adjusted in Master &gt; Generals &gt; User Management. Every user also has Operations &gt; My Work: the items waiting for them by category, their team's items for a manager, their tasks with reminders and a calendar.</w:t>
      </w:r>
    </w:p>
    <w:p>
      <w:pPr>
        <w:pStyle w:val="Heading2"/>
        <w:rPr/>
      </w:pPr>
      <w:bookmarkStart w:id="16" w:name="__RefHeading___Toc4056_1360963153"/>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4058_1360963153"/>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4060_1360963153"/>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The catalogue reports in Reports &gt; All Reports, grouped as production and placement, claims and renewals, insurers and commission, receivables and cash, ledger and period end, BIR tax and bank, plus Dealer Production. Each runs on screen with totals and downloads as Excel, CSV or PDF on the broker's letterhead. The Report Builder answers ad hoc questions over curated datasets (policies, clients, bills, claims, commissions) without programming, with saved and shared reports and export to Excel; a nightly BI extract writes the same datasets as CSV files for a BI tool. There are also Executive, Sales, Processing, Claims and Commission dashboards. The Reports Book describes every report.</w:t>
      </w:r>
    </w:p>
    <w:p>
      <w:pPr>
        <w:pStyle w:val="Heading2"/>
        <w:rPr/>
      </w:pPr>
      <w:bookmarkStart w:id="19" w:name="__RefHeading___Toc4062_1360963153"/>
      <w:bookmarkEnd w:id="19"/>
      <w:r>
        <w:rPr>
          <w:rFonts w:eastAsia="Segoe UI" w:cs="Segoe UI"/>
          <w:b/>
          <w:color w:val="0F4761"/>
          <w:sz w:val="26"/>
        </w:rPr>
        <w:t>4.10  Can it carry our brand?</w:t>
      </w:r>
    </w:p>
    <w:p>
      <w:pPr>
        <w:pStyle w:val="Normal"/>
        <w:spacing w:lineRule="auto" w:line="276" w:before="0" w:after="120"/>
        <w:rPr/>
      </w:pPr>
      <w:r>
        <w:rPr>
          <w:rFonts w:eastAsia="Segoe UI" w:cs="Segoe UI" w:ascii="Segoe UI" w:hAnsi="Segoe UI"/>
          <w:color w:val="101820"/>
          <w:sz w:val="21"/>
        </w:rPr>
        <w:t>Yes. The System Administrator sets the theme (colours, header and side bar style, font, density), the logo, the sign-in page picture and texts, the branding of printed documents, report files and e-mails on Master &gt; System Settings &gt; Theme and Branding, with a contrast check before saving. Signatories and approvers capture an e-signature once; it is mapped to the documents it signs (policy schedule, official receipt, payment voucher and others) and prints only once the document is issued or approved. A brand pack file moves the whole branding from UAT to Production. A brand pack carrying another company's marks is used only with that company's written permission.</w:t>
      </w:r>
    </w:p>
    <w:p>
      <w:pPr>
        <w:pStyle w:val="Heading2"/>
        <w:rPr/>
      </w:pPr>
      <w:bookmarkStart w:id="20" w:name="__RefHeading___Toc4064_1360963153"/>
      <w:bookmarkEnd w:id="20"/>
      <w:r>
        <w:rPr>
          <w:rFonts w:eastAsia="Segoe UI" w:cs="Segoe UI"/>
          <w:b/>
          <w:color w:val="0F4761"/>
          <w:sz w:val="26"/>
        </w:rPr>
        <w:t>4.11  Does it handle dealer programmes for brand-new vehicles?</w:t>
      </w:r>
    </w:p>
    <w:p>
      <w:pPr>
        <w:pStyle w:val="Normal"/>
        <w:spacing w:lineRule="auto" w:line="276" w:before="0" w:after="120"/>
        <w:rPr/>
      </w:pPr>
      <w:r>
        <w:rPr>
          <w:rFonts w:eastAsia="Segoe UI" w:cs="Segoe UI" w:ascii="Segoe UI" w:hAnsi="Segoe UI"/>
          <w:color w:val="101820"/>
          <w:sz w:val="21"/>
        </w:rPr>
        <w:t>Yes. Operations &gt; Sales &amp; Marketing &gt; Dealer Programmes holds the terms agreed with a dealer and its financing bank: rates, CTPL years, who pays (free first year or a dealer or bank subsidy) and whether an upload creates quotations or issued policies. The dealer's sales file is uploaded with the Dealer Sales template; each vehicle becomes a prospect, a quotation and, if chosen, an issued policy with the bank as mortgagee, billed to who pays. The bank endorsement letter prints or goes by e-mail. Distribution channels, lead assignment rules, fleet schedules, marine open covers and facultative placements are in the same release.</w:t>
      </w:r>
    </w:p>
    <w:p>
      <w:pPr>
        <w:pStyle w:val="Heading2"/>
        <w:rPr/>
      </w:pPr>
      <w:bookmarkStart w:id="21" w:name="__RefHeading___Toc4066_1360963153"/>
      <w:bookmarkEnd w:id="21"/>
      <w:r>
        <w:rPr>
          <w:rFonts w:eastAsia="Segoe UI" w:cs="Segoe UI"/>
          <w:b/>
          <w:color w:val="0F4761"/>
          <w:sz w:val="26"/>
        </w:rPr>
        <w:t>4.12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2" w:name="__RefHeading___Toc4068_1360963153"/>
      <w:bookmarkEnd w:id="22"/>
      <w:r>
        <w:rPr>
          <w:rFonts w:eastAsia="Segoe UI" w:cs="Segoe UI" w:ascii="Segoe UI" w:hAnsi="Segoe UI"/>
          <w:b/>
          <w:color w:val="0F4761"/>
          <w:sz w:val="32"/>
        </w:rPr>
        <w:t>5.  Regulation and compliance</w:t>
      </w:r>
    </w:p>
    <w:p>
      <w:pPr>
        <w:pStyle w:val="Heading2"/>
        <w:rPr/>
      </w:pPr>
      <w:bookmarkStart w:id="23" w:name="__RefHeading___Toc4070_1360963153"/>
      <w:bookmarkEnd w:id="23"/>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The IC compliance registers add, under Compliance &gt; Insurance Commission: a licence register of the firm, officers and agents, with commission to an agent without a licence in force held (or warned, by setting); fit and proper records of directors and officers; a check of each insurer's IC certificate of authority when a request for quotation, a firm order or a policy is issued; the complaints register under RA 11765 with deadlines and letters; the IC annual statement schedules built from the ledger as a working paper; and the IC production report by insurer and line. The accountant confirms the figures and transcribes them onto the IC form set in force; the broker files with the IC. The deadlines, lists and declarations delivered are settings the compliance officer confirms against the IC rules in force.</w:t>
      </w:r>
    </w:p>
    <w:p>
      <w:pPr>
        <w:pStyle w:val="Heading2"/>
        <w:rPr/>
      </w:pPr>
      <w:bookmarkStart w:id="24" w:name="__RefHeading___Toc4072_1360963153"/>
      <w:bookmarkEnd w:id="24"/>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the withholding returns 0619-E and 1601-EQ laid out as the BIR forms, reconciled to the QAP and the ledger, with their filing records; the annual 1604-E with the alphalist of payees; the percentage tax 2551Q for a non-VAT broker; VAT Summary as the working paper for 2550M and 2550Q; SAWT, QAP and SLSP; and the DAT files of the QAP, SAWT, SLSP and 1604-E alphalist in the BIR validation module layouts. Overriding, profit and contingent commission from insurers is computed, billed and invoiced. The system does not file returns: the broker validates the DAT files with the current BIR module, transfers the figures to eBIRForms or eFPS and files. The tax adviser confirms the ATCs, rates and form versions.</w:t>
      </w:r>
    </w:p>
    <w:p>
      <w:pPr>
        <w:pStyle w:val="Heading2"/>
        <w:rPr/>
      </w:pPr>
      <w:bookmarkStart w:id="25" w:name="__RefHeading___Toc4074_1360963153"/>
      <w:bookmarkEnd w:id="25"/>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Accounts &gt; Tax &gt; CAS Books and Documents prepares the pack: a readiness list, the loose-leaf books (general journal, general ledger, cash receipts, cash disbursements, sales and purchase books) printed month by month with continuous page numbers and a print register, the system description, the backup procedure and the audit trail extract. The current status of any registration or acknowledgement held for iNXT BrokerVerse: [to confirm].</w:t>
      </w:r>
    </w:p>
    <w:p>
      <w:pPr>
        <w:pStyle w:val="Heading2"/>
        <w:rPr/>
      </w:pPr>
      <w:bookmarkStart w:id="26" w:name="__RefHeading___Toc4076_1360963153"/>
      <w:bookmarkEnd w:id="26"/>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Accounts &gt; Tax &gt; Sales Invoices issues the broker's sales invoices for commission and fees under RA 11976 and RR 7-2024: sequential SI numbers within the registered serial range, the seller's and buyer's registered details, VATable, exempt and zero-rated sales with VAT shown separately, and a payment acknowledgement as a supplementary document. The title of premium collection receipts is a setting. An EIS connector queues each invoice for the BIR Electronic Invoicing System; it is delivered switched off and in test mode, and the EIS enrolment, certification and credentials stay with the BIR and the broker. Which documents are registered as invoices, the wording of the supplementary documents and the VAT treatment of each commission stream are confirmed by the broker's tax adviser.</w:t>
      </w:r>
    </w:p>
    <w:p>
      <w:pPr>
        <w:pStyle w:val="Heading2"/>
        <w:rPr/>
      </w:pPr>
      <w:bookmarkStart w:id="27" w:name="__RefHeading___Toc4078_1360963153"/>
      <w:bookmarkEnd w:id="27"/>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8" w:name="__RefHeading___Toc4080_1360963153"/>
      <w:bookmarkEnd w:id="28"/>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numPr>
          <w:ilvl w:val="0"/>
          <w:numId w:val="1"/>
        </w:numPr>
        <w:spacing w:before="0" w:after="60"/>
        <w:rPr/>
      </w:pPr>
      <w:r>
        <w:rPr>
          <w:rFonts w:eastAsia="Segoe UI" w:cs="Segoe UI" w:ascii="Segoe UI" w:hAnsi="Segoe UI"/>
          <w:color w:val="101820"/>
          <w:sz w:val="21"/>
        </w:rPr>
        <w:t>with the compliance registers: masking of TIN, ID numbers, mobile numbers, e-mail addresses, bank accounts and birth dates for roles without the permission to view them, on screens and exports; encryption at rest of TIN, ID and bank account numbers with a key held outside the database; and a breach register that runs the 72-hour NPC notification clock with reminders and gives the annual report;</w:t>
      </w:r>
    </w:p>
    <w:p>
      <w:pPr>
        <w:pStyle w:val="Normal"/>
        <w:numPr>
          <w:ilvl w:val="0"/>
          <w:numId w:val="1"/>
        </w:numPr>
        <w:spacing w:before="0" w:after="60"/>
        <w:rPr/>
      </w:pPr>
      <w:r>
        <w:rPr>
          <w:rFonts w:eastAsia="Segoe UI" w:cs="Segoe UI" w:ascii="Segoe UI" w:hAnsi="Segoe UI"/>
          <w:color w:val="101820"/>
          <w:sz w:val="21"/>
        </w:rPr>
        <w:t>a masking tool for copies of production used in test and training environments.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the breach notification itself. iorta TechNXT acts as personal information processor when it hosts or supports the system.</w:t>
      </w:r>
    </w:p>
    <w:p>
      <w:pPr>
        <w:pStyle w:val="Heading2"/>
        <w:rPr/>
      </w:pPr>
      <w:bookmarkStart w:id="29" w:name="__RefHeading___Toc4082_1360963153"/>
      <w:bookmarkEnd w:id="29"/>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Yes. The AML/CFT toolkit (Compliance menu, Compliance Officer role) covers onboarding before the first policy (individual and juridical clients, signatories and beneficial owners, KYC documents), a risk rating from configurable factors with enhanced due diligence for high-risk clients (no policy is issued until the EDD review is approved, by setting), screening against the lists the broker uploads (UN consolidated list, AMLC and ATC designations, PEP and internal lists) and optionally a commercial screening provider, daily covered and suspicious transaction monitoring, cases with due dates, and the CTR and STR report files. No list content is delivered: the broker loads the lists it is entitled to use. The report file layout, institution code and transaction codes are confirmed by the compliance officer against the AMLC's current reporting guidelines and tested in the AMLC portal before the first filing. The broker files with the AMLC.</w:t>
      </w:r>
      <w:r>
        <w:br w:type="page"/>
      </w:r>
    </w:p>
    <w:p>
      <w:pPr>
        <w:pStyle w:val="Heading1"/>
        <w:rPr/>
      </w:pPr>
      <w:bookmarkStart w:id="30" w:name="__RefHeading___Toc4084_1360963153"/>
      <w:bookmarkEnd w:id="30"/>
      <w:r>
        <w:rPr>
          <w:rFonts w:eastAsia="Segoe UI" w:cs="Segoe UI" w:ascii="Segoe UI" w:hAnsi="Segoe UI"/>
          <w:b/>
          <w:color w:val="0F4761"/>
          <w:sz w:val="32"/>
        </w:rPr>
        <w:t>6.  Integration and data</w:t>
      </w:r>
    </w:p>
    <w:p>
      <w:pPr>
        <w:pStyle w:val="Heading2"/>
        <w:rPr/>
      </w:pPr>
      <w:bookmarkStart w:id="31" w:name="__RefHeading___Toc4086_1360963153"/>
      <w:bookmarkEnd w:id="31"/>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Yes, through the integration framework. The INSURER_API connector sends policy issuance, policy and premium data and claim status requests, with a mapping per insurer (product codes, request and answer fields, claim statuses) set on Master &gt; System Configuration &gt; Insurer Integration; an insurer without an API sends a claim status file instead. Every message goes through a monitored outbox with retries. The connector is delivered in test mode: going live with an insurer needs the insurer's endpoint, credentials and acceptance of the requests, which is done with each insurer during onboarding (priced per connector, see the Rate Card). Slips, placement orders, remittance statements and debit notes still go by PDF and e-mail where the insurer prefers, and insurer statements of account are matched in Insurer Reconciliation.</w:t>
      </w:r>
    </w:p>
    <w:p>
      <w:pPr>
        <w:pStyle w:val="Heading2"/>
        <w:rPr/>
      </w:pPr>
      <w:bookmarkStart w:id="32" w:name="__RefHeading___Toc4088_1360963153"/>
      <w:bookmarkEnd w:id="32"/>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for reconciliation; a new format is added in Master &gt; Finance &gt; Bank Statement Formats without code. Payments go out by bank upload file (bulk credit, InstaPay or PESONet) from approved payment vouchers, with maker-checker on the batch and the bank's status file imported back. Starter file layouts for BDO, BPI, Metrobank, Landbank and UnionBank and a generic CSV are delivered as examples: each is validated against the bank's current specification and a test file accepted by the bank during onboarding. There is no direct bank API.</w:t>
      </w:r>
    </w:p>
    <w:p>
      <w:pPr>
        <w:pStyle w:val="Heading2"/>
        <w:rPr/>
      </w:pPr>
      <w:bookmarkStart w:id="33" w:name="__RefHeading___Toc4090_1360963153"/>
      <w:bookmarkEnd w:id="33"/>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4" w:name="__RefHeading___Toc4092_1360963153"/>
      <w:bookmarkEnd w:id="34"/>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Go-Live Data Load workbench: a configuration workbook (settings and masters, including the Philippine regions, provinces, cities and barangays, banks and ID types delivered) and a migration workbook (clients, in-force policies, open items, opening balances), each validated before loading with an errors workbook to correct, then loaded and reconciled. The upload templates of each master and opening balance are also delivered. An environment comparison report proves that configuration was promoted unchanged from UAT to Production. Each load is rehearsed and reconciled before cutover. One import file holds up to 20,000 rows; larger books are loaded in several files. Migration from a legacy source beyond the templates is PHP 240,000.00 per source.</w:t>
      </w:r>
    </w:p>
    <w:p>
      <w:pPr>
        <w:pStyle w:val="Heading2"/>
        <w:rPr/>
      </w:pPr>
      <w:bookmarkStart w:id="35" w:name="__RefHeading___Toc4094_1360963153"/>
      <w:bookmarkEnd w:id="35"/>
      <w:r>
        <w:rPr>
          <w:rFonts w:eastAsia="Segoe UI" w:cs="Segoe UI"/>
          <w:b/>
          <w:color w:val="0F4761"/>
          <w:sz w:val="26"/>
        </w:rPr>
        <w:t>6.5  Does it send SMS or connect to the CTPL authentication provider?</w:t>
      </w:r>
    </w:p>
    <w:p>
      <w:pPr>
        <w:pStyle w:val="Normal"/>
        <w:spacing w:lineRule="auto" w:line="276" w:before="0" w:after="120"/>
        <w:rPr/>
      </w:pPr>
      <w:r>
        <w:rPr>
          <w:rFonts w:eastAsia="Segoe UI" w:cs="Segoe UI" w:ascii="Segoe UI" w:hAnsi="Segoe UI"/>
          <w:color w:val="101820"/>
          <w:sz w:val="21"/>
        </w:rPr>
        <w:t>Yes. SMS (and optionally Viber business messages) through Semaphore-style, Globe Labs-style or any HTTP gateway: renewal notices, payment reminders and claim updates from templates, after a consent check. CTPL certificates of cover are authenticated through the connector of the IC-accredited provider, with the COC series and the LTO feed where the provider does not send it. Connectors are delivered in test mode; the broker contracts the provider, and the provider's acceptance of the interface is completed during onboarding.</w:t>
      </w:r>
    </w:p>
    <w:p>
      <w:pPr>
        <w:pStyle w:val="Heading2"/>
        <w:rPr/>
      </w:pPr>
      <w:bookmarkStart w:id="36" w:name="__RefHeading___Toc4096_1360963153"/>
      <w:bookmarkEnd w:id="36"/>
      <w:r>
        <w:rPr>
          <w:rFonts w:eastAsia="Segoe UI" w:cs="Segoe UI"/>
          <w:b/>
          <w:color w:val="0F4761"/>
          <w:sz w:val="26"/>
        </w:rPr>
        <w:t>6.6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 Third parties can push messages (for example claim statuses or CTPL results) to a signed inbound address per connector.</w:t>
      </w:r>
      <w:r>
        <w:br w:type="page"/>
      </w:r>
    </w:p>
    <w:p>
      <w:pPr>
        <w:pStyle w:val="Heading1"/>
        <w:rPr/>
      </w:pPr>
      <w:bookmarkStart w:id="37" w:name="__RefHeading___Toc4098_1360963153"/>
      <w:bookmarkEnd w:id="37"/>
      <w:r>
        <w:rPr>
          <w:rFonts w:eastAsia="Segoe UI" w:cs="Segoe UI" w:ascii="Segoe UI" w:hAnsi="Segoe UI"/>
          <w:b/>
          <w:color w:val="0F4761"/>
          <w:sz w:val="32"/>
        </w:rPr>
        <w:t>7.  Technology, hosting and security</w:t>
      </w:r>
    </w:p>
    <w:p>
      <w:pPr>
        <w:pStyle w:val="Heading2"/>
        <w:rPr/>
      </w:pPr>
      <w:bookmarkStart w:id="38" w:name="__RefHeading___Toc4100_1360963153"/>
      <w:bookmarkEnd w:id="38"/>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9" w:name="__RefHeading___Toc4102_1360963153"/>
      <w:bookmarkEnd w:id="39"/>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per environment set: Dev, UAT and Production for a small or medium broker; Dev, SIT, UAT and Production for a large broker. A temporary Pre-Prod, restored from a production backup for the go-live rehearsal and each major release, is billed only for the months it exists. On AWS the standing set costs PHP 43,000.00 a month for a small broker and PHP 143,000.00 for a large one (Rate Card). A broker that hosts itself pays no hosting fee and receives the deployment guide, with set-up support at day rates.</w:t>
      </w:r>
    </w:p>
    <w:p>
      <w:pPr>
        <w:pStyle w:val="Heading2"/>
        <w:rPr/>
      </w:pPr>
      <w:bookmarkStart w:id="40" w:name="__RefHeading___Toc4104_1360963153"/>
      <w:bookmarkEnd w:id="40"/>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41" w:name="__RefHeading___Toc4106_1360963153"/>
      <w:bookmarkEnd w:id="41"/>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personal identifiers masked by role and TIN, ID and bank numbers encrypted at rest (compliance registers); connector credentials held in the server's secret store, never in the database; TLS in transit; audit trail of every change with before and after values, with an Audit Trail screen. Application controls are mapped to the OWASP Top 10. Storage encryption of the database, files and backups is recommended on every hosting option.</w:t>
      </w:r>
    </w:p>
    <w:p>
      <w:pPr>
        <w:pStyle w:val="Heading2"/>
        <w:rPr/>
      </w:pPr>
      <w:bookmarkStart w:id="42" w:name="__RefHeading___Toc4108_1360963153"/>
      <w:bookmarkEnd w:id="42"/>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3" w:name="__RefHeading___Toc4110_1360963153"/>
      <w:bookmarkEnd w:id="43"/>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497 test cases were prepared and, after the re-test of 03 October 2026, 486 passed; the remaining 11 are 2 open Medium items, 3 cases that need a mail server and 6 not yet run, each tracked in the test workbook. The backend business-rule regression has 717 tests. An end-to-end UAT cycle of 371 business steps ran on a fresh database with one user per role, from set-up to month-end close. An external penetration test was not part of this cycle and is recommended before go-live.</w:t>
      </w:r>
      <w:r>
        <w:br w:type="page"/>
      </w:r>
    </w:p>
    <w:p>
      <w:pPr>
        <w:pStyle w:val="Heading1"/>
        <w:rPr/>
      </w:pPr>
      <w:bookmarkStart w:id="44" w:name="__RefHeading___Toc4112_1360963153"/>
      <w:bookmarkEnd w:id="44"/>
      <w:r>
        <w:rPr>
          <w:rFonts w:eastAsia="Segoe UI" w:cs="Segoe UI" w:ascii="Segoe UI" w:hAnsi="Segoe UI"/>
          <w:b/>
          <w:color w:val="0F4761"/>
          <w:sz w:val="32"/>
        </w:rPr>
        <w:t>8.  Implementation</w:t>
      </w:r>
    </w:p>
    <w:p>
      <w:pPr>
        <w:pStyle w:val="Heading2"/>
        <w:rPr/>
      </w:pPr>
      <w:bookmarkStart w:id="45" w:name="__RefHeading___Toc4114_1360963153"/>
      <w:bookmarkEnd w:id="45"/>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6" w:name="__RefHeading___Toc4116_1360963153"/>
      <w:bookmarkEnd w:id="46"/>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7" w:name="__RefHeading___Toc4118_1360963153"/>
      <w:bookmarkEnd w:id="47"/>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8" w:name="__RefHeading___Toc4120_1360963153"/>
      <w:bookmarkEnd w:id="48"/>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and the role guides. The Help panel (F1) opens the manual section of the screen the user is on. Training days are included per tier; extra trainer days are PHP 30,000.00.</w:t>
      </w:r>
      <w:r>
        <w:br w:type="page"/>
      </w:r>
    </w:p>
    <w:p>
      <w:pPr>
        <w:pStyle w:val="Heading1"/>
        <w:rPr/>
      </w:pPr>
      <w:bookmarkStart w:id="49" w:name="__RefHeading___Toc4122_1360963153"/>
      <w:bookmarkEnd w:id="49"/>
      <w:r>
        <w:rPr>
          <w:rFonts w:eastAsia="Segoe UI" w:cs="Segoe UI" w:ascii="Segoe UI" w:hAnsi="Segoe UI"/>
          <w:b/>
          <w:color w:val="0F4761"/>
          <w:sz w:val="32"/>
        </w:rPr>
        <w:t>9.  Support and maintenance</w:t>
      </w:r>
    </w:p>
    <w:p>
      <w:pPr>
        <w:pStyle w:val="Heading2"/>
        <w:rPr/>
      </w:pPr>
      <w:bookmarkStart w:id="50" w:name="__RefHeading___Toc4124_1360963153"/>
      <w:bookmarkEnd w:id="50"/>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51" w:name="__RefHeading___Toc4126_1360963153"/>
      <w:bookmarkEnd w:id="51"/>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52" w:name="__RefHeading___Toc4128_1360963153"/>
      <w:bookmarkEnd w:id="52"/>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for the BIR forms, DAT file layouts and AMLC report file the product produces. A broker-specific report or form is a change request.</w:t>
      </w:r>
      <w:r>
        <w:br w:type="page"/>
      </w:r>
    </w:p>
    <w:p>
      <w:pPr>
        <w:pStyle w:val="Heading1"/>
        <w:rPr/>
      </w:pPr>
      <w:bookmarkStart w:id="53" w:name="__RefHeading___Toc4130_1360963153"/>
      <w:bookmarkEnd w:id="53"/>
      <w:r>
        <w:rPr>
          <w:rFonts w:eastAsia="Segoe UI" w:cs="Segoe UI" w:ascii="Segoe UI" w:hAnsi="Segoe UI"/>
          <w:b/>
          <w:color w:val="0F4761"/>
          <w:sz w:val="32"/>
        </w:rPr>
        <w:t>10.  Commercials</w:t>
      </w:r>
    </w:p>
    <w:p>
      <w:pPr>
        <w:pStyle w:val="Heading2"/>
        <w:rPr/>
      </w:pPr>
      <w:bookmarkStart w:id="54" w:name="__RefHeading___Toc4132_1360963153"/>
      <w:bookmarkEnd w:id="54"/>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5" w:name="__RefHeading___Toc4134_1360963153"/>
      <w:bookmarkEnd w:id="55"/>
      <w:r>
        <w:rPr>
          <w:rFonts w:eastAsia="Segoe UI" w:cs="Segoe UI"/>
          <w:b/>
          <w:color w:val="0F4761"/>
          <w:sz w:val="26"/>
        </w:rPr>
        <w:t>10.2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6" w:name="__RefHeading___Toc4136_1360963153"/>
      <w:bookmarkEnd w:id="56"/>
      <w:r>
        <w:rPr>
          <w:rFonts w:eastAsia="Segoe UI" w:cs="Segoe UI"/>
          <w:b/>
          <w:color w:val="0F4761"/>
          <w:sz w:val="26"/>
        </w:rPr>
        <w:t>10.3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7" w:name="__RefHeading___Toc4138_1360963153"/>
      <w:bookmarkEnd w:id="57"/>
      <w:r>
        <w:rPr>
          <w:rFonts w:eastAsia="Segoe UI" w:cs="Segoe UI"/>
          <w:b/>
          <w:color w:val="0F4761"/>
          <w:sz w:val="26"/>
        </w:rPr>
        <w:t>10.4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8" w:name="__RefHeading___Toc4140_1360963153"/>
      <w:bookmarkEnd w:id="58"/>
      <w:r>
        <w:rPr>
          <w:rFonts w:eastAsia="Segoe UI" w:cs="Segoe UI"/>
          <w:b/>
          <w:color w:val="0F4761"/>
          <w:sz w:val="26"/>
        </w:rPr>
        <w:t>10.5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59" w:name="__RefHeading___Toc4142_1360963153"/>
      <w:bookmarkEnd w:id="59"/>
      <w:r>
        <w:rPr>
          <w:rFonts w:eastAsia="Segoe UI" w:cs="Segoe UI"/>
          <w:b/>
          <w:color w:val="0F4761"/>
          <w:sz w:val="26"/>
        </w:rPr>
        <w:t>10.6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60" w:name="__RefHeading___Toc4144_1360963153"/>
      <w:bookmarkEnd w:id="60"/>
      <w:r>
        <w:rPr>
          <w:rFonts w:eastAsia="Segoe UI" w:cs="Segoe UI" w:ascii="Segoe UI" w:hAnsi="Segoe UI"/>
          <w:b/>
          <w:color w:val="0F4761"/>
          <w:sz w:val="32"/>
        </w:rPr>
        <w:t>11.  Objection handling</w:t>
      </w:r>
    </w:p>
    <w:p>
      <w:pPr>
        <w:pStyle w:val="Heading2"/>
        <w:rPr/>
      </w:pPr>
      <w:bookmarkStart w:id="61" w:name="__RefHeading___Toc4146_1360963153"/>
      <w:bookmarkEnd w:id="61"/>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62" w:name="__RefHeading___Toc4148_1360963153"/>
      <w:bookmarkEnd w:id="62"/>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3" w:name="__RefHeading___Toc4150_1360963153"/>
      <w:bookmarkEnd w:id="63"/>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4" w:name="__RefHeading___Toc4152_1360963153"/>
      <w:bookmarkEnd w:id="64"/>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forms and DAT files, EOPT invoicing, AMLC reporting, IC registers, CTPL authentication, local bank files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1601-EQ with its reconciliation, a sales invoice, the AML dashboard and the premium taxes on a quotation. Ask which feature of the other system the team would use every day.</w:t>
      </w:r>
    </w:p>
    <w:p>
      <w:pPr>
        <w:pStyle w:val="Heading2"/>
        <w:rPr/>
      </w:pPr>
      <w:bookmarkStart w:id="65" w:name="__RefHeading___Toc4154_1360963153"/>
      <w:bookmarkEnd w:id="65"/>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6" w:name="__RefHeading___Toc4156_1360963153"/>
      <w:bookmarkEnd w:id="66"/>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7" w:name="__RefHeading___Toc4158_1360963153"/>
      <w:bookmarkEnd w:id="67"/>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8" w:name="__RefHeading___Toc4160_1360963153"/>
      <w:bookmarkEnd w:id="68"/>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69" w:name="__RefHeading___Toc4162_1360963153"/>
      <w:bookmarkEnd w:id="69"/>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insurer connector is in the product: issuance, premium data and claim status requests with a mapping per insurer, sent through a monitored outbox. Philippine insurers do not share one API, so each insurer is switched to live during onboarding with its endpoint, credentials and acceptance; insurers without an API keep exchanging files and e-mails, and their statements are matched in Insurer Reconciliation."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Integration with a mapping and the request preview; the Integrations outbox; the connector go-live price in the Rate Card.</w:t>
      </w:r>
    </w:p>
    <w:p>
      <w:pPr>
        <w:pStyle w:val="Heading2"/>
        <w:rPr/>
      </w:pPr>
      <w:bookmarkStart w:id="70" w:name="__RefHeading___Toc4164_1360963153"/>
      <w:bookmarkEnd w:id="70"/>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71" w:name="__RefHeading___Toc4166_1360963153"/>
      <w:bookmarkEnd w:id="71"/>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72" w:name="__RefHeading___Toc4168_1360963153"/>
      <w:bookmarkEnd w:id="72"/>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3" w:name="__RefHeading___Toc4170_1360963153"/>
      <w:bookmarkEnd w:id="73"/>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(497 test cases for this release), the documentation package and a proof-of-concept on the prospect's own examples during the workshop.</w:t>
      </w:r>
    </w:p>
    <w:p>
      <w:pPr>
        <w:pStyle w:val="Heading2"/>
        <w:rPr/>
      </w:pPr>
      <w:bookmarkStart w:id="74" w:name="__RefHeading___Toc4172_1360963153"/>
      <w:bookmarkEnd w:id="74"/>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5" w:name="__RefHeading___Toc4174_1360963153"/>
      <w:bookmarkEnd w:id="75"/>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and My Work shows each person what is waiting for them. Training is per role, from key users who were part of the configuration. The user manual opens on the screen in use with F1, and role guides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6" w:name="__RefHeading___Toc4176_1360963153"/>
      <w:bookmarkEnd w:id="76"/>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7" w:name="__RefHeading___Toc4178_1360963153"/>
      <w:bookmarkEnd w:id="77"/>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 interfaces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for SMS, CTPL authentication, the LTO feed, insurer APIs, bank files and the BIR EIS are delivered in test mode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partner's endpoint, credentials and acceptance of the interface are completed with the partner during onboarding; the partner certifies, not iorta TechNXT</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annual statement schedules and production report as working papers; the accountant confirms and transcribes onto the IC form set in force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files with the IC</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filing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Returns, alphalists and DAT files prepared; no direct e-filing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 validates the DAT files with the BIR module and files through eBIRForms or eFPS; the tax adviser confirms ATCs and rates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reporting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files in the layout BV-AMLC-TXN 1.0; no list content delivered</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compliance officer confirms the layout and codes against the AMLC guidelines, tests a file in the AMLC portal and loads the lists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 the Report Builder and BI extract cover ad hoc needs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 progress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quote wizard covers and risk fields from the Product Configurator, supplier BIR Form 2307 and fixed asset disposal are being completed for the next release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 the delivery date before promising them</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78" w:name="__RefHeading___Toc4180_1360963153"/>
      <w:bookmarkStart w:id="79" w:name="_Toc233203395"/>
      <w:bookmarkEnd w:id="78"/>
      <w:r>
        <w:rPr>
          <w:rStyle w:val="BookTitle"/>
          <w:bCs w:val="false"/>
          <w:i w:val="false"/>
          <w:iCs w:val="false"/>
          <w:spacing w:val="0"/>
        </w:rPr>
        <w:t>13.  Document Sign-Off</w:t>
      </w:r>
      <w:bookmarkEnd w:id="7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2026-10-04T09:06:25Z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