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Approach and Standards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Approach and Standards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8889_136096315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8891_136096315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8893_1360963153">
            <w:r>
              <w:rPr>
                <w:webHidden/>
                <w:rStyle w:val="IndexLink"/>
              </w:rPr>
              <w:t>3. Introduction</w:t>
              <w:tab/>
              <w:t>5</w:t>
            </w:r>
          </w:hyperlink>
        </w:p>
        <w:p>
          <w:pPr>
            <w:pStyle w:val="TOC2"/>
            <w:tabs>
              <w:tab w:val="clear" w:pos="900"/>
              <w:tab w:val="clear" w:pos="9350"/>
              <w:tab w:val="right" w:pos="9025" w:leader="dot"/>
            </w:tabs>
            <w:rPr/>
          </w:pPr>
          <w:hyperlink w:anchor="__RefHeading___Toc28895_1360963153">
            <w:r>
              <w:rPr>
                <w:webHidden/>
                <w:rStyle w:val="IndexLink"/>
              </w:rPr>
              <w:t>3.1 Purpose</w:t>
              <w:tab/>
              <w:t>5</w:t>
            </w:r>
          </w:hyperlink>
        </w:p>
        <w:p>
          <w:pPr>
            <w:pStyle w:val="TOC2"/>
            <w:tabs>
              <w:tab w:val="clear" w:pos="900"/>
              <w:tab w:val="clear" w:pos="9350"/>
              <w:tab w:val="right" w:pos="9025" w:leader="dot"/>
            </w:tabs>
            <w:rPr/>
          </w:pPr>
          <w:hyperlink w:anchor="__RefHeading___Toc28897_1360963153">
            <w:r>
              <w:rPr>
                <w:webHidden/>
                <w:rStyle w:val="IndexLink"/>
              </w:rPr>
              <w:t>3.2 Audience</w:t>
              <w:tab/>
              <w:t>6</w:t>
            </w:r>
          </w:hyperlink>
        </w:p>
        <w:p>
          <w:pPr>
            <w:pStyle w:val="TOC2"/>
            <w:tabs>
              <w:tab w:val="clear" w:pos="900"/>
              <w:tab w:val="clear" w:pos="9350"/>
              <w:tab w:val="right" w:pos="9025" w:leader="dot"/>
            </w:tabs>
            <w:rPr/>
          </w:pPr>
          <w:hyperlink w:anchor="__RefHeading___Toc28899_1360963153">
            <w:r>
              <w:rPr>
                <w:webHidden/>
                <w:rStyle w:val="IndexLink"/>
              </w:rPr>
              <w:t>3.3 Reference material</w:t>
              <w:tab/>
              <w:t>6</w:t>
            </w:r>
          </w:hyperlink>
        </w:p>
        <w:p>
          <w:pPr>
            <w:pStyle w:val="TOC1"/>
            <w:tabs>
              <w:tab w:val="clear" w:pos="900"/>
              <w:tab w:val="clear" w:pos="9350"/>
              <w:tab w:val="right" w:pos="9025" w:leader="dot"/>
            </w:tabs>
            <w:rPr/>
          </w:pPr>
          <w:hyperlink w:anchor="__RefHeading___Toc28901_1360963153">
            <w:r>
              <w:rPr>
                <w:webHidden/>
                <w:rStyle w:val="IndexLink"/>
              </w:rPr>
              <w:t>4. Support model</w:t>
              <w:tab/>
              <w:t>7</w:t>
            </w:r>
          </w:hyperlink>
        </w:p>
        <w:p>
          <w:pPr>
            <w:pStyle w:val="TOC2"/>
            <w:tabs>
              <w:tab w:val="clear" w:pos="900"/>
              <w:tab w:val="clear" w:pos="9350"/>
              <w:tab w:val="right" w:pos="9025" w:leader="dot"/>
            </w:tabs>
            <w:rPr/>
          </w:pPr>
          <w:hyperlink w:anchor="__RefHeading___Toc28903_1360963153">
            <w:r>
              <w:rPr>
                <w:webHidden/>
                <w:rStyle w:val="IndexLink"/>
              </w:rPr>
              <w:t>4.1 Levels</w:t>
              <w:tab/>
              <w:t>7</w:t>
            </w:r>
          </w:hyperlink>
        </w:p>
        <w:p>
          <w:pPr>
            <w:pStyle w:val="TOC2"/>
            <w:tabs>
              <w:tab w:val="clear" w:pos="900"/>
              <w:tab w:val="clear" w:pos="9350"/>
              <w:tab w:val="right" w:pos="9025" w:leader="dot"/>
            </w:tabs>
            <w:rPr/>
          </w:pPr>
          <w:hyperlink w:anchor="__RefHeading___Toc28905_1360963153">
            <w:r>
              <w:rPr>
                <w:webHidden/>
                <w:rStyle w:val="IndexLink"/>
              </w:rPr>
              <w:t>4.2 Responsibilities of L1</w:t>
              <w:tab/>
              <w:t>7</w:t>
            </w:r>
          </w:hyperlink>
        </w:p>
        <w:p>
          <w:pPr>
            <w:pStyle w:val="TOC2"/>
            <w:tabs>
              <w:tab w:val="clear" w:pos="900"/>
              <w:tab w:val="clear" w:pos="9350"/>
              <w:tab w:val="right" w:pos="9025" w:leader="dot"/>
            </w:tabs>
            <w:rPr/>
          </w:pPr>
          <w:hyperlink w:anchor="__RefHeading___Toc28907_1360963153">
            <w:r>
              <w:rPr>
                <w:webHidden/>
                <w:rStyle w:val="IndexLink"/>
              </w:rPr>
              <w:t>4.3 Service desk</w:t>
              <w:tab/>
              <w:t>7</w:t>
            </w:r>
          </w:hyperlink>
        </w:p>
        <w:p>
          <w:pPr>
            <w:pStyle w:val="TOC1"/>
            <w:tabs>
              <w:tab w:val="clear" w:pos="900"/>
              <w:tab w:val="clear" w:pos="9350"/>
              <w:tab w:val="right" w:pos="9025" w:leader="dot"/>
            </w:tabs>
            <w:rPr/>
          </w:pPr>
          <w:hyperlink w:anchor="__RefHeading___Toc28909_1360963153">
            <w:r>
              <w:rPr>
                <w:webHidden/>
                <w:rStyle w:val="IndexLink"/>
              </w:rPr>
              <w:t>5. Service hours</w:t>
              <w:tab/>
              <w:t>8</w:t>
            </w:r>
          </w:hyperlink>
        </w:p>
        <w:p>
          <w:pPr>
            <w:pStyle w:val="TOC1"/>
            <w:tabs>
              <w:tab w:val="clear" w:pos="900"/>
              <w:tab w:val="clear" w:pos="9350"/>
              <w:tab w:val="right" w:pos="9025" w:leader="dot"/>
            </w:tabs>
            <w:rPr/>
          </w:pPr>
          <w:hyperlink w:anchor="__RefHeading___Toc28911_1360963153">
            <w:r>
              <w:rPr>
                <w:webHidden/>
                <w:rStyle w:val="IndexLink"/>
              </w:rPr>
              <w:t>6. Severity levels and targets</w:t>
              <w:tab/>
              <w:t>9</w:t>
            </w:r>
          </w:hyperlink>
        </w:p>
        <w:p>
          <w:pPr>
            <w:pStyle w:val="TOC2"/>
            <w:tabs>
              <w:tab w:val="clear" w:pos="900"/>
              <w:tab w:val="clear" w:pos="9350"/>
              <w:tab w:val="right" w:pos="9025" w:leader="dot"/>
            </w:tabs>
            <w:rPr/>
          </w:pPr>
          <w:hyperlink w:anchor="__RefHeading___Toc28913_1360963153">
            <w:r>
              <w:rPr>
                <w:webHidden/>
                <w:rStyle w:val="IndexLink"/>
              </w:rPr>
              <w:t>6.1 Definitions</w:t>
              <w:tab/>
              <w:t>9</w:t>
            </w:r>
          </w:hyperlink>
        </w:p>
        <w:p>
          <w:pPr>
            <w:pStyle w:val="TOC2"/>
            <w:tabs>
              <w:tab w:val="clear" w:pos="900"/>
              <w:tab w:val="clear" w:pos="9350"/>
              <w:tab w:val="right" w:pos="9025" w:leader="dot"/>
            </w:tabs>
            <w:rPr/>
          </w:pPr>
          <w:hyperlink w:anchor="__RefHeading___Toc28915_1360963153">
            <w:r>
              <w:rPr>
                <w:webHidden/>
                <w:rStyle w:val="IndexLink"/>
              </w:rPr>
              <w:t>6.2 Targets</w:t>
              <w:tab/>
              <w:t>9</w:t>
            </w:r>
          </w:hyperlink>
        </w:p>
        <w:p>
          <w:pPr>
            <w:pStyle w:val="TOC1"/>
            <w:tabs>
              <w:tab w:val="clear" w:pos="900"/>
              <w:tab w:val="clear" w:pos="9350"/>
              <w:tab w:val="right" w:pos="9025" w:leader="dot"/>
            </w:tabs>
            <w:rPr/>
          </w:pPr>
          <w:hyperlink w:anchor="__RefHeading___Toc28917_1360963153">
            <w:r>
              <w:rPr>
                <w:webHidden/>
                <w:rStyle w:val="IndexLink"/>
              </w:rPr>
              <w:t>7. Ticket workflow</w:t>
              <w:tab/>
              <w:t>10</w:t>
            </w:r>
          </w:hyperlink>
        </w:p>
        <w:p>
          <w:pPr>
            <w:pStyle w:val="TOC2"/>
            <w:tabs>
              <w:tab w:val="clear" w:pos="900"/>
              <w:tab w:val="clear" w:pos="9350"/>
              <w:tab w:val="right" w:pos="9025" w:leader="dot"/>
            </w:tabs>
            <w:rPr/>
          </w:pPr>
          <w:hyperlink w:anchor="__RefHeading___Toc28919_1360963153">
            <w:r>
              <w:rPr>
                <w:webHidden/>
                <w:rStyle w:val="IndexLink"/>
              </w:rPr>
              <w:t>7.1 Minimum content of a ticket</w:t>
              <w:tab/>
              <w:t>10</w:t>
            </w:r>
          </w:hyperlink>
        </w:p>
        <w:p>
          <w:pPr>
            <w:pStyle w:val="TOC2"/>
            <w:tabs>
              <w:tab w:val="clear" w:pos="900"/>
              <w:tab w:val="clear" w:pos="9350"/>
              <w:tab w:val="right" w:pos="9025" w:leader="dot"/>
            </w:tabs>
            <w:rPr/>
          </w:pPr>
          <w:hyperlink w:anchor="__RefHeading___Toc28921_1360963153">
            <w:r>
              <w:rPr>
                <w:webHidden/>
                <w:rStyle w:val="IndexLink"/>
              </w:rPr>
              <w:t>7.2 Statuses</w:t>
              <w:tab/>
              <w:t>10</w:t>
            </w:r>
          </w:hyperlink>
        </w:p>
        <w:p>
          <w:pPr>
            <w:pStyle w:val="TOC2"/>
            <w:tabs>
              <w:tab w:val="clear" w:pos="900"/>
              <w:tab w:val="clear" w:pos="9350"/>
              <w:tab w:val="right" w:pos="9025" w:leader="dot"/>
            </w:tabs>
            <w:rPr/>
          </w:pPr>
          <w:hyperlink w:anchor="__RefHeading___Toc28923_1360963153">
            <w:r>
              <w:rPr>
                <w:webHidden/>
                <w:rStyle w:val="IndexLink"/>
              </w:rPr>
              <w:t>7.3 Triage steps at L2</w:t>
              <w:tab/>
              <w:t>10</w:t>
            </w:r>
          </w:hyperlink>
        </w:p>
        <w:p>
          <w:pPr>
            <w:pStyle w:val="TOC1"/>
            <w:tabs>
              <w:tab w:val="clear" w:pos="900"/>
              <w:tab w:val="clear" w:pos="9350"/>
              <w:tab w:val="right" w:pos="9025" w:leader="dot"/>
            </w:tabs>
            <w:rPr/>
          </w:pPr>
          <w:hyperlink w:anchor="__RefHeading___Toc28925_1360963153">
            <w:r>
              <w:rPr>
                <w:webHidden/>
                <w:rStyle w:val="IndexLink"/>
              </w:rPr>
              <w:t>8. Escalation matrix</w:t>
              <w:tab/>
              <w:t>12</w:t>
            </w:r>
          </w:hyperlink>
        </w:p>
        <w:p>
          <w:pPr>
            <w:pStyle w:val="TOC1"/>
            <w:tabs>
              <w:tab w:val="clear" w:pos="900"/>
              <w:tab w:val="clear" w:pos="9350"/>
              <w:tab w:val="right" w:pos="9025" w:leader="dot"/>
            </w:tabs>
            <w:rPr/>
          </w:pPr>
          <w:hyperlink w:anchor="__RefHeading___Toc28927_1360963153">
            <w:r>
              <w:rPr>
                <w:webHidden/>
                <w:rStyle w:val="IndexLink"/>
              </w:rPr>
              <w:t>9. Problem management</w:t>
              <w:tab/>
              <w:t>13</w:t>
            </w:r>
          </w:hyperlink>
        </w:p>
        <w:p>
          <w:pPr>
            <w:pStyle w:val="TOC1"/>
            <w:tabs>
              <w:tab w:val="clear" w:pos="900"/>
              <w:tab w:val="clear" w:pos="9350"/>
              <w:tab w:val="right" w:pos="9025" w:leader="dot"/>
            </w:tabs>
            <w:rPr/>
          </w:pPr>
          <w:hyperlink w:anchor="__RefHeading___Toc28929_1360963153">
            <w:r>
              <w:rPr>
                <w:webHidden/>
                <w:rStyle w:val="IndexLink"/>
              </w:rPr>
              <w:t>10. Change management</w:t>
              <w:tab/>
              <w:t>14</w:t>
            </w:r>
          </w:hyperlink>
        </w:p>
        <w:p>
          <w:pPr>
            <w:pStyle w:val="TOC2"/>
            <w:tabs>
              <w:tab w:val="clear" w:pos="900"/>
              <w:tab w:val="clear" w:pos="9350"/>
              <w:tab w:val="right" w:pos="9025" w:leader="dot"/>
            </w:tabs>
            <w:rPr/>
          </w:pPr>
          <w:hyperlink w:anchor="__RefHeading___Toc28931_1360963153">
            <w:r>
              <w:rPr>
                <w:webHidden/>
                <w:rStyle w:val="IndexLink"/>
              </w:rPr>
              <w:t>10.1 Types of change</w:t>
              <w:tab/>
              <w:t>14</w:t>
            </w:r>
          </w:hyperlink>
        </w:p>
        <w:p>
          <w:pPr>
            <w:pStyle w:val="TOC2"/>
            <w:tabs>
              <w:tab w:val="clear" w:pos="900"/>
              <w:tab w:val="clear" w:pos="9350"/>
              <w:tab w:val="right" w:pos="9025" w:leader="dot"/>
            </w:tabs>
            <w:rPr/>
          </w:pPr>
          <w:hyperlink w:anchor="__RefHeading___Toc28933_1360963153">
            <w:r>
              <w:rPr>
                <w:webHidden/>
                <w:rStyle w:val="IndexLink"/>
              </w:rPr>
              <w:t>10.2 Configuration changes in production</w:t>
              <w:tab/>
              <w:t>14</w:t>
            </w:r>
          </w:hyperlink>
        </w:p>
        <w:p>
          <w:pPr>
            <w:pStyle w:val="TOC2"/>
            <w:tabs>
              <w:tab w:val="clear" w:pos="900"/>
              <w:tab w:val="clear" w:pos="9350"/>
              <w:tab w:val="right" w:pos="9025" w:leader="dot"/>
            </w:tabs>
            <w:rPr/>
          </w:pPr>
          <w:hyperlink w:anchor="__RefHeading___Toc28935_1360963153">
            <w:r>
              <w:rPr>
                <w:webHidden/>
                <w:rStyle w:val="IndexLink"/>
              </w:rPr>
              <w:t>10.3 Data corrections</w:t>
              <w:tab/>
              <w:t>14</w:t>
            </w:r>
          </w:hyperlink>
        </w:p>
        <w:p>
          <w:pPr>
            <w:pStyle w:val="TOC1"/>
            <w:tabs>
              <w:tab w:val="clear" w:pos="900"/>
              <w:tab w:val="clear" w:pos="9350"/>
              <w:tab w:val="right" w:pos="9025" w:leader="dot"/>
            </w:tabs>
            <w:rPr/>
          </w:pPr>
          <w:hyperlink w:anchor="__RefHeading___Toc28937_1360963153">
            <w:r>
              <w:rPr>
                <w:webHidden/>
                <w:rStyle w:val="IndexLink"/>
              </w:rPr>
              <w:t>11. Release management and patching</w:t>
              <w:tab/>
              <w:t>15</w:t>
            </w:r>
          </w:hyperlink>
        </w:p>
        <w:p>
          <w:pPr>
            <w:pStyle w:val="TOC2"/>
            <w:tabs>
              <w:tab w:val="clear" w:pos="900"/>
              <w:tab w:val="clear" w:pos="9350"/>
              <w:tab w:val="right" w:pos="9025" w:leader="dot"/>
            </w:tabs>
            <w:rPr/>
          </w:pPr>
          <w:hyperlink w:anchor="__RefHeading___Toc28939_1360963153">
            <w:r>
              <w:rPr>
                <w:webHidden/>
                <w:rStyle w:val="IndexLink"/>
              </w:rPr>
              <w:t>11.1 Releases</w:t>
              <w:tab/>
              <w:t>15</w:t>
            </w:r>
          </w:hyperlink>
        </w:p>
        <w:p>
          <w:pPr>
            <w:pStyle w:val="TOC2"/>
            <w:tabs>
              <w:tab w:val="clear" w:pos="900"/>
              <w:tab w:val="clear" w:pos="9350"/>
              <w:tab w:val="right" w:pos="9025" w:leader="dot"/>
            </w:tabs>
            <w:rPr/>
          </w:pPr>
          <w:hyperlink w:anchor="__RefHeading___Toc28941_1360963153">
            <w:r>
              <w:rPr>
                <w:webHidden/>
                <w:rStyle w:val="IndexLink"/>
              </w:rPr>
              <w:t>11.2 Patching</w:t>
              <w:tab/>
              <w:t>15</w:t>
            </w:r>
          </w:hyperlink>
        </w:p>
        <w:p>
          <w:pPr>
            <w:pStyle w:val="TOC1"/>
            <w:tabs>
              <w:tab w:val="clear" w:pos="900"/>
              <w:tab w:val="clear" w:pos="9350"/>
              <w:tab w:val="right" w:pos="9025" w:leader="dot"/>
            </w:tabs>
            <w:rPr/>
          </w:pPr>
          <w:hyperlink w:anchor="__RefHeading___Toc28943_1360963153">
            <w:r>
              <w:rPr>
                <w:webHidden/>
                <w:rStyle w:val="IndexLink"/>
              </w:rPr>
              <w:t>12. Monitoring and health checks</w:t>
              <w:tab/>
              <w:t>16</w:t>
            </w:r>
          </w:hyperlink>
        </w:p>
        <w:p>
          <w:pPr>
            <w:pStyle w:val="TOC1"/>
            <w:tabs>
              <w:tab w:val="clear" w:pos="900"/>
              <w:tab w:val="clear" w:pos="9350"/>
              <w:tab w:val="right" w:pos="9025" w:leader="dot"/>
            </w:tabs>
            <w:rPr/>
          </w:pPr>
          <w:hyperlink w:anchor="__RefHeading___Toc28945_1360963153">
            <w:r>
              <w:rPr>
                <w:webHidden/>
                <w:rStyle w:val="IndexLink"/>
              </w:rPr>
              <w:t>13. Operational procedures for the new capabilities</w:t>
              <w:tab/>
              <w:t>17</w:t>
            </w:r>
          </w:hyperlink>
        </w:p>
        <w:p>
          <w:pPr>
            <w:pStyle w:val="TOC2"/>
            <w:tabs>
              <w:tab w:val="clear" w:pos="900"/>
              <w:tab w:val="clear" w:pos="9350"/>
              <w:tab w:val="right" w:pos="9025" w:leader="dot"/>
            </w:tabs>
            <w:rPr/>
          </w:pPr>
          <w:hyperlink w:anchor="__RefHeading___Toc28947_1360963153">
            <w:r>
              <w:rPr>
                <w:webHidden/>
                <w:rStyle w:val="IndexLink"/>
              </w:rPr>
              <w:t>13.1 Integrations outbox monitoring</w:t>
              <w:tab/>
              <w:t>17</w:t>
            </w:r>
          </w:hyperlink>
        </w:p>
        <w:p>
          <w:pPr>
            <w:pStyle w:val="TOC2"/>
            <w:tabs>
              <w:tab w:val="clear" w:pos="900"/>
              <w:tab w:val="clear" w:pos="9350"/>
              <w:tab w:val="right" w:pos="9025" w:leader="dot"/>
            </w:tabs>
            <w:rPr/>
          </w:pPr>
          <w:hyperlink w:anchor="__RefHeading___Toc28949_1360963153">
            <w:r>
              <w:rPr>
                <w:webHidden/>
                <w:rStyle w:val="IndexLink"/>
              </w:rPr>
              <w:t>13.2 Compliance deadline jobs</w:t>
              <w:tab/>
              <w:t>18</w:t>
            </w:r>
          </w:hyperlink>
        </w:p>
        <w:p>
          <w:pPr>
            <w:pStyle w:val="TOC2"/>
            <w:tabs>
              <w:tab w:val="clear" w:pos="900"/>
              <w:tab w:val="clear" w:pos="9350"/>
              <w:tab w:val="right" w:pos="9025" w:leader="dot"/>
            </w:tabs>
            <w:rPr/>
          </w:pPr>
          <w:hyperlink w:anchor="__RefHeading___Toc28951_1360963153">
            <w:r>
              <w:rPr>
                <w:webHidden/>
                <w:rStyle w:val="IndexLink"/>
              </w:rPr>
              <w:t>13.3 Encryption key custody and rotation</w:t>
              <w:tab/>
              <w:t>18</w:t>
            </w:r>
          </w:hyperlink>
        </w:p>
        <w:p>
          <w:pPr>
            <w:pStyle w:val="TOC2"/>
            <w:tabs>
              <w:tab w:val="clear" w:pos="900"/>
              <w:tab w:val="clear" w:pos="9350"/>
              <w:tab w:val="right" w:pos="9025" w:leader="dot"/>
            </w:tabs>
            <w:rPr/>
          </w:pPr>
          <w:hyperlink w:anchor="__RefHeading___Toc28953_1360963153">
            <w:r>
              <w:rPr>
                <w:webHidden/>
                <w:rStyle w:val="IndexLink"/>
              </w:rPr>
              <w:t>13.4 Brand pack import</w:t>
              <w:tab/>
              <w:t>19</w:t>
            </w:r>
          </w:hyperlink>
        </w:p>
        <w:p>
          <w:pPr>
            <w:pStyle w:val="TOC2"/>
            <w:tabs>
              <w:tab w:val="clear" w:pos="900"/>
              <w:tab w:val="clear" w:pos="9350"/>
              <w:tab w:val="right" w:pos="9025" w:leader="dot"/>
            </w:tabs>
            <w:rPr/>
          </w:pPr>
          <w:hyperlink w:anchor="__RefHeading___Toc28955_1360963153">
            <w:r>
              <w:rPr>
                <w:webHidden/>
                <w:rStyle w:val="IndexLink"/>
              </w:rPr>
              <w:t>13.5 E-signature revocation</w:t>
              <w:tab/>
              <w:t>20</w:t>
            </w:r>
          </w:hyperlink>
        </w:p>
        <w:p>
          <w:pPr>
            <w:pStyle w:val="TOC1"/>
            <w:tabs>
              <w:tab w:val="clear" w:pos="900"/>
              <w:tab w:val="clear" w:pos="9350"/>
              <w:tab w:val="right" w:pos="9025" w:leader="dot"/>
            </w:tabs>
            <w:rPr/>
          </w:pPr>
          <w:hyperlink w:anchor="__RefHeading___Toc28957_1360963153">
            <w:r>
              <w:rPr>
                <w:webHidden/>
                <w:rStyle w:val="IndexLink"/>
              </w:rPr>
              <w:t>14. Backup verification and DR drills</w:t>
              <w:tab/>
              <w:t>21</w:t>
            </w:r>
          </w:hyperlink>
        </w:p>
        <w:p>
          <w:pPr>
            <w:pStyle w:val="TOC2"/>
            <w:tabs>
              <w:tab w:val="clear" w:pos="900"/>
              <w:tab w:val="clear" w:pos="9350"/>
              <w:tab w:val="right" w:pos="9025" w:leader="dot"/>
            </w:tabs>
            <w:rPr/>
          </w:pPr>
          <w:hyperlink w:anchor="__RefHeading___Toc28959_1360963153">
            <w:r>
              <w:rPr>
                <w:webHidden/>
                <w:rStyle w:val="IndexLink"/>
              </w:rPr>
              <w:t>14.1 Backup verification</w:t>
              <w:tab/>
              <w:t>21</w:t>
            </w:r>
          </w:hyperlink>
        </w:p>
        <w:p>
          <w:pPr>
            <w:pStyle w:val="TOC2"/>
            <w:tabs>
              <w:tab w:val="clear" w:pos="900"/>
              <w:tab w:val="clear" w:pos="9350"/>
              <w:tab w:val="right" w:pos="9025" w:leader="dot"/>
            </w:tabs>
            <w:rPr/>
          </w:pPr>
          <w:hyperlink w:anchor="__RefHeading___Toc28961_1360963153">
            <w:r>
              <w:rPr>
                <w:webHidden/>
                <w:rStyle w:val="IndexLink"/>
              </w:rPr>
              <w:t>14.2 DR drills</w:t>
              <w:tab/>
              <w:t>21</w:t>
            </w:r>
          </w:hyperlink>
        </w:p>
        <w:p>
          <w:pPr>
            <w:pStyle w:val="TOC1"/>
            <w:tabs>
              <w:tab w:val="clear" w:pos="900"/>
              <w:tab w:val="clear" w:pos="9350"/>
              <w:tab w:val="right" w:pos="9025" w:leader="dot"/>
            </w:tabs>
            <w:rPr/>
          </w:pPr>
          <w:hyperlink w:anchor="__RefHeading___Toc28963_1360963153">
            <w:r>
              <w:rPr>
                <w:webHidden/>
                <w:rStyle w:val="IndexLink"/>
              </w:rPr>
              <w:t>15. Service reporting and KPIs</w:t>
              <w:tab/>
              <w:t>22</w:t>
            </w:r>
          </w:hyperlink>
        </w:p>
        <w:p>
          <w:pPr>
            <w:pStyle w:val="TOC2"/>
            <w:tabs>
              <w:tab w:val="clear" w:pos="900"/>
              <w:tab w:val="clear" w:pos="9350"/>
              <w:tab w:val="right" w:pos="9025" w:leader="dot"/>
            </w:tabs>
            <w:rPr/>
          </w:pPr>
          <w:hyperlink w:anchor="__RefHeading___Toc28965_1360963153">
            <w:r>
              <w:rPr>
                <w:webHidden/>
                <w:rStyle w:val="IndexLink"/>
              </w:rPr>
              <w:t>15.1 Monthly service report</w:t>
              <w:tab/>
              <w:t>22</w:t>
            </w:r>
          </w:hyperlink>
        </w:p>
        <w:p>
          <w:pPr>
            <w:pStyle w:val="TOC2"/>
            <w:tabs>
              <w:tab w:val="clear" w:pos="900"/>
              <w:tab w:val="clear" w:pos="9350"/>
              <w:tab w:val="right" w:pos="9025" w:leader="dot"/>
            </w:tabs>
            <w:rPr/>
          </w:pPr>
          <w:hyperlink w:anchor="__RefHeading___Toc28967_1360963153">
            <w:r>
              <w:rPr>
                <w:webHidden/>
                <w:rStyle w:val="IndexLink"/>
              </w:rPr>
              <w:t>15.2 KPIs</w:t>
              <w:tab/>
              <w:t>22</w:t>
            </w:r>
          </w:hyperlink>
        </w:p>
        <w:p>
          <w:pPr>
            <w:pStyle w:val="TOC1"/>
            <w:tabs>
              <w:tab w:val="clear" w:pos="900"/>
              <w:tab w:val="clear" w:pos="9350"/>
              <w:tab w:val="right" w:pos="9025" w:leader="dot"/>
            </w:tabs>
            <w:rPr/>
          </w:pPr>
          <w:hyperlink w:anchor="__RefHeading___Toc28969_1360963153">
            <w:r>
              <w:rPr>
                <w:webHidden/>
                <w:rStyle w:val="IndexLink"/>
              </w:rPr>
              <w:t>16. Knowledge base</w:t>
              <w:tab/>
              <w:t>23</w:t>
            </w:r>
          </w:hyperlink>
        </w:p>
        <w:p>
          <w:pPr>
            <w:pStyle w:val="TOC1"/>
            <w:tabs>
              <w:tab w:val="clear" w:pos="900"/>
              <w:tab w:val="clear" w:pos="9350"/>
              <w:tab w:val="right" w:pos="9025" w:leader="dot"/>
            </w:tabs>
            <w:rPr/>
          </w:pPr>
          <w:hyperlink w:anchor="__RefHeading___Toc28971_1360963153">
            <w:r>
              <w:rPr>
                <w:webHidden/>
                <w:rStyle w:val="IndexLink"/>
              </w:rPr>
              <w:t>17. Handover from hypercare</w:t>
              <w:tab/>
              <w:t>24</w:t>
            </w:r>
          </w:hyperlink>
        </w:p>
        <w:p>
          <w:pPr>
            <w:pStyle w:val="TOC1"/>
            <w:tabs>
              <w:tab w:val="clear" w:pos="900"/>
              <w:tab w:val="clear" w:pos="9350"/>
              <w:tab w:val="right" w:pos="9025" w:leader="dot"/>
            </w:tabs>
            <w:rPr/>
          </w:pPr>
          <w:hyperlink w:anchor="__RefHeading___Toc28973_1360963153">
            <w:r>
              <w:rPr>
                <w:webHidden/>
                <w:rStyle w:val="IndexLink"/>
              </w:rPr>
              <w:t>18. Root-cause analysis standards</w:t>
              <w:tab/>
              <w:t>25</w:t>
            </w:r>
          </w:hyperlink>
        </w:p>
        <w:p>
          <w:pPr>
            <w:pStyle w:val="TOC1"/>
            <w:tabs>
              <w:tab w:val="clear" w:pos="900"/>
              <w:tab w:val="clear" w:pos="9350"/>
              <w:tab w:val="right" w:pos="9025" w:leader="dot"/>
            </w:tabs>
            <w:rPr/>
          </w:pPr>
          <w:hyperlink w:anchor="__RefHeading___Toc28975_1360963153">
            <w:r>
              <w:rPr>
                <w:webHidden/>
                <w:rStyle w:val="IndexLink"/>
              </w:rPr>
              <w:t>19. Code fix standards</w:t>
              <w:tab/>
              <w:t>26</w:t>
            </w:r>
          </w:hyperlink>
        </w:p>
        <w:p>
          <w:pPr>
            <w:pStyle w:val="TOC2"/>
            <w:tabs>
              <w:tab w:val="clear" w:pos="900"/>
              <w:tab w:val="clear" w:pos="9350"/>
              <w:tab w:val="right" w:pos="9025" w:leader="dot"/>
            </w:tabs>
            <w:rPr/>
          </w:pPr>
          <w:hyperlink w:anchor="__RefHeading___Toc28977_1360963153">
            <w:r>
              <w:rPr>
                <w:webHidden/>
                <w:rStyle w:val="IndexLink"/>
              </w:rPr>
              <w:t>19.1 Branching and review</w:t>
              <w:tab/>
              <w:t>26</w:t>
            </w:r>
          </w:hyperlink>
        </w:p>
        <w:p>
          <w:pPr>
            <w:pStyle w:val="TOC2"/>
            <w:tabs>
              <w:tab w:val="clear" w:pos="900"/>
              <w:tab w:val="clear" w:pos="9350"/>
              <w:tab w:val="right" w:pos="9025" w:leader="dot"/>
            </w:tabs>
            <w:rPr/>
          </w:pPr>
          <w:hyperlink w:anchor="__RefHeading___Toc28979_1360963153">
            <w:r>
              <w:rPr>
                <w:webHidden/>
                <w:rStyle w:val="IndexLink"/>
              </w:rPr>
              <w:t>19.2 Rules for the change</w:t>
              <w:tab/>
              <w:t>26</w:t>
            </w:r>
          </w:hyperlink>
        </w:p>
        <w:p>
          <w:pPr>
            <w:pStyle w:val="TOC2"/>
            <w:tabs>
              <w:tab w:val="clear" w:pos="900"/>
              <w:tab w:val="clear" w:pos="9350"/>
              <w:tab w:val="right" w:pos="9025" w:leader="dot"/>
            </w:tabs>
            <w:rPr/>
          </w:pPr>
          <w:hyperlink w:anchor="__RefHeading___Toc28981_1360963153">
            <w:r>
              <w:rPr>
                <w:webHidden/>
                <w:rStyle w:val="IndexLink"/>
              </w:rPr>
              <w:t>19.3 Tests</w:t>
              <w:tab/>
              <w:t>26</w:t>
            </w:r>
          </w:hyperlink>
        </w:p>
        <w:p>
          <w:pPr>
            <w:pStyle w:val="TOC1"/>
            <w:tabs>
              <w:tab w:val="clear" w:pos="900"/>
              <w:tab w:val="clear" w:pos="9350"/>
              <w:tab w:val="right" w:pos="9025" w:leader="dot"/>
            </w:tabs>
            <w:rPr/>
          </w:pPr>
          <w:hyperlink w:anchor="__RefHeading___Toc28983_1360963153">
            <w:r>
              <w:rPr>
                <w:webHidden/>
                <w:rStyle w:val="IndexLink"/>
              </w:rPr>
              <w:t>20. Regression testing</w:t>
              <w:tab/>
              <w:t>27</w:t>
            </w:r>
          </w:hyperlink>
        </w:p>
        <w:p>
          <w:pPr>
            <w:pStyle w:val="TOC1"/>
            <w:tabs>
              <w:tab w:val="clear" w:pos="900"/>
              <w:tab w:val="clear" w:pos="9350"/>
              <w:tab w:val="right" w:pos="9025" w:leader="dot"/>
            </w:tabs>
            <w:rPr/>
          </w:pPr>
          <w:hyperlink w:anchor="__RefHeading___Toc28985_1360963153">
            <w:r>
              <w:rPr>
                <w:webHidden/>
                <w:rStyle w:val="IndexLink"/>
              </w:rPr>
              <w:t>21. Security incidents and personal data breaches</w:t>
              <w:tab/>
              <w:t>28</w:t>
            </w:r>
          </w:hyperlink>
        </w:p>
        <w:p>
          <w:pPr>
            <w:pStyle w:val="TOC2"/>
            <w:tabs>
              <w:tab w:val="clear" w:pos="900"/>
              <w:tab w:val="clear" w:pos="9350"/>
              <w:tab w:val="right" w:pos="9025" w:leader="dot"/>
            </w:tabs>
            <w:rPr/>
          </w:pPr>
          <w:hyperlink w:anchor="__RefHeading___Toc28987_1360963153">
            <w:r>
              <w:rPr>
                <w:webHidden/>
                <w:rStyle w:val="IndexLink"/>
              </w:rPr>
              <w:t>21.1 Security incidents</w:t>
              <w:tab/>
              <w:t>28</w:t>
            </w:r>
          </w:hyperlink>
        </w:p>
        <w:p>
          <w:pPr>
            <w:pStyle w:val="TOC2"/>
            <w:tabs>
              <w:tab w:val="clear" w:pos="900"/>
              <w:tab w:val="clear" w:pos="9350"/>
              <w:tab w:val="right" w:pos="9025" w:leader="dot"/>
            </w:tabs>
            <w:rPr/>
          </w:pPr>
          <w:hyperlink w:anchor="__RefHeading___Toc28989_1360963153">
            <w:r>
              <w:rPr>
                <w:webHidden/>
                <w:rStyle w:val="IndexLink"/>
              </w:rPr>
              <w:t>21.2 Personal data breaches</w:t>
              <w:tab/>
              <w:t>28</w:t>
            </w:r>
          </w:hyperlink>
        </w:p>
        <w:p>
          <w:pPr>
            <w:pStyle w:val="TOC2"/>
            <w:tabs>
              <w:tab w:val="clear" w:pos="900"/>
              <w:tab w:val="clear" w:pos="9350"/>
              <w:tab w:val="right" w:pos="9025" w:leader="dot"/>
            </w:tabs>
            <w:rPr/>
          </w:pPr>
          <w:hyperlink w:anchor="__RefHeading___Toc28991_1360963153">
            <w:r>
              <w:rPr>
                <w:webHidden/>
                <w:rStyle w:val="IndexLink"/>
              </w:rPr>
              <w:t>21.3 Data subject requests</w:t>
              <w:tab/>
              <w:t>29</w:t>
            </w:r>
          </w:hyperlink>
        </w:p>
        <w:p>
          <w:pPr>
            <w:pStyle w:val="TOC1"/>
            <w:tabs>
              <w:tab w:val="clear" w:pos="900"/>
              <w:tab w:val="clear" w:pos="9350"/>
              <w:tab w:val="right" w:pos="9025" w:leader="dot"/>
            </w:tabs>
            <w:rPr/>
          </w:pPr>
          <w:hyperlink w:anchor="__RefHeading___Toc28993_1360963153">
            <w:r>
              <w:rPr>
                <w:webHidden/>
                <w:rStyle w:val="IndexLink"/>
              </w:rPr>
              <w:t>22. Support exclusions</w:t>
              <w:tab/>
              <w:t>30</w:t>
            </w:r>
          </w:hyperlink>
        </w:p>
        <w:p>
          <w:pPr>
            <w:pStyle w:val="TOC1"/>
            <w:tabs>
              <w:tab w:val="clear" w:pos="900"/>
              <w:tab w:val="clear" w:pos="9350"/>
              <w:tab w:val="right" w:pos="9025" w:leader="dot"/>
            </w:tabs>
            <w:rPr/>
          </w:pPr>
          <w:hyperlink w:anchor="__RefHeading___Toc28995_1360963153">
            <w:r>
              <w:rPr>
                <w:webHidden/>
                <w:rStyle w:val="IndexLink"/>
              </w:rPr>
              <w:t>23. What the broker provides</w:t>
              <w:tab/>
              <w:t>31</w:t>
            </w:r>
          </w:hyperlink>
        </w:p>
        <w:p>
          <w:pPr>
            <w:pStyle w:val="TOC1"/>
            <w:tabs>
              <w:tab w:val="clear" w:pos="900"/>
              <w:tab w:val="clear" w:pos="9350"/>
              <w:tab w:val="right" w:pos="9025" w:leader="dot"/>
            </w:tabs>
            <w:rPr/>
          </w:pPr>
          <w:hyperlink w:anchor="__RefHeading___Toc28997_1360963153">
            <w:r>
              <w:rPr>
                <w:webHidden/>
                <w:rStyle w:val="IndexLink"/>
                <w:i w:val="false"/>
                <w:iCs w:val="false"/>
              </w:rPr>
              <w:t>24.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8889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procedures for the integrations outbox, the EIS outbox, the compliance deadline jobs, encryption key custody and rotation, brand pack import and e-signature revocation; monitoring, backups and references updated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8891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ITIL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 Infrastructure Library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Pull request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8893_1360963153"/>
      <w:bookmarkEnd w:id="6"/>
      <w:r>
        <w:rPr>
          <w:rFonts w:eastAsia="Segoe UI" w:cs="Segoe UI" w:ascii="Segoe UI" w:hAnsi="Segoe UI"/>
          <w:b/>
          <w:color w:val="0F4761"/>
          <w:sz w:val="32"/>
        </w:rPr>
        <w:t>3.  Introduction</w:t>
      </w:r>
    </w:p>
    <w:p>
      <w:pPr>
        <w:pStyle w:val="Heading2"/>
        <w:rPr/>
      </w:pPr>
      <w:bookmarkStart w:id="7" w:name="__RefHeading___Toc28895_136096315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pStyle w:val="Normal"/>
        <w:spacing w:lineRule="auto" w:line="276" w:before="0" w:after="120"/>
        <w:rPr/>
      </w:pPr>
      <w:r>
        <w:rPr>
          <w:rFonts w:eastAsia="Segoe UI" w:cs="Segoe UI" w:ascii="Segoe UI" w:hAnsi="Segoe UI"/>
          <w:color w:val="101820"/>
          <w:sz w:val="21"/>
        </w:rPr>
        <w:t xml:space="preserve">The figures in this document (hours, targets, frequencies) are the iorta TechNXT standard proposal. The final values are fixed in the support agreement with the broker and are then copied into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p>
    <w:p>
      <w:pPr>
        <w:pStyle w:val="Heading2"/>
        <w:rPr/>
      </w:pPr>
      <w:bookmarkStart w:id="8" w:name="__RefHeading___Toc28897_1360963153"/>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System Administrator, key users and IT management; the iorta TechNXT application support, engineering and DevOps teams; the account manager.</w:t>
      </w:r>
    </w:p>
    <w:p>
      <w:pPr>
        <w:pStyle w:val="Heading2"/>
        <w:rPr/>
      </w:pPr>
      <w:bookmarkStart w:id="9" w:name="__RefHeading___Toc28899_1360963153"/>
      <w:bookmarkEnd w:id="9"/>
      <w:r>
        <w:rPr>
          <w:rFonts w:eastAsia="Segoe UI" w:cs="Segoe UI"/>
          <w:b/>
          <w:color w:val="0F4761"/>
          <w:sz w:val="26"/>
        </w:rPr>
        <w:t>3.3  Reference material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in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a user report must contain and what support checks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frontend.md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Tracing a defect from a screen to the API and the database; logs and request IDs; common production issues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API touchpoint workbook (screen to route)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health checks, start-up rules, upgrade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documents 07 to 11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 RTO and RPO, backup and recovery, archival and housekeeping,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behaviour of each screen; known limitations (manual Appendix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regression scripts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Batch Jobs (05_Delivery), chapter Support runbook by job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scheduled job does, its switch, and the checks and fixes when it fails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docs/onboarding/BRANDING_AND_SIGNATURES.md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DATA_MASKING.md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packs and e-signatures; masking of non-production copies; what users send with a report</w:t>
            </w:r>
          </w:p>
        </w:tc>
      </w:tr>
    </w:tbl>
    <w:p>
      <w:pPr>
        <w:pStyle w:val="Heading1"/>
        <w:rPr/>
      </w:pPr>
      <w:r>
        <w:br w:type="page"/>
      </w:r>
      <w:bookmarkStart w:id="10" w:name="__RefHeading___Toc28901_1360963153"/>
      <w:bookmarkEnd w:id="10"/>
      <w:r>
        <w:rPr>
          <w:rFonts w:eastAsia="Segoe UI" w:cs="Segoe UI" w:ascii="Segoe UI" w:hAnsi="Segoe UI"/>
          <w:b/>
          <w:color w:val="0F4761"/>
          <w:sz w:val="32"/>
        </w:rPr>
        <w:t>4.  Support model</w:t>
      </w:r>
    </w:p>
    <w:p>
      <w:pPr>
        <w:pStyle w:val="Heading2"/>
        <w:rPr/>
      </w:pPr>
      <w:bookmarkStart w:id="11" w:name="__RefHeading___Toc28903_1360963153"/>
      <w:bookmarkEnd w:id="11"/>
      <w:r>
        <w:rPr>
          <w:rFonts w:eastAsia="Segoe UI" w:cs="Segoe UI"/>
          <w:b/>
          <w:color w:val="0F4761"/>
          <w:sz w:val="26"/>
        </w:rPr>
        <w:t>4.1  Levels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6"/>
        <w:gridCol w:w="40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users, roles, password and two-step verification resets, settings and master data; logging the ticket with the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triage and classification; reproduction in UAT (or SIT for a large broker); analysis with request IDs, logs, Audit Trail and job runs;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(development and DevOps)</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corrections that need a script, performance, infrastructure, security incidents, root-cause analysis,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This model maps to the levels users see in the user manual (Appendix H) and in </w:t>
      </w:r>
      <w:r>
        <w:rPr>
          <w:rFonts w:eastAsia="Consolas" w:cs="Consolas" w:ascii="Consolas" w:hAnsi="Consolas"/>
          <w:color w:val="101820"/>
          <w:sz w:val="19"/>
        </w:rPr>
        <w:t>SUPPORT_AND_ESCALATION.md</w:t>
      </w:r>
      <w:r>
        <w:rPr>
          <w:rFonts w:eastAsia="Segoe UI" w:cs="Segoe UI" w:ascii="Segoe UI" w:hAnsi="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rPr/>
      </w:pPr>
      <w:bookmarkStart w:id="12" w:name="__RefHeading___Toc28905_1360963153"/>
      <w:bookmarkEnd w:id="12"/>
      <w:r>
        <w:rPr>
          <w:rFonts w:eastAsia="Segoe UI" w:cs="Segoe UI"/>
          <w:b/>
          <w:color w:val="0F4761"/>
          <w:sz w:val="26"/>
        </w:rPr>
        <w:t>4.2  Responsibilities of L1</w:t>
      </w:r>
    </w:p>
    <w:p>
      <w:pPr>
        <w:pStyle w:val="Normal"/>
        <w:numPr>
          <w:ilvl w:val="0"/>
          <w:numId w:val="1"/>
        </w:numPr>
        <w:spacing w:before="0" w:after="60"/>
        <w:rPr/>
      </w:pPr>
      <w:r>
        <w:rPr>
          <w:rFonts w:eastAsia="Segoe UI" w:cs="Segoe UI" w:ascii="Segoe UI" w:hAnsi="Segoe UI"/>
          <w:color w:val="101820"/>
          <w:sz w:val="21"/>
        </w:rPr>
        <w:t>Answer how-to questions from the user manual and the role decks.</w:t>
      </w:r>
    </w:p>
    <w:p>
      <w:pPr>
        <w:pStyle w:val="Normal"/>
        <w:numPr>
          <w:ilvl w:val="0"/>
          <w:numId w:val="1"/>
        </w:numPr>
        <w:spacing w:before="0" w:after="60"/>
        <w:rPr/>
      </w:pPr>
      <w:r>
        <w:rPr>
          <w:rFonts w:eastAsia="Segoe UI" w:cs="Segoe UI" w:ascii="Segoe UI" w:hAnsi="Segoe UI"/>
          <w:color w:val="101820"/>
          <w:sz w:val="21"/>
        </w:rPr>
        <w:t>Check the user's role and menus (</w:t>
      </w:r>
      <w:r>
        <w:rPr>
          <w:rFonts w:eastAsia="Consolas" w:cs="Consolas" w:ascii="Consolas" w:hAnsi="Consolas"/>
          <w:color w:val="101820"/>
          <w:sz w:val="19"/>
        </w:rPr>
        <w:t>GETTING_STARTED.md</w:t>
      </w:r>
      <w:r>
        <w:rPr>
          <w:rFonts w:eastAsia="Segoe UI" w:cs="Segoe UI" w:ascii="Segoe UI" w:hAnsi="Segoe UI"/>
          <w:color w:val="101820"/>
          <w:sz w:val="21"/>
        </w:rPr>
        <w:t>, section 2), the setting concerned (Master &gt; Configuration) and Master &gt; Audit Trail for a recent change.</w:t>
      </w:r>
    </w:p>
    <w:p>
      <w:pPr>
        <w:pStyle w:val="Normal"/>
        <w:numPr>
          <w:ilvl w:val="0"/>
          <w:numId w:val="1"/>
        </w:numPr>
        <w:spacing w:before="0" w:after="60"/>
        <w:rPr/>
      </w:pPr>
      <w:r>
        <w:rPr>
          <w:rFonts w:eastAsia="Segoe UI" w:cs="Segoe UI" w:ascii="Segoe UI" w:hAnsi="Segoe UI"/>
          <w:color w:val="101820"/>
          <w:sz w:val="21"/>
        </w:rPr>
        <w:t xml:space="preserve">For uploads, compare the rejected file with the template in </w:t>
      </w:r>
      <w:r>
        <w:rPr>
          <w:rFonts w:eastAsia="Consolas" w:cs="Consolas" w:ascii="Consolas" w:hAnsi="Consolas"/>
          <w:color w:val="101820"/>
          <w:sz w:val="19"/>
        </w:rPr>
        <w:t>docs/package/05_Delivery/Upload_Templates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Raise a ticket with the evidence of chapter 7 when the issue remains.</w:t>
      </w:r>
    </w:p>
    <w:p>
      <w:pPr>
        <w:pStyle w:val="Normal"/>
        <w:numPr>
          <w:ilvl w:val="0"/>
          <w:numId w:val="1"/>
        </w:numPr>
        <w:spacing w:before="0" w:after="60"/>
        <w:rPr/>
      </w:pPr>
      <w:r>
        <w:rPr>
          <w:rFonts w:eastAsia="Segoe UI" w:cs="Segoe UI" w:ascii="Segoe UI" w:hAnsi="Segoe UI"/>
          <w:color w:val="101820"/>
          <w:sz w:val="21"/>
        </w:rPr>
        <w:t>Communicate with the broker's users during an incident and confirm the fix.</w:t>
      </w:r>
    </w:p>
    <w:p>
      <w:pPr>
        <w:pStyle w:val="Heading2"/>
        <w:rPr/>
      </w:pPr>
      <w:bookmarkStart w:id="13" w:name="__RefHeading___Toc28907_1360963153"/>
      <w:bookmarkEnd w:id="13"/>
      <w:r>
        <w:rPr>
          <w:rFonts w:eastAsia="Segoe UI" w:cs="Segoe UI"/>
          <w:b/>
          <w:color w:val="0F4761"/>
          <w:sz w:val="26"/>
        </w:rPr>
        <w:t>4.3  Service desk</w:t>
      </w:r>
    </w:p>
    <w:p>
      <w:pPr>
        <w:pStyle w:val="Normal"/>
        <w:spacing w:lineRule="auto" w:line="276" w:before="0" w:after="120"/>
        <w:rPr/>
      </w:pPr>
      <w:r>
        <w:rPr>
          <w:rFonts w:eastAsia="Segoe UI" w:cs="Segoe UI" w:ascii="Segoe UI" w:hAnsi="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r>
        <w:br w:type="page"/>
      </w:r>
    </w:p>
    <w:p>
      <w:pPr>
        <w:pStyle w:val="Heading1"/>
        <w:rPr/>
      </w:pPr>
      <w:bookmarkStart w:id="14" w:name="__RefHeading___Toc28909_1360963153"/>
      <w:bookmarkEnd w:id="14"/>
      <w:r>
        <w:rPr>
          <w:rFonts w:eastAsia="Segoe UI" w:cs="Segoe UI" w:ascii="Segoe UI" w:hAnsi="Segoe UI"/>
          <w:b/>
          <w:color w:val="0F4761"/>
          <w:sz w:val="32"/>
        </w:rPr>
        <w:t>5.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broker;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 Monitoring alarms (chapter 12) are watched outside service hours only where the extended option is taken.</w:t>
      </w:r>
      <w:r>
        <w:br w:type="page"/>
      </w:r>
    </w:p>
    <w:p>
      <w:pPr>
        <w:pStyle w:val="Heading1"/>
        <w:rPr/>
      </w:pPr>
      <w:bookmarkStart w:id="15" w:name="__RefHeading___Toc28911_1360963153"/>
      <w:bookmarkEnd w:id="15"/>
      <w:r>
        <w:rPr>
          <w:rFonts w:eastAsia="Segoe UI" w:cs="Segoe UI" w:ascii="Segoe UI" w:hAnsi="Segoe UI"/>
          <w:b/>
          <w:color w:val="0F4761"/>
          <w:sz w:val="32"/>
        </w:rPr>
        <w:t>6.  Severity levels and targets</w:t>
      </w:r>
    </w:p>
    <w:p>
      <w:pPr>
        <w:pStyle w:val="Heading2"/>
        <w:rPr/>
      </w:pPr>
      <w:bookmarkStart w:id="16" w:name="__RefHeading___Toc28913_1360963153"/>
      <w:bookmarkEnd w:id="16"/>
      <w:r>
        <w:rPr>
          <w:rFonts w:eastAsia="Segoe UI" w:cs="Segoe UI"/>
          <w:b/>
          <w:color w:val="0F4761"/>
          <w:sz w:val="26"/>
        </w:rPr>
        <w:t>6.1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broker proposes the severity when raising the ticket. L2 confirms or changes it at triage, with the reason, and the broker may ask for a review through the escalation matrix.</w:t>
      </w:r>
    </w:p>
    <w:p>
      <w:pPr>
        <w:pStyle w:val="Heading2"/>
        <w:rPr/>
      </w:pPr>
      <w:bookmarkStart w:id="17" w:name="__RefHeading___Toc28915_1360963153"/>
      <w:bookmarkEnd w:id="17"/>
      <w:r>
        <w:rPr>
          <w:rFonts w:eastAsia="Segoe UI" w:cs="Segoe UI"/>
          <w:b/>
          <w:color w:val="0F4761"/>
          <w:sz w:val="26"/>
        </w:rPr>
        <w:t>6.2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broker or handled as a change request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These targets are the iorta TechNXT standard proposal. </w:t>
      </w:r>
      <w:r>
        <w:rPr>
          <w:rFonts w:eastAsia="Consolas" w:cs="Consolas" w:ascii="Consolas" w:hAnsi="Consolas"/>
          <w:color w:val="101820"/>
          <w:sz w:val="18"/>
        </w:rPr>
        <w:t>SUPPORT_AND_ESCALATION.md</w:t>
      </w:r>
      <w:r>
        <w:rPr>
          <w:rFonts w:eastAsia="Segoe UI" w:cs="Segoe UI" w:ascii="Segoe UI" w:hAnsi="Segoe UI"/>
          <w:color w:val="101820"/>
          <w:sz w:val="20"/>
        </w:rPr>
        <w:t xml:space="preserve"> shows an earlier proposal used at onboarding (P1 first response 1 business hour, fix in 1 business day). The support agreement fixes one set of values and both documents are then aligned.</w:t>
      </w:r>
    </w:p>
    <w:p>
      <w:pPr>
        <w:pStyle w:val="Normal"/>
        <w:spacing w:lineRule="auto" w:line="276" w:before="0" w:after="120"/>
        <w:rPr/>
      </w:pPr>
      <w:r>
        <w:rPr>
          <w:rFonts w:eastAsia="Segoe UI" w:cs="Segoe UI" w:ascii="Segoe UI" w:hAnsi="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r>
        <w:br w:type="page"/>
      </w:r>
    </w:p>
    <w:p>
      <w:pPr>
        <w:pStyle w:val="Heading1"/>
        <w:rPr/>
      </w:pPr>
      <w:bookmarkStart w:id="18" w:name="__RefHeading___Toc28917_1360963153"/>
      <w:bookmarkEnd w:id="18"/>
      <w:r>
        <w:rPr>
          <w:rFonts w:eastAsia="Segoe UI" w:cs="Segoe UI" w:ascii="Segoe UI" w:hAnsi="Segoe UI"/>
          <w:b/>
          <w:color w:val="0F4761"/>
          <w:sz w:val="32"/>
        </w:rPr>
        <w:t>7.  Ticket workflow</w:t>
      </w:r>
    </w:p>
    <w:p>
      <w:pPr>
        <w:pStyle w:val="Heading2"/>
        <w:rPr/>
      </w:pPr>
      <w:bookmarkStart w:id="19" w:name="__RefHeading___Toc28919_1360963153"/>
      <w:bookmarkEnd w:id="19"/>
      <w:r>
        <w:rPr>
          <w:rFonts w:eastAsia="Segoe UI" w:cs="Segoe UI"/>
          <w:b/>
          <w:color w:val="0F4761"/>
          <w:sz w:val="26"/>
        </w:rPr>
        <w:t>7.1  Minimum content of a ticket</w:t>
      </w:r>
    </w:p>
    <w:p>
      <w:pPr>
        <w:pStyle w:val="Normal"/>
        <w:spacing w:lineRule="auto" w:line="276" w:before="0" w:after="120"/>
        <w:rPr/>
      </w:pPr>
      <w:r>
        <w:rPr>
          <w:rFonts w:eastAsia="Segoe UI" w:cs="Segoe UI" w:ascii="Segoe UI" w:hAnsi="Segoe UI"/>
          <w:color w:val="101820"/>
          <w:sz w:val="21"/>
        </w:rPr>
        <w:t xml:space="preserve">As in </w:t>
      </w:r>
      <w:r>
        <w:rPr>
          <w:rFonts w:eastAsia="Consolas" w:cs="Consolas" w:ascii="Consolas" w:hAnsi="Consolas"/>
          <w:color w:val="101820"/>
          <w:sz w:val="19"/>
        </w:rPr>
        <w:t>SUPPORT_AND_ESCALATION.md</w:t>
      </w:r>
      <w:r>
        <w:rPr>
          <w:rFonts w:eastAsia="Segoe UI" w:cs="Segoe UI" w:ascii="Segoe UI" w:hAnsi="Segoe UI"/>
          <w:color w:val="101820"/>
          <w:sz w:val="21"/>
        </w:rPr>
        <w:t>, section 2:</w:t>
      </w:r>
    </w:p>
    <w:p>
      <w:pPr>
        <w:pStyle w:val="Normal"/>
        <w:numPr>
          <w:ilvl w:val="0"/>
          <w:numId w:val="11"/>
        </w:numPr>
        <w:spacing w:before="0" w:after="60"/>
        <w:rPr/>
      </w:pPr>
      <w:r>
        <w:rPr>
          <w:rFonts w:eastAsia="Segoe UI" w:cs="Segoe UI" w:ascii="Segoe UI" w:hAnsi="Segoe UI"/>
          <w:color w:val="101820"/>
          <w:sz w:val="21"/>
        </w:rPr>
        <w:t>The screen (menu path) and the record number (policy, quotation, receipt, voucher, journal).</w:t>
      </w:r>
    </w:p>
    <w:p>
      <w:pPr>
        <w:pStyle w:val="Normal"/>
        <w:numPr>
          <w:ilvl w:val="0"/>
          <w:numId w:val="2"/>
        </w:numPr>
        <w:spacing w:before="0" w:after="60"/>
        <w:rPr/>
      </w:pPr>
      <w:r>
        <w:rPr>
          <w:rFonts w:eastAsia="Segoe UI" w:cs="Segoe UI" w:ascii="Segoe UI" w:hAnsi="Segoe UI"/>
          <w:color w:val="101820"/>
          <w:sz w:val="21"/>
        </w:rPr>
        <w:t>The date and time, to the minute.</w:t>
      </w:r>
    </w:p>
    <w:p>
      <w:pPr>
        <w:pStyle w:val="Normal"/>
        <w:numPr>
          <w:ilvl w:val="0"/>
          <w:numId w:val="2"/>
        </w:numPr>
        <w:spacing w:before="0" w:after="60"/>
        <w:rPr/>
      </w:pPr>
      <w:r>
        <w:rPr>
          <w:rFonts w:eastAsia="Segoe UI" w:cs="Segoe UI" w:ascii="Segoe UI" w:hAnsi="Segoe UI"/>
          <w:color w:val="101820"/>
          <w:sz w:val="21"/>
        </w:rPr>
        <w:t>The request ID shown in the error message, if any.</w:t>
      </w:r>
    </w:p>
    <w:p>
      <w:pPr>
        <w:pStyle w:val="Normal"/>
        <w:numPr>
          <w:ilvl w:val="0"/>
          <w:numId w:val="2"/>
        </w:numPr>
        <w:spacing w:before="0" w:after="60"/>
        <w:rPr/>
      </w:pPr>
      <w:r>
        <w:rPr>
          <w:rFonts w:eastAsia="Segoe UI" w:cs="Segoe UI" w:ascii="Segoe UI" w:hAnsi="Segoe UI"/>
          <w:color w:val="101820"/>
          <w:sz w:val="21"/>
        </w:rPr>
        <w:t>What was done, what happened and what was expected.</w:t>
      </w:r>
    </w:p>
    <w:p>
      <w:pPr>
        <w:pStyle w:val="Normal"/>
        <w:numPr>
          <w:ilvl w:val="0"/>
          <w:numId w:val="2"/>
        </w:numPr>
        <w:spacing w:before="0" w:after="60"/>
        <w:rPr/>
      </w:pPr>
      <w:r>
        <w:rPr>
          <w:rFonts w:eastAsia="Segoe UI" w:cs="Segoe UI" w:ascii="Segoe UI" w:hAnsi="Segoe UI"/>
          <w:color w:val="101820"/>
          <w:sz w:val="21"/>
        </w:rPr>
        <w:t>A screenshot, with client personal data covered.</w:t>
      </w:r>
    </w:p>
    <w:p>
      <w:pPr>
        <w:pStyle w:val="Normal"/>
        <w:numPr>
          <w:ilvl w:val="0"/>
          <w:numId w:val="2"/>
        </w:numPr>
        <w:spacing w:before="0" w:after="60"/>
        <w:rPr/>
      </w:pPr>
      <w:r>
        <w:rPr>
          <w:rFonts w:eastAsia="Segoe UI" w:cs="Segoe UI" w:ascii="Segoe UI" w:hAnsi="Segoe UI"/>
          <w:color w:val="101820"/>
          <w:sz w:val="21"/>
        </w:rPr>
        <w:t>The username (never the password) and the role.</w:t>
      </w:r>
    </w:p>
    <w:p>
      <w:pPr>
        <w:pStyle w:val="Normal"/>
        <w:numPr>
          <w:ilvl w:val="0"/>
          <w:numId w:val="2"/>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0" w:name="__RefHeading___Toc28921_1360963153"/>
      <w:bookmarkEnd w:id="20"/>
      <w:r>
        <w:rPr>
          <w:rFonts w:eastAsia="Segoe UI" w:cs="Segoe UI"/>
          <w:b/>
          <w:color w:val="0F4761"/>
          <w:sz w:val="26"/>
        </w:rPr>
        <w:t>7.2  Statuses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8"/>
        <w:gridCol w:w="5278"/>
        <w:gridCol w:w="1649"/>
      </w:tblGrid>
      <w:tr>
        <w:trPr>
          <w:tblHeader w:val="true"/>
        </w:trPr>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5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6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moves it</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by L1</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confirmed, owner assigned, first response sent</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analysis or being fixed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or L3</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Awaiting customer</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information, a test or a decision from the broker; the clock stops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Workaround provided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restored; the permanent fix is tracked on a problem record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or answer delivered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confirmed, or no reply within 5 business days of Resolved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or automatic</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reports within 5 business days that the issue remains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bl>
    <w:p>
      <w:pPr>
        <w:pStyle w:val="Normal"/>
        <w:spacing w:before="0" w:after="80"/>
        <w:rPr/>
      </w:pPr>
      <w:r>
        <w:rPr/>
      </w:r>
    </w:p>
    <w:p>
      <w:pPr>
        <w:pStyle w:val="Heading2"/>
        <w:rPr/>
      </w:pPr>
      <w:bookmarkStart w:id="21" w:name="__RefHeading___Toc28923_1360963153"/>
      <w:bookmarkEnd w:id="21"/>
      <w:r>
        <w:rPr>
          <w:rFonts w:eastAsia="Segoe UI" w:cs="Segoe UI"/>
          <w:b/>
          <w:color w:val="0F4761"/>
          <w:sz w:val="26"/>
        </w:rPr>
        <w:t>7.3  Triage steps at L2</w:t>
      </w:r>
    </w:p>
    <w:p>
      <w:pPr>
        <w:pStyle w:val="Normal"/>
        <w:numPr>
          <w:ilvl w:val="0"/>
          <w:numId w:val="12"/>
        </w:numPr>
        <w:spacing w:before="0" w:after="60"/>
        <w:rPr/>
      </w:pPr>
      <w:r>
        <w:rPr>
          <w:rFonts w:eastAsia="Segoe UI" w:cs="Segoe UI" w:ascii="Segoe UI" w:hAnsi="Segoe UI"/>
          <w:color w:val="101820"/>
          <w:sz w:val="21"/>
        </w:rPr>
        <w:t>Confirm severity and impact.</w:t>
      </w:r>
    </w:p>
    <w:p>
      <w:pPr>
        <w:pStyle w:val="Normal"/>
        <w:numPr>
          <w:ilvl w:val="0"/>
          <w:numId w:val="13"/>
        </w:numPr>
        <w:spacing w:before="0" w:after="60"/>
        <w:rPr/>
      </w:pPr>
      <w:r>
        <w:rPr>
          <w:rFonts w:eastAsia="Segoe UI" w:cs="Segoe UI" w:ascii="Segoe UI" w:hAnsi="Segoe UI"/>
          <w:color w:val="101820"/>
          <w:sz w:val="21"/>
        </w:rPr>
        <w:t>Find the request ID in the logs (JSON lines; the 500 message and stack are only in the log).</w:t>
      </w:r>
    </w:p>
    <w:p>
      <w:pPr>
        <w:pStyle w:val="Normal"/>
        <w:numPr>
          <w:ilvl w:val="0"/>
          <w:numId w:val="14"/>
        </w:numPr>
        <w:spacing w:before="0" w:after="60"/>
        <w:rPr/>
      </w:pPr>
      <w:r>
        <w:rPr>
          <w:rFonts w:eastAsia="Segoe UI" w:cs="Segoe UI" w:ascii="Segoe UI" w:hAnsi="Segoe UI"/>
          <w:color w:val="101820"/>
          <w:sz w:val="21"/>
        </w:rPr>
        <w:t xml:space="preserve">Check health: </w:t>
      </w:r>
      <w:r>
        <w:rPr>
          <w:rFonts w:eastAsia="Consolas" w:cs="Consolas" w:ascii="Consolas" w:hAnsi="Consolas"/>
          <w:color w:val="101820"/>
          <w:sz w:val="19"/>
        </w:rPr>
        <w:t>GET /api/health</w:t>
      </w:r>
      <w:r>
        <w:rPr>
          <w:rFonts w:eastAsia="Segoe UI" w:cs="Segoe UI" w:ascii="Segoe UI" w:hAnsi="Segoe UI"/>
          <w:color w:val="101820"/>
          <w:sz w:val="21"/>
        </w:rPr>
        <w:t xml:space="preserve"> (ready, database latency, pending migrations) and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Normal"/>
        <w:numPr>
          <w:ilvl w:val="0"/>
          <w:numId w:val="15"/>
        </w:numPr>
        <w:spacing w:before="0" w:after="60"/>
        <w:rPr/>
      </w:pPr>
      <w:r>
        <w:rPr>
          <w:rFonts w:eastAsia="Segoe UI" w:cs="Segoe UI" w:ascii="Segoe UI" w:hAnsi="Segoe UI"/>
          <w:color w:val="101820"/>
          <w:sz w:val="21"/>
        </w:rPr>
        <w:t>Find the route from the screen in the API touchpoint workbook and follow it to the module and tables.</w:t>
      </w:r>
    </w:p>
    <w:p>
      <w:pPr>
        <w:pStyle w:val="Normal"/>
        <w:numPr>
          <w:ilvl w:val="0"/>
          <w:numId w:val="16"/>
        </w:numPr>
        <w:spacing w:before="0" w:after="60"/>
        <w:rPr/>
      </w:pPr>
      <w:r>
        <w:rPr>
          <w:rFonts w:eastAsia="Segoe UI" w:cs="Segoe UI" w:ascii="Segoe UI" w:hAnsi="Segoe UI"/>
          <w:color w:val="101820"/>
          <w:sz w:val="21"/>
        </w:rPr>
        <w:t>Check the usual suspects of the area (</w:t>
      </w:r>
      <w:r>
        <w:rPr>
          <w:rFonts w:eastAsia="Consolas" w:cs="Consolas" w:ascii="Consolas" w:hAnsi="Consolas"/>
          <w:color w:val="101820"/>
          <w:sz w:val="19"/>
        </w:rPr>
        <w:t>docs/developer-guide/backend.md</w:t>
      </w:r>
      <w:r>
        <w:rPr>
          <w:rFonts w:eastAsia="Segoe UI" w:cs="Segoe UI" w:ascii="Segoe UI" w:hAnsi="Segoe UI"/>
          <w:color w:val="101820"/>
          <w:sz w:val="21"/>
        </w:rPr>
        <w:t>, section 7): sign-in and lockouts (</w:t>
      </w:r>
      <w:r>
        <w:rPr>
          <w:rFonts w:eastAsia="Consolas" w:cs="Consolas" w:ascii="Consolas" w:hAnsi="Consolas"/>
          <w:color w:val="101820"/>
          <w:sz w:val="19"/>
        </w:rPr>
        <w:t>login_history</w:t>
      </w:r>
      <w:r>
        <w:rPr>
          <w:rFonts w:eastAsia="Segoe UI" w:cs="Segoe UI" w:ascii="Segoe UI" w:hAnsi="Segoe UI"/>
          <w:color w:val="101820"/>
          <w:sz w:val="21"/>
        </w:rPr>
        <w:t>), document numbering, postings and closed periods, scheduled jobs (</w:t>
      </w:r>
      <w:r>
        <w:rPr>
          <w:rFonts w:eastAsia="Consolas" w:cs="Consolas" w:ascii="Consolas" w:hAnsi="Consolas"/>
          <w:color w:val="101820"/>
          <w:sz w:val="19"/>
        </w:rPr>
        <w:t>job_runs</w:t>
      </w:r>
      <w:r>
        <w:rPr>
          <w:rFonts w:eastAsia="Segoe UI" w:cs="Segoe UI" w:ascii="Segoe UI" w:hAnsi="Segoe UI"/>
          <w:color w:val="101820"/>
          <w:sz w:val="21"/>
        </w:rPr>
        <w:t>), PDFs, the e-mail outbox.</w:t>
      </w:r>
    </w:p>
    <w:p>
      <w:pPr>
        <w:pStyle w:val="Normal"/>
        <w:numPr>
          <w:ilvl w:val="0"/>
          <w:numId w:val="17"/>
        </w:numPr>
        <w:spacing w:before="0" w:after="60"/>
        <w:rPr/>
      </w:pPr>
      <w:r>
        <w:rPr>
          <w:rFonts w:eastAsia="Segoe UI" w:cs="Segoe UI" w:ascii="Segoe UI" w:hAnsi="Segoe UI"/>
          <w:color w:val="101820"/>
          <w:sz w:val="21"/>
        </w:rPr>
        <w:t>Check configuration before code: the setting in Master &gt; Configuration and its history in Master &gt; Audit Trail.</w:t>
      </w:r>
    </w:p>
    <w:p>
      <w:pPr>
        <w:pStyle w:val="Normal"/>
        <w:numPr>
          <w:ilvl w:val="0"/>
          <w:numId w:val="18"/>
        </w:numPr>
        <w:spacing w:before="0" w:after="60"/>
        <w:rPr/>
      </w:pPr>
      <w:r>
        <w:rPr>
          <w:rFonts w:eastAsia="Segoe UI" w:cs="Segoe UI" w:ascii="Segoe UI" w:hAnsi="Segoe UI"/>
          <w:color w:val="101820"/>
          <w:sz w:val="21"/>
        </w:rPr>
        <w:t>Reproduce in UAT (or SIT for a large broker) where possible.</w:t>
      </w:r>
    </w:p>
    <w:p>
      <w:pPr>
        <w:pStyle w:val="Normal"/>
        <w:numPr>
          <w:ilvl w:val="0"/>
          <w:numId w:val="19"/>
        </w:numPr>
        <w:spacing w:before="0" w:after="60"/>
        <w:rPr/>
      </w:pPr>
      <w:r>
        <w:rPr>
          <w:rFonts w:eastAsia="Segoe UI" w:cs="Segoe UI" w:ascii="Segoe UI" w:hAnsi="Segoe UI"/>
          <w:color w:val="101820"/>
          <w:sz w:val="21"/>
        </w:rPr>
        <w:t>Classify the cause: user or training, configuration, master or transaction data, code defect, infrastructure, third party.</w:t>
      </w:r>
    </w:p>
    <w:p>
      <w:pPr>
        <w:pStyle w:val="Normal"/>
        <w:numPr>
          <w:ilvl w:val="0"/>
          <w:numId w:val="20"/>
        </w:numPr>
        <w:spacing w:before="0" w:after="60"/>
        <w:rPr/>
      </w:pPr>
      <w:r>
        <w:rPr>
          <w:rFonts w:eastAsia="Segoe UI" w:cs="Segoe UI" w:ascii="Segoe UI" w:hAnsi="Segoe UI"/>
          <w:color w:val="101820"/>
          <w:sz w:val="21"/>
        </w:rPr>
        <w:t>Resolve at L2 or pass to L3 with the evidence.</w:t>
      </w:r>
      <w:r>
        <w:br w:type="page"/>
      </w:r>
    </w:p>
    <w:p>
      <w:pPr>
        <w:pStyle w:val="Heading1"/>
        <w:rPr/>
      </w:pPr>
      <w:bookmarkStart w:id="22" w:name="__RefHeading___Toc28925_1360963153"/>
      <w:bookmarkEnd w:id="22"/>
      <w:r>
        <w:rPr>
          <w:rFonts w:eastAsia="Segoe UI" w:cs="Segoe UI" w:ascii="Segoe UI" w:hAnsi="Segoe UI"/>
          <w:b/>
          <w:color w:val="0F4761"/>
          <w:sz w:val="32"/>
        </w:rPr>
        <w:t>8.  Escalation matrix</w:t>
      </w:r>
    </w:p>
    <w:p>
      <w:pPr>
        <w:pStyle w:val="Normal"/>
        <w:spacing w:lineRule="auto" w:line="276" w:before="0" w:after="120"/>
        <w:rPr/>
      </w:pPr>
      <w:r>
        <w:rPr>
          <w:rFonts w:eastAsia="Segoe UI" w:cs="Segoe UI" w:ascii="Segoe UI" w:hAnsi="Segoe UI"/>
          <w:color w:val="101820"/>
          <w:sz w:val="21"/>
        </w:rPr>
        <w:t>Functional escalation moves a ticket to the next support level. Hierarchical escalation brings in management when a target is at risk.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 side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broker's 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engineering lead and DevOps lead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 (chapter 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the support agreement and kept up to date by both parties.</w:t>
      </w:r>
      <w:r>
        <w:br w:type="page"/>
      </w:r>
    </w:p>
    <w:p>
      <w:pPr>
        <w:pStyle w:val="Heading1"/>
        <w:rPr/>
      </w:pPr>
      <w:bookmarkStart w:id="23" w:name="__RefHeading___Toc28927_1360963153"/>
      <w:bookmarkEnd w:id="23"/>
      <w:r>
        <w:rPr>
          <w:rFonts w:eastAsia="Segoe UI" w:cs="Segoe UI" w:ascii="Segoe UI" w:hAnsi="Segoe UI"/>
          <w:b/>
          <w:color w:val="0F4761"/>
          <w:sz w:val="32"/>
        </w:rPr>
        <w:t>9.  Problem management</w:t>
      </w:r>
    </w:p>
    <w:p>
      <w:pPr>
        <w:pStyle w:val="Normal"/>
        <w:spacing w:lineRule="auto" w:line="276" w:before="0" w:after="120"/>
        <w:rPr/>
      </w:pPr>
      <w:r>
        <w:rPr>
          <w:rFonts w:eastAsia="Segoe UI" w:cs="Segoe UI" w:ascii="Segoe UI" w:hAnsi="Segoe UI"/>
          <w:color w:val="101820"/>
          <w:sz w:val="21"/>
        </w:rPr>
        <w:t>Aligned with ITIL problem management.</w:t>
      </w:r>
    </w:p>
    <w:p>
      <w:pPr>
        <w:pStyle w:val="Normal"/>
        <w:numPr>
          <w:ilvl w:val="0"/>
          <w:numId w:val="1"/>
        </w:numPr>
        <w:spacing w:before="0" w:after="60"/>
        <w:rPr/>
      </w:pPr>
      <w:r>
        <w:rPr>
          <w:rFonts w:eastAsia="Segoe UI" w:cs="Segoe UI" w:ascii="Segoe UI" w:hAnsi="Segoe UI"/>
          <w:color w:val="101820"/>
          <w:sz w:val="21"/>
        </w:rPr>
        <w:t>A problem record is opened for every P1, for every P2 whose cause is not known when service is restored, and for any cause behind three or more incidents in a month.</w:t>
      </w:r>
    </w:p>
    <w:p>
      <w:pPr>
        <w:pStyle w:val="Normal"/>
        <w:numPr>
          <w:ilvl w:val="0"/>
          <w:numId w:val="1"/>
        </w:numPr>
        <w:spacing w:before="0" w:after="60"/>
        <w:rPr/>
      </w:pPr>
      <w:r>
        <w:rPr>
          <w:rFonts w:eastAsia="Segoe UI" w:cs="Segoe UI" w:ascii="Segoe UI" w:hAnsi="Segoe UI"/>
          <w:color w:val="101820"/>
          <w:sz w:val="21"/>
        </w:rPr>
        <w:t>L2 owns the record; L3 carries out the root-cause analysis to the standard of chapter 17.</w:t>
      </w:r>
    </w:p>
    <w:p>
      <w:pPr>
        <w:pStyle w:val="Normal"/>
        <w:numPr>
          <w:ilvl w:val="0"/>
          <w:numId w:val="1"/>
        </w:numPr>
        <w:spacing w:before="0" w:after="60"/>
        <w:rPr/>
      </w:pPr>
      <w:r>
        <w:rPr>
          <w:rFonts w:eastAsia="Segoe UI" w:cs="Segoe UI" w:ascii="Segoe UI" w:hAnsi="Segoe UI"/>
          <w:color w:val="101820"/>
          <w:sz w:val="21"/>
        </w:rPr>
        <w:t>A known-error record (symptom, cause, workaround) is published in the knowledge base as soon as the workaround is known.</w:t>
      </w:r>
    </w:p>
    <w:p>
      <w:pPr>
        <w:pStyle w:val="Normal"/>
        <w:numPr>
          <w:ilvl w:val="0"/>
          <w:numId w:val="1"/>
        </w:numPr>
        <w:spacing w:before="0" w:after="60"/>
        <w:rPr/>
      </w:pPr>
      <w:r>
        <w:rPr>
          <w:rFonts w:eastAsia="Segoe UI" w:cs="Segoe UI" w:ascii="Segoe UI" w:hAnsi="Segoe UI"/>
          <w:color w:val="101820"/>
          <w:sz w:val="21"/>
        </w:rPr>
        <w:t>The problem is closed when the permanent fix is released and no new incident of the same cause occurs for 30 days.</w:t>
      </w:r>
    </w:p>
    <w:p>
      <w:pPr>
        <w:pStyle w:val="Normal"/>
        <w:numPr>
          <w:ilvl w:val="0"/>
          <w:numId w:val="1"/>
        </w:numPr>
        <w:spacing w:before="0" w:after="60"/>
        <w:rPr/>
      </w:pPr>
      <w:r>
        <w:rPr>
          <w:rFonts w:eastAsia="Segoe UI" w:cs="Segoe UI" w:ascii="Segoe UI" w:hAnsi="Segoe UI"/>
          <w:color w:val="101820"/>
          <w:sz w:val="21"/>
        </w:rPr>
        <w:t>Open problems are reviewed in the monthly service review.</w:t>
      </w:r>
      <w:r>
        <w:br w:type="page"/>
      </w:r>
    </w:p>
    <w:p>
      <w:pPr>
        <w:pStyle w:val="Heading1"/>
        <w:rPr/>
      </w:pPr>
      <w:bookmarkStart w:id="24" w:name="__RefHeading___Toc28929_1360963153"/>
      <w:bookmarkEnd w:id="24"/>
      <w:r>
        <w:rPr>
          <w:rFonts w:eastAsia="Segoe UI" w:cs="Segoe UI" w:ascii="Segoe UI" w:hAnsi="Segoe UI"/>
          <w:b/>
          <w:color w:val="0F4761"/>
          <w:sz w:val="32"/>
        </w:rPr>
        <w:t>10.  Change management</w:t>
      </w:r>
    </w:p>
    <w:p>
      <w:pPr>
        <w:pStyle w:val="Heading2"/>
        <w:rPr/>
      </w:pPr>
      <w:bookmarkStart w:id="25" w:name="__RefHeading___Toc28931_1360963153"/>
      <w:bookmarkEnd w:id="25"/>
      <w:r>
        <w:rPr>
          <w:rFonts w:eastAsia="Segoe UI" w:cs="Segoe UI"/>
          <w:b/>
          <w:color w:val="0F4761"/>
          <w:sz w:val="26"/>
        </w:rPr>
        <w:t>10.1  Types of change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7"/>
        <w:gridCol w:w="3987"/>
        <w:gridCol w:w="3989"/>
      </w:tblGrid>
      <w:tr>
        <w:trPr>
          <w:tblHeader w:val="true"/>
        </w:trPr>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39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c>
          <w:tcPr>
            <w:tcW w:w="39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Adding a user, resetting a password, adding a master record, changing an e-mail or SMS template text, uploading a new screening list version, capturing or revoking an e-signature on request</w:t>
            </w:r>
          </w:p>
        </w:tc>
        <w:tc>
          <w:tcPr>
            <w:tcW w:w="39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Pre-approved; done by the broker's System Administrator or compliance officer; recorded in the Audit Trail</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a change of tax rate, account determination or posting rule; a new document number series; a new scheduled job time or switching a job on or off; switching a connector or the EIS to live; a brand pack import in Production; an encryption key rotation; a data correction script</w:t>
            </w:r>
          </w:p>
        </w:tc>
        <w:tc>
          <w:tcPr>
            <w:tcW w:w="39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with impact, test evidence and rollback; approved by the broker's change owner and iorta TechNXT support manager (CAB)</w:t>
            </w:r>
          </w:p>
        </w:tc>
      </w:tr>
      <w:tr>
        <w:trPr/>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for a P1; security patch</w:t>
            </w:r>
          </w:p>
        </w:tc>
        <w:tc>
          <w:tcPr>
            <w:tcW w:w="39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the support manager and the broker's IT head by telephone or e-mail; recorded afterwards and reviewed at the next CAB</w:t>
            </w:r>
          </w:p>
        </w:tc>
      </w:tr>
    </w:tbl>
    <w:p>
      <w:pPr>
        <w:pStyle w:val="Normal"/>
        <w:spacing w:before="0" w:after="80"/>
        <w:rPr/>
      </w:pPr>
      <w:r>
        <w:rPr/>
      </w:r>
    </w:p>
    <w:p>
      <w:pPr>
        <w:pStyle w:val="Heading2"/>
        <w:rPr/>
      </w:pPr>
      <w:bookmarkStart w:id="26" w:name="__RefHeading___Toc28933_1360963153"/>
      <w:bookmarkEnd w:id="26"/>
      <w:r>
        <w:rPr>
          <w:rFonts w:eastAsia="Segoe UI" w:cs="Segoe UI"/>
          <w:b/>
          <w:color w:val="0F4761"/>
          <w:sz w:val="26"/>
        </w:rPr>
        <w:t>10.2  Configuration changes in production</w:t>
      </w:r>
    </w:p>
    <w:p>
      <w:pPr>
        <w:pStyle w:val="Normal"/>
        <w:numPr>
          <w:ilvl w:val="0"/>
          <w:numId w:val="1"/>
        </w:numPr>
        <w:spacing w:before="0" w:after="60"/>
        <w:rPr/>
      </w:pPr>
      <w:r>
        <w:rPr>
          <w:rFonts w:eastAsia="Segoe UI" w:cs="Segoe UI" w:ascii="Segoe UI" w:hAnsi="Segoe UI"/>
          <w:color w:val="101820"/>
          <w:sz w:val="21"/>
        </w:rPr>
        <w:t>Settings in Master &gt; Configuration apply at once on every server and are recorded in the Audit Trail with the old and new value.</w:t>
      </w:r>
    </w:p>
    <w:p>
      <w:pPr>
        <w:pStyle w:val="Normal"/>
        <w:numPr>
          <w:ilvl w:val="0"/>
          <w:numId w:val="1"/>
        </w:numPr>
        <w:spacing w:before="0" w:after="60"/>
        <w:rPr/>
      </w:pPr>
      <w:r>
        <w:rPr>
          <w:rFonts w:eastAsia="Segoe UI" w:cs="Segoe UI" w:ascii="Segoe UI" w:hAnsi="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pStyle w:val="Normal"/>
        <w:numPr>
          <w:ilvl w:val="0"/>
          <w:numId w:val="1"/>
        </w:numPr>
        <w:spacing w:before="0" w:after="60"/>
        <w:rPr/>
      </w:pPr>
      <w:r>
        <w:rPr>
          <w:rFonts w:eastAsia="Segoe UI" w:cs="Segoe UI" w:ascii="Segoe UI" w:hAnsi="Segoe UI"/>
          <w:color w:val="101820"/>
          <w:sz w:val="21"/>
        </w:rPr>
        <w:t>GL accounts, tax rates and maker-checker switches are changed only with the agreement of the Accounting Manager (user manual, Master data chapter).</w:t>
      </w:r>
    </w:p>
    <w:p>
      <w:pPr>
        <w:pStyle w:val="Normal"/>
        <w:numPr>
          <w:ilvl w:val="0"/>
          <w:numId w:val="1"/>
        </w:numPr>
        <w:spacing w:before="0" w:after="60"/>
        <w:rPr/>
      </w:pPr>
      <w:r>
        <w:rPr>
          <w:rFonts w:eastAsia="Segoe UI" w:cs="Segoe UI" w:ascii="Segoe UI" w:hAnsi="Segoe UI"/>
          <w:color w:val="101820"/>
          <w:sz w:val="21"/>
        </w:rPr>
        <w:t>iorta TechNXT does not change the broker's business configuration in production without a ticket and the broker's written approval.</w:t>
      </w:r>
    </w:p>
    <w:p>
      <w:pPr>
        <w:pStyle w:val="Heading2"/>
        <w:rPr/>
      </w:pPr>
      <w:bookmarkStart w:id="27" w:name="__RefHeading___Toc28935_1360963153"/>
      <w:bookmarkEnd w:id="27"/>
      <w:r>
        <w:rPr>
          <w:rFonts w:eastAsia="Segoe UI" w:cs="Segoe UI"/>
          <w:b/>
          <w:color w:val="0F4761"/>
          <w:sz w:val="26"/>
        </w:rPr>
        <w:t>10.3  Data corrections</w:t>
      </w:r>
    </w:p>
    <w:p>
      <w:pPr>
        <w:pStyle w:val="Normal"/>
        <w:spacing w:lineRule="auto" w:line="276" w:before="0" w:after="120"/>
        <w:rPr/>
      </w:pPr>
      <w:r>
        <w:rPr>
          <w:rFonts w:eastAsia="Segoe UI" w:cs="Segoe UI" w:ascii="Segoe UI" w:hAnsi="Segoe UI"/>
          <w:color w:val="101820"/>
          <w:sz w:val="21"/>
        </w:rPr>
        <w:t>A correction of business data through the database is a normal change. It needs: the ticket, the script, a dry run on a restored copy of production, under the Pre-Prod rules of the Environment Strategy (restored from a Production backup, masked if people without production access use it, deleted afterwards), with the before and after counts, the broker's approval, a database snapshot just before it runs, and the result attached to the ticket. Financial data is corrected through the screens (correction or reversal journals) whenever the screens allow it, so the ledger keeps its trail.</w:t>
      </w:r>
      <w:r>
        <w:br w:type="page"/>
      </w:r>
    </w:p>
    <w:p>
      <w:pPr>
        <w:pStyle w:val="Heading1"/>
        <w:rPr/>
      </w:pPr>
      <w:bookmarkStart w:id="28" w:name="__RefHeading___Toc28937_1360963153"/>
      <w:bookmarkEnd w:id="28"/>
      <w:r>
        <w:rPr>
          <w:rFonts w:eastAsia="Segoe UI" w:cs="Segoe UI" w:ascii="Segoe UI" w:hAnsi="Segoe UI"/>
          <w:b/>
          <w:color w:val="0F4761"/>
          <w:sz w:val="32"/>
        </w:rPr>
        <w:t>11.  Release management and patching</w:t>
      </w:r>
    </w:p>
    <w:p>
      <w:pPr>
        <w:pStyle w:val="Heading2"/>
        <w:rPr/>
      </w:pPr>
      <w:bookmarkStart w:id="29" w:name="__RefHeading___Toc28939_1360963153"/>
      <w:bookmarkEnd w:id="29"/>
      <w:r>
        <w:rPr>
          <w:rFonts w:eastAsia="Segoe UI" w:cs="Segoe UI"/>
          <w:b/>
          <w:color w:val="0F4761"/>
          <w:sz w:val="26"/>
        </w:rPr>
        <w:t>11.1  Releases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 (P1 or security)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list the fixes, changes, migrations and anything an administrator must do by hand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 broker: Dev, UAT, Production. Large broker: Dev, SIT, UAT, Production. Pre-Prod is temporary: created from a Production backup for each major release and removed after it (Environment Strategy and Production Rollout Plan)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 goes through Dev (and SIT for a large broker) to UAT first; the broker runs the UAT scripts that cover the change; iorta TechNXT runs the regression of chapter 19. A major release is also rehearsed in Pre-Prod on a copy of production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with the test evidence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maintenance window, announced at least 5 business days ahead (emergency releases: as agreed)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image deployed; on start the API applies new migrations (they only add) and the idempotent seed, then reports ready on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with migrations, one instance first, then scale 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and published by the GitHub Actions workflow (build, S3 sync, CloudFront invalidation); the workflow runs the front-end tests and refuses to publish an unbuilt page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taken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and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showing the expected commit and no pending migration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pStyle w:val="Normal"/>
        <w:spacing w:before="0" w:after="80"/>
        <w:rPr/>
      </w:pPr>
      <w:r>
        <w:rPr/>
      </w:r>
    </w:p>
    <w:p>
      <w:pPr>
        <w:pStyle w:val="Heading2"/>
        <w:rPr/>
      </w:pPr>
      <w:bookmarkStart w:id="30" w:name="__RefHeading___Toc28941_1360963153"/>
      <w:bookmarkEnd w:id="30"/>
      <w:r>
        <w:rPr>
          <w:rFonts w:eastAsia="Segoe UI" w:cs="Segoe UI"/>
          <w:b/>
          <w:color w:val="0F4761"/>
          <w:sz w:val="26"/>
        </w:rPr>
        <w:t>11.2  Patching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runtime and npm dependencies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 reviewed monthly; critical fixes within 14 days as an emergency release, high within 30 days, others in the next planned release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base image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with each release; at least quarterly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(managed service)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versions applied in the maintenance window; major upgrades planned as a project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Operating system and managed services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Managed by the cloud provider; monthly, critical security patches within 14 days and high within 30 days where iorta TechNXT hosts; maintenance windows aligned with the broker's window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certificates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alarm at 30 days before expiry</w:t>
            </w:r>
          </w:p>
        </w:tc>
      </w:tr>
    </w:tbl>
    <w:p>
      <w:pPr>
        <w:pStyle w:val="Heading1"/>
        <w:rPr/>
      </w:pPr>
      <w:r>
        <w:br w:type="page"/>
      </w:r>
      <w:bookmarkStart w:id="31" w:name="__RefHeading___Toc28943_1360963153"/>
      <w:bookmarkEnd w:id="31"/>
      <w:r>
        <w:rPr>
          <w:rFonts w:eastAsia="Segoe UI" w:cs="Segoe UI" w:ascii="Segoe UI" w:hAnsi="Segoe UI"/>
          <w:b/>
          <w:color w:val="0F4761"/>
          <w:sz w:val="32"/>
        </w:rPr>
        <w:t>12.  Monitoring and health checks</w:t>
      </w:r>
    </w:p>
    <w:p>
      <w:pPr>
        <w:pStyle w:val="Normal"/>
        <w:spacing w:lineRule="auto" w:line="276" w:before="0" w:after="120"/>
        <w:rPr/>
      </w:pPr>
      <w:r>
        <w:rPr>
          <w:rFonts w:eastAsia="Segoe UI" w:cs="Segoe UI" w:ascii="Segoe UI" w:hAnsi="Segoe UI"/>
          <w:color w:val="101820"/>
          <w:sz w:val="21"/>
        </w:rPr>
        <w:t>The monitoring design is in architecture document 11. The standard checks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80"/>
        <w:gridCol w:w="3182"/>
        <w:gridCol w:w="2651"/>
      </w:tblGrid>
      <w:tr>
        <w:trPr>
          <w:tblHeader w:val="true"/>
        </w:trPr>
        <w:tc>
          <w:tcPr>
            <w:tcW w:w="3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3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API readiness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returns 200 and ready within 2 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alarm to on-call</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sign-in page loads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journey with a monitoring user without business permissions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no pending migration, expected commit</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 rate, response time, container CPU and memory, database CPU, storage and connections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alarms as in document 11</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last status of each job in Master &gt; Schedules; failed runs in </w:t>
            </w:r>
            <w:r>
              <w:rPr>
                <w:rFonts w:eastAsia="Consolas" w:cs="Consolas" w:ascii="Consolas" w:hAnsi="Consolas"/>
                <w:color w:val="101820"/>
                <w:kern w:val="0"/>
                <w:sz w:val="16"/>
                <w:szCs w:val="24"/>
                <w:lang w:val="en-US" w:eastAsia="ja-JP" w:bidi="ar-SA"/>
              </w:rPr>
              <w:t>job_runs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09:00 PHT</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queued older than 15 minutes, failed messages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outbox: Failed and Waiting per connector, messages in Retry scheduled for more than an hour, failed inbound messages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 on growth</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outbox (when switched on): failed, rejected, submissions in sending</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with the broker's Accounting Manager</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deadline jobs: last status of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privacy-breach-deadlines</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hourly by alarm</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 locked accounts, refresh-token reuse</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security</w:t>
            </w:r>
          </w:p>
        </w:tc>
      </w:tr>
      <w:tr>
        <w:trPr/>
        <w:tc>
          <w:tcPr>
            <w:tcW w:w="3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latest restorable time</w:t>
            </w:r>
          </w:p>
        </w:tc>
        <w:tc>
          <w:tcPr>
            <w:tcW w:w="3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daily health check is recorded (date, checker, result, tickets raised). Monitoring alarms raise tickets with the severity of document 11 (P1 immediate, P2 same business day, P3 next business day).</w:t>
      </w:r>
      <w:r>
        <w:br w:type="page"/>
      </w:r>
    </w:p>
    <w:p>
      <w:pPr>
        <w:pStyle w:val="Heading1"/>
        <w:rPr/>
      </w:pPr>
      <w:bookmarkStart w:id="32" w:name="__RefHeading___Toc28945_1360963153"/>
      <w:bookmarkEnd w:id="32"/>
      <w:r>
        <w:rPr>
          <w:rFonts w:eastAsia="Segoe UI" w:cs="Segoe UI" w:ascii="Segoe UI" w:hAnsi="Segoe UI"/>
          <w:b/>
          <w:color w:val="0F4761"/>
          <w:sz w:val="32"/>
        </w:rPr>
        <w:t>13.  Operational procedures for the new capabilities</w:t>
      </w:r>
    </w:p>
    <w:p>
      <w:pPr>
        <w:pStyle w:val="Normal"/>
        <w:spacing w:lineRule="auto" w:line="276" w:before="0" w:after="120"/>
        <w:rPr/>
      </w:pPr>
      <w:r>
        <w:rPr>
          <w:rFonts w:eastAsia="Segoe UI" w:cs="Segoe UI" w:ascii="Segoe UI" w:hAnsi="Segoe UI"/>
          <w:color w:val="101820"/>
          <w:sz w:val="21"/>
        </w:rPr>
        <w:t>These procedures cover the parts of BrokerVerse that talk to third parties, run against regulatory deadlines or hold keys and signatures. Each scheduled job also has a line in the support runbook of the Schedules and Batch Jobs document.</w:t>
      </w:r>
    </w:p>
    <w:p>
      <w:pPr>
        <w:pStyle w:val="Heading2"/>
        <w:rPr/>
      </w:pPr>
      <w:bookmarkStart w:id="33" w:name="__RefHeading___Toc28947_1360963153"/>
      <w:bookmarkEnd w:id="33"/>
      <w:r>
        <w:rPr>
          <w:rFonts w:eastAsia="Segoe UI" w:cs="Segoe UI"/>
          <w:b/>
          <w:color w:val="0F4761"/>
          <w:sz w:val="26"/>
        </w:rPr>
        <w:t>13.1  Integrations outbox monitoring</w:t>
      </w:r>
    </w:p>
    <w:p>
      <w:pPr>
        <w:pStyle w:val="Normal"/>
        <w:spacing w:lineRule="auto" w:line="276" w:before="0" w:after="120"/>
        <w:rPr/>
      </w:pPr>
      <w:r>
        <w:rPr>
          <w:rFonts w:eastAsia="Segoe UI" w:cs="Segoe UI" w:ascii="Segoe UI" w:hAnsi="Segoe UI"/>
          <w:color w:val="101820"/>
          <w:sz w:val="21"/>
        </w:rPr>
        <w:t xml:space="preserve">Every message to a third party (SMS and Viber, CTPL authentication, LTO feed, insurer requests, bank payment files) goes through the integration outbox on Master &gt; System Configuration &gt; Integrations; the job </w:t>
      </w:r>
      <w:r>
        <w:rPr>
          <w:rFonts w:eastAsia="Consolas" w:cs="Consolas" w:ascii="Consolas" w:hAnsi="Consolas"/>
          <w:color w:val="101820"/>
          <w:sz w:val="19"/>
        </w:rPr>
        <w:t>integration-outbox</w:t>
      </w:r>
      <w:r>
        <w:rPr>
          <w:rFonts w:eastAsia="Segoe UI" w:cs="Segoe UI" w:ascii="Segoe UI" w:hAnsi="Segoe UI"/>
          <w:color w:val="101820"/>
          <w:sz w:val="21"/>
        </w:rPr>
        <w:t xml:space="preserve"> sends what is due every 2 minutes. The screens need </w:t>
      </w:r>
      <w:r>
        <w:rPr>
          <w:rFonts w:eastAsia="Consolas" w:cs="Consolas" w:ascii="Consolas" w:hAnsi="Consolas"/>
          <w:color w:val="101820"/>
          <w:sz w:val="19"/>
        </w:rPr>
        <w:t>read:integrations</w:t>
      </w:r>
      <w:r>
        <w:rPr>
          <w:rFonts w:eastAsia="Segoe UI" w:cs="Segoe UI" w:ascii="Segoe UI" w:hAnsi="Segoe UI"/>
          <w:color w:val="101820"/>
          <w:sz w:val="21"/>
        </w:rPr>
        <w:t xml:space="preserve"> (System Administrator).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support does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tab: Waiting, Failed and Sent today per connector; last success and last failure. Outbox tab filtered on Failed and Retry scheduled. Inbox tab filtered on Failed and Ignored.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connector shows failures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failed message (eye icon): the attempt log gives the HTTP status, duration and error. Classify: provider down or slow (timeouts, 5xx), credentials (401, 403), request refused by the provider (4xx with a reason, not retried), configuration (endpoint, adapter options).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down</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Leave the messages in Retry: they are retried with the connector's backoff until the attempt limit. Tell the broker which business is waiting (for example COCs not yet authenticated). When the provider is back, select Send due messages, then Resend the messages that reached Failed.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Credentials rejected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credential values are environment variables on the server, never on the screen. DevOps checks the secret store, sets the value and restarts the API; the Credentials tick on the connector turns green. Then Resend. Treat a leaked credential as a security incident.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refused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business data (for example the client's mobile number, the vehicle details of a COC), then Resend. Cancel message for anything that must not be sent.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Messages stuck in Sending</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job puts back to retry any message left in processing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(10). If many are stuck, check that the scheduler runs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and the server log.</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message Ignored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unsigned or wrongly signed push from a third party: confirm the webhook secret with the provider; never reprocess an unsigned message. A Failed inbound message is processed again with Process again once its cause is fixed.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Switching a connector to Live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change: endpoint and credential variables set, Test connection in live mode, one real message checked in the outbox, then the related jobs switched on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The partner's certification of the interface stays with the partner and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EIS outbox (Accounts &gt; Tax &gt; E-Invoicing (EIS)) works the same way with its own queue: a failed submission is retried after </w:t>
      </w:r>
      <w:r>
        <w:rPr>
          <w:rFonts w:eastAsia="Consolas" w:cs="Consolas" w:ascii="Consolas" w:hAnsi="Consolas"/>
          <w:color w:val="101820"/>
          <w:sz w:val="19"/>
        </w:rPr>
        <w:t>eis.retry_minutes</w:t>
      </w:r>
      <w:r>
        <w:rPr>
          <w:rFonts w:eastAsia="Segoe UI" w:cs="Segoe UI" w:ascii="Segoe UI" w:hAnsi="Segoe UI"/>
          <w:color w:val="101820"/>
          <w:sz w:val="21"/>
        </w:rPr>
        <w:t xml:space="preserve">, doubled each time, up to </w:t>
      </w:r>
      <w:r>
        <w:rPr>
          <w:rFonts w:eastAsia="Consolas" w:cs="Consolas" w:ascii="Consolas" w:hAnsi="Consolas"/>
          <w:color w:val="101820"/>
          <w:sz w:val="19"/>
        </w:rPr>
        <w:t>eis.max_attempts</w:t>
      </w:r>
      <w:r>
        <w:rPr>
          <w:rFonts w:eastAsia="Segoe UI" w:cs="Segoe UI" w:ascii="Segoe UI" w:hAnsi="Segoe UI"/>
          <w:color w:val="101820"/>
          <w:sz w:val="21"/>
        </w:rPr>
        <w:t>; a rejected submission is final (the broker cancels and reissues the invoice); a submission left in sending after a crash is confirmed with the EIS and then retried or recorded as Uploaded manually. When the EIS is unavailable for long, Export payloads gives the file for a manual upload. EIS enrolment and certification stay with the BIR and the broker.</w:t>
      </w:r>
    </w:p>
    <w:p>
      <w:pPr>
        <w:pStyle w:val="Heading2"/>
        <w:rPr/>
      </w:pPr>
      <w:bookmarkStart w:id="34" w:name="__RefHeading___Toc28949_1360963153"/>
      <w:bookmarkEnd w:id="34"/>
      <w:r>
        <w:rPr>
          <w:rFonts w:eastAsia="Segoe UI" w:cs="Segoe UI"/>
          <w:b/>
          <w:color w:val="0F4761"/>
          <w:sz w:val="26"/>
        </w:rPr>
        <w:t>13.2  Compliance deadline jobs</w:t>
      </w:r>
    </w:p>
    <w:p>
      <w:pPr>
        <w:pStyle w:val="Normal"/>
        <w:spacing w:lineRule="auto" w:line="276" w:before="0" w:after="120"/>
        <w:rPr/>
      </w:pPr>
      <w:r>
        <w:rPr>
          <w:rFonts w:eastAsia="Segoe UI" w:cs="Segoe UI" w:ascii="Segoe UI" w:hAnsi="Segoe UI"/>
          <w:color w:val="101820"/>
          <w:sz w:val="21"/>
        </w:rPr>
        <w:t>These jobs remind people of legal deadlines. A failure is handled as P2 at least, and as P1 when a deadline falls within the next working day.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Deadline it protects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reminded</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 when it fails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(daily 06:30)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Covered transaction report within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 xml:space="preserve"> (5) working days; suspicious transaction report within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 xml:space="preserve"> (1)</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the cause, then ask the compliance officer to use Run monitoring for the missed dates (the job only looks back 3 days)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(Mondays 07:00)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refresh by risk rating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nothing is lost, the clients are marked at the next run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aml-provider-retry</w:t>
            </w:r>
            <w:r>
              <w:rPr>
                <w:rFonts w:eastAsia="Segoe UI" w:cs="Segoe UI" w:ascii="Segoe UI" w:hAnsi="Segoe UI"/>
                <w:color w:val="101820"/>
                <w:kern w:val="0"/>
                <w:sz w:val="18"/>
                <w:szCs w:val="24"/>
                <w:lang w:val="en-US" w:eastAsia="ja-JP" w:bidi="ar-SA"/>
              </w:rPr>
              <w:t xml:space="preserve"> (when on)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of new parties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(abandoned requests)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provider settings and API key variable; the uploaded lists keep screening meanwhile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(daily 06:45,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renewals, fit and proper reviews, insurer certificates of authority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team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 licence holder</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check the licence and insurer dates entered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(daily 08:00,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Acknowledgement and resolution of complaints (RA 11765)</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 assigned; complaints officers when escalated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confirm every open complaint is assigned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(hourly,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notification within 72 hours of discovery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team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scheduler at once; tell the DPO the hours left from the Clock column of the Breach Register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deadlines themselves stay with the broker: the compliance officer files with the AMLC, the DPO notifies the NPC, the complaints officer answers the complainant. iorta TechNXT keeps the reminders running and does not file on the broker's behalf.</w:t>
      </w:r>
    </w:p>
    <w:p>
      <w:pPr>
        <w:pStyle w:val="Heading2"/>
        <w:rPr/>
      </w:pPr>
      <w:bookmarkStart w:id="35" w:name="__RefHeading___Toc28951_1360963153"/>
      <w:bookmarkEnd w:id="35"/>
      <w:r>
        <w:rPr>
          <w:rFonts w:eastAsia="Segoe UI" w:cs="Segoe UI"/>
          <w:b/>
          <w:color w:val="0F4761"/>
          <w:sz w:val="26"/>
        </w:rPr>
        <w:t>13.3  Encryption key custody and rotation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protects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Custody</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Rotation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tokens and signed file links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of each environment; sealed escrow copy</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a suspected leak, or yearly. Changing it signs every user out and voids file links already sent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secrets, reset-code hashes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escrow copy kept with the backups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change only: users with two-step verification enrol again after it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PII_ENCRYPTION_KEY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government ID and bank account numbers of clients, prospects and referrers, ID numbers captured at issue, payee TIN of BIR Form 2307 (field encryption, compliance package)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escrow copy kept with the backups under dual control (broker and iorta TechNXT); a different value in each environment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pii:rotate</w:t>
            </w:r>
            <w:r>
              <w:rPr>
                <w:rFonts w:eastAsia="Segoe UI" w:cs="Segoe UI" w:ascii="Segoe UI" w:hAnsi="Segoe UI"/>
                <w:color w:val="101820"/>
                <w:kern w:val="0"/>
                <w:sz w:val="18"/>
                <w:szCs w:val="24"/>
                <w:lang w:val="en-US" w:eastAsia="ja-JP" w:bidi="ar-SA"/>
              </w:rPr>
              <w:t xml:space="preserve"> procedure below; yearly or at a suspected leak</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EIS and screening provider credentials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 SMS gateways, CTPL provider, insurers, BIR EIS, screening provider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only the variable name is in the system</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provider issues new credentials or at a suspected leak; restart the API after the change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Rules: keys are generated with </w:t>
      </w:r>
      <w:r>
        <w:rPr>
          <w:rFonts w:eastAsia="Consolas" w:cs="Consolas" w:ascii="Consolas" w:hAnsi="Consolas"/>
          <w:color w:val="101820"/>
          <w:sz w:val="19"/>
        </w:rPr>
        <w:t>openssl rand -hex 32</w:t>
      </w:r>
      <w:r>
        <w:rPr>
          <w:rFonts w:eastAsia="Segoe UI" w:cs="Segoe UI" w:ascii="Segoe UI" w:hAnsi="Segoe UI"/>
          <w:color w:val="101820"/>
          <w:sz w:val="21"/>
        </w:rPr>
        <w:t xml:space="preserve"> (at least 32 characters, each key different); they are never written in a ticket, an e-mail, a document or the repository; production refuses to start with a missing, placeholder or reused key; the escrow copy is checked yearly under dual control.</w:t>
      </w:r>
    </w:p>
    <w:p>
      <w:pPr>
        <w:pStyle w:val="Normal"/>
        <w:spacing w:lineRule="auto" w:line="276" w:before="0" w:after="120"/>
        <w:rPr/>
      </w:pPr>
      <w:r>
        <w:rPr>
          <w:rFonts w:eastAsia="Segoe UI" w:cs="Segoe UI" w:ascii="Segoe UI" w:hAnsi="Segoe UI"/>
          <w:color w:val="101820"/>
          <w:sz w:val="21"/>
        </w:rPr>
        <w:t xml:space="preserve">Rotation of </w:t>
      </w:r>
      <w:r>
        <w:rPr>
          <w:rFonts w:eastAsia="Consolas" w:cs="Consolas" w:ascii="Consolas" w:hAnsi="Consolas"/>
          <w:color w:val="101820"/>
          <w:sz w:val="19"/>
        </w:rPr>
        <w:t>PII_ENCRYPTION_KEY</w:t>
      </w:r>
      <w:r>
        <w:rPr>
          <w:rFonts w:eastAsia="Segoe UI" w:cs="Segoe UI" w:ascii="Segoe UI" w:hAnsi="Segoe UI"/>
          <w:color w:val="101820"/>
          <w:sz w:val="21"/>
        </w:rPr>
        <w:t xml:space="preserve"> (normal change, in the maintenance window, after a database snapshot):</w:t>
      </w:r>
    </w:p>
    <w:p>
      <w:pPr>
        <w:pStyle w:val="Normal"/>
        <w:numPr>
          <w:ilvl w:val="0"/>
          <w:numId w:val="21"/>
        </w:numPr>
        <w:spacing w:before="0" w:after="60"/>
        <w:rPr/>
      </w:pPr>
      <w:r>
        <w:rPr>
          <w:rFonts w:eastAsia="Segoe UI" w:cs="Segoe UI" w:ascii="Segoe UI" w:hAnsi="Segoe UI"/>
          <w:color w:val="101820"/>
          <w:sz w:val="21"/>
        </w:rPr>
        <w:t>Generate the new key.</w:t>
      </w:r>
    </w:p>
    <w:p>
      <w:pPr>
        <w:pStyle w:val="Normal"/>
        <w:numPr>
          <w:ilvl w:val="0"/>
          <w:numId w:val="22"/>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PII_ENCRYPTION_KEY</w:t>
      </w:r>
      <w:r>
        <w:rPr>
          <w:rFonts w:eastAsia="Segoe UI" w:cs="Segoe UI" w:ascii="Segoe UI" w:hAnsi="Segoe UI"/>
          <w:color w:val="101820"/>
          <w:sz w:val="21"/>
        </w:rPr>
        <w:t xml:space="preserve"> to the new key and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to the old one; restart the API. New and changed identifiers are written with the new key; values written with the old key stay readable.</w:t>
      </w:r>
    </w:p>
    <w:p>
      <w:pPr>
        <w:pStyle w:val="Normal"/>
        <w:numPr>
          <w:ilvl w:val="0"/>
          <w:numId w:val="23"/>
        </w:numPr>
        <w:spacing w:before="0" w:after="60"/>
        <w:rPr/>
      </w:pPr>
      <w:r>
        <w:rPr>
          <w:rFonts w:eastAsia="Segoe UI" w:cs="Segoe UI" w:ascii="Segoe UI" w:hAnsi="Segoe UI"/>
          <w:color w:val="101820"/>
          <w:sz w:val="21"/>
        </w:rPr>
        <w:t xml:space="preserve">Run </w:t>
      </w:r>
      <w:r>
        <w:rPr>
          <w:rFonts w:eastAsia="Consolas" w:cs="Consolas" w:ascii="Consolas" w:hAnsi="Consolas"/>
          <w:color w:val="101820"/>
          <w:sz w:val="19"/>
        </w:rPr>
        <w:t>npm run pii:rotate</w:t>
      </w:r>
      <w:r>
        <w:rPr>
          <w:rFonts w:eastAsia="Segoe UI" w:cs="Segoe UI" w:ascii="Segoe UI" w:hAnsi="Segoe UI"/>
          <w:color w:val="101820"/>
          <w:sz w:val="21"/>
        </w:rPr>
        <w:t xml:space="preserve"> (dry run: count per column of the values still encrypted with the old key), then </w:t>
      </w:r>
      <w:r>
        <w:rPr>
          <w:rFonts w:eastAsia="Consolas" w:cs="Consolas" w:ascii="Consolas" w:hAnsi="Consolas"/>
          <w:color w:val="101820"/>
          <w:sz w:val="19"/>
        </w:rPr>
        <w:t>npm run pii:rotate -- --execute</w:t>
      </w:r>
      <w:r>
        <w:rPr>
          <w:rFonts w:eastAsia="Segoe UI" w:cs="Segoe UI" w:ascii="Segoe UI" w:hAnsi="Segoe UI"/>
          <w:color w:val="101820"/>
          <w:sz w:val="21"/>
        </w:rPr>
        <w:t>. It works in batches and can be run again.</w:t>
      </w:r>
    </w:p>
    <w:p>
      <w:pPr>
        <w:pStyle w:val="Normal"/>
        <w:numPr>
          <w:ilvl w:val="0"/>
          <w:numId w:val="24"/>
        </w:numPr>
        <w:spacing w:before="0" w:after="60"/>
        <w:rPr/>
      </w:pPr>
      <w:r>
        <w:rPr>
          <w:rFonts w:eastAsia="Segoe UI" w:cs="Segoe UI" w:ascii="Segoe UI" w:hAnsi="Segoe UI"/>
          <w:color w:val="101820"/>
          <w:sz w:val="21"/>
        </w:rPr>
        <w:t xml:space="preserve">When the dry run reports 0 for every column, remove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and restart.</w:t>
      </w:r>
    </w:p>
    <w:p>
      <w:pPr>
        <w:pStyle w:val="Normal"/>
        <w:numPr>
          <w:ilvl w:val="0"/>
          <w:numId w:val="25"/>
        </w:numPr>
        <w:spacing w:before="0" w:after="60"/>
        <w:rPr/>
      </w:pPr>
      <w:r>
        <w:rPr>
          <w:rFonts w:eastAsia="Segoe UI" w:cs="Segoe UI" w:ascii="Segoe UI" w:hAnsi="Segoe UI"/>
          <w:color w:val="101820"/>
          <w:sz w:val="21"/>
        </w:rPr>
        <w:t>Keep the old key with the backups taken before the rotation: they can only be read with it. Record the rotation in the change with the date, the operator and the dry-run counts (never the keys).</w:t>
      </w:r>
    </w:p>
    <w:p>
      <w:pPr>
        <w:pStyle w:val="Normal"/>
        <w:spacing w:lineRule="auto" w:line="276" w:before="0" w:after="120"/>
        <w:rPr/>
      </w:pPr>
      <w:r>
        <w:rPr>
          <w:rFonts w:eastAsia="Segoe UI" w:cs="Segoe UI" w:ascii="Segoe UI" w:hAnsi="Segoe UI"/>
          <w:color w:val="101820"/>
          <w:sz w:val="21"/>
        </w:rPr>
        <w:t>A copy of production restored in another environment is masked with production's key (</w:t>
      </w:r>
      <w:r>
        <w:rPr>
          <w:rFonts w:eastAsia="Consolas" w:cs="Consolas" w:ascii="Consolas" w:hAnsi="Consolas"/>
          <w:color w:val="101820"/>
          <w:sz w:val="19"/>
        </w:rPr>
        <w:t>npm run mask:data</w:t>
      </w:r>
      <w:r>
        <w:rPr>
          <w:rFonts w:eastAsia="Segoe UI" w:cs="Segoe UI" w:ascii="Segoe UI" w:hAnsi="Segoe UI"/>
          <w:color w:val="101820"/>
          <w:sz w:val="21"/>
        </w:rPr>
        <w:t>), then rotated to the key of its own environment with the same steps.</w:t>
      </w:r>
    </w:p>
    <w:p>
      <w:pPr>
        <w:pStyle w:val="Heading2"/>
        <w:rPr/>
      </w:pPr>
      <w:bookmarkStart w:id="36" w:name="__RefHeading___Toc28953_1360963153"/>
      <w:bookmarkEnd w:id="36"/>
      <w:r>
        <w:rPr>
          <w:rFonts w:eastAsia="Segoe UI" w:cs="Segoe UI"/>
          <w:b/>
          <w:color w:val="0F4761"/>
          <w:sz w:val="26"/>
        </w:rPr>
        <w:t>13.4  Brand pack import</w:t>
      </w:r>
    </w:p>
    <w:p>
      <w:pPr>
        <w:pStyle w:val="Normal"/>
        <w:spacing w:lineRule="auto" w:line="276" w:before="0" w:after="120"/>
        <w:rPr/>
      </w:pPr>
      <w:r>
        <w:rPr>
          <w:rFonts w:eastAsia="Segoe UI" w:cs="Segoe UI" w:ascii="Segoe UI" w:hAnsi="Segoe UI"/>
          <w:color w:val="101820"/>
          <w:sz w:val="21"/>
        </w:rPr>
        <w:t>A brand pack carries the theme, application name, logo, favicon, sign-in picture and print logo of an environment. Importing one in Production is a normal change; in UAT it is a standard change.</w:t>
      </w:r>
    </w:p>
    <w:p>
      <w:pPr>
        <w:pStyle w:val="Normal"/>
        <w:numPr>
          <w:ilvl w:val="0"/>
          <w:numId w:val="26"/>
        </w:numPr>
        <w:spacing w:before="0" w:after="60"/>
        <w:rPr/>
      </w:pPr>
      <w:r>
        <w:rPr>
          <w:rFonts w:eastAsia="Segoe UI" w:cs="Segoe UI" w:ascii="Segoe UI" w:hAnsi="Segoe UI"/>
          <w:color w:val="101820"/>
          <w:sz w:val="21"/>
        </w:rPr>
        <w:t>Export the current pack first (Master &gt; System Settings &gt; Theme and Branding &gt; Brand packs &gt; Export .zip) and attach it to the change: it is the rollback.</w:t>
      </w:r>
    </w:p>
    <w:p>
      <w:pPr>
        <w:pStyle w:val="Normal"/>
        <w:numPr>
          <w:ilvl w:val="0"/>
          <w:numId w:val="27"/>
        </w:numPr>
        <w:spacing w:before="0" w:after="60"/>
        <w:rPr/>
      </w:pPr>
      <w:r>
        <w:rPr>
          <w:rFonts w:eastAsia="Segoe UI" w:cs="Segoe UI" w:ascii="Segoe UI" w:hAnsi="Segoe UI"/>
          <w:color w:val="101820"/>
          <w:sz w:val="21"/>
        </w:rPr>
        <w:t>Import the new pack. The check runs before anything is saved (theme rules, contrast of text on buttons, header and table headers to WCAG AA, image types, SVG safety) and shows the colours and the contents.</w:t>
      </w:r>
    </w:p>
    <w:p>
      <w:pPr>
        <w:pStyle w:val="Normal"/>
        <w:numPr>
          <w:ilvl w:val="0"/>
          <w:numId w:val="28"/>
        </w:numPr>
        <w:spacing w:before="0" w:after="60"/>
        <w:rPr/>
      </w:pPr>
      <w:r>
        <w:rPr>
          <w:rFonts w:eastAsia="Segoe UI" w:cs="Segoe UI" w:ascii="Segoe UI" w:hAnsi="Segoe UI"/>
          <w:color w:val="101820"/>
          <w:sz w:val="21"/>
        </w:rPr>
        <w:t>Choose the options (also set the print logo of the primary company; also set the application name), then Apply. The import is in the audit trail (entity branding, action import).</w:t>
      </w:r>
    </w:p>
    <w:p>
      <w:pPr>
        <w:pStyle w:val="Normal"/>
        <w:numPr>
          <w:ilvl w:val="0"/>
          <w:numId w:val="29"/>
        </w:numPr>
        <w:spacing w:before="0" w:after="60"/>
        <w:rPr/>
      </w:pPr>
      <w:r>
        <w:rPr>
          <w:rFonts w:eastAsia="Segoe UI" w:cs="Segoe UI" w:ascii="Segoe UI" w:hAnsi="Segoe UI"/>
          <w:color w:val="101820"/>
          <w:sz w:val="21"/>
        </w:rPr>
        <w:t>Check a printed document (Sample document), a sample e-mail and the sign-in page.</w:t>
      </w:r>
    </w:p>
    <w:p>
      <w:pPr>
        <w:pStyle w:val="Normal"/>
        <w:numPr>
          <w:ilvl w:val="0"/>
          <w:numId w:val="30"/>
        </w:numPr>
        <w:spacing w:before="0" w:after="60"/>
        <w:rPr/>
      </w:pPr>
      <w:r>
        <w:rPr>
          <w:rFonts w:eastAsia="Segoe UI" w:cs="Segoe UI" w:ascii="Segoe UI" w:hAnsi="Segoe UI"/>
          <w:color w:val="101820"/>
          <w:sz w:val="21"/>
        </w:rPr>
        <w:t>A client brand pack that carries a third party's marks (for example the Toyota Insurance Services pack) is applied only in that client's environments and only with the client's written permission on file. Support refuses the change without it.</w:t>
      </w:r>
    </w:p>
    <w:p>
      <w:pPr>
        <w:pStyle w:val="Normal"/>
        <w:spacing w:lineRule="auto" w:line="276" w:before="0" w:after="120"/>
        <w:rPr/>
      </w:pPr>
      <w:r>
        <w:rPr>
          <w:rFonts w:eastAsia="Segoe UI" w:cs="Segoe UI" w:ascii="Segoe UI" w:hAnsi="Segoe UI"/>
          <w:color w:val="101820"/>
          <w:sz w:val="21"/>
        </w:rPr>
        <w:t>Rollback: import the pack exported in step 1.</w:t>
      </w:r>
    </w:p>
    <w:p>
      <w:pPr>
        <w:pStyle w:val="Heading2"/>
        <w:rPr/>
      </w:pPr>
      <w:bookmarkStart w:id="37" w:name="__RefHeading___Toc28955_1360963153"/>
      <w:bookmarkEnd w:id="37"/>
      <w:r>
        <w:rPr>
          <w:rFonts w:eastAsia="Segoe UI" w:cs="Segoe UI"/>
          <w:b/>
          <w:color w:val="0F4761"/>
          <w:sz w:val="26"/>
        </w:rPr>
        <w:t>13.5  E-signature revocation</w:t>
      </w:r>
    </w:p>
    <w:p>
      <w:pPr>
        <w:pStyle w:val="Normal"/>
        <w:spacing w:lineRule="auto" w:line="276" w:before="0" w:after="120"/>
        <w:rPr/>
      </w:pPr>
      <w:r>
        <w:rPr>
          <w:rFonts w:eastAsia="Segoe UI" w:cs="Segoe UI" w:ascii="Segoe UI" w:hAnsi="Segoe UI"/>
          <w:color w:val="101820"/>
          <w:sz w:val="21"/>
        </w:rPr>
        <w:t>A signature version is revoked when a signatory leaves, a signature was captured in error, or misuse is suspected. Revocation is immediate and final for that version: it no longer prints on any document, including reprints of older documents.</w:t>
      </w:r>
    </w:p>
    <w:p>
      <w:pPr>
        <w:pStyle w:val="Normal"/>
        <w:numPr>
          <w:ilvl w:val="0"/>
          <w:numId w:val="31"/>
        </w:numPr>
        <w:spacing w:before="0" w:after="60"/>
        <w:rPr/>
      </w:pPr>
      <w:r>
        <w:rPr>
          <w:rFonts w:eastAsia="Segoe UI" w:cs="Segoe UI" w:ascii="Segoe UI" w:hAnsi="Segoe UI"/>
          <w:color w:val="101820"/>
          <w:sz w:val="21"/>
        </w:rPr>
        <w:t>The request comes from the broker's System Administrator or the signatory, in writing, with the reason.</w:t>
      </w:r>
    </w:p>
    <w:p>
      <w:pPr>
        <w:pStyle w:val="Normal"/>
        <w:numPr>
          <w:ilvl w:val="0"/>
          <w:numId w:val="32"/>
        </w:numPr>
        <w:spacing w:before="0" w:after="60"/>
        <w:rPr/>
      </w:pPr>
      <w:r>
        <w:rPr>
          <w:rFonts w:eastAsia="Segoe UI" w:cs="Segoe UI" w:ascii="Segoe UI" w:hAnsi="Segoe UI"/>
          <w:color w:val="101820"/>
          <w:sz w:val="21"/>
        </w:rPr>
        <w:t>Company signatory: Master &gt; Generals &gt; Insurance Management &gt; Signatories, E-signature, Revoke with the reason (</w:t>
      </w:r>
      <w:r>
        <w:rPr>
          <w:rFonts w:eastAsia="Consolas" w:cs="Consolas" w:ascii="Consolas" w:hAnsi="Consolas"/>
          <w:color w:val="101820"/>
          <w:sz w:val="19"/>
        </w:rPr>
        <w:t>write:masters</w:t>
      </w:r>
      <w:r>
        <w:rPr>
          <w:rFonts w:eastAsia="Segoe UI" w:cs="Segoe UI" w:ascii="Segoe UI" w:hAnsi="Segoe UI"/>
          <w:color w:val="101820"/>
          <w:sz w:val="21"/>
        </w:rPr>
        <w:t>). User signature: the administrator revokes it from the user (a user's own signature can be captured only by that user).</w:t>
      </w:r>
    </w:p>
    <w:p>
      <w:pPr>
        <w:pStyle w:val="Normal"/>
        <w:numPr>
          <w:ilvl w:val="0"/>
          <w:numId w:val="33"/>
        </w:numPr>
        <w:spacing w:before="0" w:after="60"/>
        <w:rPr/>
      </w:pPr>
      <w:r>
        <w:rPr>
          <w:rFonts w:eastAsia="Segoe UI" w:cs="Segoe UI" w:ascii="Segoe UI" w:hAnsi="Segoe UI"/>
          <w:color w:val="101820"/>
          <w:sz w:val="21"/>
        </w:rPr>
        <w:t>Check the audit trail (entity e-signature, action revoke) and the document signature mapping of Theme and Branding: a slot that pointed to the revoked signatory prints the name without an image until a new signatory or version is set.</w:t>
      </w:r>
    </w:p>
    <w:p>
      <w:pPr>
        <w:pStyle w:val="Normal"/>
        <w:numPr>
          <w:ilvl w:val="0"/>
          <w:numId w:val="34"/>
        </w:numPr>
        <w:spacing w:before="0" w:after="60"/>
        <w:rPr/>
      </w:pPr>
      <w:r>
        <w:rPr>
          <w:rFonts w:eastAsia="Segoe UI" w:cs="Segoe UI" w:ascii="Segoe UI" w:hAnsi="Segoe UI"/>
          <w:color w:val="101820"/>
          <w:sz w:val="21"/>
        </w:rPr>
        <w:t>If misuse is suspected, handle it as a security incident: preserve the audit trail and list the documents issued with that version since the suspected date.</w:t>
      </w:r>
      <w:r>
        <w:br w:type="page"/>
      </w:r>
    </w:p>
    <w:p>
      <w:pPr>
        <w:pStyle w:val="Heading1"/>
        <w:rPr/>
      </w:pPr>
      <w:bookmarkStart w:id="38" w:name="__RefHeading___Toc28957_1360963153"/>
      <w:bookmarkEnd w:id="38"/>
      <w:r>
        <w:rPr>
          <w:rFonts w:eastAsia="Segoe UI" w:cs="Segoe UI" w:ascii="Segoe UI" w:hAnsi="Segoe UI"/>
          <w:b/>
          <w:color w:val="0F4761"/>
          <w:sz w:val="32"/>
        </w:rPr>
        <w:t>14.  Backup verification and DR drills</w:t>
      </w:r>
    </w:p>
    <w:p>
      <w:pPr>
        <w:pStyle w:val="Heading2"/>
        <w:rPr/>
      </w:pPr>
      <w:bookmarkStart w:id="39" w:name="__RefHeading___Toc28959_1360963153"/>
      <w:bookmarkEnd w:id="39"/>
      <w:r>
        <w:rPr>
          <w:rFonts w:eastAsia="Segoe UI" w:cs="Segoe UI"/>
          <w:b/>
          <w:color w:val="0F4761"/>
          <w:sz w:val="26"/>
        </w:rPr>
        <w:t>14.1  Backup verification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(from architecture document 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automated snapshots and point-in-time restore; retention at least 30 days (35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volume (documents, ID images, generated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held in the secret store, with a sealed escrow copy; without the same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users with two-step verification cannot sign in after a restore, and without the same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the TIN, government ID and bank account numbers cannot be read. Key custody and rotation: chapter Operational procedures for the new capabilities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API started against it in an isolated environment, smoke test; document restore and sample check. A Pre-Prod created from a Production backup in the quarter counts as this test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 with the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test is recorded (date, operator, backup used, recovery point, duration, issues) and reviewed by the DevOps lead. A failed test is raised as a P2 incident.</w:t>
      </w:r>
    </w:p>
    <w:p>
      <w:pPr>
        <w:pStyle w:val="Heading2"/>
        <w:rPr/>
      </w:pPr>
      <w:bookmarkStart w:id="40" w:name="__RefHeading___Toc28961_1360963153"/>
      <w:bookmarkEnd w:id="40"/>
      <w:r>
        <w:rPr>
          <w:rFonts w:eastAsia="Segoe UI" w:cs="Segoe UI"/>
          <w:b/>
          <w:color w:val="0F4761"/>
          <w:sz w:val="26"/>
        </w:rPr>
        <w:t>14.2  DR drills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86"/>
        <w:gridCol w:w="1241"/>
        <w:gridCol w:w="3888"/>
      </w:tblGrid>
      <w:tr>
        <w:trPr>
          <w:tblHeader w:val="true"/>
        </w:trPr>
        <w:tc>
          <w:tcPr>
            <w:tcW w:w="3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Drill</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broker's IT and business contacts</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agreed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r>
        <w:br w:type="page"/>
      </w:r>
    </w:p>
    <w:p>
      <w:pPr>
        <w:pStyle w:val="Heading1"/>
        <w:rPr/>
      </w:pPr>
      <w:bookmarkStart w:id="41" w:name="__RefHeading___Toc28963_1360963153"/>
      <w:bookmarkEnd w:id="41"/>
      <w:r>
        <w:rPr>
          <w:rFonts w:eastAsia="Segoe UI" w:cs="Segoe UI" w:ascii="Segoe UI" w:hAnsi="Segoe UI"/>
          <w:b/>
          <w:color w:val="0F4761"/>
          <w:sz w:val="32"/>
        </w:rPr>
        <w:t>15.  Service reporting and KPIs</w:t>
      </w:r>
    </w:p>
    <w:p>
      <w:pPr>
        <w:pStyle w:val="Heading2"/>
        <w:rPr/>
      </w:pPr>
      <w:bookmarkStart w:id="42" w:name="__RefHeading___Toc28965_1360963153"/>
      <w:bookmarkEnd w:id="42"/>
      <w:r>
        <w:rPr>
          <w:rFonts w:eastAsia="Segoe UI" w:cs="Segoe UI"/>
          <w:b/>
          <w:color w:val="0F4761"/>
          <w:sz w:val="26"/>
        </w:rPr>
        <w:t>15.1  Monthly service report</w:t>
      </w:r>
    </w:p>
    <w:p>
      <w:pPr>
        <w:pStyle w:val="Normal"/>
        <w:spacing w:lineRule="auto" w:line="276" w:before="0" w:after="120"/>
        <w:rPr/>
      </w:pPr>
      <w:r>
        <w:rPr>
          <w:rFonts w:eastAsia="Segoe UI" w:cs="Segoe UI" w:ascii="Segoe UI" w:hAnsi="Segoe UI"/>
          <w:color w:val="101820"/>
          <w:sz w:val="21"/>
        </w:rPr>
        <w:t>Sent by the 10th business day of each month and discussed in a monthly service review with the broker's IT head and System Administrator.</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43" w:name="__RefHeading___Toc28967_1360963153"/>
      <w:bookmarkEnd w:id="43"/>
      <w:r>
        <w:rPr>
          <w:rFonts w:eastAsia="Segoe UI" w:cs="Segoe UI"/>
          <w:b/>
          <w:color w:val="0F4761"/>
          <w:sz w:val="26"/>
        </w:rPr>
        <w:t>15.2  KPIs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2"/>
        <w:gridCol w:w="4370"/>
        <w:gridCol w:w="1913"/>
      </w:tblGrid>
      <w:tr>
        <w:trPr>
          <w:tblHeader w:val="true"/>
        </w:trPr>
        <w:tc>
          <w:tcPr>
            <w:tcW w:w="27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3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 (proposed)</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contact resolution at L1</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Questions closed by the broker's super users without a ticket</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the broker</w:t>
            </w:r>
          </w:p>
        </w:tc>
      </w:tr>
    </w:tbl>
    <w:p>
      <w:pPr>
        <w:pStyle w:val="Heading1"/>
        <w:rPr/>
      </w:pPr>
      <w:r>
        <w:br w:type="page"/>
      </w:r>
      <w:bookmarkStart w:id="44" w:name="__RefHeading___Toc28969_1360963153"/>
      <w:bookmarkEnd w:id="44"/>
      <w:r>
        <w:rPr>
          <w:rFonts w:eastAsia="Segoe UI" w:cs="Segoe UI" w:ascii="Segoe UI" w:hAnsi="Segoe UI"/>
          <w:b/>
          <w:color w:val="0F4761"/>
          <w:sz w:val="32"/>
        </w:rPr>
        <w:t>16.  Knowledge base</w:t>
      </w:r>
    </w:p>
    <w:p>
      <w:pPr>
        <w:pStyle w:val="Normal"/>
        <w:numPr>
          <w:ilvl w:val="0"/>
          <w:numId w:val="1"/>
        </w:numPr>
        <w:spacing w:before="0" w:after="60"/>
        <w:rPr/>
      </w:pPr>
      <w:r>
        <w:rPr>
          <w:rFonts w:eastAsia="Segoe UI" w:cs="Segoe UI" w:ascii="Segoe UI" w:hAnsi="Segoe UI"/>
          <w:color w:val="101820"/>
          <w:sz w:val="21"/>
        </w:rPr>
        <w:t>iorta TechNXT keeps a knowledge base shared with the broker's L1 contacts: how-to articles, known errors with workarounds, release notes, and the answers to repeated questions.</w:t>
      </w:r>
    </w:p>
    <w:p>
      <w:pPr>
        <w:pStyle w:val="Normal"/>
        <w:numPr>
          <w:ilvl w:val="0"/>
          <w:numId w:val="1"/>
        </w:numPr>
        <w:spacing w:before="0" w:after="60"/>
        <w:rPr/>
      </w:pPr>
      <w:r>
        <w:rPr>
          <w:rFonts w:eastAsia="Segoe UI" w:cs="Segoe UI" w:ascii="Segoe UI" w:hAnsi="Segoe UI"/>
          <w:color w:val="101820"/>
          <w:sz w:val="21"/>
        </w:rPr>
        <w:t>Each article names the screen by its menu path, the role, the BrokerVerse release it applies to and the date reviewed.</w:t>
      </w:r>
    </w:p>
    <w:p>
      <w:pPr>
        <w:pStyle w:val="Normal"/>
        <w:numPr>
          <w:ilvl w:val="0"/>
          <w:numId w:val="1"/>
        </w:numPr>
        <w:spacing w:before="0" w:after="60"/>
        <w:rPr/>
      </w:pPr>
      <w:r>
        <w:rPr>
          <w:rFonts w:eastAsia="Segoe UI" w:cs="Segoe UI" w:ascii="Segoe UI" w:hAnsi="Segoe UI"/>
          <w:color w:val="101820"/>
          <w:sz w:val="21"/>
        </w:rPr>
        <w:t>Every resolved ticket is checked for a knowledge article: a new article, an update or none needed.</w:t>
      </w:r>
    </w:p>
    <w:p>
      <w:pPr>
        <w:pStyle w:val="Normal"/>
        <w:numPr>
          <w:ilvl w:val="0"/>
          <w:numId w:val="1"/>
        </w:numPr>
        <w:spacing w:before="0" w:after="60"/>
        <w:rPr/>
      </w:pPr>
      <w:r>
        <w:rPr>
          <w:rFonts w:eastAsia="Segoe UI" w:cs="Segoe UI" w:ascii="Segoe UI" w:hAnsi="Segoe UI"/>
          <w:color w:val="101820"/>
          <w:sz w:val="21"/>
        </w:rPr>
        <w:t>The user manual (Appendix F, Troubleshooting; Appendix G, Known limitations) and the role decks are the starting set.</w:t>
      </w:r>
    </w:p>
    <w:p>
      <w:pPr>
        <w:pStyle w:val="Normal"/>
        <w:numPr>
          <w:ilvl w:val="0"/>
          <w:numId w:val="1"/>
        </w:numPr>
        <w:spacing w:before="0" w:after="60"/>
        <w:rPr/>
      </w:pPr>
      <w:r>
        <w:rPr>
          <w:rFonts w:eastAsia="Segoe UI" w:cs="Segoe UI" w:ascii="Segoe UI" w:hAnsi="Segoe UI"/>
          <w:color w:val="101820"/>
          <w:sz w:val="21"/>
        </w:rPr>
        <w:t>Articles are reviewed at each release and at least twice a year.</w:t>
      </w:r>
      <w:r>
        <w:br w:type="page"/>
      </w:r>
    </w:p>
    <w:p>
      <w:pPr>
        <w:pStyle w:val="Heading1"/>
        <w:rPr/>
      </w:pPr>
      <w:bookmarkStart w:id="45" w:name="__RefHeading___Toc28971_1360963153"/>
      <w:bookmarkEnd w:id="45"/>
      <w:r>
        <w:rPr>
          <w:rFonts w:eastAsia="Segoe UI" w:cs="Segoe UI" w:ascii="Segoe UI" w:hAnsi="Segoe UI"/>
          <w:b/>
          <w:color w:val="0F4761"/>
          <w:sz w:val="32"/>
        </w:rPr>
        <w:t>17.  Handover from hypercare</w:t>
      </w:r>
    </w:p>
    <w:p>
      <w:pPr>
        <w:pStyle w:val="Normal"/>
        <w:spacing w:lineRule="auto" w:line="276" w:before="0" w:after="120"/>
        <w:rPr/>
      </w:pPr>
      <w:r>
        <w:rPr>
          <w:rFonts w:eastAsia="Segoe UI" w:cs="Segoe UI" w:ascii="Segoe UI" w:hAnsi="Segoe UI"/>
          <w:color w:val="101820"/>
          <w:sz w:val="21"/>
        </w:rPr>
        <w:t>Production support takes over from the project team when these criteria are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 removal of the go-live Pre-Prod recorded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or copy of the configuration workbook as built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annex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held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signed by the broker's IT head, the iorta TechNXT project manager and support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w:t>
      </w:r>
      <w:r>
        <w:br w:type="page"/>
      </w:r>
    </w:p>
    <w:p>
      <w:pPr>
        <w:pStyle w:val="Heading1"/>
        <w:rPr/>
      </w:pPr>
      <w:bookmarkStart w:id="46" w:name="__RefHeading___Toc28973_1360963153"/>
      <w:bookmarkEnd w:id="46"/>
      <w:r>
        <w:rPr>
          <w:rFonts w:eastAsia="Segoe UI" w:cs="Segoe UI" w:ascii="Segoe UI" w:hAnsi="Segoe UI"/>
          <w:b/>
          <w:color w:val="0F4761"/>
          <w:sz w:val="32"/>
        </w:rPr>
        <w:t>18.  Root-cause analysis standards</w:t>
      </w:r>
    </w:p>
    <w:p>
      <w:pPr>
        <w:pStyle w:val="Normal"/>
        <w:spacing w:lineRule="auto" w:line="276" w:before="0" w:after="120"/>
        <w:rPr/>
      </w:pPr>
      <w:r>
        <w:rPr>
          <w:rFonts w:eastAsia="Segoe UI" w:cs="Segoe UI" w:ascii="Segoe UI" w:hAnsi="Segoe UI"/>
          <w:color w:val="101820"/>
          <w:sz w:val="21"/>
        </w:rPr>
        <w:t>An RCA is written for every P1 and for each problem record. The draft goes to the broker within 5 business days of service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Section</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happened, impact (users, branches, transactions, amounts), duration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response, escalation, workaround, restore, with times in PHT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 IDs and log lines,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rows, Audit Trail entries, monitoring graphs, the release deployed at the time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 found with a structured method (five whys or cause-and-effect), classed as code, configuration, data, infrastructure, third party, process or user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Contributing factors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gaps, missing tests, unclear procedure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impact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affected and how they were corrected or confirmed correct, including the ledger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fixed this occurrence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Preventive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stops it happening again (test added, alarm added, procedure or training), with owner and date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personal data was involved; if yes, the incident is also handled under chapter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RCAs are blameless: they look at systems and processes, not at individuals.</w:t>
      </w:r>
      <w:r>
        <w:br w:type="page"/>
      </w:r>
    </w:p>
    <w:p>
      <w:pPr>
        <w:pStyle w:val="Heading1"/>
        <w:rPr/>
      </w:pPr>
      <w:bookmarkStart w:id="47" w:name="__RefHeading___Toc28975_1360963153"/>
      <w:bookmarkEnd w:id="47"/>
      <w:r>
        <w:rPr>
          <w:rFonts w:eastAsia="Segoe UI" w:cs="Segoe UI" w:ascii="Segoe UI" w:hAnsi="Segoe UI"/>
          <w:b/>
          <w:color w:val="0F4761"/>
          <w:sz w:val="32"/>
        </w:rPr>
        <w:t>19.  Code fix standards</w:t>
      </w:r>
    </w:p>
    <w:p>
      <w:pPr>
        <w:pStyle w:val="Heading2"/>
        <w:rPr/>
      </w:pPr>
      <w:bookmarkStart w:id="48" w:name="__RefHeading___Toc28977_1360963153"/>
      <w:bookmarkEnd w:id="48"/>
      <w:r>
        <w:rPr>
          <w:rFonts w:eastAsia="Segoe UI" w:cs="Segoe UI"/>
          <w:b/>
          <w:color w:val="0F4761"/>
          <w:sz w:val="26"/>
        </w:rPr>
        <w:t>19.1  Branching and review</w:t>
      </w:r>
    </w:p>
    <w:p>
      <w:pPr>
        <w:pStyle w:val="Normal"/>
        <w:numPr>
          <w:ilvl w:val="0"/>
          <w:numId w:val="1"/>
        </w:numPr>
        <w:spacing w:before="0" w:after="60"/>
        <w:rPr/>
      </w:pPr>
      <w:r>
        <w:rPr>
          <w:rFonts w:eastAsia="Segoe UI" w:cs="Segoe UI" w:ascii="Segoe UI" w:hAnsi="Segoe UI"/>
          <w:color w:val="101820"/>
          <w:sz w:val="21"/>
        </w:rPr>
        <w:t xml:space="preserve">Fixes start from the release tag running in production (for example </w:t>
      </w:r>
      <w:r>
        <w:rPr>
          <w:rFonts w:eastAsia="Consolas" w:cs="Consolas" w:ascii="Consolas" w:hAnsi="Consolas"/>
          <w:color w:val="101820"/>
          <w:sz w:val="19"/>
        </w:rPr>
        <w:t>v1.0.0</w:t>
      </w:r>
      <w:r>
        <w:rPr>
          <w:rFonts w:eastAsia="Segoe UI" w:cs="Segoe UI" w:ascii="Segoe UI" w:hAnsi="Segoe UI"/>
          <w:color w:val="101820"/>
          <w:sz w:val="21"/>
        </w:rPr>
        <w:t xml:space="preserv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a branch named </w:t>
      </w:r>
      <w:r>
        <w:rPr>
          <w:rFonts w:eastAsia="Consolas" w:cs="Consolas" w:ascii="Consolas" w:hAnsi="Consolas"/>
          <w:color w:val="101820"/>
          <w:sz w:val="19"/>
        </w:rPr>
        <w:t>fix/&lt;ticket-number&gt;-&lt;short-description&gt;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pStyle w:val="Normal"/>
        <w:numPr>
          <w:ilvl w:val="0"/>
          <w:numId w:val="1"/>
        </w:numPr>
        <w:spacing w:before="0" w:after="60"/>
        <w:rPr/>
      </w:pPr>
      <w:r>
        <w:rPr>
          <w:rFonts w:eastAsia="Segoe UI" w:cs="Segoe UI" w:ascii="Segoe UI" w:hAnsi="Segoe UI"/>
          <w:color w:val="101820"/>
          <w:sz w:val="21"/>
        </w:rPr>
        <w:t>Continuous integration (</w:t>
      </w:r>
      <w:r>
        <w:rPr>
          <w:rFonts w:eastAsia="Consolas" w:cs="Consolas" w:ascii="Consolas" w:hAnsi="Consolas"/>
          <w:color w:val="101820"/>
          <w:sz w:val="19"/>
        </w:rPr>
        <w:t>.github/workflows/ci.yml</w:t>
      </w:r>
      <w:r>
        <w:rPr>
          <w:rFonts w:eastAsia="Segoe UI" w:cs="Segoe UI" w:ascii="Segoe UI" w:hAnsi="Segoe UI"/>
          <w:color w:val="101820"/>
          <w:sz w:val="21"/>
        </w:rPr>
        <w:t>) runs on every push and pull request: backend lint and tests, front-end tests and production build, backend image build. A red pipeline blocks the merge.</w:t>
      </w:r>
    </w:p>
    <w:p>
      <w:pPr>
        <w:pStyle w:val="Normal"/>
        <w:numPr>
          <w:ilvl w:val="0"/>
          <w:numId w:val="1"/>
        </w:numPr>
        <w:spacing w:before="0" w:after="60"/>
        <w:rPr/>
      </w:pPr>
      <w:r>
        <w:rPr>
          <w:rFonts w:eastAsia="Segoe UI" w:cs="Segoe UI" w:ascii="Segoe UI" w:hAnsi="Segoe UI"/>
          <w:color w:val="101820"/>
          <w:sz w:val="21"/>
        </w:rPr>
        <w:t>The fix is merged to the release branch and tagged as a new patch release; it is also merged into the main development line so it is not lost in the next release.</w:t>
      </w:r>
    </w:p>
    <w:p>
      <w:pPr>
        <w:pStyle w:val="Heading2"/>
        <w:rPr/>
      </w:pPr>
      <w:bookmarkStart w:id="49" w:name="__RefHeading___Toc28979_1360963153"/>
      <w:bookmarkEnd w:id="49"/>
      <w:r>
        <w:rPr>
          <w:rFonts w:eastAsia="Segoe UI" w:cs="Segoe UI"/>
          <w:b/>
          <w:color w:val="0F4761"/>
          <w:sz w:val="26"/>
        </w:rPr>
        <w:t>19.2  Rules for the change</w:t>
      </w:r>
    </w:p>
    <w:p>
      <w:pPr>
        <w:pStyle w:val="Normal"/>
        <w:numPr>
          <w:ilvl w:val="0"/>
          <w:numId w:val="1"/>
        </w:numPr>
        <w:spacing w:before="0" w:after="60"/>
        <w:rPr/>
      </w:pPr>
      <w:r>
        <w:rPr>
          <w:rFonts w:eastAsia="Segoe UI" w:cs="Segoe UI" w:ascii="Segoe UI" w:hAnsi="Segoe UI"/>
          <w:color w:val="101820"/>
          <w:sz w:val="21"/>
        </w:rPr>
        <w:t>Database migrations only add (new tables, columns, indexes). Existing data is changed only by a reviewed migration or a data correction under change control.</w:t>
      </w:r>
    </w:p>
    <w:p>
      <w:pPr>
        <w:pStyle w:val="Normal"/>
        <w:numPr>
          <w:ilvl w:val="0"/>
          <w:numId w:val="1"/>
        </w:numPr>
        <w:spacing w:before="0" w:after="60"/>
        <w:rPr/>
      </w:pPr>
      <w:r>
        <w:rPr>
          <w:rFonts w:eastAsia="Segoe UI" w:cs="Segoe UI" w:ascii="Segoe UI" w:hAnsi="Segoe UI"/>
          <w:color w:val="101820"/>
          <w:sz w:val="21"/>
        </w:rPr>
        <w:t xml:space="preserve">A new or changed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and the test suite check this.</w:t>
      </w:r>
    </w:p>
    <w:p>
      <w:pPr>
        <w:pStyle w:val="Normal"/>
        <w:numPr>
          <w:ilvl w:val="0"/>
          <w:numId w:val="1"/>
        </w:numPr>
        <w:spacing w:before="0" w:after="60"/>
        <w:rPr/>
      </w:pPr>
      <w:r>
        <w:rPr>
          <w:rFonts w:eastAsia="Segoe UI" w:cs="Segoe UI" w:ascii="Segoe UI" w:hAnsi="Segoe UI"/>
          <w:color w:val="101820"/>
          <w:sz w:val="21"/>
        </w:rPr>
        <w:t>A new route declares its screen, its permission (</w:t>
      </w:r>
      <w:r>
        <w:rPr>
          <w:rFonts w:eastAsia="Consolas" w:cs="Consolas" w:ascii="Consolas" w:hAnsi="Consolas"/>
          <w:color w:val="101820"/>
          <w:sz w:val="19"/>
        </w:rPr>
        <w:t>requirePermission</w:t>
      </w:r>
      <w:r>
        <w:rPr>
          <w:rFonts w:eastAsia="Segoe UI" w:cs="Segoe UI" w:ascii="Segoe UI" w:hAnsi="Segoe UI"/>
          <w:color w:val="101820"/>
          <w:sz w:val="21"/>
        </w:rPr>
        <w:t xml:space="preserve">), body validation and an </w:t>
      </w:r>
      <w:r>
        <w:rPr>
          <w:rFonts w:eastAsia="Consolas" w:cs="Consolas" w:ascii="Consolas" w:hAnsi="Consolas"/>
          <w:color w:val="101820"/>
          <w:sz w:val="19"/>
        </w:rPr>
        <w:t>audit()</w:t>
      </w:r>
      <w:r>
        <w:rPr>
          <w:rFonts w:eastAsia="Segoe UI" w:cs="Segoe UI" w:ascii="Segoe UI" w:hAnsi="Segoe UI"/>
          <w:color w:val="101820"/>
          <w:sz w:val="21"/>
        </w:rPr>
        <w:t xml:space="preserve"> call on every change; </w:t>
      </w:r>
      <w:r>
        <w:rPr>
          <w:rFonts w:eastAsia="Consolas" w:cs="Consolas" w:ascii="Consolas" w:hAnsi="Consolas"/>
          <w:color w:val="101820"/>
          <w:sz w:val="19"/>
        </w:rPr>
        <w:t>npm run export:api</w:t>
      </w:r>
      <w:r>
        <w:rPr>
          <w:rFonts w:eastAsia="Segoe UI" w:cs="Segoe UI" w:ascii="Segoe UI" w:hAnsi="Segoe UI"/>
          <w:color w:val="101820"/>
          <w:sz w:val="21"/>
        </w:rPr>
        <w:t xml:space="preserve"> regenerates the API documentation.</w:t>
      </w:r>
    </w:p>
    <w:p>
      <w:pPr>
        <w:pStyle w:val="Normal"/>
        <w:numPr>
          <w:ilvl w:val="0"/>
          <w:numId w:val="1"/>
        </w:numPr>
        <w:spacing w:before="0" w:after="60"/>
        <w:rPr/>
      </w:pPr>
      <w:r>
        <w:rPr>
          <w:rFonts w:eastAsia="Segoe UI" w:cs="Segoe UI" w:ascii="Segoe UI" w:hAnsi="Segoe UI"/>
          <w:color w:val="101820"/>
          <w:sz w:val="21"/>
        </w:rPr>
        <w:t>No business parameter (rate, account code, limit, e-mail text) is hard-coded: it is a setting in Master &gt; Configuration.</w:t>
      </w:r>
    </w:p>
    <w:p>
      <w:pPr>
        <w:pStyle w:val="Normal"/>
        <w:numPr>
          <w:ilvl w:val="0"/>
          <w:numId w:val="1"/>
        </w:numPr>
        <w:spacing w:before="0" w:after="60"/>
        <w:rPr/>
      </w:pPr>
      <w:r>
        <w:rPr>
          <w:rFonts w:eastAsia="Segoe UI" w:cs="Segoe UI" w:ascii="Segoe UI" w:hAnsi="Segoe UI"/>
          <w:color w:val="101820"/>
          <w:sz w:val="21"/>
        </w:rPr>
        <w:t>An importer change regenerates the upload templates (</w:t>
      </w:r>
      <w:r>
        <w:rPr>
          <w:rFonts w:eastAsia="Consolas" w:cs="Consolas" w:ascii="Consolas" w:hAnsi="Consolas"/>
          <w:color w:val="101820"/>
          <w:sz w:val="19"/>
        </w:rPr>
        <w:t>node scripts/build-upload-templates.js</w:t>
      </w:r>
      <w:r>
        <w:rPr>
          <w:rFonts w:eastAsia="Segoe UI" w:cs="Segoe UI" w:ascii="Segoe UI" w:hAnsi="Segoe UI"/>
          <w:color w:val="101820"/>
          <w:sz w:val="21"/>
        </w:rPr>
        <w:t xml:space="preserve">); </w:t>
      </w:r>
      <w:r>
        <w:rPr>
          <w:rFonts w:eastAsia="Consolas" w:cs="Consolas" w:ascii="Consolas" w:hAnsi="Consolas"/>
          <w:color w:val="101820"/>
          <w:sz w:val="19"/>
        </w:rPr>
        <w:t>upload-templates.test.js</w:t>
      </w:r>
      <w:r>
        <w:rPr>
          <w:rFonts w:eastAsia="Segoe UI" w:cs="Segoe UI" w:ascii="Segoe UI" w:hAnsi="Segoe UI"/>
          <w:color w:val="101820"/>
          <w:sz w:val="21"/>
        </w:rPr>
        <w:t xml:space="preserve"> checks the headers against the importers.</w:t>
      </w:r>
    </w:p>
    <w:p>
      <w:pPr>
        <w:pStyle w:val="Normal"/>
        <w:numPr>
          <w:ilvl w:val="0"/>
          <w:numId w:val="1"/>
        </w:numPr>
        <w:spacing w:before="0" w:after="60"/>
        <w:rPr/>
      </w:pPr>
      <w:r>
        <w:rPr>
          <w:rFonts w:eastAsia="Segoe UI" w:cs="Segoe UI" w:ascii="Segoe UI" w:hAnsi="Segoe UI"/>
          <w:color w:val="101820"/>
          <w:sz w:val="21"/>
        </w:rPr>
        <w:t>ESLint must be clean (</w:t>
      </w:r>
      <w:r>
        <w:rPr>
          <w:rFonts w:eastAsia="Consolas" w:cs="Consolas" w:ascii="Consolas" w:hAnsi="Consolas"/>
          <w:color w:val="101820"/>
          <w:sz w:val="19"/>
        </w:rPr>
        <w:t>npx eslint src test scripts</w:t>
      </w:r>
      <w:r>
        <w:rPr>
          <w:rFonts w:eastAsia="Segoe UI" w:cs="Segoe UI" w:ascii="Segoe UI" w:hAnsi="Segoe UI"/>
          <w:color w:val="101820"/>
          <w:sz w:val="21"/>
        </w:rPr>
        <w:t>).</w:t>
      </w:r>
    </w:p>
    <w:p>
      <w:pPr>
        <w:pStyle w:val="Heading2"/>
        <w:rPr/>
      </w:pPr>
      <w:bookmarkStart w:id="50" w:name="__RefHeading___Toc28981_1360963153"/>
      <w:bookmarkEnd w:id="50"/>
      <w:r>
        <w:rPr>
          <w:rFonts w:eastAsia="Segoe UI" w:cs="Segoe UI"/>
          <w:b/>
          <w:color w:val="0F4761"/>
          <w:sz w:val="26"/>
        </w:rPr>
        <w:t>19.3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Unit and integration test for the fix</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test in </w:t>
            </w:r>
            <w:r>
              <w:rPr>
                <w:rFonts w:eastAsia="Consolas" w:cs="Consolas" w:ascii="Consolas" w:hAnsi="Consolas"/>
                <w:color w:val="101820"/>
                <w:kern w:val="0"/>
                <w:sz w:val="16"/>
                <w:szCs w:val="24"/>
                <w:lang w:val="en-US" w:eastAsia="ja-JP" w:bidi="ar-SA"/>
              </w:rPr>
              <w:t>backend/test</w:t>
            </w:r>
            <w:r>
              <w:rPr>
                <w:rFonts w:eastAsia="Segoe UI" w:cs="Segoe UI" w:ascii="Segoe UI" w:hAnsi="Segoe UI"/>
                <w:color w:val="101820"/>
                <w:kern w:val="0"/>
                <w:sz w:val="18"/>
                <w:szCs w:val="24"/>
                <w:lang w:val="en-US" w:eastAsia="ja-JP" w:bidi="ar-SA"/>
              </w:rPr>
              <w:t xml:space="preserve"> that fails before the fix and passes after it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for every code fix</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suite (vitest, PostgreSQL 16)</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TEST_DATABASE_URL=postgres://.../brokerverse_test npx vitest run</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 Each test file drops and recreates the schema of the test database, so it never points at a database in use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craco test --watchAll=false</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brokerverse/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eslint src test scripts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Clean</w:t>
            </w:r>
          </w:p>
        </w:tc>
      </w:tr>
    </w:tbl>
    <w:p>
      <w:pPr>
        <w:pStyle w:val="Heading1"/>
        <w:rPr/>
      </w:pPr>
      <w:r>
        <w:br w:type="page"/>
      </w:r>
      <w:bookmarkStart w:id="51" w:name="__RefHeading___Toc28983_1360963153"/>
      <w:bookmarkEnd w:id="51"/>
      <w:r>
        <w:rPr>
          <w:rFonts w:eastAsia="Segoe UI" w:cs="Segoe UI" w:ascii="Segoe UI" w:hAnsi="Segoe UI"/>
          <w:b/>
          <w:color w:val="0F4761"/>
          <w:sz w:val="32"/>
        </w:rPr>
        <w:t>20.  Regression testing</w:t>
      </w:r>
    </w:p>
    <w:p>
      <w:pPr>
        <w:pStyle w:val="Normal"/>
        <w:spacing w:lineRule="auto" w:line="276" w:before="0" w:after="120"/>
        <w:rPr/>
      </w:pPr>
      <w:r>
        <w:rPr>
          <w:rFonts w:eastAsia="Segoe UI" w:cs="Segoe UI" w:ascii="Segoe UI" w:hAnsi="Segoe UI"/>
          <w:color w:val="101820"/>
          <w:sz w:val="21"/>
        </w:rPr>
        <w:t>Before any release reaches production, iorta TechNXT runs the regression below in UAT (and in SIT for a large broker) and attaches the results to the change.</w:t>
      </w:r>
    </w:p>
    <w:p>
      <w:pPr>
        <w:pStyle w:val="Normal"/>
        <w:numPr>
          <w:ilvl w:val="0"/>
          <w:numId w:val="35"/>
        </w:numPr>
        <w:spacing w:before="0" w:after="60"/>
        <w:rPr/>
      </w:pPr>
      <w:r>
        <w:rPr>
          <w:rFonts w:eastAsia="Segoe UI" w:cs="Segoe UI" w:ascii="Segoe UI" w:hAnsi="Segoe UI"/>
          <w:color w:val="101820"/>
          <w:sz w:val="21"/>
        </w:rPr>
        <w:t>The backend vitest suite and the front-end tests (chapter 18).</w:t>
      </w:r>
    </w:p>
    <w:p>
      <w:pPr>
        <w:pStyle w:val="Normal"/>
        <w:numPr>
          <w:ilvl w:val="0"/>
          <w:numId w:val="36"/>
        </w:numPr>
        <w:spacing w:before="0" w:after="60"/>
        <w:rPr/>
      </w:pPr>
      <w:r>
        <w:rPr>
          <w:rFonts w:eastAsia="Segoe UI" w:cs="Segoe UI" w:ascii="Segoe UI" w:hAnsi="Segoe UI"/>
          <w:color w:val="101820"/>
          <w:sz w:val="21"/>
        </w:rPr>
        <w:t>The UAT data scenario on a fresh database, migrated and seeded with reference data only:</w:t>
      </w:r>
    </w:p>
    <w:p>
      <w:pPr>
        <w:pStyle w:val="Normal"/>
        <w:shd w:val="clear" w:color="auto" w:fill="F3F4F6"/>
        <w:spacing w:before="0" w:after="0"/>
        <w:ind w:left="170"/>
        <w:rPr/>
      </w:pPr>
      <w:r>
        <w:rPr>
          <w:rFonts w:eastAsia="Consolas" w:cs="Consolas" w:ascii="Consolas" w:hAnsi="Consolas"/>
          <w:color w:val="101820"/>
          <w:sz w:val="17"/>
        </w:rPr>
        <w:t>API_BASE=https://&lt;test-api&gt;/api ADMIN_PASSWORD=... PERSONA_PASSWORD=... node scripts/uat-scenario.js</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eastAsia="Consolas" w:cs="Consolas" w:ascii="Consolas" w:hAnsi="Consolas"/>
          <w:color w:val="101820"/>
          <w:sz w:val="19"/>
        </w:rPr>
        <w:t>UAT_REPORT</w:t>
      </w:r>
      <w:r>
        <w:rPr>
          <w:rFonts w:eastAsia="Segoe UI" w:cs="Segoe UI" w:ascii="Segoe UI" w:hAnsi="Segoe UI"/>
          <w:color w:val="101820"/>
          <w:sz w:val="21"/>
        </w:rPr>
        <w:t xml:space="preserve">, by default </w:t>
      </w:r>
      <w:r>
        <w:rPr>
          <w:rFonts w:eastAsia="Consolas" w:cs="Consolas" w:ascii="Consolas" w:hAnsi="Consolas"/>
          <w:color w:val="101820"/>
          <w:sz w:val="19"/>
        </w:rPr>
        <w:t>docs/e2e/UAT_SCENARIO_RUN.md</w:t>
      </w:r>
      <w:r>
        <w:rPr>
          <w:rFonts w:eastAsia="Segoe UI" w:cs="Segoe UI" w:ascii="Segoe UI" w:hAnsi="Segoe UI"/>
          <w:color w:val="101820"/>
          <w:sz w:val="21"/>
        </w:rPr>
        <w:t>) must show all steps passed. The run of 30 September 2026 passed 382 of 382 steps. Passwords come from the environment only.</w:t>
      </w:r>
    </w:p>
    <w:p>
      <w:pPr>
        <w:pStyle w:val="Normal"/>
        <w:numPr>
          <w:ilvl w:val="0"/>
          <w:numId w:val="37"/>
        </w:numPr>
        <w:spacing w:before="0" w:after="60"/>
        <w:rPr/>
      </w:pPr>
      <w:r>
        <w:rPr>
          <w:rFonts w:eastAsia="Segoe UI" w:cs="Segoe UI" w:ascii="Segoe UI" w:hAnsi="Segoe UI"/>
          <w:color w:val="101820"/>
          <w:sz w:val="21"/>
        </w:rPr>
        <w:t>The broker's key users run the UAT scripts (</w:t>
      </w:r>
      <w:r>
        <w:rPr>
          <w:rFonts w:eastAsia="Consolas" w:cs="Consolas" w:ascii="Consolas" w:hAnsi="Consolas"/>
          <w:color w:val="101820"/>
          <w:sz w:val="19"/>
        </w:rPr>
        <w:t>docs/onboarding/UAT_SCRIPTS.md</w:t>
      </w:r>
      <w:r>
        <w:rPr>
          <w:rFonts w:eastAsia="Segoe UI" w:cs="Segoe UI" w:ascii="Segoe UI" w:hAnsi="Segoe UI"/>
          <w:color w:val="101820"/>
          <w:sz w:val="21"/>
        </w:rPr>
        <w:t>) that cover the changed area.</w:t>
      </w:r>
    </w:p>
    <w:p>
      <w:pPr>
        <w:pStyle w:val="Normal"/>
        <w:numPr>
          <w:ilvl w:val="0"/>
          <w:numId w:val="38"/>
        </w:numPr>
        <w:spacing w:before="0" w:after="60"/>
        <w:rPr/>
      </w:pPr>
      <w:r>
        <w:rPr>
          <w:rFonts w:eastAsia="Segoe UI" w:cs="Segoe UI" w:ascii="Segoe UI" w:hAnsi="Segoe UI"/>
          <w:color w:val="101820"/>
          <w:sz w:val="21"/>
        </w:rPr>
        <w:t>For changes to printed documents and reports: the document and report sweep (</w:t>
      </w:r>
      <w:r>
        <w:rPr>
          <w:rFonts w:eastAsia="Consolas" w:cs="Consolas" w:ascii="Consolas" w:hAnsi="Consolas"/>
          <w:color w:val="101820"/>
          <w:sz w:val="19"/>
        </w:rPr>
        <w:t>backend/scripts/doc-report-sweep.js</w:t>
      </w:r>
      <w:r>
        <w:rPr>
          <w:rFonts w:eastAsia="Segoe UI" w:cs="Segoe UI" w:ascii="Segoe UI" w:hAnsi="Segoe UI"/>
          <w:color w:val="101820"/>
          <w:sz w:val="21"/>
        </w:rPr>
        <w:t>) and a check of the letterhead on the PDFs.</w:t>
      </w:r>
    </w:p>
    <w:p>
      <w:pPr>
        <w:pStyle w:val="Normal"/>
        <w:spacing w:lineRule="auto" w:line="276" w:before="0" w:after="120"/>
        <w:rPr/>
      </w:pPr>
      <w:r>
        <w:rPr>
          <w:rFonts w:eastAsia="Segoe UI" w:cs="Segoe UI" w:ascii="Segoe UI" w:hAnsi="Segoe UI"/>
          <w:color w:val="101820"/>
          <w:sz w:val="21"/>
        </w:rPr>
        <w:t>A failed step blocks the release until it is fixed or the CAB accepts the risk in writing.</w:t>
      </w:r>
      <w:r>
        <w:br w:type="page"/>
      </w:r>
    </w:p>
    <w:p>
      <w:pPr>
        <w:pStyle w:val="Heading1"/>
        <w:rPr/>
      </w:pPr>
      <w:bookmarkStart w:id="52" w:name="__RefHeading___Toc28985_1360963153"/>
      <w:bookmarkEnd w:id="52"/>
      <w:r>
        <w:rPr>
          <w:rFonts w:eastAsia="Segoe UI" w:cs="Segoe UI" w:ascii="Segoe UI" w:hAnsi="Segoe UI"/>
          <w:b/>
          <w:color w:val="0F4761"/>
          <w:sz w:val="32"/>
        </w:rPr>
        <w:t>21.  Security incidents and personal data breaches</w:t>
      </w:r>
    </w:p>
    <w:p>
      <w:pPr>
        <w:pStyle w:val="Heading2"/>
        <w:rPr/>
      </w:pPr>
      <w:bookmarkStart w:id="53" w:name="__RefHeading___Toc28987_1360963153"/>
      <w:bookmarkEnd w:id="53"/>
      <w:r>
        <w:rPr>
          <w:rFonts w:eastAsia="Segoe UI" w:cs="Segoe UI"/>
          <w:b/>
          <w:color w:val="0F4761"/>
          <w:sz w:val="26"/>
        </w:rPr>
        <w:t>21.1  Security incidents</w:t>
      </w:r>
    </w:p>
    <w:p>
      <w:pPr>
        <w:pStyle w:val="Normal"/>
        <w:spacing w:lineRule="auto" w:line="276" w:before="0" w:after="120"/>
        <w:rPr/>
      </w:pPr>
      <w:r>
        <w:rPr>
          <w:rFonts w:eastAsia="Segoe UI" w:cs="Segoe UI" w:ascii="Segoe UI" w:hAnsi="Segoe UI"/>
          <w:color w:val="101820"/>
          <w:sz w:val="21"/>
        </w:rPr>
        <w:t>A suspected security incident (unauthorised access, credential attack, data exposed, malware, a leaked secret) is handled as a P1.</w:t>
      </w:r>
    </w:p>
    <w:p>
      <w:pPr>
        <w:pStyle w:val="Normal"/>
        <w:numPr>
          <w:ilvl w:val="0"/>
          <w:numId w:val="39"/>
        </w:numPr>
        <w:spacing w:before="0" w:after="60"/>
        <w:rPr/>
      </w:pPr>
      <w:r>
        <w:rPr>
          <w:rFonts w:eastAsia="Segoe UI" w:cs="Segoe UI" w:ascii="Segoe UI" w:hAnsi="Segoe UI"/>
          <w:color w:val="101820"/>
          <w:sz w:val="21"/>
        </w:rPr>
        <w:t>Contain: disable affected users, rotate exposed secrets (</w:t>
      </w:r>
      <w:r>
        <w:rPr>
          <w:rFonts w:eastAsia="Consolas" w:cs="Consolas" w:ascii="Consolas" w:hAnsi="Consolas"/>
          <w:color w:val="101820"/>
          <w:sz w:val="19"/>
        </w:rPr>
        <w:t>JWT_SECRET</w:t>
      </w:r>
      <w:r>
        <w:rPr>
          <w:rFonts w:eastAsia="Segoe UI" w:cs="Segoe UI" w:ascii="Segoe UI" w:hAnsi="Segoe UI"/>
          <w:color w:val="101820"/>
          <w:sz w:val="21"/>
        </w:rPr>
        <w:t xml:space="preserve"> signs every user out; </w:t>
      </w:r>
      <w:r>
        <w:rPr>
          <w:rFonts w:eastAsia="Consolas" w:cs="Consolas" w:ascii="Consolas" w:hAnsi="Consolas"/>
          <w:color w:val="101820"/>
          <w:sz w:val="19"/>
        </w:rPr>
        <w:t>DATA_ENCRYPTION_KEY</w:t>
      </w:r>
      <w:r>
        <w:rPr>
          <w:rFonts w:eastAsia="Segoe UI" w:cs="Segoe UI" w:ascii="Segoe UI" w:hAnsi="Segoe UI"/>
          <w:color w:val="101820"/>
          <w:sz w:val="21"/>
        </w:rPr>
        <w:t xml:space="preserve"> rotation is planned with the restore impact in mind; </w:t>
      </w:r>
      <w:r>
        <w:rPr>
          <w:rFonts w:eastAsia="Consolas" w:cs="Consolas" w:ascii="Consolas" w:hAnsi="Consolas"/>
          <w:color w:val="101820"/>
          <w:sz w:val="19"/>
        </w:rPr>
        <w:t>PII_ENCRYPTION_KEY</w:t>
      </w:r>
      <w:r>
        <w:rPr>
          <w:rFonts w:eastAsia="Segoe UI" w:cs="Segoe UI" w:ascii="Segoe UI" w:hAnsi="Segoe UI"/>
          <w:color w:val="101820"/>
          <w:sz w:val="21"/>
        </w:rPr>
        <w:t xml:space="preserve"> with the rotation procedure of the operational procedures chapter; connector credentials with the provider), revoke e-signature versions that may have been misused, block addresses at the load balancer, isolate affected components.</w:t>
      </w:r>
    </w:p>
    <w:p>
      <w:pPr>
        <w:pStyle w:val="Normal"/>
        <w:numPr>
          <w:ilvl w:val="0"/>
          <w:numId w:val="40"/>
        </w:numPr>
        <w:spacing w:before="0" w:after="60"/>
        <w:rPr/>
      </w:pPr>
      <w:r>
        <w:rPr>
          <w:rFonts w:eastAsia="Segoe UI" w:cs="Segoe UI" w:ascii="Segoe UI" w:hAnsi="Segoe UI"/>
          <w:color w:val="101820"/>
          <w:sz w:val="21"/>
        </w:rPr>
        <w:t xml:space="preserve">Preserve evidence: logs,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monitoring data, database snapshot.</w:t>
      </w:r>
    </w:p>
    <w:p>
      <w:pPr>
        <w:pStyle w:val="Normal"/>
        <w:numPr>
          <w:ilvl w:val="0"/>
          <w:numId w:val="41"/>
        </w:numPr>
        <w:spacing w:before="0" w:after="60"/>
        <w:rPr/>
      </w:pPr>
      <w:r>
        <w:rPr>
          <w:rFonts w:eastAsia="Segoe UI" w:cs="Segoe UI" w:ascii="Segoe UI" w:hAnsi="Segoe UI"/>
          <w:color w:val="101820"/>
          <w:sz w:val="21"/>
        </w:rPr>
        <w:t>Assess what data and which data subjects are affected.</w:t>
      </w:r>
    </w:p>
    <w:p>
      <w:pPr>
        <w:pStyle w:val="Normal"/>
        <w:numPr>
          <w:ilvl w:val="0"/>
          <w:numId w:val="42"/>
        </w:numPr>
        <w:spacing w:before="0" w:after="60"/>
        <w:rPr/>
      </w:pPr>
      <w:r>
        <w:rPr>
          <w:rFonts w:eastAsia="Segoe UI" w:cs="Segoe UI" w:ascii="Segoe UI" w:hAnsi="Segoe UI"/>
          <w:color w:val="101820"/>
          <w:sz w:val="21"/>
        </w:rPr>
        <w:t>Recover and verify.</w:t>
      </w:r>
    </w:p>
    <w:p>
      <w:pPr>
        <w:pStyle w:val="Normal"/>
        <w:numPr>
          <w:ilvl w:val="0"/>
          <w:numId w:val="43"/>
        </w:numPr>
        <w:spacing w:before="0" w:after="60"/>
        <w:rPr/>
      </w:pPr>
      <w:r>
        <w:rPr>
          <w:rFonts w:eastAsia="Segoe UI" w:cs="Segoe UI" w:ascii="Segoe UI" w:hAnsi="Segoe UI"/>
          <w:color w:val="101820"/>
          <w:sz w:val="21"/>
        </w:rPr>
        <w:t>Report and learn: RCA, preventive actions.</w:t>
      </w:r>
    </w:p>
    <w:p>
      <w:pPr>
        <w:pStyle w:val="Heading2"/>
        <w:rPr/>
      </w:pPr>
      <w:bookmarkStart w:id="54" w:name="__RefHeading___Toc28989_1360963153"/>
      <w:bookmarkEnd w:id="54"/>
      <w:r>
        <w:rPr>
          <w:rFonts w:eastAsia="Segoe UI" w:cs="Segoe UI"/>
          <w:b/>
          <w:color w:val="0F4761"/>
          <w:sz w:val="26"/>
        </w:rPr>
        <w:t>21.2  Personal data breaches</w:t>
      </w:r>
    </w:p>
    <w:p>
      <w:pPr>
        <w:pStyle w:val="Normal"/>
        <w:spacing w:lineRule="auto" w:line="276" w:before="0" w:after="120"/>
        <w:rPr/>
      </w:pPr>
      <w:r>
        <w:rPr>
          <w:rFonts w:eastAsia="Segoe UI" w:cs="Segoe UI" w:ascii="Segoe UI" w:hAnsi="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2199"/>
        <w:gridCol w:w="3408"/>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informs the broker's DPO and System Administrator of a suspected breach</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delay, and within 24 hours of discovery (proposed contract term)</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whether the breach involves sensitive personal information or information that may enable identity fraud, and is likely to give rise to a real risk of serious harm</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with iorta TechNXT</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Immediately</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the National Privacy Commission,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knowledge of the breach</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affected data subjects,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unless the NPC allows otherwise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report and evidence</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and the broker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requested by the NPC</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entry and annual report of breaches</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required by the NPC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With the compliance package, the broker's DPO logs the incident at once in Compliance &gt; Data Privacy (NPC) &gt; Breach Register: the 72-hour clock runs from the time discovered, and the hourly job </w:t>
      </w:r>
      <w:r>
        <w:rPr>
          <w:rFonts w:eastAsia="Consolas" w:cs="Consolas" w:ascii="Consolas" w:hAnsi="Consolas"/>
          <w:color w:val="101820"/>
          <w:sz w:val="19"/>
        </w:rPr>
        <w:t>privacy-breach-deadlines</w:t>
      </w:r>
      <w:r>
        <w:rPr>
          <w:rFonts w:eastAsia="Segoe UI" w:cs="Segoe UI" w:ascii="Segoe UI" w:hAnsi="Segoe UI"/>
          <w:color w:val="101820"/>
          <w:sz w:val="21"/>
        </w:rPr>
        <w:t xml:space="preserve"> reminds the data privacy team at 48, 24 and 6 hours before the deadline. 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rPr/>
      </w:pPr>
      <w:bookmarkStart w:id="55" w:name="__RefHeading___Toc28991_1360963153"/>
      <w:bookmarkEnd w:id="55"/>
      <w:r>
        <w:rPr>
          <w:rFonts w:eastAsia="Segoe UI" w:cs="Segoe UI"/>
          <w:b/>
          <w:color w:val="0F4761"/>
          <w:sz w:val="26"/>
        </w:rPr>
        <w:t>21.3  Data subject requests</w:t>
      </w:r>
    </w:p>
    <w:p>
      <w:pPr>
        <w:pStyle w:val="Normal"/>
        <w:spacing w:lineRule="auto" w:line="276" w:before="0" w:after="120"/>
        <w:rPr/>
      </w:pPr>
      <w:r>
        <w:rPr>
          <w:rFonts w:eastAsia="Segoe UI" w:cs="Segoe UI" w:ascii="Segoe UI" w:hAnsi="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arrives at iorta TechNXT directly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Forwarded to the broker's DPO within 2 business days, not answered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is refused although the DPO has decided the data may go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reviews the reasons shown by the dry run with the DPO; any database procedure is a normal change with the DPO's written instruction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Overdue requests are not notified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Check that the 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is switched on in Master &gt; Schedules and that the privacy team holds </w:t>
            </w:r>
            <w:r>
              <w:rPr>
                <w:rFonts w:eastAsia="Consolas" w:cs="Consolas" w:ascii="Consolas" w:hAnsi="Consolas"/>
                <w:color w:val="101820"/>
                <w:kern w:val="0"/>
                <w:sz w:val="16"/>
                <w:szCs w:val="24"/>
                <w:lang w:val="en-US" w:eastAsia="ja-JP" w:bidi="ar-SA"/>
              </w:rPr>
              <w:t>read:privacy</w:t>
            </w:r>
          </w:p>
        </w:tc>
      </w:tr>
    </w:tbl>
    <w:p>
      <w:pPr>
        <w:pStyle w:val="Heading1"/>
        <w:rPr/>
      </w:pPr>
      <w:r>
        <w:br w:type="page"/>
      </w:r>
      <w:bookmarkStart w:id="56" w:name="__RefHeading___Toc28993_1360963153"/>
      <w:bookmarkEnd w:id="56"/>
      <w:r>
        <w:rPr>
          <w:rFonts w:eastAsia="Segoe UI" w:cs="Segoe UI" w:ascii="Segoe UI" w:hAnsi="Segoe UI"/>
          <w:b/>
          <w:color w:val="0F4761"/>
          <w:sz w:val="32"/>
        </w:rPr>
        <w:t>22.  Support exclusions</w:t>
      </w:r>
    </w:p>
    <w:p>
      <w:pPr>
        <w:pStyle w:val="Normal"/>
        <w:spacing w:lineRule="auto" w:line="276" w:before="0" w:after="120"/>
        <w:rPr/>
      </w:pPr>
      <w:r>
        <w:rPr>
          <w:rFonts w:eastAsia="Segoe UI" w:cs="Segoe UI" w:ascii="Segoe UI" w:hAnsi="Segoe UI"/>
          <w:color w:val="101820"/>
          <w:sz w:val="21"/>
        </w:rPr>
        <w:t>The following are outside production support and are handled as change requests or separate services:</w:t>
      </w:r>
    </w:p>
    <w:p>
      <w:pPr>
        <w:pStyle w:val="Normal"/>
        <w:numPr>
          <w:ilvl w:val="0"/>
          <w:numId w:val="1"/>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1"/>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1"/>
        </w:numPr>
        <w:spacing w:before="0" w:after="60"/>
        <w:rPr/>
      </w:pPr>
      <w:r>
        <w:rPr>
          <w:rFonts w:eastAsia="Segoe UI" w:cs="Segoe UI" w:ascii="Segoe UI" w:hAnsi="Segoe UI"/>
          <w:color w:val="101820"/>
          <w:sz w:val="21"/>
        </w:rPr>
        <w:t>Data entry, data cleansing and bulk data work for the broker's business.</w:t>
      </w:r>
    </w:p>
    <w:p>
      <w:pPr>
        <w:pStyle w:val="Normal"/>
        <w:numPr>
          <w:ilvl w:val="0"/>
          <w:numId w:val="1"/>
        </w:numPr>
        <w:spacing w:before="0" w:after="60"/>
        <w:rPr/>
      </w:pPr>
      <w:r>
        <w:rPr>
          <w:rFonts w:eastAsia="Segoe UI" w:cs="Segoe UI" w:ascii="Segoe UI" w:hAnsi="Segoe UI"/>
          <w:color w:val="101820"/>
          <w:sz w:val="21"/>
        </w:rPr>
        <w:t>Business configuration done on the broker's behalf beyond the agreed hours.</w:t>
      </w:r>
    </w:p>
    <w:p>
      <w:pPr>
        <w:pStyle w:val="Normal"/>
        <w:numPr>
          <w:ilvl w:val="0"/>
          <w:numId w:val="1"/>
        </w:numPr>
        <w:spacing w:before="0" w:after="60"/>
        <w:rPr/>
      </w:pPr>
      <w:r>
        <w:rPr>
          <w:rFonts w:eastAsia="Segoe UI" w:cs="Segoe UI" w:ascii="Segoe UI" w:hAnsi="Segoe UI"/>
          <w:color w:val="101820"/>
          <w:sz w:val="21"/>
        </w:rPr>
        <w:t>Training of new users beyond the agreed refresher sessions.</w:t>
      </w:r>
    </w:p>
    <w:p>
      <w:pPr>
        <w:pStyle w:val="Normal"/>
        <w:numPr>
          <w:ilvl w:val="0"/>
          <w:numId w:val="1"/>
        </w:numPr>
        <w:spacing w:before="0" w:after="60"/>
        <w:rPr/>
      </w:pPr>
      <w:r>
        <w:rPr>
          <w:rFonts w:eastAsia="Segoe UI" w:cs="Segoe UI" w:ascii="Segoe UI" w:hAnsi="Segoe UI"/>
          <w:color w:val="101820"/>
          <w:sz w:val="21"/>
        </w:rPr>
        <w:t>Issues caused by changes the broker made outside the change process, or by the broker's network, devices or browsers.</w:t>
      </w:r>
    </w:p>
    <w:p>
      <w:pPr>
        <w:pStyle w:val="Normal"/>
        <w:numPr>
          <w:ilvl w:val="0"/>
          <w:numId w:val="1"/>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1"/>
        </w:numPr>
        <w:spacing w:before="0" w:after="60"/>
        <w:rPr/>
      </w:pPr>
      <w:r>
        <w:rPr>
          <w:rFonts w:eastAsia="Segoe UI" w:cs="Segoe UI" w:ascii="Segoe UI" w:hAnsi="Segoe UI"/>
          <w:color w:val="101820"/>
          <w:sz w:val="21"/>
        </w:rPr>
        <w:t>Recovery of data deleted by the broker's users beyond what the backups hold.</w:t>
      </w:r>
    </w:p>
    <w:p>
      <w:pPr>
        <w:pStyle w:val="Normal"/>
        <w:numPr>
          <w:ilvl w:val="0"/>
          <w:numId w:val="1"/>
        </w:numPr>
        <w:spacing w:before="0" w:after="60"/>
        <w:rPr/>
      </w:pPr>
      <w:r>
        <w:rPr>
          <w:rFonts w:eastAsia="Segoe UI" w:cs="Segoe UI" w:ascii="Segoe UI" w:hAnsi="Segoe UI"/>
          <w:color w:val="101820"/>
          <w:sz w:val="21"/>
        </w:rPr>
        <w:t>Support of releases more than two planned releases behind the current one (assumption).</w:t>
      </w:r>
      <w:r>
        <w:br w:type="page"/>
      </w:r>
    </w:p>
    <w:p>
      <w:pPr>
        <w:pStyle w:val="Heading1"/>
        <w:rPr/>
      </w:pPr>
      <w:bookmarkStart w:id="57" w:name="__RefHeading___Toc28995_1360963153"/>
      <w:bookmarkEnd w:id="57"/>
      <w:r>
        <w:rPr>
          <w:rFonts w:eastAsia="Segoe UI" w:cs="Segoe UI" w:ascii="Segoe UI" w:hAnsi="Segoe UI"/>
          <w:b/>
          <w:color w:val="0F4761"/>
          <w:sz w:val="32"/>
        </w:rPr>
        <w:t>23.  What the broker provides</w:t>
      </w:r>
    </w:p>
    <w:p>
      <w:pPr>
        <w:pStyle w:val="Normal"/>
        <w:numPr>
          <w:ilvl w:val="0"/>
          <w:numId w:val="1"/>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1"/>
        </w:numPr>
        <w:spacing w:before="0" w:after="60"/>
        <w:rPr/>
      </w:pPr>
      <w:r>
        <w:rPr>
          <w:rFonts w:eastAsia="Segoe UI" w:cs="Segoe UI" w:ascii="Segoe UI" w:hAnsi="Segoe UI"/>
          <w:color w:val="101820"/>
          <w:sz w:val="21"/>
        </w:rPr>
        <w:t>A broker change owner and an IT head for escalations and CAB decisions; a DPO for privacy matters.</w:t>
      </w:r>
    </w:p>
    <w:p>
      <w:pPr>
        <w:pStyle w:val="Normal"/>
        <w:numPr>
          <w:ilvl w:val="0"/>
          <w:numId w:val="1"/>
        </w:numPr>
        <w:spacing w:before="0" w:after="60"/>
        <w:rPr/>
      </w:pPr>
      <w:r>
        <w:rPr>
          <w:rFonts w:eastAsia="Segoe UI" w:cs="Segoe UI" w:ascii="Segoe UI" w:hAnsi="Segoe UI"/>
          <w:color w:val="101820"/>
          <w:sz w:val="21"/>
        </w:rPr>
        <w:t>Tickets with the minimum content of chapter 7.</w:t>
      </w:r>
    </w:p>
    <w:p>
      <w:pPr>
        <w:pStyle w:val="Normal"/>
        <w:numPr>
          <w:ilvl w:val="0"/>
          <w:numId w:val="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1"/>
        </w:numPr>
        <w:spacing w:before="0" w:after="60"/>
        <w:rPr/>
      </w:pPr>
      <w:r>
        <w:rPr>
          <w:rFonts w:eastAsia="Segoe UI" w:cs="Segoe UI" w:ascii="Segoe UI" w:hAnsi="Segoe UI"/>
          <w:color w:val="101820"/>
          <w:sz w:val="21"/>
        </w:rPr>
        <w:t>Testers for the UAT scripts before each release, and approval within the agreed time.</w:t>
      </w:r>
    </w:p>
    <w:p>
      <w:pPr>
        <w:pStyle w:val="Normal"/>
        <w:numPr>
          <w:ilvl w:val="0"/>
          <w:numId w:val="1"/>
        </w:numPr>
        <w:spacing w:before="0" w:after="60"/>
        <w:rPr/>
      </w:pPr>
      <w:r>
        <w:rPr>
          <w:rFonts w:eastAsia="Segoe UI" w:cs="Segoe UI" w:ascii="Segoe UI" w:hAnsi="Segoe UI"/>
          <w:color w:val="101820"/>
          <w:sz w:val="21"/>
        </w:rPr>
        <w:t>Timely decisions on severity disputes, changes and releases.</w:t>
      </w:r>
    </w:p>
    <w:p>
      <w:pPr>
        <w:pStyle w:val="Normal"/>
        <w:numPr>
          <w:ilvl w:val="0"/>
          <w:numId w:val="1"/>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1"/>
        </w:numPr>
        <w:spacing w:before="0" w:after="60"/>
        <w:rPr/>
      </w:pPr>
      <w:r>
        <w:rPr>
          <w:rFonts w:eastAsia="Segoe UI" w:cs="Segoe UI" w:ascii="Segoe UI" w:hAnsi="Segoe UI"/>
          <w:color w:val="101820"/>
          <w:sz w:val="21"/>
        </w:rPr>
        <w:t>Credentials and contracts of third parties the broker owns (SMTP mailbox, payment gateway merchant account, bank formats), and their support contacts.</w:t>
      </w:r>
    </w:p>
    <w:p>
      <w:pPr>
        <w:pStyle w:val="Normal"/>
        <w:numPr>
          <w:ilvl w:val="0"/>
          <w:numId w:val="1"/>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8" w:name="__RefHeading___Toc28997_1360963153"/>
      <w:bookmarkStart w:id="59" w:name="_Toc233203395"/>
      <w:bookmarkEnd w:id="58"/>
      <w:r>
        <w:rPr>
          <w:rStyle w:val="BookTitle"/>
          <w:bCs w:val="false"/>
          <w:i w:val="false"/>
          <w:iCs w:val="false"/>
          <w:spacing w:val="0"/>
        </w:rPr>
        <w:t>24.  Document Sign-Off</w:t>
      </w:r>
      <w:bookmarkEnd w:id="5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2"/>
    <w:lvlOverride w:ilvl="0">
      <w:startOverride w:val="1"/>
    </w:lvlOverride>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lvlOverride w:ilvl="0">
      <w:startOverride w:val="1"/>
    </w:lvlOverride>
  </w:num>
  <w:num w:numId="22">
    <w:abstractNumId w:val="2"/>
  </w:num>
  <w:num w:numId="23">
    <w:abstractNumId w:val="2"/>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lvlOverride w:ilvl="0">
      <w:startOverride w:val="1"/>
    </w:lvlOverride>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2026-10-04T09:06:43Z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