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9">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0">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0"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2"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1.1</w:t>
                      </w:r>
                    </w:p>
                  </w:txbxContent>
                </v:textbox>
                <w10:wrap type="square"/>
              </v:rect>
            </w:pict>
          </mc:Fallback>
        </mc:AlternateContent>
        <mc:AlternateContent>
          <mc:Choice Requires="wps">
            <w:drawing>
              <wp:anchor behindDoc="0" distT="45720" distB="45720" distL="114300" distR="113665" simplePos="0" locked="0" layoutInCell="0" allowOverlap="1" relativeHeight="24"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6"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Contract Pack Index</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Contract Pack Index</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8"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With cover letter</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With cover letter</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4022_1732366693">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4024_1732366693">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4026_1732366693">
            <w:r>
              <w:rPr>
                <w:webHidden/>
                <w:rStyle w:val="IndexLink"/>
              </w:rPr>
              <w:t>3. About this document</w:t>
              <w:tab/>
              <w:t>4</w:t>
            </w:r>
          </w:hyperlink>
        </w:p>
        <w:p>
          <w:pPr>
            <w:pStyle w:val="TOC1"/>
            <w:tabs>
              <w:tab w:val="clear" w:pos="900"/>
              <w:tab w:val="clear" w:pos="9350"/>
              <w:tab w:val="right" w:pos="9025" w:leader="dot"/>
            </w:tabs>
            <w:rPr/>
          </w:pPr>
          <w:hyperlink w:anchor="__RefHeading___Toc4028_1732366693">
            <w:r>
              <w:rPr>
                <w:webHidden/>
                <w:rStyle w:val="IndexLink"/>
              </w:rPr>
              <w:t>4. Part 1: cover letter</w:t>
              <w:tab/>
              <w:t>5</w:t>
            </w:r>
          </w:hyperlink>
        </w:p>
        <w:p>
          <w:pPr>
            <w:pStyle w:val="TOC1"/>
            <w:tabs>
              <w:tab w:val="clear" w:pos="900"/>
              <w:tab w:val="clear" w:pos="9350"/>
              <w:tab w:val="right" w:pos="9025" w:leader="dot"/>
            </w:tabs>
            <w:rPr/>
          </w:pPr>
          <w:hyperlink w:anchor="__RefHeading___Toc4030_1732366693">
            <w:r>
              <w:rPr>
                <w:webHidden/>
                <w:rStyle w:val="IndexLink"/>
              </w:rPr>
              <w:t>5. Part 2: index of the contract pack</w:t>
              <w:tab/>
              <w:t>7</w:t>
            </w:r>
          </w:hyperlink>
        </w:p>
        <w:p>
          <w:pPr>
            <w:pStyle w:val="TOC2"/>
            <w:tabs>
              <w:tab w:val="clear" w:pos="900"/>
              <w:tab w:val="clear" w:pos="9350"/>
              <w:tab w:val="right" w:pos="9025" w:leader="dot"/>
            </w:tabs>
            <w:rPr/>
          </w:pPr>
          <w:hyperlink w:anchor="__RefHeading___Toc4032_1732366693">
            <w:r>
              <w:rPr>
                <w:webHidden/>
                <w:rStyle w:val="IndexLink"/>
              </w:rPr>
              <w:t>5.1 Documents</w:t>
              <w:tab/>
              <w:t>7</w:t>
            </w:r>
          </w:hyperlink>
        </w:p>
        <w:p>
          <w:pPr>
            <w:pStyle w:val="TOC2"/>
            <w:tabs>
              <w:tab w:val="clear" w:pos="900"/>
              <w:tab w:val="clear" w:pos="9350"/>
              <w:tab w:val="right" w:pos="9025" w:leader="dot"/>
            </w:tabs>
            <w:rPr/>
          </w:pPr>
          <w:hyperlink w:anchor="__RefHeading___Toc4034_1732366693">
            <w:r>
              <w:rPr>
                <w:webHidden/>
                <w:rStyle w:val="IndexLink"/>
              </w:rPr>
              <w:t>5.2 Documents by commercial model</w:t>
              <w:tab/>
              <w:t>7</w:t>
            </w:r>
          </w:hyperlink>
        </w:p>
        <w:p>
          <w:pPr>
            <w:pStyle w:val="TOC2"/>
            <w:tabs>
              <w:tab w:val="clear" w:pos="900"/>
              <w:tab w:val="clear" w:pos="9350"/>
              <w:tab w:val="right" w:pos="9025" w:leader="dot"/>
            </w:tabs>
            <w:rPr/>
          </w:pPr>
          <w:hyperlink w:anchor="__RefHeading___Toc4036_1732366693">
            <w:r>
              <w:rPr>
                <w:webHidden/>
                <w:rStyle w:val="IndexLink"/>
              </w:rPr>
              <w:t>5.3 Signing order</w:t>
              <w:tab/>
              <w:t>8</w:t>
            </w:r>
          </w:hyperlink>
        </w:p>
        <w:p>
          <w:pPr>
            <w:pStyle w:val="TOC2"/>
            <w:tabs>
              <w:tab w:val="clear" w:pos="900"/>
              <w:tab w:val="clear" w:pos="9350"/>
              <w:tab w:val="right" w:pos="9025" w:leader="dot"/>
            </w:tabs>
            <w:rPr/>
          </w:pPr>
          <w:hyperlink w:anchor="__RefHeading___Toc4038_1732366693">
            <w:r>
              <w:rPr>
                <w:webHidden/>
                <w:rStyle w:val="IndexLink"/>
              </w:rPr>
              <w:t>5.4 Order of precedence</w:t>
              <w:tab/>
              <w:t>9</w:t>
            </w:r>
          </w:hyperlink>
        </w:p>
        <w:p>
          <w:pPr>
            <w:pStyle w:val="TOC1"/>
            <w:tabs>
              <w:tab w:val="clear" w:pos="900"/>
              <w:tab w:val="clear" w:pos="9350"/>
              <w:tab w:val="right" w:pos="9025" w:leader="dot"/>
            </w:tabs>
            <w:rPr/>
          </w:pPr>
          <w:hyperlink w:anchor="__RefHeading___Toc4040_1732366693">
            <w:r>
              <w:rPr>
                <w:webHidden/>
                <w:rStyle w:val="IndexLink"/>
              </w:rPr>
              <w:t>6. Checklist for the sales team</w:t>
              <w:tab/>
              <w:t>11</w:t>
            </w:r>
          </w:hyperlink>
        </w:p>
        <w:p>
          <w:pPr>
            <w:pStyle w:val="TOC2"/>
            <w:tabs>
              <w:tab w:val="clear" w:pos="900"/>
              <w:tab w:val="clear" w:pos="9350"/>
              <w:tab w:val="right" w:pos="9025" w:leader="dot"/>
            </w:tabs>
            <w:rPr/>
          </w:pPr>
          <w:hyperlink w:anchor="__RefHeading___Toc4042_1732366693">
            <w:r>
              <w:rPr>
                <w:webHidden/>
                <w:rStyle w:val="IndexLink"/>
              </w:rPr>
              <w:t>6.1 Deal and pricing</w:t>
              <w:tab/>
              <w:t>11</w:t>
            </w:r>
          </w:hyperlink>
        </w:p>
        <w:p>
          <w:pPr>
            <w:pStyle w:val="TOC2"/>
            <w:tabs>
              <w:tab w:val="clear" w:pos="900"/>
              <w:tab w:val="clear" w:pos="9350"/>
              <w:tab w:val="right" w:pos="9025" w:leader="dot"/>
            </w:tabs>
            <w:rPr/>
          </w:pPr>
          <w:hyperlink w:anchor="__RefHeading___Toc4044_1732366693">
            <w:r>
              <w:rPr>
                <w:webHidden/>
                <w:rStyle w:val="IndexLink"/>
              </w:rPr>
              <w:t>6.2 Order Form content</w:t>
              <w:tab/>
              <w:t>11</w:t>
            </w:r>
          </w:hyperlink>
        </w:p>
        <w:p>
          <w:pPr>
            <w:pStyle w:val="TOC2"/>
            <w:tabs>
              <w:tab w:val="clear" w:pos="900"/>
              <w:tab w:val="clear" w:pos="9350"/>
              <w:tab w:val="right" w:pos="9025" w:leader="dot"/>
            </w:tabs>
            <w:rPr/>
          </w:pPr>
          <w:hyperlink w:anchor="__RefHeading___Toc4046_1732366693">
            <w:r>
              <w:rPr>
                <w:webHidden/>
                <w:rStyle w:val="IndexLink"/>
              </w:rPr>
              <w:t>6.3 Hand-off</w:t>
              <w:tab/>
              <w:t>12</w:t>
            </w:r>
          </w:hyperlink>
        </w:p>
        <w:p>
          <w:pPr>
            <w:pStyle w:val="TOC1"/>
            <w:tabs>
              <w:tab w:val="clear" w:pos="900"/>
              <w:tab w:val="clear" w:pos="9350"/>
              <w:tab w:val="right" w:pos="9025" w:leader="dot"/>
            </w:tabs>
            <w:rPr/>
          </w:pPr>
          <w:hyperlink w:anchor="__RefHeading___Toc4048_1732366693">
            <w:r>
              <w:rPr>
                <w:webHidden/>
                <w:rStyle w:val="IndexLink"/>
              </w:rPr>
              <w:t>7. Checklist for the legal team</w:t>
              <w:tab/>
              <w:t>13</w:t>
            </w:r>
          </w:hyperlink>
        </w:p>
        <w:p>
          <w:pPr>
            <w:pStyle w:val="TOC2"/>
            <w:tabs>
              <w:tab w:val="clear" w:pos="900"/>
              <w:tab w:val="clear" w:pos="9350"/>
              <w:tab w:val="right" w:pos="9025" w:leader="dot"/>
            </w:tabs>
            <w:rPr/>
          </w:pPr>
          <w:hyperlink w:anchor="__RefHeading___Toc4050_1732366693">
            <w:r>
              <w:rPr>
                <w:webHidden/>
                <w:rStyle w:val="IndexLink"/>
              </w:rPr>
              <w:t>7.1 Always</w:t>
              <w:tab/>
              <w:t>13</w:t>
            </w:r>
          </w:hyperlink>
        </w:p>
        <w:p>
          <w:pPr>
            <w:pStyle w:val="TOC2"/>
            <w:tabs>
              <w:tab w:val="clear" w:pos="900"/>
              <w:tab w:val="clear" w:pos="9350"/>
              <w:tab w:val="right" w:pos="9025" w:leader="dot"/>
            </w:tabs>
            <w:rPr/>
          </w:pPr>
          <w:hyperlink w:anchor="__RefHeading___Toc4052_1732366693">
            <w:r>
              <w:rPr>
                <w:webHidden/>
                <w:rStyle w:val="IndexLink"/>
              </w:rPr>
              <w:t>7.2 Legal review required before release</w:t>
              <w:tab/>
              <w:t>13</w:t>
            </w:r>
          </w:hyperlink>
        </w:p>
        <w:p>
          <w:pPr>
            <w:pStyle w:val="TOC1"/>
            <w:tabs>
              <w:tab w:val="clear" w:pos="900"/>
              <w:tab w:val="clear" w:pos="9350"/>
              <w:tab w:val="right" w:pos="9025" w:leader="dot"/>
            </w:tabs>
            <w:rPr/>
          </w:pPr>
          <w:hyperlink w:anchor="__RefHeading___Toc4054_1732366693">
            <w:r>
              <w:rPr>
                <w:webHidden/>
                <w:rStyle w:val="IndexLink"/>
              </w:rPr>
              <w:t>8. Owner and legal decisions open</w:t>
              <w:tab/>
              <w:t>14</w:t>
            </w:r>
          </w:hyperlink>
        </w:p>
        <w:p>
          <w:pPr>
            <w:pStyle w:val="TOC1"/>
            <w:tabs>
              <w:tab w:val="clear" w:pos="900"/>
              <w:tab w:val="clear" w:pos="9350"/>
              <w:tab w:val="right" w:pos="9025" w:leader="dot"/>
            </w:tabs>
            <w:rPr/>
          </w:pPr>
          <w:hyperlink w:anchor="__RefHeading___Toc4056_1732366693">
            <w:r>
              <w:rPr>
                <w:webHidden/>
                <w:rStyle w:val="IndexLink"/>
                <w:i w:val="false"/>
                <w:iCs w:val="false"/>
              </w:rPr>
              <w:t>9. Document Sign-Off</w:t>
            </w:r>
            <w:r>
              <w:rPr>
                <w:rStyle w:val="IndexLink"/>
              </w:rPr>
              <w:tab/>
              <w:t>15</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4022_1732366693"/>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Sales checklist names the optional modules and partner services of the Rate Annex (S08); template for discussion; subject to review by iorta TechNXT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4024_1732366693"/>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Processing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Letter of Award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NDA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Non-disclosure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SaaS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Software as a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Securities and Exchange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Taxpayer identification number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4026_1732366693"/>
      <w:bookmarkEnd w:id="6"/>
      <w:r>
        <w:rPr>
          <w:rFonts w:eastAsia="Segoe UI" w:cs="Segoe UI" w:ascii="Segoe UI" w:hAnsi="Segoe UI"/>
          <w:b/>
          <w:color w:val="0F4761"/>
          <w:sz w:val="32"/>
        </w:rPr>
        <w:t>3.  About this document</w:t>
      </w:r>
    </w:p>
    <w:p>
      <w:pPr>
        <w:pStyle w:val="Normal"/>
        <w:spacing w:lineRule="auto" w:line="276" w:before="0" w:after="120"/>
        <w:rPr/>
      </w:pPr>
      <w:r>
        <w:rPr>
          <w:rFonts w:eastAsia="Segoe UI" w:cs="Segoe UI" w:ascii="Segoe UI" w:hAnsi="Segoe UI"/>
          <w:color w:val="101820"/>
          <w:sz w:val="21"/>
        </w:rPr>
        <w:t>This document is the entry point to the iNXT BrokerVerse OOTB contract pack of iorta TechNXT Corp. (</w:t>
      </w:r>
      <w:r>
        <w:rPr>
          <w:rFonts w:eastAsia="Segoe UI" w:cs="Segoe UI" w:ascii="Segoe UI" w:hAnsi="Segoe UI"/>
          <w:b/>
          <w:color w:val="101820"/>
          <w:sz w:val="21"/>
        </w:rPr>
        <w:t>iorta TechNXT</w:t>
      </w:r>
      <w:r>
        <w:rPr>
          <w:rFonts w:eastAsia="Segoe UI" w:cs="Segoe UI" w:ascii="Segoe UI" w:hAnsi="Segoe UI"/>
          <w:color w:val="101820"/>
          <w:sz w:val="21"/>
        </w:rPr>
        <w:t>). It has two parts:</w:t>
      </w:r>
    </w:p>
    <w:p>
      <w:pPr>
        <w:pStyle w:val="Normal"/>
        <w:numPr>
          <w:ilvl w:val="0"/>
          <w:numId w:val="1"/>
        </w:numPr>
        <w:spacing w:before="0" w:after="60"/>
        <w:rPr/>
      </w:pPr>
      <w:r>
        <w:rPr>
          <w:rFonts w:eastAsia="Segoe UI" w:cs="Segoe UI" w:ascii="Segoe UI" w:hAnsi="Segoe UI"/>
          <w:b/>
          <w:color w:val="101820"/>
          <w:sz w:val="21"/>
        </w:rPr>
        <w:t>Part 1, for the client:</w:t>
      </w:r>
      <w:r>
        <w:rPr>
          <w:rFonts w:eastAsia="Segoe UI" w:cs="Segoe UI" w:ascii="Segoe UI" w:hAnsi="Segoe UI"/>
          <w:color w:val="101820"/>
          <w:sz w:val="21"/>
        </w:rPr>
        <w:t xml:space="preserve"> a cover letter that goes with the contract set sent to [Client legal name] (the </w:t>
      </w:r>
      <w:r>
        <w:rPr>
          <w:rFonts w:eastAsia="Segoe UI" w:cs="Segoe UI" w:ascii="Segoe UI" w:hAnsi="Segoe UI"/>
          <w:b/>
          <w:color w:val="101820"/>
          <w:sz w:val="21"/>
        </w:rPr>
        <w:t>Client</w:t>
      </w:r>
      <w:r>
        <w:rPr>
          <w:rFonts w:eastAsia="Segoe UI" w:cs="Segoe UI" w:ascii="Segoe UI" w:hAnsi="Segoe UI"/>
          <w:color w:val="101820"/>
          <w:sz w:val="21"/>
        </w:rPr>
        <w:t>) for signature.</w:t>
      </w:r>
    </w:p>
    <w:p>
      <w:pPr>
        <w:pStyle w:val="Normal"/>
        <w:numPr>
          <w:ilvl w:val="0"/>
          <w:numId w:val="1"/>
        </w:numPr>
        <w:spacing w:before="0" w:after="60"/>
        <w:rPr/>
      </w:pPr>
      <w:r>
        <w:rPr>
          <w:rFonts w:eastAsia="Segoe UI" w:cs="Segoe UI" w:ascii="Segoe UI" w:hAnsi="Segoe UI"/>
          <w:b/>
          <w:color w:val="101820"/>
          <w:sz w:val="21"/>
        </w:rPr>
        <w:t>Part 2, internal to iorta TechNXT:</w:t>
      </w:r>
      <w:r>
        <w:rPr>
          <w:rFonts w:eastAsia="Segoe UI" w:cs="Segoe UI" w:ascii="Segoe UI" w:hAnsi="Segoe UI"/>
          <w:color w:val="101820"/>
          <w:sz w:val="21"/>
        </w:rPr>
        <w:t xml:space="preserve"> the index of the documents, which documents apply to each commercial model and hosting option, the signing order, the order of precedence, and the checklists for the sales and legal teams.</w:t>
      </w:r>
    </w:p>
    <w:p>
      <w:pPr>
        <w:pStyle w:val="Normal"/>
        <w:shd w:val="clear" w:color="auto" w:fill="EAF2FB"/>
        <w:spacing w:before="0" w:after="160"/>
        <w:ind w:left="170"/>
        <w:rPr/>
      </w:pPr>
      <w:r>
        <w:rPr>
          <w:rFonts w:eastAsia="Segoe UI" w:cs="Segoe UI" w:ascii="Segoe UI" w:hAnsi="Segoe UI"/>
          <w:color w:val="101820"/>
          <w:sz w:val="20"/>
        </w:rPr>
        <w:t>Part 2 is internal. Send the Client the cover letter and the documents that apply, not this whole document. The floor prices and approval limits stay in the Negotiation Playbook, which is never sent.</w:t>
      </w:r>
    </w:p>
    <w:p>
      <w:pPr>
        <w:pStyle w:val="Normal"/>
        <w:spacing w:lineRule="auto" w:line="276" w:before="0" w:after="120"/>
        <w:rPr/>
      </w:pPr>
      <w:r>
        <w:rPr>
          <w:rFonts w:eastAsia="Segoe UI" w:cs="Segoe UI" w:ascii="Segoe UI" w:hAnsi="Segoe UI"/>
          <w:color w:val="101820"/>
          <w:sz w:val="21"/>
        </w:rPr>
        <w:t>All documents in the pack are templates for discussion, subject to review by the parties' legal counsel. Text in [square brackets] is a placeholder or an option.</w:t>
      </w:r>
      <w:r>
        <w:br w:type="page"/>
      </w:r>
    </w:p>
    <w:p>
      <w:pPr>
        <w:pStyle w:val="Heading1"/>
        <w:rPr/>
      </w:pPr>
      <w:bookmarkStart w:id="7" w:name="__RefHeading___Toc4028_1732366693"/>
      <w:bookmarkEnd w:id="7"/>
      <w:r>
        <w:rPr>
          <w:rFonts w:eastAsia="Segoe UI" w:cs="Segoe UI" w:ascii="Segoe UI" w:hAnsi="Segoe UI"/>
          <w:b/>
          <w:color w:val="0F4761"/>
          <w:sz w:val="32"/>
        </w:rPr>
        <w:t>4.  Part 1: cover letter</w:t>
      </w:r>
    </w:p>
    <w:p>
      <w:pPr>
        <w:pStyle w:val="Normal"/>
        <w:spacing w:lineRule="auto" w:line="276" w:before="0" w:after="120"/>
        <w:rPr/>
      </w:pPr>
      <w:r>
        <w:rPr>
          <w:rFonts w:eastAsia="Segoe UI" w:cs="Segoe UI" w:ascii="Segoe UI" w:hAnsi="Segoe UI"/>
          <w:color w:val="101820"/>
          <w:sz w:val="21"/>
        </w:rPr>
        <w:t>[iorta TechNXT letterhead]</w:t>
      </w:r>
    </w:p>
    <w:p>
      <w:pPr>
        <w:pStyle w:val="Normal"/>
        <w:spacing w:lineRule="auto" w:line="276" w:before="0" w:after="120"/>
        <w:rPr/>
      </w:pPr>
      <w:r>
        <w:rPr>
          <w:rFonts w:eastAsia="Segoe UI" w:cs="Segoe UI" w:ascii="Segoe UI" w:hAnsi="Segoe UI"/>
          <w:color w:val="101820"/>
          <w:sz w:val="21"/>
        </w:rPr>
        <w:t>[Date]</w:t>
      </w:r>
    </w:p>
    <w:p>
      <w:pPr>
        <w:pStyle w:val="Normal"/>
        <w:spacing w:lineRule="auto" w:line="276" w:before="0" w:after="120"/>
        <w:rPr/>
      </w:pPr>
      <w:r>
        <w:rPr>
          <w:rFonts w:eastAsia="Segoe UI" w:cs="Segoe UI" w:ascii="Segoe UI" w:hAnsi="Segoe UI"/>
          <w:color w:val="101820"/>
          <w:sz w:val="21"/>
        </w:rPr>
        <w:t>[Client legal name]</w:t>
      </w:r>
    </w:p>
    <w:p>
      <w:pPr>
        <w:pStyle w:val="Normal"/>
        <w:spacing w:lineRule="auto" w:line="276" w:before="0" w:after="120"/>
        <w:rPr/>
      </w:pPr>
      <w:r>
        <w:rPr>
          <w:rFonts w:eastAsia="Segoe UI" w:cs="Segoe UI" w:ascii="Segoe UI" w:hAnsi="Segoe UI"/>
          <w:color w:val="101820"/>
          <w:sz w:val="21"/>
        </w:rPr>
        <w:t>[Address]</w:t>
      </w:r>
    </w:p>
    <w:p>
      <w:pPr>
        <w:pStyle w:val="Normal"/>
        <w:spacing w:lineRule="auto" w:line="276" w:before="0" w:after="120"/>
        <w:rPr/>
      </w:pPr>
      <w:r>
        <w:rPr>
          <w:rFonts w:eastAsia="Segoe UI" w:cs="Segoe UI" w:ascii="Segoe UI" w:hAnsi="Segoe UI"/>
          <w:color w:val="101820"/>
          <w:sz w:val="21"/>
        </w:rPr>
        <w:t>Attention: [name, title]</w:t>
      </w:r>
    </w:p>
    <w:p>
      <w:pPr>
        <w:pStyle w:val="Normal"/>
        <w:spacing w:lineRule="auto" w:line="276" w:before="0" w:after="120"/>
        <w:rPr/>
      </w:pPr>
      <w:r>
        <w:rPr>
          <w:rFonts w:eastAsia="Segoe UI" w:cs="Segoe UI" w:ascii="Segoe UI" w:hAnsi="Segoe UI"/>
          <w:b/>
          <w:color w:val="101820"/>
          <w:sz w:val="21"/>
        </w:rPr>
        <w:t>Subject: Contract set for iNXT BrokerVerse OOTB, proposal ref. [reference]</w:t>
      </w:r>
    </w:p>
    <w:p>
      <w:pPr>
        <w:pStyle w:val="Normal"/>
        <w:spacing w:lineRule="auto" w:line="276" w:before="0" w:after="120"/>
        <w:rPr/>
      </w:pPr>
      <w:r>
        <w:rPr>
          <w:rFonts w:eastAsia="Segoe UI" w:cs="Segoe UI" w:ascii="Segoe UI" w:hAnsi="Segoe UI"/>
          <w:color w:val="101820"/>
          <w:sz w:val="21"/>
        </w:rPr>
        <w:t>Dear [name],</w:t>
      </w:r>
    </w:p>
    <w:p>
      <w:pPr>
        <w:pStyle w:val="Normal"/>
        <w:spacing w:lineRule="auto" w:line="276" w:before="0" w:after="120"/>
        <w:rPr/>
      </w:pPr>
      <w:r>
        <w:rPr>
          <w:rFonts w:eastAsia="Segoe UI" w:cs="Segoe UI" w:ascii="Segoe UI" w:hAnsi="Segoe UI"/>
          <w:color w:val="101820"/>
          <w:sz w:val="21"/>
        </w:rPr>
        <w:t>Thank you for selecting iNXT BrokerVerse OOTB [as confirmed in your Letter of Award dated [date] / as accepted in the Proposal Acceptance form dated [date]]. We enclose the contract set for your review and signature.</w:t>
      </w:r>
    </w:p>
    <w:p>
      <w:pPr>
        <w:pStyle w:val="Normal"/>
        <w:spacing w:lineRule="auto" w:line="276" w:before="0" w:after="120"/>
        <w:rPr/>
      </w:pPr>
      <w:r>
        <w:rPr>
          <w:rFonts w:eastAsia="Segoe UI" w:cs="Segoe UI" w:ascii="Segoe UI" w:hAnsi="Segoe UI"/>
          <w:color w:val="101820"/>
          <w:sz w:val="21"/>
        </w:rPr>
        <w:t xml:space="preserve">The contract is built in layers. The </w:t>
      </w:r>
      <w:r>
        <w:rPr>
          <w:rFonts w:eastAsia="Segoe UI" w:cs="Segoe UI" w:ascii="Segoe UI" w:hAnsi="Segoe UI"/>
          <w:b/>
          <w:color w:val="101820"/>
          <w:sz w:val="21"/>
        </w:rPr>
        <w:t>Master Services Agreement</w:t>
      </w:r>
      <w:r>
        <w:rPr>
          <w:rFonts w:eastAsia="Segoe UI" w:cs="Segoe UI" w:ascii="Segoe UI" w:hAnsi="Segoe UI"/>
          <w:color w:val="101820"/>
          <w:sz w:val="21"/>
        </w:rPr>
        <w:t xml:space="preserve"> sets the general terms once. The </w:t>
      </w:r>
      <w:r>
        <w:rPr>
          <w:rFonts w:eastAsia="Segoe UI" w:cs="Segoe UI" w:ascii="Segoe UI" w:hAnsi="Segoe UI"/>
          <w:b/>
          <w:color w:val="101820"/>
          <w:sz w:val="21"/>
        </w:rPr>
        <w:t>Order Form</w:t>
      </w:r>
      <w:r>
        <w:rPr>
          <w:rFonts w:eastAsia="Segoe UI" w:cs="Segoe UI" w:ascii="Segoe UI" w:hAnsi="Segoe UI"/>
          <w:color w:val="101820"/>
          <w:sz w:val="21"/>
        </w:rPr>
        <w:t xml:space="preserve"> records this purchase: the package, the number of named users, the hosting option, the term, the fees and the schedules that apply. Each schedule covers one subject: the licence or the subscription, the implementation, support and service levels, hosting, data processing and change requests. Three annexes list the services and rates, each party's responsibilities and, where they apply, the exit arrangements.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4"/>
        <w:gridCol w:w="404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0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0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Why it is in your set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Services Agreement</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General terms for every purchase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 no. [number]</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This purchase: [package], [perpetual licence / subscription], [number] named users, [hosting option], [term]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Software Licence Agreement / Software Subscription Agreement]</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Your right to use iNXT BrokerVerse OOTB</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Statement of Work</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 phases, deliverables, acceptance and milestone payments of the implementation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Procedure and Form</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 changes are requested, priced and approved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Annual Maintenance and Support Agreement and SLA</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Maintenance, support hours, severity levels and response and restore targets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and Infrastructure Services Agreement]</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of the environment set of the size (Dev, UAT and Production; SIT as well for a large broker) and the temporary Pre-Prod by iorta TechNXT on [provider and region]]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Processing Agreement</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of personal data under the Data Privacy Act of 2012</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Catalogue and Rate Annex</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Services, units and rates; out-of-scope list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Responsibilities and RACI Annex</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each party provides and does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and Transition Plan]</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and deletion of your data when the subscription or hosting ends]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0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Agreement]</w:t>
            </w:r>
          </w:p>
        </w:tc>
        <w:tc>
          <w:tcPr>
            <w:tcW w:w="40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escrow of the source code with an independent escrow agent]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For information, we also enclose the forms that will be used during the project: the UAT Sign-off and Go-live Acceptance Certificates and the Hypercare Exit and Handover to Support Certificate.</w:t>
      </w:r>
    </w:p>
    <w:p>
      <w:pPr>
        <w:pStyle w:val="Normal"/>
        <w:spacing w:lineRule="auto" w:line="276" w:before="0" w:after="120"/>
        <w:rPr/>
      </w:pPr>
      <w:r>
        <w:rPr>
          <w:rFonts w:eastAsia="Segoe UI" w:cs="Segoe UI" w:ascii="Segoe UI" w:hAnsi="Segoe UI"/>
          <w:b/>
          <w:color w:val="101820"/>
          <w:sz w:val="21"/>
        </w:rPr>
        <w:t>What we ask from you</w:t>
      </w:r>
    </w:p>
    <w:p>
      <w:pPr>
        <w:pStyle w:val="Normal"/>
        <w:numPr>
          <w:ilvl w:val="0"/>
          <w:numId w:val="6"/>
        </w:numPr>
        <w:spacing w:before="0" w:after="60"/>
        <w:rPr/>
      </w:pPr>
      <w:r>
        <w:rPr>
          <w:rFonts w:eastAsia="Segoe UI" w:cs="Segoe UI" w:ascii="Segoe UI" w:hAnsi="Segoe UI"/>
          <w:color w:val="101820"/>
          <w:sz w:val="21"/>
        </w:rPr>
        <w:t>Review the set with your legal counsel, data protection officer and tax adviser. We would be glad to walk your team through it.</w:t>
      </w:r>
    </w:p>
    <w:p>
      <w:pPr>
        <w:pStyle w:val="Normal"/>
        <w:numPr>
          <w:ilvl w:val="0"/>
          <w:numId w:val="2"/>
        </w:numPr>
        <w:spacing w:before="0" w:after="60"/>
        <w:rPr/>
      </w:pPr>
      <w:r>
        <w:rPr>
          <w:rFonts w:eastAsia="Segoe UI" w:cs="Segoe UI" w:ascii="Segoe UI" w:hAnsi="Segoe UI"/>
          <w:color w:val="101820"/>
          <w:sz w:val="21"/>
        </w:rPr>
        <w:t>Confirm with your tax adviser the withholding treatment of [the licence fee / the subscription fee], which we will record in the Order Form.</w:t>
      </w:r>
    </w:p>
    <w:p>
      <w:pPr>
        <w:pStyle w:val="Normal"/>
        <w:numPr>
          <w:ilvl w:val="0"/>
          <w:numId w:val="2"/>
        </w:numPr>
        <w:spacing w:before="0" w:after="60"/>
        <w:rPr/>
      </w:pPr>
      <w:r>
        <w:rPr>
          <w:rFonts w:eastAsia="Segoe UI" w:cs="Segoe UI" w:ascii="Segoe UI" w:hAnsi="Segoe UI"/>
          <w:color w:val="101820"/>
          <w:sz w:val="21"/>
        </w:rPr>
        <w:t>[Confirm the hosting location. Under the AWS and Azure options, data is stored in Singapore; please record the transfer in your privacy impact assessment. The local partner option keeps the data in the Philippines.]</w:t>
      </w:r>
    </w:p>
    <w:p>
      <w:pPr>
        <w:pStyle w:val="Normal"/>
        <w:numPr>
          <w:ilvl w:val="0"/>
          <w:numId w:val="2"/>
        </w:numPr>
        <w:spacing w:before="0" w:after="60"/>
        <w:rPr/>
      </w:pPr>
      <w:r>
        <w:rPr>
          <w:rFonts w:eastAsia="Segoe UI" w:cs="Segoe UI" w:ascii="Segoe UI" w:hAnsi="Segoe UI"/>
          <w:color w:val="101820"/>
          <w:sz w:val="21"/>
        </w:rPr>
        <w:t>Sign the documents in the order in the table below, with your board resolution or secretary's certificate for the signatories.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63"/>
        <w:gridCol w:w="404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40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0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Services Agreement and Data Processing Agreement</w:t>
            </w:r>
          </w:p>
        </w:tc>
        <w:tc>
          <w:tcPr>
            <w:tcW w:w="4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Together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 with the schedules and annexes</w:t>
            </w:r>
          </w:p>
        </w:tc>
        <w:tc>
          <w:tcPr>
            <w:tcW w:w="4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day as step 1, or after 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Agreement, with the escrow agent]</w:t>
            </w:r>
          </w:p>
        </w:tc>
        <w:tc>
          <w:tcPr>
            <w:tcW w:w="4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Go-Live; the first deposit is due within 60 days of Go-Live]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first implementation payment (40% of the [implementation / onboarding] fee) is invoiced on signing of the Order Form. The planned mobilisation date is [date] and the target go-live date is [date].</w:t>
      </w:r>
    </w:p>
    <w:p>
      <w:pPr>
        <w:pStyle w:val="Normal"/>
        <w:spacing w:lineRule="auto" w:line="276" w:before="0" w:after="120"/>
        <w:rPr/>
      </w:pPr>
      <w:r>
        <w:rPr>
          <w:rFonts w:eastAsia="Segoe UI" w:cs="Segoe UI" w:ascii="Segoe UI" w:hAnsi="Segoe UI"/>
          <w:color w:val="101820"/>
          <w:sz w:val="21"/>
        </w:rPr>
        <w:t>The prices in the Order Form are those of our proposal ref. [reference], valid until [date]. All amounts are in Philippine pesos and exclude 12% VAT.</w:t>
      </w:r>
    </w:p>
    <w:p>
      <w:pPr>
        <w:pStyle w:val="Normal"/>
        <w:spacing w:lineRule="auto" w:line="276" w:before="0" w:after="120"/>
        <w:rPr/>
      </w:pPr>
      <w:r>
        <w:rPr>
          <w:rFonts w:eastAsia="Segoe UI" w:cs="Segoe UI" w:ascii="Segoe UI" w:hAnsi="Segoe UI"/>
          <w:color w:val="101820"/>
          <w:sz w:val="21"/>
        </w:rPr>
        <w:t>Please contact me with any question.</w:t>
      </w:r>
    </w:p>
    <w:p>
      <w:pPr>
        <w:pStyle w:val="Normal"/>
        <w:spacing w:lineRule="auto" w:line="276" w:before="0" w:after="120"/>
        <w:rPr/>
      </w:pPr>
      <w:r>
        <w:rPr>
          <w:rFonts w:eastAsia="Segoe UI" w:cs="Segoe UI" w:ascii="Segoe UI" w:hAnsi="Segoe UI"/>
          <w:color w:val="101820"/>
          <w:sz w:val="21"/>
        </w:rPr>
        <w:t>Sincerely,</w:t>
      </w:r>
    </w:p>
    <w:p>
      <w:pPr>
        <w:pStyle w:val="Normal"/>
        <w:spacing w:lineRule="auto" w:line="276" w:before="0" w:after="120"/>
        <w:rPr/>
      </w:pPr>
      <w:r>
        <w:rPr>
          <w:rFonts w:eastAsia="Segoe UI" w:cs="Segoe UI" w:ascii="Segoe UI" w:hAnsi="Segoe UI"/>
          <w:color w:val="101820"/>
          <w:sz w:val="21"/>
        </w:rPr>
        <w:t>[Name]</w:t>
      </w:r>
    </w:p>
    <w:p>
      <w:pPr>
        <w:pStyle w:val="Normal"/>
        <w:spacing w:lineRule="auto" w:line="276" w:before="0" w:after="120"/>
        <w:rPr/>
      </w:pPr>
      <w:r>
        <w:rPr>
          <w:rFonts w:eastAsia="Segoe UI" w:cs="Segoe UI" w:ascii="Segoe UI" w:hAnsi="Segoe UI"/>
          <w:color w:val="101820"/>
          <w:sz w:val="21"/>
        </w:rPr>
        <w:t>[Title], iorta TechNXT Corp.</w:t>
      </w:r>
    </w:p>
    <w:p>
      <w:pPr>
        <w:pStyle w:val="Normal"/>
        <w:spacing w:lineRule="auto" w:line="276" w:before="0" w:after="120"/>
        <w:rPr/>
      </w:pPr>
      <w:r>
        <w:rPr>
          <w:rFonts w:eastAsia="Segoe UI" w:cs="Segoe UI" w:ascii="Segoe UI" w:hAnsi="Segoe UI"/>
          <w:color w:val="101820"/>
          <w:sz w:val="21"/>
        </w:rPr>
        <w:t>[E-mail] | [Telephone]</w:t>
      </w:r>
    </w:p>
    <w:p>
      <w:pPr>
        <w:pStyle w:val="Normal"/>
        <w:spacing w:lineRule="auto" w:line="276" w:before="0" w:after="120"/>
        <w:rPr/>
      </w:pPr>
      <w:r>
        <w:rPr>
          <w:rFonts w:eastAsia="Segoe UI" w:cs="Segoe UI" w:ascii="Segoe UI" w:hAnsi="Segoe UI"/>
          <w:color w:val="101820"/>
          <w:sz w:val="21"/>
        </w:rPr>
        <w:t>Enclosures: as listed above.</w:t>
      </w:r>
      <w:r>
        <w:br w:type="page"/>
      </w:r>
    </w:p>
    <w:p>
      <w:pPr>
        <w:pStyle w:val="Heading1"/>
        <w:rPr/>
      </w:pPr>
      <w:bookmarkStart w:id="8" w:name="__RefHeading___Toc4030_1732366693"/>
      <w:bookmarkEnd w:id="8"/>
      <w:r>
        <w:rPr>
          <w:rFonts w:eastAsia="Segoe UI" w:cs="Segoe UI" w:ascii="Segoe UI" w:hAnsi="Segoe UI"/>
          <w:b/>
          <w:color w:val="0F4761"/>
          <w:sz w:val="32"/>
        </w:rPr>
        <w:t>5.  Part 2: index of the contract pack</w:t>
      </w:r>
    </w:p>
    <w:p>
      <w:pPr>
        <w:pStyle w:val="Heading2"/>
        <w:rPr/>
      </w:pPr>
      <w:bookmarkStart w:id="9" w:name="__RefHeading___Toc4032_1732366693"/>
      <w:bookmarkEnd w:id="9"/>
      <w:r>
        <w:rPr>
          <w:rFonts w:eastAsia="Segoe UI" w:cs="Segoe UI"/>
          <w:b/>
          <w:color w:val="0F4761"/>
          <w:sz w:val="26"/>
        </w:rPr>
        <w:t>5.1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247"/>
        <w:gridCol w:w="2247"/>
        <w:gridCol w:w="1481"/>
        <w:gridCol w:w="213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22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Document</w:t>
            </w:r>
          </w:p>
        </w:tc>
        <w:tc>
          <w:tcPr>
            <w:tcW w:w="22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File name after iNXT_BrokerVerse_</w:t>
            </w:r>
          </w:p>
        </w:tc>
        <w:tc>
          <w:tcPr>
            <w:tcW w:w="14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Type</w:t>
            </w:r>
          </w:p>
        </w:tc>
        <w:tc>
          <w:tcPr>
            <w:tcW w:w="2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Signed by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Mutual Non-Disclosure Agreement</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Mutual Non Disclosure Agreement</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Pre-contract</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and the prospect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 of Award and Proposal Acceptance</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 of Award and Proposal Acceptance</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Pre-contract</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Client; acknowledged by iorta TechNXT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Services Agreement</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Services Agreement</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Framework</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Order Form</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Order Form</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Purchase</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Software Licence Agreement</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Software Licence Agreement</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Schedule</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Software Subscription Agreement</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Software Subscription Agreement</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Schedule</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Statement of Work</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Statement of Work</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Schedule</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 Procedure and Form</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 Procedure and Form</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Schedule and form</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 of the Order Form; forms signed per change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Annual Maintenance and Support Agreement and SLA</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Annual Maintenance Support and SLA</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Schedule</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and Infrastructure Services Agreement</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and Infrastructure Services Agreement</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Schedule</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Processing Agreement</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Processing Agreement</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Schedule</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 with the DPOs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Service Catalogue and Rate Annex</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Service Catalogue and Rate Annex</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Annex</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 of the Order Form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Customer Responsibilities and RACI Annex</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Customer Responsibilities and RACI Annex</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Annex</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Exit and Transition Plan</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Exit and Transition Plan</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Annex</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 of the Order Form; Annexes C and D signed at exit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Source Code Escrow Agreement</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Source Code Escrow Agreement</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 three-party agreement</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the Client and the escrow agent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Sign-off and Go-live Acceptance Certificates</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and Go Live Acceptance Certificates</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Forms</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Client; iorta TechNXT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 and Handover to Support Certificate</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 and Handover Certificate</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Form</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Client; iorta TechNXT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Pack Index and Cover Letter</w:t>
            </w:r>
          </w:p>
        </w:tc>
        <w:tc>
          <w:tcPr>
            <w:tcW w:w="22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Pack Index and Cover Letter</w:t>
            </w:r>
          </w:p>
        </w:tc>
        <w:tc>
          <w:tcPr>
            <w:tcW w:w="14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This document</w:t>
            </w:r>
          </w:p>
        </w:tc>
        <w:tc>
          <w:tcPr>
            <w:tcW w:w="2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signed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File names are in </w:t>
      </w:r>
      <w:r>
        <w:rPr>
          <w:rFonts w:eastAsia="Consolas" w:cs="Consolas" w:ascii="Consolas" w:hAnsi="Consolas"/>
          <w:color w:val="101820"/>
          <w:sz w:val="19"/>
        </w:rPr>
        <w:t>docs/package/03_Contracts</w:t>
      </w:r>
      <w:r>
        <w:rPr>
          <w:rFonts w:eastAsia="Segoe UI" w:cs="Segoe UI" w:ascii="Segoe UI" w:hAnsi="Segoe UI"/>
          <w:color w:val="101820"/>
          <w:sz w:val="21"/>
        </w:rPr>
        <w:t xml:space="preserve">, start with iNXT_BrokerVerse_ and use underscores in place of spaces. Each file exists as .docx (for editing) and .pdf (for reading). The editable sources are in </w:t>
      </w:r>
      <w:r>
        <w:rPr>
          <w:rFonts w:eastAsia="Consolas" w:cs="Consolas" w:ascii="Consolas" w:hAnsi="Consolas"/>
          <w:color w:val="101820"/>
          <w:sz w:val="19"/>
        </w:rPr>
        <w:t>docs/package/source/contracts</w:t>
      </w:r>
      <w:r>
        <w:rPr>
          <w:rFonts w:eastAsia="Segoe UI" w:cs="Segoe UI" w:ascii="Segoe UI" w:hAnsi="Segoe UI"/>
          <w:color w:val="101820"/>
          <w:sz w:val="21"/>
        </w:rPr>
        <w:t>.</w:t>
      </w:r>
    </w:p>
    <w:p>
      <w:pPr>
        <w:pStyle w:val="Heading2"/>
        <w:rPr/>
      </w:pPr>
      <w:bookmarkStart w:id="10" w:name="__RefHeading___Toc4034_1732366693"/>
      <w:bookmarkEnd w:id="10"/>
      <w:r>
        <w:rPr>
          <w:rFonts w:eastAsia="Segoe UI" w:cs="Segoe UI"/>
          <w:b/>
          <w:color w:val="0F4761"/>
          <w:sz w:val="26"/>
        </w:rPr>
        <w:t>5.2  Documents by commercial model</w:t>
      </w:r>
    </w:p>
    <w:p>
      <w:pPr>
        <w:pStyle w:val="Normal"/>
        <w:spacing w:lineRule="auto" w:line="276" w:before="0" w:after="120"/>
        <w:rPr/>
      </w:pPr>
      <w:r>
        <w:rPr>
          <w:rFonts w:eastAsia="Segoe UI" w:cs="Segoe UI" w:ascii="Segoe UI" w:hAnsi="Segoe UI"/>
          <w:color w:val="101820"/>
          <w:sz w:val="21"/>
        </w:rPr>
        <w:t>The four columns are the licence models combined with the two hosting choices. The packages of the price book map to them: Essentials is a subscription hosted by the Client; Standard is a subscription hosted by iorta TechNXT on AWS; Ownership is a perpetual licence hosted by iorta TechNXT on AWS; Ownership Plus is a perpetual licence hosted by a local partner in the Philippines with 24x7 Severity 1 support. A perpetual licence hosted by the Client has no pre-set package and is quoted with the same rates.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82"/>
        <w:gridCol w:w="1493"/>
        <w:gridCol w:w="1721"/>
        <w:gridCol w:w="1723"/>
        <w:gridCol w:w="1895"/>
      </w:tblGrid>
      <w:tr>
        <w:trPr>
          <w:tblHeader w:val="true"/>
        </w:trPr>
        <w:tc>
          <w:tcPr>
            <w:tcW w:w="21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Document</w:t>
            </w:r>
          </w:p>
        </w:tc>
        <w:tc>
          <w:tcPr>
            <w:tcW w:w="14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Perpetual, Client hosts</w:t>
            </w:r>
          </w:p>
        </w:tc>
        <w:tc>
          <w:tcPr>
            <w:tcW w:w="17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Perpetual, iorta TechNXT hosts</w:t>
            </w:r>
          </w:p>
        </w:tc>
        <w:tc>
          <w:tcPr>
            <w:tcW w:w="17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Subscription, Client hosts</w:t>
            </w:r>
          </w:p>
        </w:tc>
        <w:tc>
          <w:tcPr>
            <w:tcW w:w="18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Subscription, iorta TechNXT hosts</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Mutual NDA</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Before demo</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Before demo</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Before demo</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Before demo</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 of Award or Proposal Acceptance</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Recommended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Recommended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Recommended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Recommended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Services Agreement</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Order Form</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Software Licence Agreement</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Software Subscription Agreement</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Implementation SOW</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 (onboarding)</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 (onboarding)</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 Procedure</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AMC and SLA</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 (AMC from Year 2)</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 (AMC from Year 2)</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 (included in the fee)</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 (included in the fee)</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Agreement</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Processing Agreement</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Service Catalogue and Rate Annex</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RACI Annex</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Exit and Transition Plan</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 (hosting exit)</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Required</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Source Code Escrow Agreement</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available</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available</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Acceptance certificates</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Used in delivery</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Used in delivery</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Used in delivery</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Used in delivery</w:t>
            </w:r>
          </w:p>
        </w:tc>
      </w:tr>
      <w:tr>
        <w:trPr/>
        <w:tc>
          <w:tcPr>
            <w:tcW w:w="21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 certificate</w:t>
            </w:r>
          </w:p>
        </w:tc>
        <w:tc>
          <w:tcPr>
            <w:tcW w:w="14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Used in delivery</w:t>
            </w:r>
          </w:p>
        </w:tc>
        <w:tc>
          <w:tcPr>
            <w:tcW w:w="17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Used in delivery</w:t>
            </w:r>
          </w:p>
        </w:tc>
        <w:tc>
          <w:tcPr>
            <w:tcW w:w="17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Used in delivery</w:t>
            </w:r>
          </w:p>
        </w:tc>
        <w:tc>
          <w:tcPr>
            <w:tcW w:w="18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Used in delivery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Notes:</w:t>
      </w:r>
    </w:p>
    <w:p>
      <w:pPr>
        <w:pStyle w:val="Normal"/>
        <w:numPr>
          <w:ilvl w:val="0"/>
          <w:numId w:val="7"/>
        </w:numPr>
        <w:spacing w:before="0" w:after="60"/>
        <w:rPr/>
      </w:pPr>
      <w:r>
        <w:rPr>
          <w:rFonts w:eastAsia="Segoe UI" w:cs="Segoe UI" w:ascii="Segoe UI" w:hAnsi="Segoe UI"/>
          <w:color w:val="101820"/>
          <w:sz w:val="21"/>
        </w:rPr>
        <w:t>The Data Processing Agreement is required in every model. Even when the Client hosts, iorta TechNXT processes personal data during data migration and support.</w:t>
      </w:r>
    </w:p>
    <w:p>
      <w:pPr>
        <w:pStyle w:val="Normal"/>
        <w:numPr>
          <w:ilvl w:val="0"/>
          <w:numId w:val="8"/>
        </w:numPr>
        <w:spacing w:before="0" w:after="60"/>
        <w:rPr/>
      </w:pPr>
      <w:r>
        <w:rPr>
          <w:rFonts w:eastAsia="Segoe UI" w:cs="Segoe UI" w:ascii="Segoe UI" w:hAnsi="Segoe UI"/>
          <w:color w:val="101820"/>
          <w:sz w:val="21"/>
        </w:rPr>
        <w:t>Under the hosting options, the Hosting Agreement states the provider and region: AWS Singapore (option A), Azure Southeast Asia (option B) or a local partner in the Philippines (option C). Options A and B are a transfer of personal data outside the Philippines, which the Client decides and documents; the Order Form records the data location.</w:t>
      </w:r>
    </w:p>
    <w:p>
      <w:pPr>
        <w:pStyle w:val="Normal"/>
        <w:numPr>
          <w:ilvl w:val="0"/>
          <w:numId w:val="9"/>
        </w:numPr>
        <w:spacing w:before="0" w:after="60"/>
        <w:rPr/>
      </w:pPr>
      <w:r>
        <w:rPr>
          <w:rFonts w:eastAsia="Segoe UI" w:cs="Segoe UI" w:ascii="Segoe UI" w:hAnsi="Segoe UI"/>
          <w:color w:val="101820"/>
          <w:sz w:val="21"/>
        </w:rPr>
        <w:t>24x7 Severity 1 support is an option in any model, stated in the Order Form and priced in the Rate Annex. It is included in Ownership Plus.</w:t>
      </w:r>
    </w:p>
    <w:p>
      <w:pPr>
        <w:pStyle w:val="Heading2"/>
        <w:rPr/>
      </w:pPr>
      <w:bookmarkStart w:id="11" w:name="__RefHeading___Toc4036_1732366693"/>
      <w:bookmarkEnd w:id="11"/>
      <w:r>
        <w:rPr>
          <w:rFonts w:eastAsia="Segoe UI" w:cs="Segoe UI"/>
          <w:b/>
          <w:color w:val="0F4761"/>
          <w:sz w:val="26"/>
        </w:rPr>
        <w:t>5.3  Signing order</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012"/>
        <w:gridCol w:w="2011"/>
        <w:gridCol w:w="2032"/>
        <w:gridCol w:w="205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Step</w:t>
            </w:r>
          </w:p>
        </w:tc>
        <w:tc>
          <w:tcPr>
            <w:tcW w:w="20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Document</w:t>
            </w:r>
          </w:p>
        </w:tc>
        <w:tc>
          <w:tcPr>
            <w:tcW w:w="20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Signed by</w:t>
            </w:r>
          </w:p>
        </w:tc>
        <w:tc>
          <w:tcPr>
            <w:tcW w:w="20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When</w:t>
            </w:r>
          </w:p>
        </w:tc>
        <w:tc>
          <w:tcPr>
            <w:tcW w:w="20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Mutual NDA</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and the prospect</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Before a demonstration with the prospect's own data or a discovery workshop</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Demonstrations with sample data need no NDA</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Letter of Award or Proposal Acceptance</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Client</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After selection</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 mobilisation before signature, with a cost cap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Master Services Agreement</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 with board resolutions or secretary's certificates</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signing</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Optional notarial acknowledgment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Processing Agreement</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 with the DPOs named</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sitting as the MSA, and in any case before any personal data reaches iorta TechNXT</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Annex 3 sub-processors match the hosting option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Order Form with the schedules and annexes for the model</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Both</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Same sitting as the MSA, or after it</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Triggers the first 40% implementation invoice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Source Code Escrow Agreement</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the Client and the escrow agent</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Before Go-Live; first deposit within 60 days of Go-Live</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Perpetual only, if selected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Change Request forms</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Approvers by band</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During the term, per change</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Acceptance certificates (SOW Annex A for each phase; UAT; Go-live)</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Client; iorta TechNXT</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At each phase</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sign-off triggers the second 40%; Go-Live the final 20% and the licence fee or Monthly Fee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 and Handover to Support Certificate</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Client; iorta TechNXT</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After the first month-end close</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Start of support under the Support Agreement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20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Exit and Transition Plan annexes</w:t>
            </w:r>
          </w:p>
        </w:tc>
        <w:tc>
          <w:tcPr>
            <w:tcW w:w="20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 Client; iorta TechNXT DPO</w:t>
            </w:r>
          </w:p>
        </w:tc>
        <w:tc>
          <w:tcPr>
            <w:tcW w:w="2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At exit</w:t>
            </w:r>
          </w:p>
        </w:tc>
        <w:tc>
          <w:tcPr>
            <w:tcW w:w="20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Confirmation of data return; certificate of deletion</w:t>
            </w:r>
          </w:p>
        </w:tc>
      </w:tr>
    </w:tbl>
    <w:p>
      <w:pPr>
        <w:pStyle w:val="Normal"/>
        <w:spacing w:before="0" w:after="80"/>
        <w:rPr/>
      </w:pPr>
      <w:r>
        <w:rPr/>
      </w:r>
    </w:p>
    <w:p>
      <w:pPr>
        <w:pStyle w:val="Heading2"/>
        <w:rPr/>
      </w:pPr>
      <w:bookmarkStart w:id="12" w:name="__RefHeading___Toc4038_1732366693"/>
      <w:bookmarkEnd w:id="12"/>
      <w:r>
        <w:rPr>
          <w:rFonts w:eastAsia="Segoe UI" w:cs="Segoe UI"/>
          <w:b/>
          <w:color w:val="0F4761"/>
          <w:sz w:val="26"/>
        </w:rPr>
        <w:t>5.4  Order of precedence</w:t>
      </w:r>
    </w:p>
    <w:p>
      <w:pPr>
        <w:pStyle w:val="Normal"/>
        <w:spacing w:lineRule="auto" w:line="276" w:before="0" w:after="120"/>
        <w:rPr/>
      </w:pPr>
      <w:r>
        <w:rPr>
          <w:rFonts w:eastAsia="Segoe UI" w:cs="Segoe UI" w:ascii="Segoe UI" w:hAnsi="Segoe UI"/>
          <w:color w:val="101820"/>
          <w:sz w:val="21"/>
        </w:rPr>
        <w:t>The order of precedence is set in the MSA (Order of precedence clause). If documents conflict, the first in this list prevails:</w:t>
      </w:r>
    </w:p>
    <w:p>
      <w:pPr>
        <w:pStyle w:val="Normal"/>
        <w:numPr>
          <w:ilvl w:val="0"/>
          <w:numId w:val="10"/>
        </w:numPr>
        <w:spacing w:before="0" w:after="60"/>
        <w:rPr/>
      </w:pPr>
      <w:r>
        <w:rPr>
          <w:rFonts w:eastAsia="Segoe UI" w:cs="Segoe UI" w:ascii="Segoe UI" w:hAnsi="Segoe UI"/>
          <w:color w:val="101820"/>
          <w:sz w:val="21"/>
        </w:rPr>
        <w:t>The Data Processing Agreement, on matters of personal data.</w:t>
      </w:r>
    </w:p>
    <w:p>
      <w:pPr>
        <w:pStyle w:val="Normal"/>
        <w:numPr>
          <w:ilvl w:val="0"/>
          <w:numId w:val="11"/>
        </w:numPr>
        <w:spacing w:before="0" w:after="60"/>
        <w:rPr/>
      </w:pPr>
      <w:r>
        <w:rPr>
          <w:rFonts w:eastAsia="Segoe UI" w:cs="Segoe UI" w:ascii="Segoe UI" w:hAnsi="Segoe UI"/>
          <w:color w:val="101820"/>
          <w:sz w:val="21"/>
        </w:rPr>
        <w:t>The Order Form, only for that purchase and only where it expressly states that it overrides the MSA.</w:t>
      </w:r>
    </w:p>
    <w:p>
      <w:pPr>
        <w:pStyle w:val="Normal"/>
        <w:numPr>
          <w:ilvl w:val="0"/>
          <w:numId w:val="12"/>
        </w:numPr>
        <w:spacing w:before="0" w:after="60"/>
        <w:rPr/>
      </w:pPr>
      <w:r>
        <w:rPr>
          <w:rFonts w:eastAsia="Segoe UI" w:cs="Segoe UI" w:ascii="Segoe UI" w:hAnsi="Segoe UI"/>
          <w:color w:val="101820"/>
          <w:sz w:val="21"/>
        </w:rPr>
        <w:t>The Master Services Agreement.</w:t>
      </w:r>
    </w:p>
    <w:p>
      <w:pPr>
        <w:pStyle w:val="Normal"/>
        <w:numPr>
          <w:ilvl w:val="0"/>
          <w:numId w:val="13"/>
        </w:numPr>
        <w:spacing w:before="0" w:after="60"/>
        <w:rPr/>
      </w:pPr>
      <w:r>
        <w:rPr>
          <w:rFonts w:eastAsia="Segoe UI" w:cs="Segoe UI" w:ascii="Segoe UI" w:hAnsi="Segoe UI"/>
          <w:color w:val="101820"/>
          <w:sz w:val="21"/>
        </w:rPr>
        <w:t>The schedules named in the Order Form, with their annexes: the Perpetual Software Licence Agreement or the Software Subscription Agreement, the Change Request Procedure, the Annual Maintenance and Support Agreement and SLA, the Hosting and Infrastructure Services Agreement, the Service Catalogue and Rate Annex, the Customer Responsibilities and RACI Annex and the Exit and Transition Plan.</w:t>
      </w:r>
    </w:p>
    <w:p>
      <w:pPr>
        <w:pStyle w:val="Normal"/>
        <w:numPr>
          <w:ilvl w:val="0"/>
          <w:numId w:val="14"/>
        </w:numPr>
        <w:spacing w:before="0" w:after="60"/>
        <w:rPr/>
      </w:pPr>
      <w:r>
        <w:rPr>
          <w:rFonts w:eastAsia="Segoe UI" w:cs="Segoe UI" w:ascii="Segoe UI" w:hAnsi="Segoe UI"/>
          <w:color w:val="101820"/>
          <w:sz w:val="21"/>
        </w:rPr>
        <w:t>The Implementation SOW.</w:t>
      </w:r>
    </w:p>
    <w:p>
      <w:pPr>
        <w:pStyle w:val="Normal"/>
        <w:numPr>
          <w:ilvl w:val="0"/>
          <w:numId w:val="15"/>
        </w:numPr>
        <w:spacing w:before="0" w:after="60"/>
        <w:rPr/>
      </w:pPr>
      <w:r>
        <w:rPr>
          <w:rFonts w:eastAsia="Segoe UI" w:cs="Segoe UI" w:ascii="Segoe UI" w:hAnsi="Segoe UI"/>
          <w:color w:val="101820"/>
          <w:sz w:val="21"/>
        </w:rPr>
        <w:t>The Documentation.</w:t>
      </w:r>
    </w:p>
    <w:p>
      <w:pPr>
        <w:pStyle w:val="Normal"/>
        <w:spacing w:lineRule="auto" w:line="276" w:before="0" w:after="120"/>
        <w:rPr/>
      </w:pPr>
      <w:r>
        <w:rPr>
          <w:rFonts w:eastAsia="Segoe UI" w:cs="Segoe UI" w:ascii="Segoe UI" w:hAnsi="Segoe UI"/>
          <w:color w:val="101820"/>
          <w:sz w:val="21"/>
        </w:rPr>
        <w:t>Specific rules in the documents themselves: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54"/>
        <w:gridCol w:w="4259"/>
      </w:tblGrid>
      <w:tr>
        <w:trPr>
          <w:tblHeader w:val="true"/>
        </w:trPr>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w:t>
            </w:r>
          </w:p>
        </w:tc>
        <w:tc>
          <w:tcPr>
            <w:tcW w:w="42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it is stated</w:t>
            </w:r>
          </w:p>
        </w:tc>
      </w:tr>
      <w:tr>
        <w:trPr/>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Rates in the Order Form prevail over the Service Catalogue and Rate Annex</w:t>
            </w:r>
          </w:p>
        </w:tc>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Rate Annex</w:t>
            </w:r>
          </w:p>
        </w:tc>
      </w:tr>
      <w:tr>
        <w:trPr/>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clauses of the MSA, the Subscription Agreement, the Hosting Agreement and the DPA prevail over the Exit and Transition Plan</w:t>
            </w:r>
          </w:p>
        </w:tc>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Exit and Transition Plan</w:t>
            </w:r>
          </w:p>
        </w:tc>
      </w:tr>
      <w:tr>
        <w:trPr/>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clauses of the MSA, the SOW and the Support Agreement prevail over the RACI Annex</w:t>
            </w:r>
          </w:p>
        </w:tc>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RACI Annex</w:t>
            </w:r>
          </w:p>
        </w:tc>
      </w:tr>
      <w:tr>
        <w:trPr/>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Between iorta TechNXT and the Client, the Licence Agreement prevails on the scope of the licence; the Escrow Agreement prevails on the deposit, verification and release procedure</w:t>
            </w:r>
          </w:p>
        </w:tc>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Agreement</w:t>
            </w:r>
          </w:p>
        </w:tc>
      </w:tr>
      <w:tr>
        <w:trPr/>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Acceptance certificates and Change Request forms record facts and approvals and do not amend the MSA, the Order Form or the SOW; an approved Change Request changes the plan and fees of the Order Form from its approval date</w:t>
            </w:r>
          </w:p>
        </w:tc>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Change Request Procedure; certificates</w:t>
            </w:r>
          </w:p>
        </w:tc>
      </w:tr>
      <w:tr>
        <w:trPr/>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MSA and the Order Forms replace earlier proposals and understandings, including the Letter of Award, on their subject</w:t>
            </w:r>
          </w:p>
        </w:tc>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General (entire agreement)</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Recommended for legal review: the MSA does not rank the schedules among themselves. The recommended rule is that the schedule that deals specifically with the subject prevails (the Hosting Agreement on hosting, the Support Agreement on support, the licence or subscription schedule on the right of use). Legal counsel to confirm and, if agreed, add it to the MSA.</w:t>
      </w:r>
      <w:r>
        <w:br w:type="page"/>
      </w:r>
    </w:p>
    <w:p>
      <w:pPr>
        <w:pStyle w:val="Heading1"/>
        <w:rPr/>
      </w:pPr>
      <w:bookmarkStart w:id="13" w:name="__RefHeading___Toc4040_1732366693"/>
      <w:bookmarkEnd w:id="13"/>
      <w:r>
        <w:rPr>
          <w:rFonts w:eastAsia="Segoe UI" w:cs="Segoe UI" w:ascii="Segoe UI" w:hAnsi="Segoe UI"/>
          <w:b/>
          <w:color w:val="0F4761"/>
          <w:sz w:val="32"/>
        </w:rPr>
        <w:t>6.  Checklist for the sales team</w:t>
      </w:r>
    </w:p>
    <w:p>
      <w:pPr>
        <w:pStyle w:val="Normal"/>
        <w:spacing w:lineRule="auto" w:line="276" w:before="0" w:after="120"/>
        <w:rPr/>
      </w:pPr>
      <w:r>
        <w:rPr>
          <w:rFonts w:eastAsia="Segoe UI" w:cs="Segoe UI" w:ascii="Segoe UI" w:hAnsi="Segoe UI"/>
          <w:color w:val="101820"/>
          <w:sz w:val="21"/>
        </w:rPr>
        <w:t>Complete before the contract set leaves iorta TechNXT. Keep the completed checklist in the deal file.</w:t>
      </w:r>
    </w:p>
    <w:p>
      <w:pPr>
        <w:pStyle w:val="Heading2"/>
        <w:rPr/>
      </w:pPr>
      <w:bookmarkStart w:id="14" w:name="__RefHeading___Toc4042_1732366693"/>
      <w:bookmarkEnd w:id="14"/>
      <w:r>
        <w:rPr>
          <w:rFonts w:eastAsia="Segoe UI" w:cs="Segoe UI"/>
          <w:b/>
          <w:color w:val="0F4761"/>
          <w:sz w:val="26"/>
        </w:rPr>
        <w:t>6.1  Deal and pricing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7201"/>
        <w:gridCol w:w="9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72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NDA on file if the prospect shared its own data or attended discovery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produced from the price book Quick Quote, at list price, within its 90-day validity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discount shown as a separate line against the list price, with the lever named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approvals recorded in writing for the highest discount on any component: account manager up to 5%, sales head up to 10%, CEO up to 15% (hosting, day rates and change requests: 0%, 5% and 10%); nothing below the floor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AMC rate (22%) and yearly escalation (5%) not discounted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Conditions of each lever written into the Order Form, with the effect if not met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Letter of Award or Proposal Acceptance received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bl>
    <w:p>
      <w:pPr>
        <w:pStyle w:val="Normal"/>
        <w:spacing w:before="0" w:after="80"/>
        <w:rPr/>
      </w:pPr>
      <w:r>
        <w:rPr/>
      </w:r>
    </w:p>
    <w:p>
      <w:pPr>
        <w:pStyle w:val="Heading2"/>
        <w:rPr/>
      </w:pPr>
      <w:bookmarkStart w:id="15" w:name="__RefHeading___Toc4044_1732366693"/>
      <w:bookmarkEnd w:id="15"/>
      <w:r>
        <w:rPr>
          <w:rFonts w:eastAsia="Segoe UI" w:cs="Segoe UI"/>
          <w:b/>
          <w:color w:val="0F4761"/>
          <w:sz w:val="26"/>
        </w:rPr>
        <w:t>6.2  Order Form content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7201"/>
        <w:gridCol w:w="9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72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legal name, SEC registration, TIN and IC certificate of authority match the Client's documents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model and package; named users and size; minimum billable users for a subscription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business to configure and training days included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option and data location; environments; DR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 24x7 Severity 1 support, extra training days, legacy sources, integrations, environments, on-site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12a</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modules and partner services ordered, each as its own Order Form line at the Rate Annex (S08) rate, invoiced on delivery: connector go-live with a partner; activation of the AML/CFT toolkit; activation of the IC compliance registers; activation of the BIR pack; dealer programme set-up; Client brand pack (written permission of the mark's owner on file); AMLC reporting file validation and portal test; IC annual statement form alignment; EOPT invoicing review with the Client's tax adviser; BIR CAS registration support; BIR EIS enrolment and certification; CTPL authentication and LTO interface certification; insurer API onboarding; bank payment file certification; SMS or Viber gateway activation; screening list provider onboarding. Regulator and partner fees excluded; filings in the Client's name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Term, renewal and early termination right; source code escrow (perpetual only)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schedule: 40/40/20 for implementation or onboarding; licence fee 100% on Go-Live; recurring fees as in the Rate Annex</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Withholding agent status of the Client and the tax treatment of the licence fee confirmed by both tax advisers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Schedules that apply ticked, matching the table "Documents by commercial model"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mobilisation and target go-live dates agreed with the head of delivery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Figures in the Order Form, the schedules (Schedule 1 of the licence or subscription, the SOW fee table, Schedule 1 of the Hosting Agreement) and the Letter of Award agree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bl>
    <w:p>
      <w:pPr>
        <w:pStyle w:val="Normal"/>
        <w:spacing w:before="0" w:after="80"/>
        <w:rPr/>
      </w:pPr>
      <w:r>
        <w:rPr/>
      </w:r>
    </w:p>
    <w:p>
      <w:pPr>
        <w:pStyle w:val="Heading2"/>
        <w:rPr/>
      </w:pPr>
      <w:bookmarkStart w:id="16" w:name="__RefHeading___Toc4046_1732366693"/>
      <w:bookmarkEnd w:id="16"/>
      <w:r>
        <w:rPr>
          <w:rFonts w:eastAsia="Segoe UI" w:cs="Segoe UI"/>
          <w:b/>
          <w:color w:val="0F4761"/>
          <w:sz w:val="26"/>
        </w:rPr>
        <w:t>6.3  Hand-off</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7201"/>
        <w:gridCol w:w="9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72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review requested where the checklist for the legal team requires it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deal file handed to delivery and finance; welcome e-mail sent within 2 working days of signing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bl>
    <w:p>
      <w:pPr>
        <w:pStyle w:val="Heading1"/>
        <w:rPr/>
      </w:pPr>
      <w:r>
        <w:br w:type="page"/>
      </w:r>
      <w:bookmarkStart w:id="17" w:name="__RefHeading___Toc4048_1732366693"/>
      <w:bookmarkEnd w:id="17"/>
      <w:r>
        <w:rPr>
          <w:rFonts w:eastAsia="Segoe UI" w:cs="Segoe UI" w:ascii="Segoe UI" w:hAnsi="Segoe UI"/>
          <w:b/>
          <w:color w:val="0F4761"/>
          <w:sz w:val="32"/>
        </w:rPr>
        <w:t>7.  Checklist for the legal team</w:t>
      </w:r>
    </w:p>
    <w:p>
      <w:pPr>
        <w:pStyle w:val="Heading2"/>
        <w:rPr/>
      </w:pPr>
      <w:bookmarkStart w:id="18" w:name="__RefHeading___Toc4050_1732366693"/>
      <w:bookmarkEnd w:id="18"/>
      <w:r>
        <w:rPr>
          <w:rFonts w:eastAsia="Segoe UI" w:cs="Segoe UI"/>
          <w:b/>
          <w:color w:val="0F4761"/>
          <w:sz w:val="26"/>
        </w:rPr>
        <w:t>7.1  Always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7201"/>
        <w:gridCol w:w="9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72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Parties' details and signatory authority (board resolution or secretary's certificate)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bracketed option chosen or deleted; no placeholder left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options: termination for convenience (A or B); final dispute resolution (arbitration or courts); late payment interest; documentary stamp tax; publicity and reference clause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Special terms in the Order Form state expressly whether they override the MSA</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DPA: DPOs named; breach notice period to the Controller; Annex 3 sub-processors match the hosting option; remote access countries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outside the Philippines: the Client's transfer decision and privacy impact assessment reference recorded in the Order Form and Hosting Agreement Schedule 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Electronic signature and counterparts accepted by both sides, or wet-ink signature and notarial acknowledgment arranged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w:t>
            </w:r>
          </w:p>
        </w:tc>
      </w:tr>
    </w:tbl>
    <w:p>
      <w:pPr>
        <w:pStyle w:val="Normal"/>
        <w:spacing w:before="0" w:after="80"/>
        <w:rPr/>
      </w:pPr>
      <w:r>
        <w:rPr/>
      </w:r>
    </w:p>
    <w:p>
      <w:pPr>
        <w:pStyle w:val="Heading2"/>
        <w:rPr/>
      </w:pPr>
      <w:bookmarkStart w:id="19" w:name="__RefHeading___Toc4052_1732366693"/>
      <w:bookmarkEnd w:id="19"/>
      <w:r>
        <w:rPr>
          <w:rFonts w:eastAsia="Segoe UI" w:cs="Segoe UI"/>
          <w:b/>
          <w:color w:val="0F4761"/>
          <w:sz w:val="26"/>
        </w:rPr>
        <w:t>7.2  Legal review required before release</w:t>
      </w:r>
    </w:p>
    <w:p>
      <w:pPr>
        <w:pStyle w:val="Normal"/>
        <w:spacing w:lineRule="auto" w:line="276" w:before="0" w:after="120"/>
        <w:rPr/>
      </w:pPr>
      <w:r>
        <w:rPr>
          <w:rFonts w:eastAsia="Segoe UI" w:cs="Segoe UI" w:ascii="Segoe UI" w:hAnsi="Segoe UI"/>
          <w:color w:val="101820"/>
          <w:sz w:val="21"/>
        </w:rPr>
        <w:t>Legal counsel reviews and approves before the set is sent when any of these applies. The "Who may change it" column follows the contract positions of the Negotiation Playbook.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Trigger</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 position</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may change it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to the limitation of liability, or the data protection cap option chosen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Fees paid and payable under the Order Form in the 12 months before the event; no indirect loss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to the platform IP clause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keeps all rights; the Client owns its data</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negotiable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term above 30 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days from invoice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 up to 45 days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to suspension for non-payment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60 days, with 10 Business Days' notice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to auto-renewal or notice of non-renewal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renewal after the initial term; 90 days' notice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to service credits or their cap</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Capped at 10% of the monthly fee of the affected service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 with legal counsel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Governing law or venue other than the Philippines and the MSA dispute steps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 law; negotiation, mediation, then arbitration or courts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code escrow requested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at the Client's cost, perpetual licence only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head; escrow agent's terms reviewed by legal counsel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own contract paper or major redline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pack</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 and CEO</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Early termination right in a committed term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 in the Initial Term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CEO</w:t>
            </w:r>
          </w:p>
        </w:tc>
      </w:tr>
    </w:tbl>
    <w:p>
      <w:pPr>
        <w:pStyle w:val="Heading1"/>
        <w:rPr/>
      </w:pPr>
      <w:r>
        <w:br w:type="page"/>
      </w:r>
      <w:bookmarkStart w:id="20" w:name="__RefHeading___Toc4054_1732366693"/>
      <w:bookmarkEnd w:id="20"/>
      <w:r>
        <w:rPr>
          <w:rFonts w:eastAsia="Segoe UI" w:cs="Segoe UI" w:ascii="Segoe UI" w:hAnsi="Segoe UI"/>
          <w:b/>
          <w:color w:val="0F4761"/>
          <w:sz w:val="32"/>
        </w:rPr>
        <w:t>8.  Owner and legal decisions open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5475"/>
        <w:gridCol w:w="263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54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Decision</w:t>
            </w:r>
          </w:p>
        </w:tc>
        <w:tc>
          <w:tcPr>
            <w:tcW w:w="26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54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 for conflicts between schedules (see Order of precedence)</w:t>
            </w:r>
          </w:p>
        </w:tc>
        <w:tc>
          <w:tcPr>
            <w:tcW w:w="26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54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Whether the MSA confidentiality clause replaces the Mutual NDA from the MSA Effective Date, or both run in parallel</w:t>
            </w:r>
          </w:p>
        </w:tc>
        <w:tc>
          <w:tcPr>
            <w:tcW w:w="26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54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Choice of escrow agent and its standard terms</w:t>
            </w:r>
          </w:p>
        </w:tc>
        <w:tc>
          <w:tcPr>
            <w:tcW w:w="26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Owner and legal counsel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54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Early termination fee for committed terms (all or 50% of the remaining recurring fees)</w:t>
            </w:r>
          </w:p>
        </w:tc>
        <w:tc>
          <w:tcPr>
            <w:tcW w:w="26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54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 payment interest (1% a month or the legal rate) and the party that bears documentary stamp tax</w:t>
            </w:r>
          </w:p>
        </w:tc>
        <w:tc>
          <w:tcPr>
            <w:tcW w:w="26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Owner and legal counsel</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21" w:name="__RefHeading___Toc4056_1732366693"/>
      <w:bookmarkStart w:id="22" w:name="_Toc233203395"/>
      <w:bookmarkEnd w:id="21"/>
      <w:r>
        <w:rPr>
          <w:rStyle w:val="BookTitle"/>
          <w:bCs w:val="false"/>
          <w:i w:val="false"/>
          <w:iCs w:val="false"/>
          <w:spacing w:val="0"/>
        </w:rPr>
        <w:t>9.  Document Sign-Off</w:t>
      </w:r>
      <w:bookmarkEnd w:id="2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by iorta TechNXT legal counsel; owner decisions listed in the last chapter</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8">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7">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2"/>
    <w:lvlOverride w:ilvl="0">
      <w:startOverride w:val="1"/>
    </w:lvlOverride>
  </w:num>
  <w:num w:numId="8">
    <w:abstractNumId w:val="2"/>
  </w:num>
  <w:num w:numId="9">
    <w:abstractNumId w:val="2"/>
  </w:num>
  <w:num w:numId="10">
    <w:abstractNumId w:val="2"/>
    <w:lvlOverride w:ilvl="0">
      <w:startOverride w:val="1"/>
    </w:lvlOverride>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2026-10-04T12:35:01Z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