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312_173236669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0314_173236669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0316_1732366693">
            <w:r>
              <w:rPr>
                <w:webHidden/>
                <w:rStyle w:val="IndexLink"/>
              </w:rPr>
              <w:t>3. About this template</w:t>
              <w:tab/>
              <w:t>4</w:t>
            </w:r>
          </w:hyperlink>
        </w:p>
        <w:p>
          <w:pPr>
            <w:pStyle w:val="TOC2"/>
            <w:tabs>
              <w:tab w:val="clear" w:pos="900"/>
              <w:tab w:val="clear" w:pos="9350"/>
              <w:tab w:val="right" w:pos="9025" w:leader="dot"/>
            </w:tabs>
            <w:rPr/>
          </w:pPr>
          <w:hyperlink w:anchor="__RefHeading___Toc10318_1732366693">
            <w:r>
              <w:rPr>
                <w:webHidden/>
                <w:rStyle w:val="IndexLink"/>
              </w:rPr>
              <w:t>3.1 Version history</w:t>
              <w:tab/>
              <w:t>4</w:t>
            </w:r>
          </w:hyperlink>
        </w:p>
        <w:p>
          <w:pPr>
            <w:pStyle w:val="TOC1"/>
            <w:tabs>
              <w:tab w:val="clear" w:pos="900"/>
              <w:tab w:val="clear" w:pos="9350"/>
              <w:tab w:val="right" w:pos="9025" w:leader="dot"/>
            </w:tabs>
            <w:rPr/>
          </w:pPr>
          <w:hyperlink w:anchor="__RefHeading___Toc10320_1732366693">
            <w:r>
              <w:rPr>
                <w:webHidden/>
                <w:rStyle w:val="IndexLink"/>
              </w:rPr>
              <w:t>4. Scope</w:t>
              <w:tab/>
              <w:t>6</w:t>
            </w:r>
          </w:hyperlink>
        </w:p>
        <w:p>
          <w:pPr>
            <w:pStyle w:val="TOC2"/>
            <w:tabs>
              <w:tab w:val="clear" w:pos="900"/>
              <w:tab w:val="clear" w:pos="9350"/>
              <w:tab w:val="right" w:pos="9025" w:leader="dot"/>
            </w:tabs>
            <w:rPr/>
          </w:pPr>
          <w:hyperlink w:anchor="__RefHeading___Toc10322_1732366693">
            <w:r>
              <w:rPr>
                <w:webHidden/>
                <w:rStyle w:val="IndexLink"/>
              </w:rPr>
              <w:t>4.1 Objective</w:t>
              <w:tab/>
              <w:t>6</w:t>
            </w:r>
          </w:hyperlink>
        </w:p>
        <w:p>
          <w:pPr>
            <w:pStyle w:val="TOC2"/>
            <w:tabs>
              <w:tab w:val="clear" w:pos="900"/>
              <w:tab w:val="clear" w:pos="9350"/>
              <w:tab w:val="right" w:pos="9025" w:leader="dot"/>
            </w:tabs>
            <w:rPr/>
          </w:pPr>
          <w:hyperlink w:anchor="__RefHeading___Toc10324_1732366693">
            <w:r>
              <w:rPr>
                <w:webHidden/>
                <w:rStyle w:val="IndexLink"/>
              </w:rPr>
              <w:t>4.2 In scope</w:t>
              <w:tab/>
              <w:t>6</w:t>
            </w:r>
          </w:hyperlink>
        </w:p>
        <w:p>
          <w:pPr>
            <w:pStyle w:val="TOC2"/>
            <w:tabs>
              <w:tab w:val="clear" w:pos="900"/>
              <w:tab w:val="clear" w:pos="9350"/>
              <w:tab w:val="right" w:pos="9025" w:leader="dot"/>
            </w:tabs>
            <w:rPr/>
          </w:pPr>
          <w:hyperlink w:anchor="__RefHeading___Toc10326_1732366693">
            <w:r>
              <w:rPr>
                <w:webHidden/>
                <w:rStyle w:val="IndexLink"/>
              </w:rPr>
              <w:t>4.3 Implementation size</w:t>
              <w:tab/>
              <w:t>7</w:t>
            </w:r>
          </w:hyperlink>
        </w:p>
        <w:p>
          <w:pPr>
            <w:pStyle w:val="TOC1"/>
            <w:tabs>
              <w:tab w:val="clear" w:pos="900"/>
              <w:tab w:val="clear" w:pos="9350"/>
              <w:tab w:val="right" w:pos="9025" w:leader="dot"/>
            </w:tabs>
            <w:rPr/>
          </w:pPr>
          <w:hyperlink w:anchor="__RefHeading___Toc10328_1732366693">
            <w:r>
              <w:rPr>
                <w:webHidden/>
                <w:rStyle w:val="IndexLink"/>
              </w:rPr>
              <w:t>5. Approach and phases</w:t>
              <w:tab/>
              <w:t>8</w:t>
            </w:r>
          </w:hyperlink>
        </w:p>
        <w:p>
          <w:pPr>
            <w:pStyle w:val="TOC1"/>
            <w:tabs>
              <w:tab w:val="clear" w:pos="900"/>
              <w:tab w:val="clear" w:pos="9350"/>
              <w:tab w:val="right" w:pos="9025" w:leader="dot"/>
            </w:tabs>
            <w:rPr/>
          </w:pPr>
          <w:hyperlink w:anchor="__RefHeading___Toc10330_1732366693">
            <w:r>
              <w:rPr>
                <w:webHidden/>
                <w:rStyle w:val="IndexLink"/>
              </w:rPr>
              <w:t>6. Deliverables and acceptance</w:t>
              <w:tab/>
              <w:t>9</w:t>
            </w:r>
          </w:hyperlink>
        </w:p>
        <w:p>
          <w:pPr>
            <w:pStyle w:val="TOC2"/>
            <w:tabs>
              <w:tab w:val="clear" w:pos="900"/>
              <w:tab w:val="clear" w:pos="9350"/>
              <w:tab w:val="right" w:pos="9025" w:leader="dot"/>
            </w:tabs>
            <w:rPr/>
          </w:pPr>
          <w:hyperlink w:anchor="__RefHeading___Toc10332_1732366693">
            <w:r>
              <w:rPr>
                <w:webHidden/>
                <w:rStyle w:val="IndexLink"/>
              </w:rPr>
              <w:t>6.1 Deliverables and acceptance criteria</w:t>
              <w:tab/>
              <w:t>9</w:t>
            </w:r>
          </w:hyperlink>
        </w:p>
        <w:p>
          <w:pPr>
            <w:pStyle w:val="TOC2"/>
            <w:tabs>
              <w:tab w:val="clear" w:pos="900"/>
              <w:tab w:val="clear" w:pos="9350"/>
              <w:tab w:val="right" w:pos="9025" w:leader="dot"/>
            </w:tabs>
            <w:rPr/>
          </w:pPr>
          <w:hyperlink w:anchor="__RefHeading___Toc10334_1732366693">
            <w:r>
              <w:rPr>
                <w:webHidden/>
                <w:rStyle w:val="IndexLink"/>
              </w:rPr>
              <w:t>6.2 Acceptance procedure</w:t>
              <w:tab/>
              <w:t>10</w:t>
            </w:r>
          </w:hyperlink>
        </w:p>
        <w:p>
          <w:pPr>
            <w:pStyle w:val="TOC2"/>
            <w:tabs>
              <w:tab w:val="clear" w:pos="900"/>
              <w:tab w:val="clear" w:pos="9350"/>
              <w:tab w:val="right" w:pos="9025" w:leader="dot"/>
            </w:tabs>
            <w:rPr/>
          </w:pPr>
          <w:hyperlink w:anchor="__RefHeading___Toc10336_1732366693">
            <w:r>
              <w:rPr>
                <w:webHidden/>
                <w:rStyle w:val="IndexLink"/>
              </w:rPr>
              <w:t>6.3 Defect severity during the project</w:t>
              <w:tab/>
              <w:t>10</w:t>
            </w:r>
          </w:hyperlink>
        </w:p>
        <w:p>
          <w:pPr>
            <w:pStyle w:val="TOC1"/>
            <w:tabs>
              <w:tab w:val="clear" w:pos="900"/>
              <w:tab w:val="clear" w:pos="9350"/>
              <w:tab w:val="right" w:pos="9025" w:leader="dot"/>
            </w:tabs>
            <w:rPr/>
          </w:pPr>
          <w:hyperlink w:anchor="__RefHeading___Toc10338_1732366693">
            <w:r>
              <w:rPr>
                <w:webHidden/>
                <w:rStyle w:val="IndexLink"/>
              </w:rPr>
              <w:t>7. Client responsibilities</w:t>
              <w:tab/>
              <w:t>11</w:t>
            </w:r>
          </w:hyperlink>
        </w:p>
        <w:p>
          <w:pPr>
            <w:pStyle w:val="TOC1"/>
            <w:tabs>
              <w:tab w:val="clear" w:pos="900"/>
              <w:tab w:val="clear" w:pos="9350"/>
              <w:tab w:val="right" w:pos="9025" w:leader="dot"/>
            </w:tabs>
            <w:rPr/>
          </w:pPr>
          <w:hyperlink w:anchor="__RefHeading___Toc10340_1732366693">
            <w:r>
              <w:rPr>
                <w:webHidden/>
                <w:rStyle w:val="IndexLink"/>
              </w:rPr>
              <w:t>8. Assumptions</w:t>
              <w:tab/>
              <w:t>13</w:t>
            </w:r>
          </w:hyperlink>
        </w:p>
        <w:p>
          <w:pPr>
            <w:pStyle w:val="TOC1"/>
            <w:tabs>
              <w:tab w:val="clear" w:pos="900"/>
              <w:tab w:val="clear" w:pos="9350"/>
              <w:tab w:val="right" w:pos="9025" w:leader="dot"/>
            </w:tabs>
            <w:rPr/>
          </w:pPr>
          <w:hyperlink w:anchor="__RefHeading___Toc10342_1732366693">
            <w:r>
              <w:rPr>
                <w:webHidden/>
                <w:rStyle w:val="IndexLink"/>
              </w:rPr>
              <w:t>9. Exclusions</w:t>
              <w:tab/>
              <w:t>14</w:t>
            </w:r>
          </w:hyperlink>
        </w:p>
        <w:p>
          <w:pPr>
            <w:pStyle w:val="TOC1"/>
            <w:tabs>
              <w:tab w:val="clear" w:pos="900"/>
              <w:tab w:val="clear" w:pos="9350"/>
              <w:tab w:val="right" w:pos="9025" w:leader="dot"/>
            </w:tabs>
            <w:rPr/>
          </w:pPr>
          <w:hyperlink w:anchor="__RefHeading___Toc10344_1732366693">
            <w:r>
              <w:rPr>
                <w:webHidden/>
                <w:rStyle w:val="IndexLink"/>
              </w:rPr>
              <w:t>10. Timeline by size</w:t>
              <w:tab/>
              <w:t>15</w:t>
            </w:r>
          </w:hyperlink>
        </w:p>
        <w:p>
          <w:pPr>
            <w:pStyle w:val="TOC2"/>
            <w:tabs>
              <w:tab w:val="clear" w:pos="900"/>
              <w:tab w:val="clear" w:pos="9350"/>
              <w:tab w:val="right" w:pos="9025" w:leader="dot"/>
            </w:tabs>
            <w:rPr/>
          </w:pPr>
          <w:hyperlink w:anchor="__RefHeading___Toc10346_1732366693">
            <w:r>
              <w:rPr>
                <w:webHidden/>
                <w:rStyle w:val="IndexLink"/>
              </w:rPr>
              <w:t>10.1 Durations</w:t>
              <w:tab/>
              <w:t>15</w:t>
            </w:r>
          </w:hyperlink>
        </w:p>
        <w:p>
          <w:pPr>
            <w:pStyle w:val="TOC2"/>
            <w:tabs>
              <w:tab w:val="clear" w:pos="900"/>
              <w:tab w:val="clear" w:pos="9350"/>
              <w:tab w:val="right" w:pos="9025" w:leader="dot"/>
            </w:tabs>
            <w:rPr/>
          </w:pPr>
          <w:hyperlink w:anchor="__RefHeading___Toc10348_1732366693">
            <w:r>
              <w:rPr>
                <w:webHidden/>
                <w:rStyle w:val="IndexLink"/>
              </w:rPr>
              <w:t>10.2 Key milestones</w:t>
              <w:tab/>
              <w:t>15</w:t>
            </w:r>
          </w:hyperlink>
        </w:p>
        <w:p>
          <w:pPr>
            <w:pStyle w:val="TOC1"/>
            <w:tabs>
              <w:tab w:val="clear" w:pos="900"/>
              <w:tab w:val="clear" w:pos="9350"/>
              <w:tab w:val="right" w:pos="9025" w:leader="dot"/>
            </w:tabs>
            <w:rPr/>
          </w:pPr>
          <w:hyperlink w:anchor="__RefHeading___Toc10350_1732366693">
            <w:r>
              <w:rPr>
                <w:webHidden/>
                <w:rStyle w:val="IndexLink"/>
              </w:rPr>
              <w:t>11. Governance</w:t>
              <w:tab/>
              <w:t>16</w:t>
            </w:r>
          </w:hyperlink>
        </w:p>
        <w:p>
          <w:pPr>
            <w:pStyle w:val="TOC1"/>
            <w:tabs>
              <w:tab w:val="clear" w:pos="900"/>
              <w:tab w:val="clear" w:pos="9350"/>
              <w:tab w:val="right" w:pos="9025" w:leader="dot"/>
            </w:tabs>
            <w:rPr/>
          </w:pPr>
          <w:hyperlink w:anchor="__RefHeading___Toc10352_1732366693">
            <w:r>
              <w:rPr>
                <w:webHidden/>
                <w:rStyle w:val="IndexLink"/>
              </w:rPr>
              <w:t>12. Fees and milestone payments</w:t>
              <w:tab/>
              <w:t>17</w:t>
            </w:r>
          </w:hyperlink>
        </w:p>
        <w:p>
          <w:pPr>
            <w:pStyle w:val="TOC2"/>
            <w:tabs>
              <w:tab w:val="clear" w:pos="900"/>
              <w:tab w:val="clear" w:pos="9350"/>
              <w:tab w:val="right" w:pos="9025" w:leader="dot"/>
            </w:tabs>
            <w:rPr/>
          </w:pPr>
          <w:hyperlink w:anchor="__RefHeading___Toc10354_1732366693">
            <w:r>
              <w:rPr>
                <w:webHidden/>
                <w:rStyle w:val="IndexLink"/>
              </w:rPr>
              <w:t>12.1 Fee</w:t>
              <w:tab/>
              <w:t>17</w:t>
            </w:r>
          </w:hyperlink>
        </w:p>
        <w:p>
          <w:pPr>
            <w:pStyle w:val="TOC2"/>
            <w:tabs>
              <w:tab w:val="clear" w:pos="900"/>
              <w:tab w:val="clear" w:pos="9350"/>
              <w:tab w:val="right" w:pos="9025" w:leader="dot"/>
            </w:tabs>
            <w:rPr/>
          </w:pPr>
          <w:hyperlink w:anchor="__RefHeading___Toc10356_1732366693">
            <w:r>
              <w:rPr>
                <w:webHidden/>
                <w:rStyle w:val="IndexLink"/>
              </w:rPr>
              <w:t>12.2 Milestone payments</w:t>
              <w:tab/>
              <w:t>17</w:t>
            </w:r>
          </w:hyperlink>
        </w:p>
        <w:p>
          <w:pPr>
            <w:pStyle w:val="TOC1"/>
            <w:tabs>
              <w:tab w:val="clear" w:pos="900"/>
              <w:tab w:val="clear" w:pos="9350"/>
              <w:tab w:val="right" w:pos="9025" w:leader="dot"/>
            </w:tabs>
            <w:rPr/>
          </w:pPr>
          <w:hyperlink w:anchor="__RefHeading___Toc10358_1732366693">
            <w:r>
              <w:rPr>
                <w:webHidden/>
                <w:rStyle w:val="IndexLink"/>
              </w:rPr>
              <w:t>13. Change control</w:t>
              <w:tab/>
              <w:t>19</w:t>
            </w:r>
          </w:hyperlink>
        </w:p>
        <w:p>
          <w:pPr>
            <w:pStyle w:val="TOC1"/>
            <w:tabs>
              <w:tab w:val="clear" w:pos="900"/>
              <w:tab w:val="clear" w:pos="9350"/>
              <w:tab w:val="right" w:pos="9025" w:leader="dot"/>
            </w:tabs>
            <w:rPr/>
          </w:pPr>
          <w:hyperlink w:anchor="__RefHeading___Toc10360_1732366693">
            <w:r>
              <w:rPr>
                <w:webHidden/>
                <w:rStyle w:val="IndexLink"/>
              </w:rPr>
              <w:t>14. Special conditions</w:t>
              <w:tab/>
              <w:t>20</w:t>
            </w:r>
          </w:hyperlink>
        </w:p>
        <w:p>
          <w:pPr>
            <w:pStyle w:val="TOC1"/>
            <w:tabs>
              <w:tab w:val="clear" w:pos="900"/>
              <w:tab w:val="clear" w:pos="9350"/>
              <w:tab w:val="right" w:pos="9025" w:leader="dot"/>
            </w:tabs>
            <w:rPr/>
          </w:pPr>
          <w:hyperlink w:anchor="__RefHeading___Toc10362_1732366693">
            <w:r>
              <w:rPr>
                <w:webHidden/>
                <w:rStyle w:val="IndexLink"/>
              </w:rPr>
              <w:t>15. Signatures</w:t>
              <w:tab/>
              <w:t>21</w:t>
            </w:r>
          </w:hyperlink>
        </w:p>
        <w:p>
          <w:pPr>
            <w:pStyle w:val="TOC1"/>
            <w:tabs>
              <w:tab w:val="clear" w:pos="900"/>
              <w:tab w:val="clear" w:pos="9350"/>
              <w:tab w:val="right" w:pos="9025" w:leader="dot"/>
            </w:tabs>
            <w:rPr/>
          </w:pPr>
          <w:hyperlink w:anchor="__RefHeading___Toc10364_1732366693">
            <w:r>
              <w:rPr>
                <w:webHidden/>
                <w:rStyle w:val="IndexLink"/>
              </w:rPr>
              <w:t>16. Annex A: acceptance certificate</w:t>
              <w:tab/>
              <w:t>22</w:t>
            </w:r>
          </w:hyperlink>
        </w:p>
        <w:p>
          <w:pPr>
            <w:pStyle w:val="TOC1"/>
            <w:tabs>
              <w:tab w:val="clear" w:pos="900"/>
              <w:tab w:val="clear" w:pos="9350"/>
              <w:tab w:val="right" w:pos="9025" w:leader="dot"/>
            </w:tabs>
            <w:rPr/>
          </w:pPr>
          <w:hyperlink w:anchor="__RefHeading___Toc10366_1732366693">
            <w:r>
              <w:rPr>
                <w:webHidden/>
                <w:rStyle w:val="IndexLink"/>
              </w:rPr>
              <w:t>17. Annex B: lines of business in scope</w:t>
              <w:tab/>
              <w:t>23</w:t>
            </w:r>
          </w:hyperlink>
        </w:p>
        <w:p>
          <w:pPr>
            <w:pStyle w:val="TOC1"/>
            <w:tabs>
              <w:tab w:val="clear" w:pos="900"/>
              <w:tab w:val="clear" w:pos="9350"/>
              <w:tab w:val="right" w:pos="9025" w:leader="dot"/>
            </w:tabs>
            <w:rPr/>
          </w:pPr>
          <w:hyperlink w:anchor="__RefHeading___Toc10368_1732366693">
            <w:r>
              <w:rPr>
                <w:webHidden/>
                <w:rStyle w:val="IndexLink"/>
                <w:i w:val="false"/>
                <w:iCs w:val="false"/>
              </w:rPr>
              <w:t>18. Document Sign-Off</w:t>
            </w:r>
            <w:r>
              <w:rPr>
                <w:rStyle w:val="IndexLink"/>
              </w:rPr>
              <w:tab/>
              <w:t>24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312_17323666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Optional modules and partner services of the Rate Annex named in the payments and exclusions; 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314_17323666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316_1732366693"/>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p>
    <w:p>
      <w:pPr>
        <w:pStyle w:val="Heading2"/>
        <w:rPr/>
      </w:pPr>
      <w:bookmarkStart w:id="7" w:name="__RefHeading___Toc10318_1732366693"/>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for discussion</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aligned with the current product: go-live configuration and migration kits; compliance set-up (AML/CFT, Insurance Commission and National Privacy Commission registers, masking of personal data); branding and brand packs, with the permission required for client marks; integrations with partners through the delivered connectors; environments, release pipeline and encryption key custody; regulatory registrations as Client dependencies; enterprise size and the 20 and 26-week timelines; Deliverables, acceptance criteria and Client responsibilities updated accordingly</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sixteen optional modules and partner services of the Service Catalogue and Rate Annex (S08), confirmed by management on 04 October 2026, named in the milestone payments and the exclusions</w:t>
            </w:r>
          </w:p>
        </w:tc>
      </w:tr>
    </w:tbl>
    <w:p>
      <w:pPr>
        <w:pStyle w:val="Heading1"/>
        <w:rPr/>
      </w:pPr>
      <w:r>
        <w:br w:type="page"/>
      </w:r>
      <w:bookmarkStart w:id="8" w:name="__RefHeading___Toc10320_1732366693"/>
      <w:bookmarkEnd w:id="8"/>
      <w:r>
        <w:rPr>
          <w:rFonts w:eastAsia="Segoe UI" w:cs="Segoe UI" w:ascii="Segoe UI" w:hAnsi="Segoe UI"/>
          <w:b/>
          <w:color w:val="0F4761"/>
          <w:sz w:val="32"/>
        </w:rPr>
        <w:t>4.  Scope</w:t>
      </w:r>
    </w:p>
    <w:p>
      <w:pPr>
        <w:pStyle w:val="Heading2"/>
        <w:rPr/>
      </w:pPr>
      <w:bookmarkStart w:id="9" w:name="__RefHeading___Toc10322_1732366693"/>
      <w:bookmarkEnd w:id="9"/>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10" w:name="__RefHeading___Toc10324_1732366693"/>
      <w:bookmarkEnd w:id="10"/>
      <w:r>
        <w:rPr>
          <w:rFonts w:eastAsia="Segoe UI" w:cs="Segoe UI"/>
          <w:b/>
          <w:color w:val="0F4761"/>
          <w:sz w:val="26"/>
        </w:rPr>
        <w:t>4.2  In scope</w:t>
      </w:r>
    </w:p>
    <w:p>
      <w:pPr>
        <w:pStyle w:val="Normal"/>
        <w:numPr>
          <w:ilvl w:val="0"/>
          <w:numId w:val="10"/>
        </w:numPr>
        <w:spacing w:before="0" w:after="60"/>
        <w:rPr/>
      </w:pPr>
      <w:r>
        <w:rPr>
          <w:rFonts w:eastAsia="Segoe UI" w:cs="Segoe UI" w:ascii="Segoe UI" w:hAnsi="Segoe UI"/>
          <w:b/>
          <w:color w:val="101820"/>
          <w:sz w:val="21"/>
        </w:rPr>
        <w:t>Configuration</w:t>
      </w:r>
      <w:r>
        <w:rPr>
          <w:rFonts w:eastAsia="Segoe UI" w:cs="Segoe UI" w:ascii="Segoe UI" w:hAnsi="Segoe UI"/>
          <w:color w:val="101820"/>
          <w:sz w:val="21"/>
        </w:rPr>
        <w:t xml:space="preserve"> of the delivered system for the Client through the go-live configuration workbook (the </w:t>
      </w:r>
      <w:r>
        <w:rPr>
          <w:rFonts w:eastAsia="Segoe UI" w:cs="Segoe UI" w:ascii="Segoe UI" w:hAnsi="Segoe UI"/>
          <w:b/>
          <w:color w:val="101820"/>
          <w:sz w:val="21"/>
        </w:rPr>
        <w:t>Configuration Kit</w:t>
      </w:r>
      <w:r>
        <w:rPr>
          <w:rFonts w:eastAsia="Segoe UI" w:cs="Segoe UI" w:ascii="Segoe UI" w:hAnsi="Segoe UI"/>
          <w:color w:val="101820"/>
          <w:sz w:val="21"/>
        </w:rPr>
        <w:t>) and the screens of the system: company, letterhead, branches, departments and reporting lines; Philippine addresses from the PSGC masters; users and the delivered roles, including the Compliance Officer (AML/CFT) role; authority limits, maker-checker and approvals; insurers with credit and remittance terms and Insurance Commission certificates of authority; lines of business, products, covers, vehicles and distribution channels; product templates, rating factors, acceptance rules, document templates, market and risk mapping in the Product Configurator; commission rules, referrer sharing and insurer overriding commission; premium taxes and LGU rates; tax codes with BIR ATC; chart of accounts, account determination and posting rules; document numbering, including the registered serial range of the sales invoices; business rules, security policy, scheduled jobs and message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b/>
          <w:color w:val="101820"/>
          <w:sz w:val="21"/>
        </w:rPr>
        <w:t>Compliance set-up</w:t>
      </w:r>
      <w:r>
        <w:rPr>
          <w:rFonts w:eastAsia="Segoe UI" w:cs="Segoe UI" w:ascii="Segoe UI" w:hAnsi="Segoe UI"/>
          <w:color w:val="101820"/>
          <w:sz w:val="21"/>
        </w:rPr>
        <w:t xml:space="preserve"> in the delivered Compliance menu, from the Client's decisions: the AML/CFT settings, risk factors and monitoring rules, and the loading of the screening lists the Client is entitled to use; the licence register, fit and proper records and insurer authority check; the complaints register settings; the personal data breach register settings; the masking of personal identifiers by role.</w:t>
      </w:r>
    </w:p>
    <w:p>
      <w:pPr>
        <w:pStyle w:val="Normal"/>
        <w:numPr>
          <w:ilvl w:val="0"/>
          <w:numId w:val="1"/>
        </w:numPr>
        <w:spacing w:before="0" w:after="60"/>
        <w:rPr/>
      </w:pPr>
      <w:r>
        <w:rPr>
          <w:rFonts w:eastAsia="Segoe UI" w:cs="Segoe UI" w:ascii="Segoe UI" w:hAnsi="Segoe UI"/>
          <w:b/>
          <w:color w:val="101820"/>
          <w:sz w:val="21"/>
        </w:rPr>
        <w:t>Branding</w:t>
      </w:r>
      <w:r>
        <w:rPr>
          <w:rFonts w:eastAsia="Segoe UI" w:cs="Segoe UI" w:ascii="Segoe UI" w:hAnsi="Segoe UI"/>
          <w:color w:val="101820"/>
          <w:sz w:val="21"/>
        </w:rPr>
        <w:t xml:space="preserve"> of the Client's environments: theme, logo, sign-in page, branded documents, reports and e-mails, e-signatures of the Client's signatories mapped to documents, and a brand pack to promote the branding between environments. A brand pack that carries the name or marks of a third party is applied only as stated in the chapter Special conditions.</w:t>
      </w:r>
    </w:p>
    <w:p>
      <w:pPr>
        <w:pStyle w:val="Normal"/>
        <w:numPr>
          <w:ilvl w:val="0"/>
          <w:numId w:val="1"/>
        </w:numPr>
        <w:spacing w:before="0" w:after="60"/>
        <w:rPr/>
      </w:pPr>
      <w:r>
        <w:rPr>
          <w:rFonts w:eastAsia="Segoe UI" w:cs="Segoe UI" w:ascii="Segoe UI" w:hAnsi="Segoe UI"/>
          <w:b/>
          <w:color w:val="101820"/>
          <w:sz w:val="21"/>
        </w:rPr>
        <w:t>Data migration</w:t>
      </w:r>
      <w:r>
        <w:rPr>
          <w:rFonts w:eastAsia="Segoe UI" w:cs="Segoe UI" w:ascii="Segoe UI" w:hAnsi="Segoe UI"/>
          <w:color w:val="101820"/>
          <w:sz w:val="21"/>
        </w:rPr>
        <w:t xml:space="preserve"> of open items with the go-live migration workbook (the </w:t>
      </w:r>
      <w:r>
        <w:rPr>
          <w:rFonts w:eastAsia="Segoe UI" w:cs="Segoe UI" w:ascii="Segoe UI" w:hAnsi="Segoe UI"/>
          <w:b/>
          <w:color w:val="101820"/>
          <w:sz w:val="21"/>
        </w:rPr>
        <w:t>Migration Kit</w:t>
      </w:r>
      <w:r>
        <w:rPr>
          <w:rFonts w:eastAsia="Segoe UI" w:cs="Segoe UI" w:ascii="Segoe UI" w:hAnsi="Segoe UI"/>
          <w:color w:val="101820"/>
          <w:sz w:val="21"/>
        </w:rPr>
        <w:t>): clients, in-force policies, open receivables, open claims and the opening trial balance (which carries the amounts due to insurers), as at the cutover date, for one legal entity and one fiscal year, with mock loads and a reconciliation of each load.</w:t>
      </w:r>
    </w:p>
    <w:p>
      <w:pPr>
        <w:pStyle w:val="Normal"/>
        <w:numPr>
          <w:ilvl w:val="0"/>
          <w:numId w:val="1"/>
        </w:numPr>
        <w:spacing w:before="0" w:after="60"/>
        <w:rPr/>
      </w:pPr>
      <w:r>
        <w:rPr>
          <w:rFonts w:eastAsia="Segoe UI" w:cs="Segoe UI" w:ascii="Segoe UI" w:hAnsi="Segoe UI"/>
          <w:b/>
          <w:color w:val="101820"/>
          <w:sz w:val="21"/>
        </w:rPr>
        <w:t>Set-up of the delivered integrations</w:t>
      </w:r>
      <w:r>
        <w:rPr>
          <w:rFonts w:eastAsia="Segoe UI" w:cs="Segoe UI" w:ascii="Segoe UI" w:hAnsi="Segoe UI"/>
          <w:color w:val="101820"/>
          <w:sz w:val="21"/>
        </w:rPr>
        <w:t>: outgoing e-mail through the Client's SMTP mailbox; bank statement formats for the Client's bank accounts; bank payment file layouts for the Client's banks; the delivered connectors for SMS or Viber messages, CTPL authentication and the LTO feed, insurer systems and the BIR Electronic Invoicing System; the delivered payment gateways (PayMongo and Dragonpay); and the AMLC report files. Each connector is configured and tested in test mode and switched to live when the Client's partner has certified it, as stated in the chapter Special conditions.</w:t>
      </w:r>
    </w:p>
    <w:p>
      <w:pPr>
        <w:pStyle w:val="Normal"/>
        <w:numPr>
          <w:ilvl w:val="0"/>
          <w:numId w:val="1"/>
        </w:numPr>
        <w:spacing w:before="0" w:after="60"/>
        <w:rPr/>
      </w:pPr>
      <w:r>
        <w:rPr>
          <w:rFonts w:eastAsia="Segoe UI" w:cs="Segoe UI" w:ascii="Segoe UI" w:hAnsi="Segoe UI"/>
          <w:b/>
          <w:color w:val="101820"/>
          <w:sz w:val="21"/>
        </w:rPr>
        <w:t>Environments and release pipeline</w:t>
      </w:r>
      <w:r>
        <w:rPr>
          <w:rFonts w:eastAsia="Segoe UI" w:cs="Segoe UI" w:ascii="Segoe UI" w:hAnsi="Segoe UI"/>
          <w:color w:val="101820"/>
          <w:sz w:val="21"/>
        </w:rPr>
        <w:t>: the environment set of the broker size stated in the Order Form (Dev, UAT and Production for a small or medium broker; Dev, SIT, UAT and Production with high availability for a large or enterprise broker) and a temporary Pre-Prod created from a production backup for the cutover rehearsal and removed after hypercare, hosted as stated in the Order Form; the release pipeline with an approval gate per environment; the application secrets and encryption keys of each environment, held as stated in the chapter Special conditions.</w:t>
      </w:r>
    </w:p>
    <w:p>
      <w:pPr>
        <w:pStyle w:val="Normal"/>
        <w:numPr>
          <w:ilvl w:val="0"/>
          <w:numId w:val="1"/>
        </w:numPr>
        <w:spacing w:before="0" w:after="60"/>
        <w:rPr/>
      </w:pPr>
      <w:r>
        <w:rPr>
          <w:rFonts w:eastAsia="Segoe UI" w:cs="Segoe UI" w:ascii="Segoe UI" w:hAnsi="Segoe UI"/>
          <w:b/>
          <w:color w:val="101820"/>
          <w:sz w:val="21"/>
        </w:rPr>
        <w:t>Training</w:t>
      </w:r>
      <w:r>
        <w:rPr>
          <w:rFonts w:eastAsia="Segoe UI" w:cs="Segoe UI" w:ascii="Segoe UI" w:hAnsi="Segoe UI"/>
          <w:color w:val="101820"/>
          <w:sz w:val="21"/>
        </w:rPr>
        <w:t>: train-the-trainer for key users for the training days of the Client's size (Small 4, Medium 6, Large 10, Enterprise 15), training of the Client's compliance officer, data protection officer and System Administrator on the compliance and privacy screens within those days,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rehearsal, cutover, go-live support and hypercare until the first month-end close.</w:t>
      </w:r>
    </w:p>
    <w:p>
      <w:pPr>
        <w:pStyle w:val="Heading2"/>
        <w:rPr/>
      </w:pPr>
      <w:bookmarkStart w:id="11" w:name="__RefHeading___Toc10326_1732366693"/>
      <w:bookmarkEnd w:id="11"/>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for payment files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Partners to be certified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provider, CTPL authentication provider, insurers for API connection, payment gateway]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Registrations held by the Client at signature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ATP or CAS; AMLC registration; NPC registration; IC licence]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2" w:name="__RefHeading___Toc10328_1732366693"/>
      <w:bookmarkEnd w:id="12"/>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76"/>
        <w:gridCol w:w="523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2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 and kits issued, hosting and environment set decided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pipeline</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size; release pipeline and its approval gates; application secrets and encryption keys; first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compliance, integration and branding workshops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inputs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fills the Configuration Kit, provides the partner contracts and prepares the migration extracts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registrations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confirms or obtains its BIR, AMLC, NPC and Insurance Commission registrations and the confirmation of its tax adviser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validated and loaded; on-screen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Insurance Commission and data privacy registers and settings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brand pack</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documents, e-mails, e-signatures, brand pack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with partners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files, SMS or Viber, CTPL authentication and LTO, insurer systems, payment gateway, BIR EIS, AMLC report files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to the Migration Kit,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compliance officer and DPO training,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and UAT</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 UAT with the Client's own data;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and cutover</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to Production; Pre-Prod from a production backup; rehearsal; go/no-go; cutover; go-live lock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 handover</w:t>
            </w:r>
          </w:p>
        </w:tc>
      </w:tr>
    </w:tbl>
    <w:p>
      <w:pPr>
        <w:pStyle w:val="Heading1"/>
        <w:rPr/>
      </w:pPr>
      <w:r>
        <w:br w:type="page"/>
      </w:r>
      <w:bookmarkStart w:id="13" w:name="__RefHeading___Toc10330_1732366693"/>
      <w:bookmarkEnd w:id="13"/>
      <w:r>
        <w:rPr>
          <w:rFonts w:eastAsia="Segoe UI" w:cs="Segoe UI" w:ascii="Segoe UI" w:hAnsi="Segoe UI"/>
          <w:b/>
          <w:color w:val="0F4761"/>
          <w:sz w:val="32"/>
        </w:rPr>
        <w:t>6.  Deliverables and acceptance</w:t>
      </w:r>
    </w:p>
    <w:p>
      <w:pPr>
        <w:pStyle w:val="Heading2"/>
        <w:rPr/>
      </w:pPr>
      <w:bookmarkStart w:id="14" w:name="__RefHeading___Toc10332_1732366693"/>
      <w:bookmarkEnd w:id="14"/>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blank Configuration and Migration Kits, governance calendar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pipeline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size, environment sheet, release pipeline with approval gates, key custody record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environment; one restore test done; key custody record signed by both Parties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loaded and promoted to UAT; configuration workbook updated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Batches loaded without errors; each item set and checked; test quotation premiums and taxes agree with manual calculations; comparison report shows UAT mirrors the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settings and risk factors, screening lists loaded, Insurance Commission and data privacy registers and settings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confirmed in writing by the Client's compliance officer and DPO; every client screened; one AMLC report test file generated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Branded theme, documents, reports and e-mails; e-signatures mapped; brand pack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and e-mails approved by the Client's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Migration Kits, load history and reconciliation of each mock load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the cutover date agrees with the old system</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and each integration listed in the Implementation size table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received; one statement per bank account imported; for each partner integration, the partner's certification passed or the fallback recorded at the go/no-go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and cutover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cutover checklist, final reconciliation, go/no-go minutes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 the registrations listed in Client responsibilities in place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configuration baseline, handover pack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5" w:name="__RefHeading___Toc10334_1732366693"/>
      <w:bookmarkEnd w:id="15"/>
      <w:r>
        <w:rPr>
          <w:rFonts w:eastAsia="Segoe UI" w:cs="Segoe UI"/>
          <w:b/>
          <w:color w:val="0F4761"/>
          <w:sz w:val="26"/>
        </w:rPr>
        <w:t>6.2  Acceptance procedure</w:t>
      </w:r>
    </w:p>
    <w:p>
      <w:pPr>
        <w:pStyle w:val="Normal"/>
        <w:numPr>
          <w:ilvl w:val="0"/>
          <w:numId w:val="11"/>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2"/>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3"/>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4"/>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5"/>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6"/>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6" w:name="__RefHeading___Toc10336_1732366693"/>
      <w:bookmarkEnd w:id="16"/>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Heading1"/>
        <w:rPr/>
      </w:pPr>
      <w:r>
        <w:br w:type="page"/>
      </w:r>
      <w:bookmarkStart w:id="17" w:name="__RefHeading___Toc10338_1732366693"/>
      <w:bookmarkEnd w:id="17"/>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Accounting Manager, System Administrator, compliance officer and data protection officer, available at least 50% during discovery, UAT and cutover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environment set and decision on any transfer of personal data outside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 chart of accounts and the accountant's mapping decisions, in the Configuration Kit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stated in the plan for the size (on the critical path)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branches and reporting 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CAS registration and the registered serial range of the sales invoices; last numbers 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release to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and credentials, where the Client is covered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EIS connector is switched to 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registration, portal access and institution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of the data protection officer and the data processing systems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of the firm, its officers and agents, and the certificates of authority of the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lists the Client is entitled to use, and any licence of a PEP 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confirmation by the Client's tax adviser of tax codes, rates, ATC and the wording of invoices and receipts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UAT sign-off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contracts and credentials of the partners (banks for payment files, SMS provider, CTPL authentication provider, insurers, payment gateway); COC number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sign-in picture, signatories and their consent to e-signatures; written permission for any third-party marks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Joint custody of the encryption keys with iorta TechNXT, as stated in the chapter Special conditions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Production is provisioned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open claim and trial balance extracts in the Migration Kit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for training, training rooms, devices and attendance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week by which each dependency is needed, for each size, and the effect of a late dependency on the go-live date are stated in the iorta TechNXT Dependency Map and Critical Path, baselined at mobilisation.</w:t>
      </w:r>
      <w:r>
        <w:br w:type="page"/>
      </w:r>
    </w:p>
    <w:p>
      <w:pPr>
        <w:pStyle w:val="Heading1"/>
        <w:rPr/>
      </w:pPr>
      <w:bookmarkStart w:id="18" w:name="__RefHeading___Toc10340_1732366693"/>
      <w:bookmarkEnd w:id="18"/>
      <w:r>
        <w:rPr>
          <w:rFonts w:eastAsia="Segoe UI" w:cs="Segoe UI" w:ascii="Segoe UI" w:hAnsi="Segoe UI"/>
          <w:b/>
          <w:color w:val="0F4761"/>
          <w:sz w:val="32"/>
        </w:rPr>
        <w:t>8.  Assumptions</w:t>
      </w:r>
    </w:p>
    <w:p>
      <w:pPr>
        <w:pStyle w:val="Normal"/>
        <w:numPr>
          <w:ilvl w:val="0"/>
          <w:numId w:val="17"/>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8"/>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9"/>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20"/>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2"/>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Accounting Manager and Compliance Officer (AML/CFT).</w:t>
      </w:r>
    </w:p>
    <w:p>
      <w:pPr>
        <w:pStyle w:val="Normal"/>
        <w:numPr>
          <w:ilvl w:val="0"/>
          <w:numId w:val="23"/>
        </w:numPr>
        <w:spacing w:before="0" w:after="60"/>
        <w:rPr/>
      </w:pPr>
      <w:r>
        <w:rPr>
          <w:rFonts w:eastAsia="Segoe UI" w:cs="Segoe UI" w:ascii="Segoe UI" w:hAnsi="Segoe UI"/>
          <w:color w:val="101820"/>
          <w:sz w:val="21"/>
        </w:rPr>
        <w:t>Testing uses Dev, SIT (large broker), UAT and the temporary Pre-Prod; production receives the release and the frozen configuration before the cutover rehearsal and is used for business only after the go decision.</w:t>
      </w:r>
    </w:p>
    <w:p>
      <w:pPr>
        <w:pStyle w:val="Normal"/>
        <w:numPr>
          <w:ilvl w:val="0"/>
          <w:numId w:val="24"/>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5"/>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p>
    <w:p>
      <w:pPr>
        <w:pStyle w:val="Normal"/>
        <w:numPr>
          <w:ilvl w:val="0"/>
          <w:numId w:val="26"/>
        </w:numPr>
        <w:spacing w:before="0" w:after="60"/>
        <w:rPr/>
      </w:pPr>
      <w:r>
        <w:rPr>
          <w:rFonts w:eastAsia="Segoe UI" w:cs="Segoe UI" w:ascii="Segoe UI" w:hAnsi="Segoe UI"/>
          <w:color w:val="101820"/>
          <w:sz w:val="21"/>
        </w:rPr>
        <w:t>The lead times of regulators and partners stated in the Dependency Map and Critical Path are planning assumptions. Neither Party is responsible for the time a regulator or a partner of the Client takes, but each Party shall act promptly on its own part.</w:t>
      </w:r>
    </w:p>
    <w:p>
      <w:pPr>
        <w:pStyle w:val="Normal"/>
        <w:numPr>
          <w:ilvl w:val="0"/>
          <w:numId w:val="27"/>
        </w:numPr>
        <w:spacing w:before="0" w:after="60"/>
        <w:rPr/>
      </w:pPr>
      <w:r>
        <w:rPr>
          <w:rFonts w:eastAsia="Segoe UI" w:cs="Segoe UI" w:ascii="Segoe UI" w:hAnsi="Segoe UI"/>
          <w:color w:val="101820"/>
          <w:sz w:val="21"/>
        </w:rPr>
        <w:t>The delivered values of the tax codes, the BIR forms and the AML/CFT settings reflect the rules as known at delivery and are confirmed by the Client's tax adviser and compliance officer before go-live.</w:t>
      </w:r>
      <w:r>
        <w:br w:type="page"/>
      </w:r>
    </w:p>
    <w:p>
      <w:pPr>
        <w:pStyle w:val="Heading1"/>
        <w:rPr/>
      </w:pPr>
      <w:bookmarkStart w:id="19" w:name="__RefHeading___Toc10342_1732366693"/>
      <w:bookmarkEnd w:id="19"/>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8"/>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9"/>
        </w:numPr>
        <w:spacing w:before="0" w:after="60"/>
        <w:rPr/>
      </w:pPr>
      <w:r>
        <w:rPr>
          <w:rFonts w:eastAsia="Segoe UI" w:cs="Segoe UI" w:ascii="Segoe UI" w:hAnsi="Segoe UI"/>
          <w:color w:val="101820"/>
          <w:sz w:val="21"/>
        </w:rPr>
        <w:t>Integrations other than the delivered connectors, for example with core banking, accounting packages, BIR eFPS or eBIRForms, an IC system, or payment gateways other than PayMongo and Dragonpay; and the partners' own work, certification and fees. The go-live of a delivered connector with its partner (SMS or Viber gateway, CTPL provider and LTO, an insurer's API, a bank's payment file, the BIR EIS, a screening list provider) is an optional module or partner service of the Rate Annex (S08) that the Client may order on the Order Form.</w:t>
      </w:r>
    </w:p>
    <w:p>
      <w:pPr>
        <w:pStyle w:val="Normal"/>
        <w:numPr>
          <w:ilvl w:val="0"/>
          <w:numId w:val="30"/>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3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32"/>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3"/>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4"/>
        </w:numPr>
        <w:spacing w:before="0" w:after="60"/>
        <w:rPr/>
      </w:pPr>
      <w:r>
        <w:rPr>
          <w:rFonts w:eastAsia="Segoe UI" w:cs="Segoe UI" w:ascii="Segoe UI" w:hAnsi="Segoe UI"/>
          <w:color w:val="101820"/>
          <w:sz w:val="21"/>
        </w:rPr>
        <w:t>Regulatory filings and registrations: BIR returns, alphalists and data files, Computerized Accounting System registration, Authority to Print, EIS enrolment, IC reports and licences, NPC registration and breach notifications, AMLC registration and reports. The system prepares them; filing remains with the Client. Support for these steps (AMLC reporting file validation and portal test, IC annual statement form alignment, EOPT invoicing review with the Client's tax adviser, BIR CAS registration support, BIR EIS enrolment and certification, activation of the AML/CFT toolkit, the IC compliance registers and the BIR pack) is an optional module or partner service of the Rate Annex (S08) that the Client may order on the Order Form; the regulator's fees and the filing in the Client's name stay with the Client.</w:t>
      </w:r>
    </w:p>
    <w:p>
      <w:pPr>
        <w:pStyle w:val="Normal"/>
        <w:numPr>
          <w:ilvl w:val="0"/>
          <w:numId w:val="35"/>
        </w:numPr>
        <w:spacing w:before="0" w:after="60"/>
        <w:rPr/>
      </w:pPr>
      <w:r>
        <w:rPr>
          <w:rFonts w:eastAsia="Segoe UI" w:cs="Segoe UI" w:ascii="Segoe UI" w:hAnsi="Segoe UI"/>
          <w:color w:val="101820"/>
          <w:sz w:val="21"/>
        </w:rPr>
        <w:t>The content of screening lists and any licence of a list of politically exposed persons; no list content is delivered with iNXT BrokerVerse.</w:t>
      </w:r>
    </w:p>
    <w:p>
      <w:pPr>
        <w:pStyle w:val="Normal"/>
        <w:numPr>
          <w:ilvl w:val="0"/>
          <w:numId w:val="36"/>
        </w:numPr>
        <w:spacing w:before="0" w:after="60"/>
        <w:rPr/>
      </w:pPr>
      <w:r>
        <w:rPr>
          <w:rFonts w:eastAsia="Segoe UI" w:cs="Segoe UI" w:ascii="Segoe UI" w:hAnsi="Segoe UI"/>
          <w:color w:val="101820"/>
          <w:sz w:val="21"/>
        </w:rPr>
        <w:t>Tax, legal, actuarial or audit advice.</w:t>
      </w:r>
    </w:p>
    <w:p>
      <w:pPr>
        <w:pStyle w:val="Normal"/>
        <w:numPr>
          <w:ilvl w:val="0"/>
          <w:numId w:val="37"/>
        </w:numPr>
        <w:spacing w:before="0" w:after="60"/>
        <w:rPr/>
      </w:pPr>
      <w:r>
        <w:rPr>
          <w:rFonts w:eastAsia="Segoe UI" w:cs="Segoe UI" w:ascii="Segoe UI" w:hAnsi="Segoe UI"/>
          <w:color w:val="101820"/>
          <w:sz w:val="21"/>
        </w:rPr>
        <w:t>Translation of the screens.</w:t>
      </w:r>
    </w:p>
    <w:p>
      <w:pPr>
        <w:pStyle w:val="Normal"/>
        <w:numPr>
          <w:ilvl w:val="0"/>
          <w:numId w:val="38"/>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9"/>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20" w:name="__RefHeading___Toc10344_1732366693"/>
      <w:bookmarkEnd w:id="20"/>
      <w:r>
        <w:rPr>
          <w:rFonts w:eastAsia="Segoe UI" w:cs="Segoe UI" w:ascii="Segoe UI" w:hAnsi="Segoe UI"/>
          <w:b/>
          <w:color w:val="0F4761"/>
          <w:sz w:val="32"/>
        </w:rPr>
        <w:t>10.  Timeline by size</w:t>
      </w:r>
    </w:p>
    <w:p>
      <w:pPr>
        <w:pStyle w:val="Heading2"/>
        <w:rPr/>
      </w:pPr>
      <w:bookmarkStart w:id="21" w:name="__RefHeading___Toc10346_1732366693"/>
      <w:bookmarkEnd w:id="21"/>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3124"/>
        <w:gridCol w:w="3083"/>
        <w:gridCol w:w="167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1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(16-week variant where agreed at mobilisation)</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(week 13 in the 16-week variant)</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15 to 20 (13 to 16)</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weeks, or as planned at mobilisation</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21</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21 to 26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2" w:name="__RefHeading___Toc10348_1732366693"/>
      <w:bookmarkEnd w:id="22"/>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67"/>
        <w:gridCol w:w="906"/>
        <w:gridCol w:w="907"/>
        <w:gridCol w:w="1387"/>
        <w:gridCol w:w="1847"/>
      </w:tblGrid>
      <w:tr>
        <w:trPr>
          <w:tblHeader w:val="true"/>
        </w:trPr>
        <w:tc>
          <w:tcPr>
            <w:tcW w:w="39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Milestone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 (20 weeks)</w:t>
            </w:r>
          </w:p>
        </w:tc>
        <w:tc>
          <w:tcPr>
            <w:tcW w:w="1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 (26 weeks)</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workbook and fit-gap register signed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3</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4</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6</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complete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6</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10</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13</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7</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12</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16</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 decision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9</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14</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20</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10</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15</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21</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12</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20</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plan is the task-level plan of the Implementation Approach and Plan and its workbook for the size, baselined at mobilisation. Planned start date: [date]. Target go-live date: [date].</w:t>
      </w:r>
      <w:r>
        <w:br w:type="page"/>
      </w:r>
    </w:p>
    <w:p>
      <w:pPr>
        <w:pStyle w:val="Heading1"/>
        <w:rPr/>
      </w:pPr>
      <w:bookmarkStart w:id="23" w:name="__RefHeading___Toc10350_1732366693"/>
      <w:bookmarkEnd w:id="23"/>
      <w:r>
        <w:rPr>
          <w:rFonts w:eastAsia="Segoe UI" w:cs="Segoe UI" w:ascii="Segoe UI" w:hAnsi="Segoe UI"/>
          <w:b/>
          <w:color w:val="0F4761"/>
          <w:sz w:val="32"/>
        </w:rPr>
        <w:t>11.  Governance</w:t>
      </w:r>
    </w:p>
    <w:p>
      <w:pPr>
        <w:pStyle w:val="Normal"/>
        <w:numPr>
          <w:ilvl w:val="0"/>
          <w:numId w:val="40"/>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41"/>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42"/>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43"/>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4" w:name="__RefHeading___Toc10352_1732366693"/>
      <w:bookmarkEnd w:id="24"/>
      <w:r>
        <w:rPr>
          <w:rFonts w:eastAsia="Segoe UI" w:cs="Segoe UI" w:ascii="Segoe UI" w:hAnsi="Segoe UI"/>
          <w:b/>
          <w:color w:val="0F4761"/>
          <w:sz w:val="32"/>
        </w:rPr>
        <w:t>12.  Fees and milestone payments</w:t>
      </w:r>
    </w:p>
    <w:p>
      <w:pPr>
        <w:pStyle w:val="Heading2"/>
        <w:rPr/>
      </w:pPr>
      <w:bookmarkStart w:id="25" w:name="__RefHeading___Toc10354_1732366693"/>
      <w:bookmarkEnd w:id="25"/>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6" w:name="__RefHeading___Toc10356_1732366693"/>
      <w:bookmarkEnd w:id="26"/>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4"/>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5"/>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6"/>
        </w:numPr>
        <w:spacing w:before="0" w:after="60"/>
        <w:rPr/>
      </w:pPr>
      <w:r>
        <w:rPr>
          <w:rFonts w:eastAsia="Segoe UI" w:cs="Segoe UI" w:ascii="Segoe UI" w:hAnsi="Segoe UI"/>
          <w:color w:val="101820"/>
          <w:sz w:val="21"/>
        </w:rPr>
        <w:t>Optional services in the Order Form (extra training days, legacy data sources, additional integrations, environment set-up, on-site days) are invoiced on delivery or as quoted.</w:t>
      </w:r>
    </w:p>
    <w:p>
      <w:pPr>
        <w:pStyle w:val="Normal"/>
        <w:numPr>
          <w:ilvl w:val="0"/>
          <w:numId w:val="47"/>
        </w:numPr>
        <w:spacing w:before="0" w:after="60"/>
        <w:rPr/>
      </w:pPr>
      <w:r>
        <w:rPr>
          <w:rFonts w:eastAsia="Segoe UI" w:cs="Segoe UI" w:ascii="Segoe UI" w:hAnsi="Segoe UI"/>
          <w:color w:val="101820"/>
          <w:sz w:val="21"/>
        </w:rPr>
        <w:t>Optional modules and partner services in the Order Form are invoiced on delivery of each service at the rates of the Service Catalogue and Rate Annex (S08): connector go-live with a partner (PHP 80,000.00 per connector); activation of the AML/CFT toolkit (PHP 130,000.00); activation of the IC compliance registers (PHP 100,000.00); activation of the BIR pack (PHP 130,000.00); dealer programme set-up (PHP 50,000.00 per programme); Client brand pack (PHP 30,000.00 per pack); AMLC reporting file validation and portal test (PHP 50,000.00); IC annual statement form alignment (PHP 50,000.00); EOPT invoicing review with the Client's tax adviser (PHP 30,000.00); BIR CAS registration support (PHP 60,000.00); BIR EIS enrolment and certification (PHP 80,000.00); CTPL authentication and LTO interface certification (PHP 60,000.00); insurer API onboarding (PHP 50,000.00 per insurer); bank payment file certification (PHP 30,000.00 per bank); SMS or Viber gateway activation (PHP 20,000.00); screening list provider onboarding (PHP 30,000.00). The fees of the regulator or the partner are not included and are paid by the Client directly.</w:t>
      </w:r>
    </w:p>
    <w:p>
      <w:pPr>
        <w:pStyle w:val="Normal"/>
        <w:numPr>
          <w:ilvl w:val="0"/>
          <w:numId w:val="48"/>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7" w:name="__RefHeading___Toc10358_1732366693"/>
      <w:bookmarkEnd w:id="27"/>
      <w:r>
        <w:rPr>
          <w:rFonts w:eastAsia="Segoe UI" w:cs="Segoe UI" w:ascii="Segoe UI" w:hAnsi="Segoe UI"/>
          <w:b/>
          <w:color w:val="0F4761"/>
          <w:sz w:val="32"/>
        </w:rPr>
        <w:t>13.  Change control</w:t>
      </w:r>
    </w:p>
    <w:p>
      <w:pPr>
        <w:pStyle w:val="Normal"/>
        <w:numPr>
          <w:ilvl w:val="0"/>
          <w:numId w:val="49"/>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50"/>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51"/>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52"/>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8" w:name="__RefHeading___Toc10360_1732366693"/>
      <w:bookmarkEnd w:id="28"/>
      <w:r>
        <w:rPr>
          <w:rFonts w:eastAsia="Segoe UI" w:cs="Segoe UI" w:ascii="Segoe UI" w:hAnsi="Segoe UI"/>
          <w:b/>
          <w:color w:val="0F4761"/>
          <w:sz w:val="32"/>
        </w:rPr>
        <w:t>14.  Special conditions</w:t>
      </w:r>
    </w:p>
    <w:p>
      <w:pPr>
        <w:pStyle w:val="Normal"/>
        <w:numPr>
          <w:ilvl w:val="0"/>
          <w:numId w:val="53"/>
        </w:numPr>
        <w:spacing w:before="0" w:after="60"/>
        <w:rPr/>
      </w:pPr>
      <w:r>
        <w:rPr>
          <w:rFonts w:eastAsia="Segoe UI" w:cs="Segoe UI" w:ascii="Segoe UI" w:hAnsi="Segoe UI"/>
          <w:b/>
          <w:color w:val="101820"/>
          <w:sz w:val="21"/>
        </w:rPr>
        <w:t>Third-party marks.</w:t>
      </w:r>
      <w:r>
        <w:rPr>
          <w:rFonts w:eastAsia="Segoe UI" w:cs="Segoe UI" w:ascii="Segoe UI" w:hAnsi="Segoe UI"/>
          <w:color w:val="101820"/>
          <w:sz w:val="21"/>
        </w:rPr>
        <w:t xml:space="preserve"> iorta TechNXT applies a brand pack that carries the name, logo or other marks of a third party (for example the Toyota Insurance Services brand pack) only in the Client's own environments, and only after the Client has given iorta TechNXT a copy of the written permission of the owner of those marks. The Client warrants that the permission covers the use made in iNXT BrokerVerse and indemnifies iorta TechNXT against any claim arising from the use of marks supplied by the Client.</w:t>
      </w:r>
    </w:p>
    <w:p>
      <w:pPr>
        <w:pStyle w:val="Normal"/>
        <w:numPr>
          <w:ilvl w:val="0"/>
          <w:numId w:val="54"/>
        </w:numPr>
        <w:spacing w:before="0" w:after="60"/>
        <w:rPr/>
      </w:pPr>
      <w:r>
        <w:rPr>
          <w:rFonts w:eastAsia="Segoe UI" w:cs="Segoe UI" w:ascii="Segoe UI" w:hAnsi="Segoe UI"/>
          <w:b/>
          <w:color w:val="101820"/>
          <w:sz w:val="21"/>
        </w:rPr>
        <w:t>Encryption keys.</w:t>
      </w:r>
      <w:r>
        <w:rPr>
          <w:rFonts w:eastAsia="Segoe UI" w:cs="Segoe UI" w:ascii="Segoe UI" w:hAnsi="Segoe UI"/>
          <w:color w:val="101820"/>
          <w:sz w:val="21"/>
        </w:rPr>
        <w:t xml:space="preserve"> Each environment has its own application secrets and encryption keys, including the key that encrypts tax identification, government identification and bank account numbers at rest. Before Production is provisioned, the Parties sign a key custody record that states who holds the escrow copy of each production key under dual control, where it is kept with the backups, and how a key is rotated. A key is never sent by e-mail, ticket or chat. Where the Client hosts, the Client holds the keys and is responsible for keeping them with its backups.</w:t>
      </w:r>
    </w:p>
    <w:p>
      <w:pPr>
        <w:pStyle w:val="Normal"/>
        <w:numPr>
          <w:ilvl w:val="0"/>
          <w:numId w:val="55"/>
        </w:numPr>
        <w:spacing w:before="0" w:after="60"/>
        <w:rPr/>
      </w:pPr>
      <w:r>
        <w:rPr>
          <w:rFonts w:eastAsia="Segoe UI" w:cs="Segoe UI" w:ascii="Segoe UI" w:hAnsi="Segoe UI"/>
          <w:b/>
          <w:color w:val="101820"/>
          <w:sz w:val="21"/>
        </w:rPr>
        <w:t>Partner certification.</w:t>
      </w:r>
      <w:r>
        <w:rPr>
          <w:rFonts w:eastAsia="Segoe UI" w:cs="Segoe UI" w:ascii="Segoe UI" w:hAnsi="Segoe UI"/>
          <w:color w:val="101820"/>
          <w:sz w:val="21"/>
        </w:rPr>
        <w:t xml:space="preserve"> Each delivered connector is configured and tested in test mode. Its certification with the Client's partner depends on that partner. If a partner has not certified its interface by the go/no-go, go-live proceeds with the fallback recorded in the go/no-go minutes, and the connector is switched to live during hypercare or under the Support Agreement, without a Change Request where the effort stays within the configuration of the delivered connector.</w:t>
      </w:r>
    </w:p>
    <w:p>
      <w:pPr>
        <w:pStyle w:val="Normal"/>
        <w:numPr>
          <w:ilvl w:val="0"/>
          <w:numId w:val="56"/>
        </w:numPr>
        <w:spacing w:before="0" w:after="60"/>
        <w:rPr/>
      </w:pPr>
      <w:r>
        <w:rPr>
          <w:rFonts w:eastAsia="Segoe UI" w:cs="Segoe UI" w:ascii="Segoe UI" w:hAnsi="Segoe UI"/>
          <w:b/>
          <w:color w:val="101820"/>
          <w:sz w:val="21"/>
        </w:rPr>
        <w:t>Regulatory registrations.</w:t>
      </w:r>
      <w:r>
        <w:rPr>
          <w:rFonts w:eastAsia="Segoe UI" w:cs="Segoe UI" w:ascii="Segoe UI" w:hAnsi="Segoe UI"/>
          <w:color w:val="101820"/>
          <w:sz w:val="21"/>
        </w:rPr>
        <w:t xml:space="preserve"> The registrations listed in Client responsibilities are obligations of the Client towards the regulators. A registration that is not in place by the date of the plan is a late Client dependency under the chapter Change control.</w:t>
      </w:r>
    </w:p>
    <w:p>
      <w:pPr>
        <w:pStyle w:val="Normal"/>
        <w:numPr>
          <w:ilvl w:val="0"/>
          <w:numId w:val="57"/>
        </w:numPr>
        <w:spacing w:before="0" w:after="60"/>
        <w:rPr/>
      </w:pPr>
      <w:r>
        <w:rPr>
          <w:rFonts w:eastAsia="Segoe UI" w:cs="Segoe UI" w:ascii="Segoe UI" w:hAnsi="Segoe UI"/>
          <w:b/>
          <w:color w:val="101820"/>
          <w:sz w:val="21"/>
        </w:rPr>
        <w:t>Non-production copies.</w:t>
      </w:r>
      <w:r>
        <w:rPr>
          <w:rFonts w:eastAsia="Segoe UI" w:cs="Segoe UI" w:ascii="Segoe UI" w:hAnsi="Segoe UI"/>
          <w:color w:val="101820"/>
          <w:sz w:val="21"/>
        </w:rPr>
        <w:t xml:space="preserve"> A copy of production data is used in a non-production environment only after masking with the delivered masking tool, approved by the Client's data protection officer, except in the temporary Pre-Prod when only persons with production access use it.</w:t>
      </w:r>
      <w:r>
        <w:br w:type="page"/>
      </w:r>
    </w:p>
    <w:p>
      <w:pPr>
        <w:pStyle w:val="Heading1"/>
        <w:rPr/>
      </w:pPr>
      <w:bookmarkStart w:id="29" w:name="__RefHeading___Toc10362_1732366693"/>
      <w:bookmarkEnd w:id="29"/>
      <w:r>
        <w:rPr>
          <w:rFonts w:eastAsia="Segoe UI" w:cs="Segoe UI" w:ascii="Segoe UI" w:hAnsi="Segoe UI"/>
          <w:b/>
          <w:color w:val="0F4761"/>
          <w:sz w:val="32"/>
        </w:rPr>
        <w:t>15.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0" w:name="__RefHeading___Toc10364_1732366693"/>
      <w:bookmarkEnd w:id="30"/>
      <w:r>
        <w:rPr>
          <w:rFonts w:eastAsia="Segoe UI" w:cs="Segoe UI" w:ascii="Segoe UI" w:hAnsi="Segoe UI"/>
          <w:b/>
          <w:color w:val="0F4761"/>
          <w:sz w:val="32"/>
        </w:rPr>
        <w:t>16.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Heading1"/>
        <w:rPr/>
      </w:pPr>
      <w:r>
        <w:br w:type="page"/>
      </w:r>
      <w:bookmarkStart w:id="31" w:name="__RefHeading___Toc10366_1732366693"/>
      <w:bookmarkEnd w:id="31"/>
      <w:r>
        <w:rPr>
          <w:rFonts w:eastAsia="Segoe UI" w:cs="Segoe UI" w:ascii="Segoe UI" w:hAnsi="Segoe UI"/>
          <w:b/>
          <w:color w:val="0F4761"/>
          <w:sz w:val="32"/>
        </w:rPr>
        <w:t>17.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2" w:name="__RefHeading___Toc10368_1732366693"/>
      <w:bookmarkStart w:id="33" w:name="_Toc233203395"/>
      <w:bookmarkEnd w:id="32"/>
      <w:r>
        <w:rPr>
          <w:rStyle w:val="BookTitle"/>
          <w:bCs w:val="false"/>
          <w:i w:val="false"/>
          <w:iCs w:val="false"/>
          <w:spacing w:val="0"/>
        </w:rPr>
        <w:t>18.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num>
  <w:num w:numId="17">
    <w:abstractNumId w:val="1"/>
    <w:lvlOverride w:ilvl="0">
      <w:startOverride w:val="1"/>
    </w:lvlOverride>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 w:numId="48">
    <w:abstractNumId w:val="1"/>
  </w:num>
  <w:num w:numId="49">
    <w:abstractNumId w:val="1"/>
    <w:lvlOverride w:ilvl="0">
      <w:startOverride w:val="1"/>
    </w:lvlOverride>
  </w:num>
  <w:num w:numId="50">
    <w:abstractNumId w:val="1"/>
  </w:num>
  <w:num w:numId="51">
    <w:abstractNumId w:val="1"/>
  </w:num>
  <w:num w:numId="52">
    <w:abstractNumId w:val="1"/>
  </w:num>
  <w:num w:numId="53">
    <w:abstractNumId w:val="1"/>
    <w:lvlOverride w:ilvl="0">
      <w:startOverride w:val="1"/>
    </w:lvlOverride>
  </w:num>
  <w:num w:numId="54">
    <w:abstractNumId w:val="1"/>
  </w:num>
  <w:num w:numId="55">
    <w:abstractNumId w:val="1"/>
  </w:num>
  <w:num w:numId="56">
    <w:abstractNumId w:val="1"/>
  </w:num>
  <w:num w:numId="5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2026-10-04T12:35:05Z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