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behindDoc="1" distT="0" distB="0" distL="0" distR="0" simplePos="0" locked="0" layoutInCell="0" allowOverlap="1" relativeHeight="15">
            <wp:simplePos x="0" y="0"/>
            <wp:positionH relativeFrom="margin">
              <wp:posOffset>-914400</wp:posOffset>
            </wp:positionH>
            <wp:positionV relativeFrom="margin">
              <wp:posOffset>-914400</wp:posOffset>
            </wp:positionV>
            <wp:extent cx="7553960" cy="10685145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960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6">
            <wp:simplePos x="0" y="0"/>
            <wp:positionH relativeFrom="margin">
              <wp:align>center</wp:align>
            </wp:positionH>
            <wp:positionV relativeFrom="margin">
              <wp:posOffset>244475</wp:posOffset>
            </wp:positionV>
            <wp:extent cx="2000250" cy="568325"/>
            <wp:effectExtent l="0" t="0" r="0" b="0"/>
            <wp:wrapNone/>
            <wp:docPr id="2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45720" distB="45720" distL="114300" distR="114300" simplePos="0" locked="0" layoutInCell="0" allowOverlap="1" relativeHeight="16" wp14:anchorId="3D43415C">
                <wp:simplePos x="0" y="0"/>
                <wp:positionH relativeFrom="page">
                  <wp:posOffset>194310</wp:posOffset>
                </wp:positionH>
                <wp:positionV relativeFrom="paragraph">
                  <wp:posOffset>4124960</wp:posOffset>
                </wp:positionV>
                <wp:extent cx="2599690" cy="266700"/>
                <wp:effectExtent l="0" t="0" r="0" b="0"/>
                <wp:wrapSquare wrapText="bothSides"/>
                <wp:docPr id="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560" cy="26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Prepared by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>iorta TechNXT Corp.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15.3pt;margin-top:324.8pt;width:204.65pt;height:20.95pt;mso-wrap-style:square;v-text-anchor:top;mso-position-horizontal-relative:page" wp14:anchorId="3D43415C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</w:rPr>
                      </w:pPr>
                      <w:r>
                        <w:rPr>
                          <w:color w:val="1D74BA"/>
                        </w:rPr>
                        <w:t xml:space="preserve">Prepared by – </w:t>
                      </w:r>
                      <w:r>
                        <w:rPr>
                          <w:b/>
                          <w:bCs/>
                          <w:color w:val="1D74BA"/>
                        </w:rPr>
                        <w:t>iorta TechNXT Corp.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5720" distL="113030" distR="114935" simplePos="0" locked="0" layoutInCell="0" allowOverlap="1" relativeHeight="18" wp14:anchorId="58C23128">
                <wp:simplePos x="0" y="0"/>
                <wp:positionH relativeFrom="page">
                  <wp:posOffset>3094990</wp:posOffset>
                </wp:positionH>
                <wp:positionV relativeFrom="paragraph">
                  <wp:posOffset>4124960</wp:posOffset>
                </wp:positionV>
                <wp:extent cx="1599565" cy="266700"/>
                <wp:effectExtent l="0" t="0" r="0" b="0"/>
                <wp:wrapSquare wrapText="bothSides"/>
                <wp:docPr id="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480" cy="26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Version -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>1.1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243.7pt;margin-top:324.8pt;width:125.9pt;height:20.95pt;mso-wrap-style:square;v-text-anchor:top;mso-position-horizontal-relative:page" wp14:anchorId="58C23128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</w:rPr>
                      </w:pPr>
                      <w:r>
                        <w:rPr>
                          <w:color w:val="1D74BA"/>
                        </w:rPr>
                        <w:t xml:space="preserve">Version - </w:t>
                      </w:r>
                      <w:r>
                        <w:rPr>
                          <w:b/>
                          <w:bCs/>
                          <w:color w:val="1D74BA"/>
                        </w:rPr>
                        <w:t>1.1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5720" distL="114300" distR="113665" simplePos="0" locked="0" layoutInCell="0" allowOverlap="1" relativeHeight="20" wp14:anchorId="1BF25123">
                <wp:simplePos x="0" y="0"/>
                <wp:positionH relativeFrom="page">
                  <wp:posOffset>4992370</wp:posOffset>
                </wp:positionH>
                <wp:positionV relativeFrom="paragraph">
                  <wp:posOffset>4124960</wp:posOffset>
                </wp:positionV>
                <wp:extent cx="2400300" cy="266700"/>
                <wp:effectExtent l="0" t="0" r="0" b="0"/>
                <wp:wrapSquare wrapText="bothSides"/>
                <wp:docPr id="5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480" cy="26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Date -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>04 October 2026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393.1pt;margin-top:324.8pt;width:188.95pt;height:20.95pt;mso-wrap-style:square;v-text-anchor:top;mso-position-horizontal-relative:page" wp14:anchorId="1BF25123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</w:rPr>
                      </w:pPr>
                      <w:r>
                        <w:rPr>
                          <w:color w:val="1D74BA"/>
                        </w:rPr>
                        <w:t xml:space="preserve">Date - </w:t>
                      </w:r>
                      <w:r>
                        <w:rPr>
                          <w:b/>
                          <w:bCs/>
                          <w:color w:val="1D74BA"/>
                        </w:rPr>
                        <w:t>04 October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6355" distL="114300" distR="114300" simplePos="0" locked="0" layoutInCell="0" allowOverlap="1" relativeHeight="22" wp14:anchorId="01DE2BF4">
                <wp:simplePos x="0" y="0"/>
                <wp:positionH relativeFrom="margin">
                  <wp:align>center</wp:align>
                </wp:positionH>
                <wp:positionV relativeFrom="paragraph">
                  <wp:posOffset>1291590</wp:posOffset>
                </wp:positionV>
                <wp:extent cx="4528820" cy="1249680"/>
                <wp:effectExtent l="0" t="0" r="0" b="0"/>
                <wp:wrapSquare wrapText="bothSides"/>
                <wp:docPr id="6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00" cy="124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color w:val="1D74BA"/>
                                <w:sz w:val="36"/>
                                <w:szCs w:val="36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D74BA"/>
                                <w:sz w:val="36"/>
                                <w:szCs w:val="36"/>
                                <w:lang w:val="en-MY"/>
                              </w:rPr>
                              <w:t>Order Form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  <w:sz w:val="56"/>
                                <w:szCs w:val="56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47.35pt;margin-top:101.7pt;width:356.55pt;height:98.35pt;mso-wrap-style:square;v-text-anchor:top;mso-position-horizontal:center;mso-position-horizontal-relative:margin" wp14:anchorId="01DE2BF4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Cs/>
                          <w:color w:val="1D74BA"/>
                          <w:sz w:val="36"/>
                          <w:szCs w:val="36"/>
                          <w:lang w:val="en-MY"/>
                        </w:rPr>
                      </w:pPr>
                      <w:r>
                        <w:rPr>
                          <w:b/>
                          <w:bCs/>
                          <w:color w:val="1D74BA"/>
                          <w:sz w:val="36"/>
                          <w:szCs w:val="36"/>
                          <w:lang w:val="en-MY"/>
                        </w:rPr>
                        <w:t>Order Form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  <w:sz w:val="56"/>
                          <w:szCs w:val="56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50800" distL="114300" distR="114300" simplePos="0" locked="0" layoutInCell="0" allowOverlap="1" relativeHeight="24" wp14:anchorId="204C02CC">
                <wp:simplePos x="0" y="0"/>
                <wp:positionH relativeFrom="margin">
                  <wp:align>center</wp:align>
                </wp:positionH>
                <wp:positionV relativeFrom="paragraph">
                  <wp:posOffset>1979295</wp:posOffset>
                </wp:positionV>
                <wp:extent cx="4528820" cy="337820"/>
                <wp:effectExtent l="0" t="0" r="0" b="5080"/>
                <wp:wrapSquare wrapText="bothSides"/>
                <wp:docPr id="7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00" cy="33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071B2C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71B2C"/>
                                <w:sz w:val="36"/>
                                <w:szCs w:val="36"/>
                              </w:rPr>
                              <w:t>iNXT BrokerVerse OOTB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47.35pt;margin-top:155.85pt;width:356.55pt;height:26.55pt;mso-wrap-style:square;v-text-anchor:top;mso-position-horizontal:center;mso-position-horizontal-relative:margin" wp14:anchorId="204C02CC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071B2C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71B2C"/>
                          <w:sz w:val="36"/>
                          <w:szCs w:val="36"/>
                        </w:rPr>
                        <w:t>iNXT BrokerVerse OOTB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br w:type="page"/>
      </w:r>
    </w:p>
    <w:p>
      <w:pPr>
        <w:pStyle w:val="TOCHeading"/>
        <w:tabs>
          <w:tab w:val="clear" w:pos="720"/>
          <w:tab w:val="left" w:pos="1991" w:leader="none"/>
          <w:tab w:val="center" w:pos="4725" w:leader="none"/>
          <w:tab w:val="right" w:pos="9450" w:leader="none"/>
        </w:tabs>
        <w:spacing w:before="0" w:after="0"/>
        <w:rPr>
          <w:rFonts w:ascii="Segoe UI" w:hAnsi="Segoe UI" w:cs="Segoe UI"/>
          <w:b/>
          <w:color w:val="003399"/>
        </w:rPr>
      </w:pPr>
      <w:r>
        <w:rPr>
          <w:rFonts w:eastAsia="Arial" w:cs="Segoe UI" w:ascii="Segoe UI" w:hAnsi="Segoe UI"/>
          <w:b/>
          <w:color w:val="003399"/>
        </w:rPr>
        <w:t>TABLE OF CONTENTS</w:t>
      </w:r>
    </w:p>
    <w:p>
      <w:pPr>
        <w:pStyle w:val="Normal"/>
        <w:rPr>
          <w:rFonts w:ascii="Segoe UI" w:hAnsi="Segoe UI" w:cs="Segoe UI"/>
          <w:color w:val="101820"/>
        </w:rPr>
      </w:pPr>
      <w:r>
        <w:rPr>
          <w:rFonts w:cs="Segoe UI" w:ascii="Segoe UI" w:hAnsi="Segoe UI"/>
          <w:color w:val="101820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915_3615388031">
            <w:r>
              <w:rPr>
                <w:webHidden/>
                <w:rStyle w:val="IndexLink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>1. Document Control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17_3615388031">
            <w:r>
              <w:rPr>
                <w:webHidden/>
                <w:rStyle w:val="IndexLink"/>
                <w:i w:val="false"/>
                <w:iCs w:val="false"/>
              </w:rPr>
              <w:t>2. Acronyms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19_3615388031">
            <w:r>
              <w:rPr>
                <w:webHidden/>
                <w:rStyle w:val="IndexLink"/>
              </w:rPr>
              <w:t>3. About this template</w:t>
              <w:tab/>
              <w:t>4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21_3615388031">
            <w:r>
              <w:rPr>
                <w:webHidden/>
                <w:rStyle w:val="IndexLink"/>
              </w:rPr>
              <w:t>4. Order details</w:t>
              <w:tab/>
              <w:t>5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23_3615388031">
            <w:r>
              <w:rPr>
                <w:webHidden/>
                <w:rStyle w:val="IndexLink"/>
              </w:rPr>
              <w:t>4.1 Parties and reference</w:t>
              <w:tab/>
              <w:t>5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25_3615388031">
            <w:r>
              <w:rPr>
                <w:webHidden/>
                <w:rStyle w:val="IndexLink"/>
              </w:rPr>
              <w:t>4.2 Products and model</w:t>
              <w:tab/>
              <w:t>5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27_3615388031">
            <w:r>
              <w:rPr>
                <w:webHidden/>
                <w:rStyle w:val="IndexLink"/>
              </w:rPr>
              <w:t>4.3 Term and dates</w:t>
              <w:tab/>
              <w:t>5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29_3615388031">
            <w:r>
              <w:rPr>
                <w:webHidden/>
                <w:rStyle w:val="IndexLink"/>
              </w:rPr>
              <w:t>5. Fees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31_3615388031">
            <w:r>
              <w:rPr>
                <w:webHidden/>
                <w:rStyle w:val="IndexLink"/>
              </w:rPr>
              <w:t>5.1 One-time fees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33_3615388031">
            <w:r>
              <w:rPr>
                <w:webHidden/>
                <w:rStyle w:val="IndexLink"/>
              </w:rPr>
              <w:t>5.2 Optional modules and partner services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35_3615388031">
            <w:r>
              <w:rPr>
                <w:webHidden/>
                <w:rStyle w:val="IndexLink"/>
              </w:rPr>
              <w:t>5.3 Recurring fees</w:t>
              <w:tab/>
              <w:t>7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37_3615388031">
            <w:r>
              <w:rPr>
                <w:webHidden/>
                <w:rStyle w:val="IndexLink"/>
              </w:rPr>
              <w:t>5.4 Contract value</w:t>
              <w:tab/>
              <w:t>7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39_3615388031">
            <w:r>
              <w:rPr>
                <w:webHidden/>
                <w:rStyle w:val="IndexLink"/>
              </w:rPr>
              <w:t>5.5 Payment schedule</w:t>
              <w:tab/>
              <w:t>7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41_3615388031">
            <w:r>
              <w:rPr>
                <w:webHidden/>
                <w:rStyle w:val="IndexLink"/>
              </w:rPr>
              <w:t>5.6 Conditions of discounts</w:t>
              <w:tab/>
              <w:t>8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43_3615388031">
            <w:r>
              <w:rPr>
                <w:webHidden/>
                <w:rStyle w:val="IndexLink"/>
              </w:rPr>
              <w:t>6. Schedules and special terms</w:t>
              <w:tab/>
              <w:t>9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45_3615388031">
            <w:r>
              <w:rPr>
                <w:webHidden/>
                <w:rStyle w:val="IndexLink"/>
              </w:rPr>
              <w:t>6.1 Schedules that apply</w:t>
              <w:tab/>
              <w:t>9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47_3615388031">
            <w:r>
              <w:rPr>
                <w:webHidden/>
                <w:rStyle w:val="IndexLink"/>
              </w:rPr>
              <w:t>6.2 Special terms</w:t>
              <w:tab/>
              <w:t>9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49_3615388031">
            <w:r>
              <w:rPr>
                <w:webHidden/>
                <w:rStyle w:val="IndexLink"/>
              </w:rPr>
              <w:t>6.3 Price basis</w:t>
              <w:tab/>
              <w:t>9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51_3615388031">
            <w:r>
              <w:rPr>
                <w:webHidden/>
                <w:rStyle w:val="IndexLink"/>
              </w:rPr>
              <w:t>7. Signatures</w:t>
              <w:tab/>
              <w:t>10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2953_3615388031">
            <w:r>
              <w:rPr>
                <w:webHidden/>
                <w:rStyle w:val="IndexLink"/>
                <w:i w:val="false"/>
                <w:iCs w:val="false"/>
              </w:rPr>
              <w:t>8. Document Sign-Off</w:t>
            </w:r>
            <w:r>
              <w:rPr>
                <w:rStyle w:val="IndexLink"/>
              </w:rPr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tabs>
          <w:tab w:val="clear" w:pos="720"/>
          <w:tab w:val="left" w:pos="360" w:leader="none"/>
        </w:tabs>
        <w:ind w:hanging="0" w:left="0"/>
        <w:rPr>
          <w:rStyle w:val="BookTitle"/>
          <w:b w:val="false"/>
          <w:bCs w:val="false"/>
          <w:i w:val="false"/>
          <w:i w:val="false"/>
          <w:iCs w:val="false"/>
          <w:spacing w:val="0"/>
        </w:rPr>
      </w:pPr>
      <w:r>
        <w:br w:type="page"/>
      </w:r>
      <w:bookmarkStart w:id="0" w:name="__RefHeading___Toc2915_3615388031"/>
      <w:bookmarkStart w:id="1" w:name="_Toc48319687"/>
      <w:bookmarkStart w:id="2" w:name="_Toc11824118"/>
      <w:bookmarkEnd w:id="0"/>
      <w:r>
        <w:rPr>
          <w:rStyle w:val="BookTitle"/>
          <w:b w:val="false"/>
        </w:rPr>
        <w:t xml:space="preserve"> </w:t>
      </w:r>
      <w:bookmarkStart w:id="3" w:name="_Toc233203387"/>
      <w:r>
        <w:rPr>
          <w:rStyle w:val="BookTitle"/>
          <w:bCs w:val="false"/>
          <w:i w:val="false"/>
          <w:iCs w:val="false"/>
          <w:spacing w:val="0"/>
        </w:rPr>
        <w:t>1.  Document Control</w:t>
      </w:r>
      <w:bookmarkEnd w:id="1"/>
      <w:bookmarkEnd w:id="2"/>
      <w:bookmarkEnd w:id="3"/>
    </w:p>
    <w:p>
      <w:pPr>
        <w:pStyle w:val="Normal"/>
        <w:ind w:right="-180"/>
        <w:rPr>
          <w:rFonts w:ascii="Segoe UI" w:hAnsi="Segoe UI" w:eastAsia="Arial" w:cs="Segoe UI"/>
          <w:color w:val="FF5100"/>
          <w:sz w:val="18"/>
          <w:szCs w:val="18"/>
        </w:rPr>
      </w:pPr>
      <w:r>
        <w:rPr>
          <w:rFonts w:eastAsia="Arial" w:cs="Segoe UI" w:ascii="Segoe UI" w:hAnsi="Segoe UI"/>
          <w:color w:val="FF5100"/>
          <w:sz w:val="18"/>
          <w:szCs w:val="18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4"/>
        <w:gridCol w:w="785"/>
        <w:gridCol w:w="1608"/>
        <w:gridCol w:w="1692"/>
        <w:gridCol w:w="1696"/>
        <w:gridCol w:w="1690"/>
      </w:tblGrid>
      <w:tr>
        <w:trPr>
          <w:trHeight w:val="440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Date</w:t>
            </w:r>
          </w:p>
        </w:tc>
        <w:tc>
          <w:tcPr>
            <w:tcW w:w="7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Version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Author &amp; Business Unit Info</w:t>
            </w:r>
          </w:p>
        </w:tc>
        <w:tc>
          <w:tcPr>
            <w:tcW w:w="16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Reviewed By &amp; Business Unit Info</w:t>
            </w:r>
          </w:p>
        </w:tc>
        <w:tc>
          <w:tcPr>
            <w:tcW w:w="16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Approved By &amp; Business Unit Info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Change History</w:t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04 October 2026</w:t>
            </w:r>
          </w:p>
        </w:tc>
        <w:tc>
          <w:tcPr>
            <w:tcW w:w="7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1.1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iorta TechNXT Corp.</w:t>
            </w:r>
          </w:p>
        </w:tc>
        <w:tc>
          <w:tcPr>
            <w:tcW w:w="16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Legal counsel (to be completed)</w:t>
            </w:r>
          </w:p>
        </w:tc>
        <w:tc>
          <w:tcPr>
            <w:tcW w:w="16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To be completed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Optional modules and partner services (16 lines of the Service Catalogue and Rate Annex, S08) added as an order table; template for discussion; subject to review by the parties' legal counsel</w:t>
            </w:r>
          </w:p>
        </w:tc>
      </w:tr>
    </w:tbl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ind w:right="90"/>
        <w:rPr>
          <w:rFonts w:ascii="Segoe UI" w:hAnsi="Segoe UI" w:eastAsia="Arial" w:cs="Segoe UI"/>
          <w:b/>
          <w:color w:val="D74E0F"/>
          <w:sz w:val="28"/>
        </w:rPr>
      </w:pPr>
      <w:r>
        <w:rPr>
          <w:rFonts w:eastAsia="Arial" w:cs="Segoe UI" w:ascii="Segoe UI" w:hAnsi="Segoe UI"/>
          <w:b/>
          <w:color w:val="D74E0F"/>
          <w:sz w:val="28"/>
        </w:rPr>
      </w:r>
    </w:p>
    <w:p>
      <w:pPr>
        <w:pStyle w:val="Normal"/>
        <w:spacing w:before="60" w:after="160"/>
        <w:rPr>
          <w:rFonts w:ascii="Segoe UI" w:hAnsi="Segoe UI" w:eastAsia="Arial" w:cs="Segoe UI"/>
          <w:b/>
          <w:color w:val="D74E0F"/>
          <w:sz w:val="28"/>
        </w:rPr>
      </w:pPr>
      <w:r>
        <w:rPr>
          <w:rFonts w:eastAsia="Arial" w:cs="Segoe UI" w:ascii="Segoe UI" w:hAnsi="Segoe UI"/>
          <w:b/>
          <w:color w:val="D74E0F"/>
          <w:sz w:val="28"/>
        </w:rPr>
      </w:r>
    </w:p>
    <w:p>
      <w:pPr>
        <w:pStyle w:val="Normal"/>
        <w:ind w:right="90"/>
        <w:rPr>
          <w:rFonts w:ascii="Segoe UI" w:hAnsi="Segoe UI" w:eastAsia="Arial" w:cs="Segoe UI"/>
          <w:b/>
          <w:color w:val="D74E0F"/>
          <w:sz w:val="28"/>
        </w:rPr>
      </w:pPr>
      <w:r>
        <w:rPr>
          <w:rFonts w:eastAsia="Arial" w:cs="Segoe UI" w:ascii="Segoe UI" w:hAnsi="Segoe UI"/>
          <w:b/>
          <w:color w:val="D74E0F"/>
          <w:sz w:val="28"/>
        </w:rPr>
      </w:r>
    </w:p>
    <w:p>
      <w:pPr>
        <w:pStyle w:val="Heading1"/>
        <w:tabs>
          <w:tab w:val="clear" w:pos="720"/>
          <w:tab w:val="left" w:pos="360" w:leader="none"/>
        </w:tabs>
        <w:ind w:hanging="0" w:left="0"/>
        <w:rPr>
          <w:rStyle w:val="BookTitle"/>
          <w:b w:val="false"/>
          <w:bCs w:val="false"/>
          <w:i w:val="false"/>
          <w:i w:val="false"/>
          <w:iCs w:val="false"/>
          <w:spacing w:val="0"/>
        </w:rPr>
      </w:pPr>
      <w:bookmarkStart w:id="4" w:name="__RefHeading___Toc2917_3615388031"/>
      <w:bookmarkStart w:id="5" w:name="_Toc233203388"/>
      <w:bookmarkEnd w:id="4"/>
      <w:r>
        <w:rPr>
          <w:rStyle w:val="BookTitle"/>
          <w:bCs w:val="false"/>
          <w:i w:val="false"/>
          <w:iCs w:val="false"/>
          <w:spacing w:val="0"/>
        </w:rPr>
        <w:t>2.  Acronyms</w:t>
      </w:r>
      <w:bookmarkEnd w:id="5"/>
    </w:p>
    <w:p>
      <w:pPr>
        <w:pStyle w:val="Normal"/>
        <w:ind w:right="-180"/>
        <w:rPr>
          <w:rFonts w:ascii="Segoe UI" w:hAnsi="Segoe UI" w:eastAsia="Arial" w:cs="Segoe UI"/>
          <w:color w:val="FF5100"/>
          <w:sz w:val="18"/>
          <w:szCs w:val="18"/>
        </w:rPr>
      </w:pPr>
      <w:r>
        <w:rPr>
          <w:rFonts w:eastAsia="Arial" w:cs="Segoe UI" w:ascii="Segoe UI" w:hAnsi="Segoe UI"/>
          <w:color w:val="FF5100"/>
          <w:sz w:val="18"/>
          <w:szCs w:val="18"/>
        </w:rPr>
      </w:r>
    </w:p>
    <w:tbl>
      <w:tblPr>
        <w:tblStyle w:val="TableGrid"/>
        <w:tblW w:w="345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14"/>
        <w:gridCol w:w="3712"/>
      </w:tblGrid>
      <w:tr>
        <w:trPr>
          <w:trHeight w:val="440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Acronym / Symbol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Definition / Meaning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AMC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Annual Maintenance Contract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BIR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Bureau of Internal Revenue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Dev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Development environment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LOB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Line of business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MSA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Master Services Agreement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OOTB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Out of the box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PHP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Philippine peso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Pre-Prod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Pre-production environment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SIT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System integration test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SOW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Statement of work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UAT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User acceptance testing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USD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United States dollar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VAT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Value-added tax</w:t>
            </w:r>
          </w:p>
        </w:tc>
      </w:tr>
    </w:tbl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Heading1"/>
        <w:pageBreakBefore w:val="false"/>
        <w:rPr/>
      </w:pPr>
      <w:bookmarkStart w:id="6" w:name="__RefHeading___Toc2919_3615388031"/>
      <w:bookmarkEnd w:id="6"/>
      <w:r>
        <w:rPr>
          <w:rFonts w:eastAsia="Segoe UI" w:cs="Segoe UI" w:ascii="Segoe UI" w:hAnsi="Segoe UI"/>
          <w:b/>
          <w:color w:val="0F4761"/>
          <w:sz w:val="32"/>
        </w:rPr>
        <w:t>3.  About this template</w:t>
      </w:r>
    </w:p>
    <w:p>
      <w:pPr>
        <w:pStyle w:val="Normal"/>
        <w:shd w:val="clear" w:color="auto" w:fill="EAF2FB"/>
        <w:spacing w:before="0" w:after="160"/>
        <w:ind w:left="170"/>
        <w:rPr/>
      </w:pPr>
      <w:r>
        <w:rPr>
          <w:rFonts w:eastAsia="Segoe UI" w:cs="Segoe UI" w:ascii="Segoe UI" w:hAnsi="Segoe UI"/>
          <w:color w:val="101820"/>
          <w:sz w:val="20"/>
        </w:rPr>
        <w:t>Template for discussion; subject to review by the parties' legal counsel.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 xml:space="preserve">This Order Form records one purchase of iNXT BrokerVerse OOTB under the Master Services Agreement (the </w:t>
      </w:r>
      <w:r>
        <w:rPr>
          <w:rFonts w:eastAsia="Segoe UI" w:cs="Segoe UI" w:ascii="Segoe UI" w:hAnsi="Segoe UI"/>
          <w:b/>
          <w:color w:val="101820"/>
          <w:sz w:val="21"/>
        </w:rPr>
        <w:t>MSA</w:t>
      </w:r>
      <w:r>
        <w:rPr>
          <w:rFonts w:eastAsia="Segoe UI" w:cs="Segoe UI" w:ascii="Segoe UI" w:hAnsi="Segoe UI"/>
          <w:color w:val="101820"/>
          <w:sz w:val="21"/>
        </w:rPr>
        <w:t>). Complete it from the price book Quick Quote. Every discount is a separate line against the list price, with the lever named. Delete the rows and options that do not apply. Text in [square brackets] is a placeholder.</w:t>
      </w:r>
      <w:r>
        <w:br w:type="page"/>
      </w:r>
    </w:p>
    <w:p>
      <w:pPr>
        <w:pStyle w:val="Heading1"/>
        <w:rPr/>
      </w:pPr>
      <w:bookmarkStart w:id="7" w:name="__RefHeading___Toc2921_3615388031"/>
      <w:bookmarkEnd w:id="7"/>
      <w:r>
        <w:rPr>
          <w:rFonts w:eastAsia="Segoe UI" w:cs="Segoe UI" w:ascii="Segoe UI" w:hAnsi="Segoe UI"/>
          <w:b/>
          <w:color w:val="0F4761"/>
          <w:sz w:val="32"/>
        </w:rPr>
        <w:t>4.  Order details</w:t>
      </w:r>
    </w:p>
    <w:p>
      <w:pPr>
        <w:pStyle w:val="Heading2"/>
        <w:rPr/>
      </w:pPr>
      <w:bookmarkStart w:id="8" w:name="__RefHeading___Toc2923_3615388031"/>
      <w:bookmarkEnd w:id="8"/>
      <w:r>
        <w:rPr>
          <w:rFonts w:eastAsia="Segoe UI" w:cs="Segoe UI"/>
          <w:b/>
          <w:color w:val="0F4761"/>
          <w:sz w:val="26"/>
        </w:rPr>
        <w:t>4.1  Parties and reference</w:t>
      </w:r>
    </w:p>
    <w:tbl>
      <w:tblPr>
        <w:tblStyle w:val="TableGrid"/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37"/>
        <w:gridCol w:w="5277"/>
      </w:tblGrid>
      <w:tr>
        <w:trPr>
          <w:tblHeader w:val="true"/>
        </w:trPr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Field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Entry</w:t>
            </w:r>
          </w:p>
        </w:tc>
      </w:tr>
      <w:tr>
        <w:trPr/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Order Form no.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[OF-year-number]</w:t>
            </w:r>
          </w:p>
        </w:tc>
      </w:tr>
      <w:tr>
        <w:trPr/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Order Form date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MSA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Master Services Agreement dated [date]</w:t>
            </w:r>
          </w:p>
        </w:tc>
      </w:tr>
      <w:tr>
        <w:trPr/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Supplier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iorta TechNXT Corp., SEC registration no. [number], TIN [number], [address]</w:t>
            </w:r>
          </w:p>
        </w:tc>
      </w:tr>
      <w:tr>
        <w:trPr/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[Client legal name], SEC registration no. [number], TIN [number], IC certificate of authority no. [number], [address]</w:t>
            </w:r>
          </w:p>
        </w:tc>
      </w:tr>
      <w:tr>
        <w:trPr/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 billing address and contact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[address, name, e-mail]</w:t>
            </w:r>
          </w:p>
        </w:tc>
      </w:tr>
      <w:tr>
        <w:trPr/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 is a withholding agent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[Yes, top withholding agent / Yes / No]</w:t>
            </w:r>
          </w:p>
        </w:tc>
      </w:tr>
      <w:tr>
        <w:trPr/>
        <w:tc>
          <w:tcPr>
            <w:tcW w:w="37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Proposal or quotation reference</w:t>
            </w:r>
          </w:p>
        </w:tc>
        <w:tc>
          <w:tcPr>
            <w:tcW w:w="52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[reference and date]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9" w:name="__RefHeading___Toc2925_3615388031"/>
      <w:bookmarkEnd w:id="9"/>
      <w:r>
        <w:rPr>
          <w:rFonts w:eastAsia="Segoe UI" w:cs="Segoe UI"/>
          <w:b/>
          <w:color w:val="0F4761"/>
          <w:sz w:val="26"/>
        </w:rPr>
        <w:t>4.2  Products and model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10"/>
        <w:gridCol w:w="4603"/>
      </w:tblGrid>
      <w:tr>
        <w:trPr>
          <w:tblHeader w:val="true"/>
        </w:trPr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Field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Entry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Product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iNXT BrokerVerse OOTB (all delivered modules)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Licence model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[Perpetual licence with AMC / Subscription]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Named users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[number]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Size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[Small / Medium / Large / Enterprise]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Minimum billable users (subscription)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[10 / 26 / 101 / 301]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Lines of business configured at implementation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[number]: [list]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Training days included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[4 / 6 / 10 / 15]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Hosting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[Client hosted / iorta TechNXT on AWS Singapore / Azure Southeast Asia / local partner: name, city]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Data location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[Philippines / Singapore]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Environment set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[Small or Medium: Dev, UAT, Production / Large or Enterprise: Dev, SIT, UAT, Production with high availability]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Pre-Prod (temporary)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Created from a production backup for the cutover rehearsal and each major release, then removed; planned months of use: [2] around go-live, [1] per major release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Additional environments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[None / number and purpose: training, second UAT]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24x7 Severity 1 support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</w:tr>
      <w:tr>
        <w:trPr/>
        <w:tc>
          <w:tcPr>
            <w:tcW w:w="44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Source code escrow (perpetual only)</w:t>
            </w:r>
          </w:p>
        </w:tc>
        <w:tc>
          <w:tcPr>
            <w:tcW w:w="4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0" w:name="__RefHeading___Toc2927_3615388031"/>
      <w:bookmarkEnd w:id="10"/>
      <w:r>
        <w:rPr>
          <w:rFonts w:eastAsia="Segoe UI" w:cs="Segoe UI"/>
          <w:b/>
          <w:color w:val="0F4761"/>
          <w:sz w:val="26"/>
        </w:rPr>
        <w:t>4.3  Term and dates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87"/>
        <w:gridCol w:w="5926"/>
      </w:tblGrid>
      <w:tr>
        <w:trPr>
          <w:tblHeader w:val="true"/>
        </w:trPr>
        <w:tc>
          <w:tcPr>
            <w:tcW w:w="30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Field</w:t>
            </w:r>
          </w:p>
        </w:tc>
        <w:tc>
          <w:tcPr>
            <w:tcW w:w="59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Entry</w:t>
            </w:r>
          </w:p>
        </w:tc>
      </w:tr>
      <w:tr>
        <w:trPr/>
        <w:tc>
          <w:tcPr>
            <w:tcW w:w="30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Planned mobilisation date</w:t>
            </w:r>
          </w:p>
        </w:tc>
        <w:tc>
          <w:tcPr>
            <w:tcW w:w="59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30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Target go-live date</w:t>
            </w:r>
          </w:p>
        </w:tc>
        <w:tc>
          <w:tcPr>
            <w:tcW w:w="59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30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Subscription Initial Term</w:t>
            </w:r>
          </w:p>
        </w:tc>
        <w:tc>
          <w:tcPr>
            <w:tcW w:w="59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[12 / 36 / 60] months from go-live</w:t>
            </w:r>
          </w:p>
        </w:tc>
      </w:tr>
      <w:tr>
        <w:trPr/>
        <w:tc>
          <w:tcPr>
            <w:tcW w:w="30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AMC</w:t>
            </w:r>
          </w:p>
        </w:tc>
        <w:tc>
          <w:tcPr>
            <w:tcW w:w="59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Warranty of 12 months from go-live; AMC from the start of Year 2, renewed yearly</w:t>
            </w:r>
          </w:p>
        </w:tc>
      </w:tr>
      <w:tr>
        <w:trPr/>
        <w:tc>
          <w:tcPr>
            <w:tcW w:w="30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Hosting term</w:t>
            </w:r>
          </w:p>
        </w:tc>
        <w:tc>
          <w:tcPr>
            <w:tcW w:w="59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[12 / 36 / 60] months from environment handover</w:t>
            </w:r>
          </w:p>
        </w:tc>
      </w:tr>
      <w:tr>
        <w:trPr/>
        <w:tc>
          <w:tcPr>
            <w:tcW w:w="30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Renewal</w:t>
            </w:r>
          </w:p>
        </w:tc>
        <w:tc>
          <w:tcPr>
            <w:tcW w:w="59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[12-month renewals, 90 days' notice of non-renewal]</w:t>
            </w:r>
          </w:p>
        </w:tc>
      </w:tr>
      <w:tr>
        <w:trPr/>
        <w:tc>
          <w:tcPr>
            <w:tcW w:w="30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Early termination right</w:t>
            </w:r>
          </w:p>
        </w:tc>
        <w:tc>
          <w:tcPr>
            <w:tcW w:w="59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[None during the Initial Term / as in the MSA Option B, fee: details]</w:t>
            </w:r>
          </w:p>
        </w:tc>
      </w:tr>
    </w:tbl>
    <w:p>
      <w:pPr>
        <w:pStyle w:val="Heading1"/>
        <w:rPr/>
      </w:pPr>
      <w:r>
        <w:br w:type="page"/>
      </w:r>
      <w:bookmarkStart w:id="11" w:name="__RefHeading___Toc2929_3615388031"/>
      <w:bookmarkEnd w:id="11"/>
      <w:r>
        <w:rPr>
          <w:rFonts w:eastAsia="Segoe UI" w:cs="Segoe UI" w:ascii="Segoe UI" w:hAnsi="Segoe UI"/>
          <w:b/>
          <w:color w:val="0F4761"/>
          <w:sz w:val="32"/>
        </w:rPr>
        <w:t>5.  Fees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All amounts in PHP, excluding VAT. VAT at 12% is added on each invoice.</w:t>
      </w:r>
    </w:p>
    <w:p>
      <w:pPr>
        <w:pStyle w:val="Heading2"/>
        <w:rPr/>
      </w:pPr>
      <w:bookmarkStart w:id="12" w:name="__RefHeading___Toc2931_3615388031"/>
      <w:bookmarkEnd w:id="12"/>
      <w:r>
        <w:rPr>
          <w:rFonts w:eastAsia="Segoe UI" w:cs="Segoe UI"/>
          <w:b/>
          <w:color w:val="0F4761"/>
          <w:sz w:val="26"/>
        </w:rPr>
        <w:t>5.1  One-time fees</w:t>
      </w:r>
    </w:p>
    <w:tbl>
      <w:tblPr>
        <w:tblStyle w:val="TableGrid"/>
        <w:tblW w:w="90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84"/>
        <w:gridCol w:w="2935"/>
        <w:gridCol w:w="941"/>
        <w:gridCol w:w="1212"/>
        <w:gridCol w:w="941"/>
      </w:tblGrid>
      <w:tr>
        <w:trPr>
          <w:tblHeader w:val="true"/>
        </w:trPr>
        <w:tc>
          <w:tcPr>
            <w:tcW w:w="298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Item</w:t>
            </w:r>
          </w:p>
        </w:tc>
        <w:tc>
          <w:tcPr>
            <w:tcW w:w="29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Basis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List price</w:t>
            </w:r>
          </w:p>
        </w:tc>
        <w:tc>
          <w:tcPr>
            <w:tcW w:w="1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Discount (lever)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Price</w:t>
            </w:r>
          </w:p>
        </w:tc>
      </w:tr>
      <w:tr>
        <w:trPr/>
        <w:tc>
          <w:tcPr>
            <w:tcW w:w="298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Implementation fee (subscription: onboarding fee)</w:t>
            </w:r>
          </w:p>
        </w:tc>
        <w:tc>
          <w:tcPr>
            <w:tcW w:w="29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[man-days] man-days at PHP 16,100.00, rounded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 ([lever])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298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Perpetual licence fee</w:t>
            </w:r>
          </w:p>
        </w:tc>
        <w:tc>
          <w:tcPr>
            <w:tcW w:w="29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Graduated slabs: [users per slab]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 ([lever])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298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Extra training days</w:t>
            </w:r>
          </w:p>
        </w:tc>
        <w:tc>
          <w:tcPr>
            <w:tcW w:w="29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[number] x PHP 30,000.00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298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Legacy data sources migrated</w:t>
            </w:r>
          </w:p>
        </w:tc>
        <w:tc>
          <w:tcPr>
            <w:tcW w:w="29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[number] x PHP 240,000.00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298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Additional integrations</w:t>
            </w:r>
          </w:p>
        </w:tc>
        <w:tc>
          <w:tcPr>
            <w:tcW w:w="29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[number] standard x PHP 320,000.00; [number] complex x PHP 720,000.00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298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Additional environments, set-up</w:t>
            </w:r>
          </w:p>
        </w:tc>
        <w:tc>
          <w:tcPr>
            <w:tcW w:w="29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[number] x PHP 100,000.00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298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On-site days</w:t>
            </w:r>
          </w:p>
        </w:tc>
        <w:tc>
          <w:tcPr>
            <w:tcW w:w="29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[number] x PHP 20,000.00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298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Total one-time</w:t>
            </w:r>
          </w:p>
        </w:tc>
        <w:tc>
          <w:tcPr>
            <w:tcW w:w="29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3" w:name="__RefHeading___Toc2933_3615388031"/>
      <w:bookmarkEnd w:id="13"/>
      <w:r>
        <w:rPr>
          <w:rFonts w:eastAsia="Segoe UI" w:cs="Segoe UI"/>
          <w:b/>
          <w:color w:val="0F4761"/>
          <w:sz w:val="26"/>
        </w:rPr>
        <w:t>5.2  Optional modules and partner services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Every module of the Software is included in the licence or subscription fee. The lines below are optional, add-on services of the Service Catalogue and Rate Annex (S08), priced at the stated man-days at PHP 16,100.00 a day, rounded to PHP 10,000.00, and invoiced on delivery. The fees of the regulator or the partner are not included; every filing, registration and enrolment with a regulator is made by the Client in its own name. A Client brand pack carries third-party marks only with the written permission of their owner. Enter the quantity ordered, or delete the rows that do not apply.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41"/>
        <w:gridCol w:w="3108"/>
        <w:gridCol w:w="1123"/>
        <w:gridCol w:w="941"/>
      </w:tblGrid>
      <w:tr>
        <w:trPr>
          <w:tblHeader w:val="true"/>
        </w:trPr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Item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Basis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Quantity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Price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Connector go-live with a partner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5 man-days; PHP 80,000.00 per connector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[number]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Activation of the AML/CFT toolkit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8 man-days; PHP 130,000.00 one-time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[0 / 1]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Activation of the IC compliance registers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6 man-days; PHP 100,000.00 one-time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[0 / 1]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Activation of the BIR pack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8 man-days; PHP 130,000.00 one-time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[0 / 1]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Dealer programme set-up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3 man-days; PHP 50,000.00 per programme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[number]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 brand pack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2 man-days; PHP 30,000.00 per pack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[number]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AMLC reporting file validation and portal test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3 man-days; PHP 50,000.00 one-time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[0 / 1]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IC annual statement form alignment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3 man-days; PHP 50,000.00 one-time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[0 / 1]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EOPT invoicing review with the Client's tax adviser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2 man-days; PHP 30,000.00 one-time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[0 / 1]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BIR CAS registration support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4 man-days; PHP 60,000.00 one-time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[0 / 1]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BIR EIS enrolment and certification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5 man-days; PHP 80,000.00 one-time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[0 / 1]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CTPL authentication and LTO interface certification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4 man-days; PHP 60,000.00 one-time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[0 / 1]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Insurer API onboarding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3 man-days; PHP 50,000.00 per insurer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[number]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Bank payment file certification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2 man-days; PHP 30,000.00 per bank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[number]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SMS or Viber gateway activation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1 man-days; PHP 20,000.00 one-time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[0 / 1]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Screening list provider onboarding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2 man-days; PHP 30,000.00 one-time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[0 / 1]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  <w:tr>
        <w:trPr/>
        <w:tc>
          <w:tcPr>
            <w:tcW w:w="38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Total optional modules and partner services</w:t>
            </w:r>
          </w:p>
        </w:tc>
        <w:tc>
          <w:tcPr>
            <w:tcW w:w="31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4" w:name="__RefHeading___Toc2935_3615388031"/>
      <w:bookmarkEnd w:id="14"/>
      <w:r>
        <w:rPr>
          <w:rFonts w:eastAsia="Segoe UI" w:cs="Segoe UI"/>
          <w:b/>
          <w:color w:val="0F4761"/>
          <w:sz w:val="26"/>
        </w:rPr>
        <w:t>5.3  Recurring fees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68"/>
        <w:gridCol w:w="2050"/>
        <w:gridCol w:w="941"/>
        <w:gridCol w:w="1134"/>
        <w:gridCol w:w="940"/>
        <w:gridCol w:w="2080"/>
      </w:tblGrid>
      <w:tr>
        <w:trPr>
          <w:tblHeader w:val="true"/>
        </w:trPr>
        <w:tc>
          <w:tcPr>
            <w:tcW w:w="186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Item</w:t>
            </w:r>
          </w:p>
        </w:tc>
        <w:tc>
          <w:tcPr>
            <w:tcW w:w="20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Basis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Year 1 list</w:t>
            </w:r>
          </w:p>
        </w:tc>
        <w:tc>
          <w:tcPr>
            <w:tcW w:w="11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Discount (lever)</w:t>
            </w:r>
          </w:p>
        </w:tc>
        <w:tc>
          <w:tcPr>
            <w:tcW w:w="9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Year 1 price</w:t>
            </w:r>
          </w:p>
        </w:tc>
        <w:tc>
          <w:tcPr>
            <w:tcW w:w="20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Increase</w:t>
            </w:r>
          </w:p>
        </w:tc>
      </w:tr>
      <w:tr>
        <w:trPr/>
        <w:tc>
          <w:tcPr>
            <w:tcW w:w="186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Subscription, per month</w:t>
            </w:r>
          </w:p>
        </w:tc>
        <w:tc>
          <w:tcPr>
            <w:tcW w:w="20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[billable users] users, graduated slabs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1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 ([lever])</w:t>
            </w:r>
          </w:p>
        </w:tc>
        <w:tc>
          <w:tcPr>
            <w:tcW w:w="9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20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5% at each anniversary</w:t>
            </w:r>
          </w:p>
        </w:tc>
      </w:tr>
      <w:tr>
        <w:trPr/>
        <w:tc>
          <w:tcPr>
            <w:tcW w:w="186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AMC, per year from Year 2</w:t>
            </w:r>
          </w:p>
        </w:tc>
        <w:tc>
          <w:tcPr>
            <w:tcW w:w="20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22% of the licence fee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1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Not discounted</w:t>
            </w:r>
          </w:p>
        </w:tc>
        <w:tc>
          <w:tcPr>
            <w:tcW w:w="9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20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5% at each anniversary</w:t>
            </w:r>
          </w:p>
        </w:tc>
      </w:tr>
      <w:tr>
        <w:trPr/>
        <w:tc>
          <w:tcPr>
            <w:tcW w:w="186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Hosting, per month</w:t>
            </w:r>
          </w:p>
        </w:tc>
        <w:tc>
          <w:tcPr>
            <w:tcW w:w="20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[provider], [size], standing environment set: Dev [amount], SIT [amount or not used], UAT [amount], Production [amount]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1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9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20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None: pass-through clause of the Hosting Agreement</w:t>
            </w:r>
          </w:p>
        </w:tc>
      </w:tr>
      <w:tr>
        <w:trPr/>
        <w:tc>
          <w:tcPr>
            <w:tcW w:w="186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Pre-Prod, per month of use</w:t>
            </w:r>
          </w:p>
        </w:tc>
        <w:tc>
          <w:tcPr>
            <w:tcW w:w="20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[provider], [size]; [number] months planned in Year 1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1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9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20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None: pass-through clause of the Hosting Agreement</w:t>
            </w:r>
          </w:p>
        </w:tc>
      </w:tr>
      <w:tr>
        <w:trPr/>
        <w:tc>
          <w:tcPr>
            <w:tcW w:w="186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Additional environments hosted, per month</w:t>
            </w:r>
          </w:p>
        </w:tc>
        <w:tc>
          <w:tcPr>
            <w:tcW w:w="20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[number] x PHP 11,000.00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1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9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20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None: pass-through clause of the Hosting Agreement</w:t>
            </w:r>
          </w:p>
        </w:tc>
      </w:tr>
      <w:tr>
        <w:trPr/>
        <w:tc>
          <w:tcPr>
            <w:tcW w:w="186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24x7 Severity 1 support, per year</w:t>
            </w:r>
          </w:p>
        </w:tc>
        <w:tc>
          <w:tcPr>
            <w:tcW w:w="20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[size]</w:t>
            </w:r>
          </w:p>
        </w:tc>
        <w:tc>
          <w:tcPr>
            <w:tcW w:w="9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11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9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20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5% a year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5" w:name="__RefHeading___Toc2937_3615388031"/>
      <w:bookmarkEnd w:id="15"/>
      <w:r>
        <w:rPr>
          <w:rFonts w:eastAsia="Segoe UI" w:cs="Segoe UI"/>
          <w:b/>
          <w:color w:val="0F4761"/>
          <w:sz w:val="26"/>
        </w:rPr>
        <w:t>5.4  Contract value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47"/>
        <w:gridCol w:w="1966"/>
      </w:tblGrid>
      <w:tr>
        <w:trPr>
          <w:tblHeader w:val="true"/>
        </w:trPr>
        <w:tc>
          <w:tcPr>
            <w:tcW w:w="70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Item</w:t>
            </w:r>
          </w:p>
        </w:tc>
        <w:tc>
          <w:tcPr>
            <w:tcW w:w="196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Amount</w:t>
            </w:r>
          </w:p>
        </w:tc>
      </w:tr>
      <w:tr>
        <w:trPr/>
        <w:tc>
          <w:tcPr>
            <w:tcW w:w="70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Year 1 total, excluding VAT</w:t>
            </w:r>
          </w:p>
        </w:tc>
        <w:tc>
          <w:tcPr>
            <w:tcW w:w="196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PHP [amount]</w:t>
            </w:r>
          </w:p>
        </w:tc>
      </w:tr>
      <w:tr>
        <w:trPr/>
        <w:tc>
          <w:tcPr>
            <w:tcW w:w="70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Total for the committed term, excluding VAT</w:t>
            </w:r>
          </w:p>
        </w:tc>
        <w:tc>
          <w:tcPr>
            <w:tcW w:w="196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PHP [amount]</w:t>
            </w:r>
          </w:p>
        </w:tc>
      </w:tr>
      <w:tr>
        <w:trPr/>
        <w:tc>
          <w:tcPr>
            <w:tcW w:w="70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USD reference (at PHP [62.75] per USD)</w:t>
            </w:r>
          </w:p>
        </w:tc>
        <w:tc>
          <w:tcPr>
            <w:tcW w:w="196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USD [amount]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6" w:name="__RefHeading___Toc2939_3615388031"/>
      <w:bookmarkEnd w:id="16"/>
      <w:r>
        <w:rPr>
          <w:rFonts w:eastAsia="Segoe UI" w:cs="Segoe UI"/>
          <w:b/>
          <w:color w:val="0F4761"/>
          <w:sz w:val="26"/>
        </w:rPr>
        <w:t>5.5  Payment schedule</w:t>
      </w:r>
    </w:p>
    <w:tbl>
      <w:tblPr>
        <w:tblStyle w:val="TableGrid"/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17"/>
        <w:gridCol w:w="1980"/>
        <w:gridCol w:w="3518"/>
      </w:tblGrid>
      <w:tr>
        <w:trPr>
          <w:tblHeader w:val="true"/>
        </w:trPr>
        <w:tc>
          <w:tcPr>
            <w:tcW w:w="35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Milestone or period</w:t>
            </w:r>
          </w:p>
        </w:tc>
        <w:tc>
          <w:tcPr>
            <w:tcW w:w="19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Amount (PHP, excluding VAT)</w:t>
            </w:r>
          </w:p>
        </w:tc>
        <w:tc>
          <w:tcPr>
            <w:tcW w:w="35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Due</w:t>
            </w:r>
          </w:p>
        </w:tc>
      </w:tr>
      <w:tr>
        <w:trPr/>
        <w:tc>
          <w:tcPr>
            <w:tcW w:w="35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 or onboarding, 40%</w:t>
            </w:r>
          </w:p>
        </w:tc>
        <w:tc>
          <w:tcPr>
            <w:tcW w:w="19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35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On signing of this Order Form</w:t>
            </w:r>
          </w:p>
        </w:tc>
      </w:tr>
      <w:tr>
        <w:trPr/>
        <w:tc>
          <w:tcPr>
            <w:tcW w:w="35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 or onboarding, 40%</w:t>
            </w:r>
          </w:p>
        </w:tc>
        <w:tc>
          <w:tcPr>
            <w:tcW w:w="19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35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On UAT sign-off</w:t>
            </w:r>
          </w:p>
        </w:tc>
      </w:tr>
      <w:tr>
        <w:trPr/>
        <w:tc>
          <w:tcPr>
            <w:tcW w:w="35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 or onboarding, 20%</w:t>
            </w:r>
          </w:p>
        </w:tc>
        <w:tc>
          <w:tcPr>
            <w:tcW w:w="19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35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On go-live</w:t>
            </w:r>
          </w:p>
        </w:tc>
      </w:tr>
      <w:tr>
        <w:trPr/>
        <w:tc>
          <w:tcPr>
            <w:tcW w:w="35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Perpetual licence fee, 100%</w:t>
            </w:r>
          </w:p>
        </w:tc>
        <w:tc>
          <w:tcPr>
            <w:tcW w:w="19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35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On go-live</w:t>
            </w:r>
          </w:p>
        </w:tc>
      </w:tr>
      <w:tr>
        <w:trPr/>
        <w:tc>
          <w:tcPr>
            <w:tcW w:w="35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One-time optional services (extra training days, legacy data sources, additional integrations, environment set-up, on-site days)</w:t>
            </w:r>
          </w:p>
        </w:tc>
        <w:tc>
          <w:tcPr>
            <w:tcW w:w="19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35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On delivery</w:t>
            </w:r>
          </w:p>
        </w:tc>
      </w:tr>
      <w:tr>
        <w:trPr/>
        <w:tc>
          <w:tcPr>
            <w:tcW w:w="35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Optional modules and partner services (each line ordered in the table of that name above)</w:t>
            </w:r>
          </w:p>
        </w:tc>
        <w:tc>
          <w:tcPr>
            <w:tcW w:w="19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</w:t>
            </w:r>
          </w:p>
        </w:tc>
        <w:tc>
          <w:tcPr>
            <w:tcW w:w="35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On delivery of each service</w:t>
            </w:r>
          </w:p>
        </w:tc>
      </w:tr>
      <w:tr>
        <w:trPr/>
        <w:tc>
          <w:tcPr>
            <w:tcW w:w="35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Subscription</w:t>
            </w:r>
          </w:p>
        </w:tc>
        <w:tc>
          <w:tcPr>
            <w:tcW w:w="19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 a month</w:t>
            </w:r>
          </w:p>
        </w:tc>
        <w:tc>
          <w:tcPr>
            <w:tcW w:w="35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Monthly in advance from go-live</w:t>
            </w:r>
          </w:p>
        </w:tc>
      </w:tr>
      <w:tr>
        <w:trPr/>
        <w:tc>
          <w:tcPr>
            <w:tcW w:w="35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Hosting</w:t>
            </w:r>
          </w:p>
        </w:tc>
        <w:tc>
          <w:tcPr>
            <w:tcW w:w="19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 a month</w:t>
            </w:r>
          </w:p>
        </w:tc>
        <w:tc>
          <w:tcPr>
            <w:tcW w:w="35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Monthly in advance from the handover of each environment</w:t>
            </w:r>
          </w:p>
        </w:tc>
      </w:tr>
      <w:tr>
        <w:trPr/>
        <w:tc>
          <w:tcPr>
            <w:tcW w:w="35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Pre-Prod</w:t>
            </w:r>
          </w:p>
        </w:tc>
        <w:tc>
          <w:tcPr>
            <w:tcW w:w="19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 a month of use</w:t>
            </w:r>
          </w:p>
        </w:tc>
        <w:tc>
          <w:tcPr>
            <w:tcW w:w="35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Monthly in advance for each month of use</w:t>
            </w:r>
          </w:p>
        </w:tc>
      </w:tr>
      <w:tr>
        <w:trPr/>
        <w:tc>
          <w:tcPr>
            <w:tcW w:w="35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AMC</w:t>
            </w:r>
          </w:p>
        </w:tc>
        <w:tc>
          <w:tcPr>
            <w:tcW w:w="19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 a year</w:t>
            </w:r>
          </w:p>
        </w:tc>
        <w:tc>
          <w:tcPr>
            <w:tcW w:w="35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Yearly in advance from the start of Year 2</w:t>
            </w:r>
          </w:p>
        </w:tc>
      </w:tr>
      <w:tr>
        <w:trPr/>
        <w:tc>
          <w:tcPr>
            <w:tcW w:w="35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24x7 Severity 1 support</w:t>
            </w:r>
          </w:p>
        </w:tc>
        <w:tc>
          <w:tcPr>
            <w:tcW w:w="19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[amount] a year</w:t>
            </w:r>
          </w:p>
        </w:tc>
        <w:tc>
          <w:tcPr>
            <w:tcW w:w="35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Yearly in advance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Invoices are payable within 30 days. The Client withholds tax as required and issues BIR Form 2307; withholding does not reduce the invoice price. Tax treatment of the perpetual licence fee agreed by the Parties' tax advisers: [sale of software / royalty; withholding rate].</w:t>
      </w:r>
    </w:p>
    <w:p>
      <w:pPr>
        <w:pStyle w:val="Heading2"/>
        <w:rPr/>
      </w:pPr>
      <w:bookmarkStart w:id="17" w:name="__RefHeading___Toc2941_3615388031"/>
      <w:bookmarkEnd w:id="17"/>
      <w:r>
        <w:rPr>
          <w:rFonts w:eastAsia="Segoe UI" w:cs="Segoe UI"/>
          <w:b/>
          <w:color w:val="0F4761"/>
          <w:sz w:val="26"/>
        </w:rPr>
        <w:t>5.6  Conditions of discounts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7"/>
        <w:gridCol w:w="4121"/>
        <w:gridCol w:w="3176"/>
      </w:tblGrid>
      <w:tr>
        <w:trPr>
          <w:tblHeader w:val="true"/>
        </w:trPr>
        <w:tc>
          <w:tcPr>
            <w:tcW w:w="17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Lever</w:t>
            </w:r>
          </w:p>
        </w:tc>
        <w:tc>
          <w:tcPr>
            <w:tcW w:w="412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Condition</w:t>
            </w:r>
          </w:p>
        </w:tc>
        <w:tc>
          <w:tcPr>
            <w:tcW w:w="3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If the condition is not met</w:t>
            </w:r>
          </w:p>
        </w:tc>
      </w:tr>
      <w:tr>
        <w:trPr/>
        <w:tc>
          <w:tcPr>
            <w:tcW w:w="17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[Longer term]</w:t>
            </w:r>
          </w:p>
        </w:tc>
        <w:tc>
          <w:tcPr>
            <w:tcW w:w="412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[36-month Initial Term without termination for convenience]</w:t>
            </w:r>
          </w:p>
        </w:tc>
        <w:tc>
          <w:tcPr>
            <w:tcW w:w="3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[Discount repaid for the period used]</w:t>
            </w:r>
          </w:p>
        </w:tc>
      </w:tr>
      <w:tr>
        <w:trPr/>
        <w:tc>
          <w:tcPr>
            <w:tcW w:w="17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[Upfront payment]</w:t>
            </w:r>
          </w:p>
        </w:tc>
        <w:tc>
          <w:tcPr>
            <w:tcW w:w="412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[Subscription paid yearly in advance by the due date]</w:t>
            </w:r>
          </w:p>
        </w:tc>
        <w:tc>
          <w:tcPr>
            <w:tcW w:w="3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[Discount lapses for that year]</w:t>
            </w:r>
          </w:p>
        </w:tc>
      </w:tr>
      <w:tr>
        <w:trPr/>
        <w:tc>
          <w:tcPr>
            <w:tcW w:w="17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[Reference customer]</w:t>
            </w:r>
          </w:p>
        </w:tc>
        <w:tc>
          <w:tcPr>
            <w:tcW w:w="412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[Two reference calls a year; logo use]</w:t>
            </w:r>
          </w:p>
        </w:tc>
        <w:tc>
          <w:tcPr>
            <w:tcW w:w="3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[Discount ends from the next invoice]</w:t>
            </w:r>
          </w:p>
        </w:tc>
      </w:tr>
      <w:tr>
        <w:trPr/>
        <w:tc>
          <w:tcPr>
            <w:tcW w:w="17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[Other]</w:t>
            </w:r>
          </w:p>
        </w:tc>
        <w:tc>
          <w:tcPr>
            <w:tcW w:w="412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[condition]</w:t>
            </w:r>
          </w:p>
        </w:tc>
        <w:tc>
          <w:tcPr>
            <w:tcW w:w="3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[effect]</w:t>
            </w:r>
          </w:p>
        </w:tc>
      </w:tr>
    </w:tbl>
    <w:p>
      <w:pPr>
        <w:pStyle w:val="Heading1"/>
        <w:rPr/>
      </w:pPr>
      <w:r>
        <w:br w:type="page"/>
      </w:r>
      <w:bookmarkStart w:id="18" w:name="__RefHeading___Toc2943_3615388031"/>
      <w:bookmarkEnd w:id="18"/>
      <w:r>
        <w:rPr>
          <w:rFonts w:eastAsia="Segoe UI" w:cs="Segoe UI" w:ascii="Segoe UI" w:hAnsi="Segoe UI"/>
          <w:b/>
          <w:color w:val="0F4761"/>
          <w:sz w:val="32"/>
        </w:rPr>
        <w:t>6.  Schedules and special terms</w:t>
      </w:r>
    </w:p>
    <w:p>
      <w:pPr>
        <w:pStyle w:val="Heading2"/>
        <w:rPr/>
      </w:pPr>
      <w:bookmarkStart w:id="19" w:name="__RefHeading___Toc2945_3615388031"/>
      <w:bookmarkEnd w:id="19"/>
      <w:r>
        <w:rPr>
          <w:rFonts w:eastAsia="Segoe UI" w:cs="Segoe UI"/>
          <w:b/>
          <w:color w:val="0F4761"/>
          <w:sz w:val="26"/>
        </w:rPr>
        <w:t>6.1  Schedules that apply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30"/>
        <w:gridCol w:w="3983"/>
      </w:tblGrid>
      <w:tr>
        <w:trPr>
          <w:tblHeader w:val="true"/>
        </w:trPr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Schedule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Applies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Perpetual Software Licence Agreement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Software Subscription Agreement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 Statement of Work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Change Request Procedure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Annual Maintenance and Support Agreement and SLA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Hosting and Infrastructure Services Agreement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Data Processing Agreement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Service Catalogue and Rate Annex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Customer Responsibilities and RACI Annex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Yes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Exit and Transition Plan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[Yes, if subscription or hosting / No]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Source Code Escrow Agreement (perpetual only, three parties)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0" w:name="__RefHeading___Toc2947_3615388031"/>
      <w:bookmarkEnd w:id="20"/>
      <w:r>
        <w:rPr>
          <w:rFonts w:eastAsia="Segoe UI" w:cs="Segoe UI"/>
          <w:b/>
          <w:color w:val="0F4761"/>
          <w:sz w:val="26"/>
        </w:rPr>
        <w:t>6.2  Special terms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[None.] [Any special term, stating expressly whether it overrides the MSA for this Order Form.]</w:t>
      </w:r>
    </w:p>
    <w:p>
      <w:pPr>
        <w:pStyle w:val="Heading2"/>
        <w:rPr/>
      </w:pPr>
      <w:bookmarkStart w:id="21" w:name="__RefHeading___Toc2949_3615388031"/>
      <w:bookmarkEnd w:id="21"/>
      <w:r>
        <w:rPr>
          <w:rFonts w:eastAsia="Segoe UI" w:cs="Segoe UI"/>
          <w:b/>
          <w:color w:val="0F4761"/>
          <w:sz w:val="26"/>
        </w:rPr>
        <w:t>6.3  Price basis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Prices are from the iorta TechNXT price book dated [03 October 2026] and the quotation referenced above, valid for 90 days from the quotation date. Day rates are fixed for 12 months from the date of this Order Form.</w:t>
      </w:r>
      <w:r>
        <w:br w:type="page"/>
      </w:r>
    </w:p>
    <w:p>
      <w:pPr>
        <w:pStyle w:val="Heading1"/>
        <w:rPr/>
      </w:pPr>
      <w:bookmarkStart w:id="22" w:name="__RefHeading___Toc2951_3615388031"/>
      <w:bookmarkEnd w:id="22"/>
      <w:r>
        <w:rPr>
          <w:rFonts w:eastAsia="Segoe UI" w:cs="Segoe UI" w:ascii="Segoe UI" w:hAnsi="Segoe UI"/>
          <w:b/>
          <w:color w:val="0F4761"/>
          <w:sz w:val="32"/>
        </w:rPr>
        <w:t>7.  Signatures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By signing, the Parties agree to this Order Form, the MSA and the schedules that apply.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7"/>
        <w:gridCol w:w="4506"/>
      </w:tblGrid>
      <w:tr>
        <w:trPr>
          <w:tblHeader w:val="true"/>
        </w:trPr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For iorta TechNXT Corp.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For [Client legal name]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Signature: ____________________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Signature: ____________________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Name: [name]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Name: [name]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Title: [title]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Title: [title]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Date: [date]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Date: [date]</w:t>
            </w:r>
          </w:p>
        </w:tc>
      </w:tr>
    </w:tbl>
    <w:p>
      <w:pPr>
        <w:pStyle w:val="Heading1"/>
        <w:tabs>
          <w:tab w:val="clear" w:pos="720"/>
          <w:tab w:val="left" w:pos="360" w:leader="none"/>
        </w:tabs>
        <w:spacing w:lineRule="auto" w:line="360"/>
        <w:ind w:hanging="0" w:left="0"/>
        <w:rPr>
          <w:rStyle w:val="BookTitle"/>
          <w:b w:val="false"/>
          <w:bCs w:val="false"/>
          <w:i w:val="false"/>
          <w:i w:val="false"/>
          <w:iCs w:val="false"/>
          <w:spacing w:val="0"/>
        </w:rPr>
      </w:pPr>
      <w:r>
        <w:br w:type="page"/>
      </w:r>
      <w:bookmarkStart w:id="23" w:name="__RefHeading___Toc2953_3615388031"/>
      <w:bookmarkStart w:id="24" w:name="_Toc233203395"/>
      <w:bookmarkEnd w:id="23"/>
      <w:r>
        <w:rPr>
          <w:rStyle w:val="BookTitle"/>
          <w:bCs w:val="false"/>
          <w:i w:val="false"/>
          <w:iCs w:val="false"/>
          <w:spacing w:val="0"/>
        </w:rPr>
        <w:t>8.  Document Sign-Off</w:t>
      </w:r>
      <w:bookmarkEnd w:id="24"/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57"/>
        <w:gridCol w:w="3859"/>
        <w:gridCol w:w="1727"/>
        <w:gridCol w:w="1982"/>
      </w:tblGrid>
      <w:tr>
        <w:trPr>
          <w:trHeight w:val="440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Serial Number</w:t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Description</w:t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Owner</w:t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Status</w:t>
            </w:r>
          </w:p>
        </w:tc>
      </w:tr>
      <w:tr>
        <w:trPr>
          <w:trHeight w:val="449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1</w:t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both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Review and completion by the parties' legal counsel before signature</w:t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iorta TechNXT</w:t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Open</w:t>
            </w:r>
          </w:p>
        </w:tc>
      </w:tr>
      <w:tr>
        <w:trPr>
          <w:trHeight w:val="449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both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both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</w:tbl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4"/>
        <w:gridCol w:w="3294"/>
        <w:gridCol w:w="1828"/>
        <w:gridCol w:w="2349"/>
      </w:tblGrid>
      <w:tr>
        <w:trPr>
          <w:trHeight w:val="440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Sign Off Date</w:t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Signature</w:t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Approved By</w:t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Department &amp; Project Role</w:t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  <w:drawing>
          <wp:anchor behindDoc="1" distT="0" distB="0" distL="0" distR="0" simplePos="0" locked="0" layoutInCell="0" allowOverlap="1" relativeHeight="14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48245" cy="10677525"/>
            <wp:effectExtent l="0" t="0" r="0" b="0"/>
            <wp:wrapNone/>
            <wp:docPr id="8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24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5"/>
      <w:footerReference w:type="first" r:id="rId6"/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13">
          <wp:simplePos x="0" y="0"/>
          <wp:positionH relativeFrom="page">
            <wp:align>left</wp:align>
          </wp:positionH>
          <wp:positionV relativeFrom="paragraph">
            <wp:posOffset>-708025</wp:posOffset>
          </wp:positionV>
          <wp:extent cx="8778240" cy="885190"/>
          <wp:effectExtent l="0" t="0" r="0" b="0"/>
          <wp:wrapNone/>
          <wp:docPr id="9" name="Picture 118066957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18066957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778240" cy="8851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13">
          <wp:simplePos x="0" y="0"/>
          <wp:positionH relativeFrom="page">
            <wp:align>left</wp:align>
          </wp:positionH>
          <wp:positionV relativeFrom="paragraph">
            <wp:posOffset>-708025</wp:posOffset>
          </wp:positionV>
          <wp:extent cx="8778240" cy="885190"/>
          <wp:effectExtent l="0" t="0" r="0" b="0"/>
          <wp:wrapNone/>
          <wp:docPr id="10" name="Picture 118066957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18066957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778240" cy="8851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ＭＳ 明朝" w:cs="Arial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ＭＳ 明朝" w:cs="Arial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83a"/>
    <w:pPr>
      <w:keepNext w:val="true"/>
      <w:keepLines/>
      <w:spacing w:before="240" w:after="0"/>
      <w:outlineLvl w:val="0"/>
    </w:pPr>
    <w:rPr>
      <w:rFonts w:ascii="Aptos Display" w:hAnsi="Aptos Display" w:eastAsia="ＭＳ ゴシック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2" w:customStyle="1">
    <w:name w:val="Heading 2"/>
    <w:basedOn w:val="Normal"/>
    <w:qFormat/>
    <w:pPr>
      <w:keepNext w:val="true"/>
      <w:spacing w:before="240" w:after="80"/>
      <w:outlineLvl w:val="1"/>
    </w:pPr>
    <w:rPr>
      <w:rFonts w:ascii="Segoe UI" w:hAnsi="Segoe UI"/>
      <w:b/>
      <w:color w:val="0F4761"/>
      <w:sz w:val="26"/>
    </w:rPr>
  </w:style>
  <w:style w:type="paragraph" w:styleId="Heading3" w:customStyle="1">
    <w:name w:val="Heading 3"/>
    <w:basedOn w:val="Normal"/>
    <w:qFormat/>
    <w:pPr>
      <w:keepNext w:val="true"/>
      <w:spacing w:before="240" w:after="80"/>
      <w:outlineLvl w:val="2"/>
    </w:pPr>
    <w:rPr>
      <w:rFonts w:ascii="Segoe UI" w:hAnsi="Segoe UI"/>
      <w:b/>
      <w:color w:val="0F4761"/>
      <w:sz w:val="2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526c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a4a03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b183a"/>
    <w:rPr>
      <w:rFonts w:ascii="Aptos Display" w:hAnsi="Aptos Display" w:eastAsia="ＭＳ ゴシック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yperlink">
    <w:name w:val="Hyperlink"/>
    <w:uiPriority w:val="99"/>
    <w:unhideWhenUsed/>
    <w:rsid w:val="002b183a"/>
    <w:rPr>
      <w:color w:val="0000FF"/>
      <w:u w:val="single"/>
    </w:rPr>
  </w:style>
  <w:style w:type="character" w:styleId="BookTitle">
    <w:name w:val="Book Title"/>
    <w:uiPriority w:val="33"/>
    <w:qFormat/>
    <w:rsid w:val="002b183a"/>
    <w:rPr>
      <w:b/>
      <w:bCs/>
      <w:i/>
      <w:iCs/>
      <w:spacing w:val="5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1b9ac10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1b9ac10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b183a"/>
    <w:pPr>
      <w:spacing w:lineRule="auto" w:line="276" w:before="480" w:after="0"/>
      <w:outlineLvl w:val="9"/>
    </w:pPr>
    <w:rPr>
      <w:rFonts w:ascii="Arial" w:hAnsi="Arial" w:eastAsia="Times New Roman" w:cs="Arial"/>
      <w:bCs/>
      <w:color w:themeColor="accent1" w:themeShade="bf"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b183a"/>
    <w:pPr>
      <w:tabs>
        <w:tab w:val="clear" w:pos="720"/>
        <w:tab w:val="left" w:pos="900" w:leader="none"/>
        <w:tab w:val="right" w:pos="9350" w:leader="dot"/>
      </w:tabs>
      <w:spacing w:lineRule="auto" w:line="276" w:before="0" w:after="100"/>
      <w:jc w:val="both"/>
    </w:pPr>
    <w:rPr>
      <w:rFonts w:ascii="Segoe UI" w:hAnsi="Segoe UI" w:eastAsia="Times New Roman" w:cs="Times New Roman"/>
      <w:b/>
      <w:color w:val="101820"/>
      <w:sz w:val="20"/>
      <w:szCs w:val="22"/>
      <w:lang w:eastAsia="en-US"/>
    </w:rPr>
  </w:style>
  <w:style w:type="paragraph" w:styleId="TOC2" w:customStyle="1">
    <w:name w:val="TOC 2"/>
    <w:basedOn w:val="TOC1"/>
    <w:pPr>
      <w:ind w:left="340"/>
    </w:pPr>
    <w:rPr/>
  </w:style>
  <w:style w:type="paragraph" w:styleId="TOC3" w:customStyle="1">
    <w:name w:val="TOC 3"/>
    <w:basedOn w:val="TOC1"/>
    <w:pPr>
      <w:ind w:left="68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B5F57171CF124DA305F5F2F2C90404" ma:contentTypeVersion="10" ma:contentTypeDescription="Create a new document." ma:contentTypeScope="" ma:versionID="5fc2ae173fd82ea9f4710d62b9055a3a">
  <xsd:schema xmlns:xsd="http://www.w3.org/2001/XMLSchema" xmlns:xs="http://www.w3.org/2001/XMLSchema" xmlns:p="http://schemas.microsoft.com/office/2006/metadata/properties" xmlns:ns3="fcd4fbc6-d149-41e6-b5a3-0f2dc7078962" targetNamespace="http://schemas.microsoft.com/office/2006/metadata/properties" ma:root="true" ma:fieldsID="47065ddf53e9fb8c6afaae7654624852" ns3:_="">
    <xsd:import namespace="fcd4fbc6-d149-41e6-b5a3-0f2dc707896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4fbc6-d149-41e6-b5a3-0f2dc707896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d4fbc6-d149-41e6-b5a3-0f2dc7078962" xsi:nil="true"/>
  </documentManagement>
</p:properties>
</file>

<file path=customXml/itemProps1.xml><?xml version="1.0" encoding="utf-8"?>
<ds:datastoreItem xmlns:ds="http://schemas.openxmlformats.org/officeDocument/2006/customXml" ds:itemID="{C0CA43DA-C851-4C9F-AA9A-3B73EDF752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d4fbc6-d149-41e6-b5a3-0f2dc70789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CE9AF4-17E0-496B-86F7-DDAE56028F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5506AB-341E-4DB7-9E6C-94E21EE122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AF19BD-2A20-432E-A6D3-31F36EF57940}">
  <ds:schemaRefs>
    <ds:schemaRef ds:uri="http://schemas.microsoft.com/office/2006/metadata/properties"/>
    <ds:schemaRef ds:uri="http://schemas.microsoft.com/office/infopath/2007/PartnerControls"/>
    <ds:schemaRef ds:uri="fcd4fbc6-d149-41e6-b5a3-0f2dc70789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8</Pages>
  <Words>812</Words>
  <Characters>4634</Characters>
  <CharactersWithSpaces>5436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2026-06-24T05:58:00Z</dcterms:created>
  <dc:creator>Andrew R</dc:creator>
  <dc:description/>
  <dc:language>en-US</dc:language>
  <cp:lastModifiedBy/>
  <dcterms:modified xsi:type="dcterms:W3CDTF">2026-10-04T12:35:44Z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0x01010010B5F57171CF124DA305F5F2F2C90404</vt:lpwstr>
  </property>
</Properties>
</file>