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1" distT="0" distB="0" distL="0" distR="0" simplePos="0" locked="0" layoutInCell="0" allowOverlap="1" relativeHeight="17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7553960" cy="1068514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">
            <wp:simplePos x="0" y="0"/>
            <wp:positionH relativeFrom="margin">
              <wp:align>center</wp:align>
            </wp:positionH>
            <wp:positionV relativeFrom="margin">
              <wp:posOffset>244475</wp:posOffset>
            </wp:positionV>
            <wp:extent cx="2000250" cy="568325"/>
            <wp:effectExtent l="0" t="0" r="0" b="0"/>
            <wp:wrapNone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5720" distB="45720" distL="114300" distR="114300" simplePos="0" locked="0" layoutInCell="0" allowOverlap="1" relativeHeight="18" wp14:anchorId="3D43415C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2599690" cy="266700"/>
                <wp:effectExtent l="0" t="0" r="0" b="0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56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iorta TechNXT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15.3pt;margin-top:324.8pt;width:204.65pt;height:20.95pt;mso-wrap-style:square;v-text-anchor:top;mso-position-horizontal-relative:page" wp14:anchorId="3D43415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Prepared by – </w:t>
                      </w:r>
                      <w:r>
                        <w:rPr>
                          <w:b/>
                          <w:bCs/>
                          <w:color w:val="1D74BA"/>
                        </w:rPr>
                        <w:t>iorta TechNXT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3030" distR="114935" simplePos="0" locked="0" layoutInCell="0" allowOverlap="1" relativeHeight="20" wp14:anchorId="58C23128">
                <wp:simplePos x="0" y="0"/>
                <wp:positionH relativeFrom="page">
                  <wp:posOffset>3094990</wp:posOffset>
                </wp:positionH>
                <wp:positionV relativeFrom="paragraph">
                  <wp:posOffset>4124960</wp:posOffset>
                </wp:positionV>
                <wp:extent cx="1599565" cy="266700"/>
                <wp:effectExtent l="0" t="0" r="0" b="0"/>
                <wp:wrapSquare wrapText="bothSides"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1.0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43.7pt;margin-top:324.8pt;width:125.9pt;height:20.95pt;mso-wrap-style:square;v-text-anchor:top;mso-position-horizontal-relative:page" wp14:anchorId="58C23128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Version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1.0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4300" distR="113665" simplePos="0" locked="0" layoutInCell="0" allowOverlap="1" relativeHeight="22" wp14:anchorId="1BF25123">
                <wp:simplePos x="0" y="0"/>
                <wp:positionH relativeFrom="page">
                  <wp:posOffset>4992370</wp:posOffset>
                </wp:positionH>
                <wp:positionV relativeFrom="paragraph">
                  <wp:posOffset>4124960</wp:posOffset>
                </wp:positionV>
                <wp:extent cx="2400300" cy="266700"/>
                <wp:effectExtent l="0" t="0" r="0" b="0"/>
                <wp:wrapSquare wrapText="bothSides"/>
                <wp:docPr id="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03 October 2026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393.1pt;margin-top:324.8pt;width:188.95pt;height:20.95pt;mso-wrap-style:square;v-text-anchor:top;mso-position-horizontal-relative:page" wp14:anchorId="1BF25123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Date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03 October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6355" distL="114300" distR="114300" simplePos="0" locked="0" layoutInCell="0" allowOverlap="1" relativeHeight="24" wp14:anchorId="01DE2BF4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4528820" cy="1249680"/>
                <wp:effectExtent l="0" t="0" r="0" b="0"/>
                <wp:wrapSquare wrapText="bothSides"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124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  <w:t>Documentation Pack Index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  <w:sz w:val="56"/>
                                <w:szCs w:val="5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01.7pt;width:356.55pt;height:98.35pt;mso-wrap-style:square;v-text-anchor:top;mso-position-horizontal:center;mso-position-horizontal-relative:margin" wp14:anchorId="01DE2BF4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</w:pPr>
                      <w:r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  <w:t>Documentation Pack Index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  <w:sz w:val="56"/>
                          <w:szCs w:val="5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50800" distL="114300" distR="114300" simplePos="0" locked="0" layoutInCell="0" allowOverlap="1" relativeHeight="26" wp14:anchorId="204C02CC">
                <wp:simplePos x="0" y="0"/>
                <wp:positionH relativeFrom="margin">
                  <wp:align>center</wp:align>
                </wp:positionH>
                <wp:positionV relativeFrom="paragraph">
                  <wp:posOffset>1979295</wp:posOffset>
                </wp:positionV>
                <wp:extent cx="4528820" cy="337820"/>
                <wp:effectExtent l="0" t="0" r="0" b="5080"/>
                <wp:wrapSquare wrapText="bothSides"/>
                <wp:docPr id="7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33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  <w:t>iNXT BrokerVerse OOTB documents by audience and lifecycle stage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55.85pt;width:356.55pt;height:26.55pt;mso-wrap-style:square;v-text-anchor:top;mso-position-horizontal:center;mso-position-horizontal-relative:margin" wp14:anchorId="204C02C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  <w:t>iNXT BrokerVerse OOTB documents by audience and lifecycle stage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TOCHeading"/>
        <w:tabs>
          <w:tab w:val="clear" w:pos="720"/>
          <w:tab w:val="left" w:pos="1991" w:leader="none"/>
          <w:tab w:val="center" w:pos="4725" w:leader="none"/>
          <w:tab w:val="right" w:pos="9450" w:leader="none"/>
        </w:tabs>
        <w:spacing w:before="0" w:after="0"/>
        <w:rPr>
          <w:rFonts w:ascii="Segoe UI" w:hAnsi="Segoe UI" w:cs="Segoe UI"/>
          <w:b/>
          <w:color w:val="003399"/>
        </w:rPr>
      </w:pPr>
      <w:r>
        <w:rPr>
          <w:rFonts w:eastAsia="Arial" w:cs="Segoe UI" w:ascii="Segoe UI" w:hAnsi="Segoe UI"/>
          <w:b/>
          <w:color w:val="003399"/>
        </w:rPr>
        <w:t>TABLE OF CONTENTS</w:t>
      </w:r>
    </w:p>
    <w:p>
      <w:pPr>
        <w:pStyle w:val="Normal"/>
        <w:rPr>
          <w:rFonts w:ascii="Segoe UI" w:hAnsi="Segoe UI" w:cs="Segoe UI"/>
          <w:color w:val="101820"/>
        </w:rPr>
      </w:pPr>
      <w:r>
        <w:rPr>
          <w:rFonts w:cs="Segoe UI" w:ascii="Segoe UI" w:hAnsi="Segoe UI"/>
          <w:color w:val="10182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110_3525619064">
            <w:r>
              <w:rPr>
                <w:webHidden/>
                <w:rStyle w:val="IndexLink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1. Document Control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12_3525619064">
            <w:r>
              <w:rPr>
                <w:webHidden/>
                <w:rStyle w:val="IndexLink"/>
                <w:i w:val="false"/>
                <w:iCs w:val="false"/>
              </w:rPr>
              <w:t>2. Acronyms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14_3525619064">
            <w:r>
              <w:rPr>
                <w:webHidden/>
                <w:rStyle w:val="IndexLink"/>
              </w:rPr>
              <w:t>3. How to use this index</w:t>
              <w:tab/>
              <w:t>4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16_3525619064">
            <w:r>
              <w:rPr>
                <w:webHidden/>
                <w:rStyle w:val="IndexLink"/>
              </w:rPr>
              <w:t>4. Index by audience</w:t>
              <w:tab/>
              <w:t>5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18_3525619064">
            <w:r>
              <w:rPr>
                <w:webHidden/>
                <w:rStyle w:val="IndexLink"/>
              </w:rPr>
              <w:t>5. Index by lifecycle stage</w:t>
              <w:tab/>
              <w:t>6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20_3525619064">
            <w:r>
              <w:rPr>
                <w:webHidden/>
                <w:rStyle w:val="IndexLink"/>
              </w:rPr>
              <w:t>6. File list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22_3525619064">
            <w:r>
              <w:rPr>
                <w:webHidden/>
                <w:rStyle w:val="IndexLink"/>
              </w:rPr>
              <w:t>6.1 Sales and pre-sales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24_3525619064">
            <w:r>
              <w:rPr>
                <w:webHidden/>
                <w:rStyle w:val="IndexLink"/>
              </w:rPr>
              <w:t>6.2 Contracting</w:t>
              <w:tab/>
              <w:t>8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26_3525619064">
            <w:r>
              <w:rPr>
                <w:webHidden/>
                <w:rStyle w:val="IndexLink"/>
              </w:rPr>
              <w:t>6.3 Implementation and go-live</w:t>
              <w:tab/>
              <w:t>9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28_3525619064">
            <w:r>
              <w:rPr>
                <w:webHidden/>
                <w:rStyle w:val="IndexLink"/>
              </w:rPr>
              <w:t>6.4 Development and support</w:t>
              <w:tab/>
              <w:t>10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30_3525619064">
            <w:r>
              <w:rPr>
                <w:webHidden/>
                <w:rStyle w:val="IndexLink"/>
              </w:rPr>
              <w:t>7. INTERNAL documents</w:t>
              <w:tab/>
              <w:t>11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32_3525619064">
            <w:r>
              <w:rPr>
                <w:webHidden/>
                <w:rStyle w:val="IndexLink"/>
              </w:rPr>
              <w:t>8. Building the documents</w:t>
              <w:tab/>
              <w:t>12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34_3525619064">
            <w:r>
              <w:rPr>
                <w:webHidden/>
                <w:rStyle w:val="IndexLink"/>
                <w:i w:val="false"/>
                <w:iCs w:val="false"/>
              </w:rPr>
              <w:t>9. Document Sign-Off</w:t>
            </w:r>
            <w:r>
              <w:rPr>
                <w:rStyle w:val="IndexLink"/>
              </w:rPr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r>
        <w:br w:type="page"/>
      </w:r>
      <w:bookmarkStart w:id="0" w:name="__RefHeading___Toc3110_3525619064"/>
      <w:bookmarkStart w:id="1" w:name="_Toc48319687"/>
      <w:bookmarkStart w:id="2" w:name="_Toc11824118"/>
      <w:bookmarkEnd w:id="0"/>
      <w:r>
        <w:rPr>
          <w:rStyle w:val="BookTitle"/>
          <w:b w:val="false"/>
        </w:rPr>
        <w:t xml:space="preserve"> </w:t>
      </w:r>
      <w:bookmarkStart w:id="3" w:name="_Toc233203387"/>
      <w:r>
        <w:rPr>
          <w:rStyle w:val="BookTitle"/>
          <w:bCs w:val="false"/>
          <w:i w:val="false"/>
          <w:iCs w:val="false"/>
          <w:spacing w:val="0"/>
        </w:rPr>
        <w:t>1.  Document Control</w:t>
      </w:r>
      <w:bookmarkEnd w:id="1"/>
      <w:bookmarkEnd w:id="2"/>
      <w:bookmarkEnd w:id="3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785"/>
        <w:gridCol w:w="1608"/>
        <w:gridCol w:w="1692"/>
        <w:gridCol w:w="1696"/>
        <w:gridCol w:w="1690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Date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Version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Author &amp; Business Unit Info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Reviewed By &amp; Business Unit Info</w:t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 &amp; Business Unit Info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Change History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03 October 2026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1.0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Initial issue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spacing w:before="60" w:after="16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bookmarkStart w:id="4" w:name="__RefHeading___Toc3112_3525619064"/>
      <w:bookmarkStart w:id="5" w:name="_Toc233203388"/>
      <w:bookmarkEnd w:id="4"/>
      <w:r>
        <w:rPr>
          <w:rStyle w:val="BookTitle"/>
          <w:bCs w:val="false"/>
          <w:i w:val="false"/>
          <w:iCs w:val="false"/>
          <w:spacing w:val="0"/>
        </w:rPr>
        <w:t>2.  Acronyms</w:t>
      </w:r>
      <w:bookmarkEnd w:id="5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34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4"/>
        <w:gridCol w:w="3712"/>
      </w:tblGrid>
      <w:tr>
        <w:trPr>
          <w:trHeight w:val="440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Acronym / Symbol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Definition / Meaning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OOTB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Out of the box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DPO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Data protection officer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NDA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Non-disclosure agreement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PIA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Privacy impact assessment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RAID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Risks, assumptions, issues and dependencies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RACI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Responsible, Accountable, Consulted, Informed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ROI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Return on investment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SLA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Service level agreement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UAT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User acceptance test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DR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Disaster recovery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SaaS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Software as a service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Heading1"/>
        <w:pageBreakBefore w:val="false"/>
        <w:rPr/>
      </w:pPr>
      <w:bookmarkStart w:id="6" w:name="__RefHeading___Toc3114_3525619064"/>
      <w:bookmarkEnd w:id="6"/>
      <w:r>
        <w:rPr>
          <w:rFonts w:eastAsia="Segoe UI" w:cs="Segoe UI" w:ascii="Segoe UI" w:hAnsi="Segoe UI"/>
          <w:b/>
          <w:color w:val="0F4761"/>
          <w:sz w:val="32"/>
        </w:rPr>
        <w:t>3.  How to use this index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The BrokerVerse OOTB documentation pack holds every document iorta TechNXT uses to sell, contract, implement, run and support iNXT BrokerVerse OOTB for a Philippine non-life broker. This index lists each file with its purpose, its audience and the stage of the customer lifecycle in which it is used.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b/>
          <w:color w:val="101820"/>
          <w:sz w:val="21"/>
        </w:rPr>
        <w:t>Client-facing</w:t>
      </w:r>
      <w:r>
        <w:rPr>
          <w:rFonts w:eastAsia="Segoe UI" w:cs="Segoe UI" w:ascii="Segoe UI" w:hAnsi="Segoe UI"/>
          <w:color w:val="101820"/>
          <w:sz w:val="21"/>
        </w:rPr>
        <w:t xml:space="preserve"> files may be given to the broker, normally from the stage shown.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b/>
          <w:color w:val="101820"/>
          <w:sz w:val="21"/>
        </w:rPr>
        <w:t>INTERNAL</w:t>
      </w:r>
      <w:r>
        <w:rPr>
          <w:rFonts w:eastAsia="Segoe UI" w:cs="Segoe UI" w:ascii="Segoe UI" w:hAnsi="Segoe UI"/>
          <w:color w:val="101820"/>
          <w:sz w:val="21"/>
        </w:rPr>
        <w:t xml:space="preserve"> files are for iorta TechNXT staff only. They hold pricing logic, discount limits, competitor positioning or internal strategy and are never sent to a broker or attached to a proposal. Their file names end in </w:t>
      </w:r>
      <w:r>
        <w:rPr>
          <w:rFonts w:eastAsia="Consolas" w:cs="Consolas" w:ascii="Consolas" w:hAnsi="Consolas"/>
          <w:color w:val="101820"/>
          <w:sz w:val="19"/>
        </w:rPr>
        <w:t>_INTERNAL</w:t>
      </w:r>
      <w:r>
        <w:rPr>
          <w:rFonts w:eastAsia="Segoe UI" w:cs="Segoe UI" w:ascii="Segoe UI" w:hAnsi="Segoe UI"/>
          <w:color w:val="101820"/>
          <w:sz w:val="21"/>
        </w:rPr>
        <w:t xml:space="preserve"> where the document is a sales tool.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Audiences: Sales (account managers and presales), Delivery (implementation project managers and consultants), Development (product engineering), Support (L2 and L3 application support), Management (iorta TechNXT management, and the broker's management for client-facing files).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Lifecycle stages: Pre-sales, Contracting, Implementation, Go-live, Support.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 xml:space="preserve">Documents are kept in </w:t>
      </w:r>
      <w:r>
        <w:rPr>
          <w:rFonts w:eastAsia="Consolas" w:cs="Consolas" w:ascii="Consolas" w:hAnsi="Consolas"/>
          <w:color w:val="101820"/>
          <w:sz w:val="19"/>
        </w:rPr>
        <w:t>docs/package</w:t>
      </w:r>
      <w:r>
        <w:rPr>
          <w:rFonts w:eastAsia="Segoe UI" w:cs="Segoe UI" w:ascii="Segoe UI" w:hAnsi="Segoe UI"/>
          <w:color w:val="101820"/>
          <w:sz w:val="21"/>
        </w:rPr>
        <w:t xml:space="preserve">: </w:t>
      </w:r>
      <w:r>
        <w:rPr>
          <w:rFonts w:eastAsia="Consolas" w:cs="Consolas" w:ascii="Consolas" w:hAnsi="Consolas"/>
          <w:color w:val="101820"/>
          <w:sz w:val="19"/>
        </w:rPr>
        <w:t>out/</w:t>
      </w:r>
      <w:r>
        <w:rPr>
          <w:rFonts w:eastAsia="Segoe UI" w:cs="Segoe UI" w:ascii="Segoe UI" w:hAnsi="Segoe UI"/>
          <w:color w:val="101820"/>
          <w:sz w:val="21"/>
        </w:rPr>
        <w:t xml:space="preserve"> holds the built Word, PDF and Excel files, </w:t>
      </w:r>
      <w:r>
        <w:rPr>
          <w:rFonts w:eastAsia="Consolas" w:cs="Consolas" w:ascii="Consolas" w:hAnsi="Consolas"/>
          <w:color w:val="101820"/>
          <w:sz w:val="19"/>
        </w:rPr>
        <w:t>out/contracts/</w:t>
      </w:r>
      <w:r>
        <w:rPr>
          <w:rFonts w:eastAsia="Segoe UI" w:cs="Segoe UI" w:ascii="Segoe UI" w:hAnsi="Segoe UI"/>
          <w:color w:val="101820"/>
          <w:sz w:val="21"/>
        </w:rPr>
        <w:t xml:space="preserve"> the contract pack, </w:t>
      </w:r>
      <w:r>
        <w:rPr>
          <w:rFonts w:eastAsia="Consolas" w:cs="Consolas" w:ascii="Consolas" w:hAnsi="Consolas"/>
          <w:color w:val="101820"/>
          <w:sz w:val="19"/>
        </w:rPr>
        <w:t>sales/</w:t>
      </w:r>
      <w:r>
        <w:rPr>
          <w:rFonts w:eastAsia="Segoe UI" w:cs="Segoe UI" w:ascii="Segoe UI" w:hAnsi="Segoe UI"/>
          <w:color w:val="101820"/>
          <w:sz w:val="21"/>
        </w:rPr>
        <w:t xml:space="preserve"> the sales kit (with copies of the sales documents built in </w:t>
      </w:r>
      <w:r>
        <w:rPr>
          <w:rFonts w:eastAsia="Consolas" w:cs="Consolas" w:ascii="Consolas" w:hAnsi="Consolas"/>
          <w:color w:val="101820"/>
          <w:sz w:val="19"/>
        </w:rPr>
        <w:t>out/</w:t>
      </w:r>
      <w:r>
        <w:rPr>
          <w:rFonts w:eastAsia="Segoe UI" w:cs="Segoe UI" w:ascii="Segoe UI" w:hAnsi="Segoe UI"/>
          <w:color w:val="101820"/>
          <w:sz w:val="21"/>
        </w:rPr>
        <w:t xml:space="preserve">), </w:t>
      </w:r>
      <w:r>
        <w:rPr>
          <w:rFonts w:eastAsia="Consolas" w:cs="Consolas" w:ascii="Consolas" w:hAnsi="Consolas"/>
          <w:color w:val="101820"/>
          <w:sz w:val="19"/>
        </w:rPr>
        <w:t>source/</w:t>
      </w:r>
      <w:r>
        <w:rPr>
          <w:rFonts w:eastAsia="Segoe UI" w:cs="Segoe UI" w:ascii="Segoe UI" w:hAnsi="Segoe UI"/>
          <w:color w:val="101820"/>
          <w:sz w:val="21"/>
        </w:rPr>
        <w:t xml:space="preserve"> the text sources and </w:t>
      </w:r>
      <w:r>
        <w:rPr>
          <w:rFonts w:eastAsia="Consolas" w:cs="Consolas" w:ascii="Consolas" w:hAnsi="Consolas"/>
          <w:color w:val="101820"/>
          <w:sz w:val="19"/>
        </w:rPr>
        <w:t>tools/</w:t>
      </w:r>
      <w:r>
        <w:rPr>
          <w:rFonts w:eastAsia="Segoe UI" w:cs="Segoe UI" w:ascii="Segoe UI" w:hAnsi="Segoe UI"/>
          <w:color w:val="101820"/>
          <w:sz w:val="21"/>
        </w:rPr>
        <w:t xml:space="preserve"> the builders.</w:t>
      </w:r>
      <w:r>
        <w:br w:type="page"/>
      </w:r>
    </w:p>
    <w:p>
      <w:pPr>
        <w:pStyle w:val="Heading1"/>
        <w:rPr/>
      </w:pPr>
      <w:bookmarkStart w:id="7" w:name="__RefHeading___Toc3116_3525619064"/>
      <w:bookmarkEnd w:id="7"/>
      <w:r>
        <w:rPr>
          <w:rFonts w:eastAsia="Segoe UI" w:cs="Segoe UI" w:ascii="Segoe UI" w:hAnsi="Segoe UI"/>
          <w:b/>
          <w:color w:val="0F4761"/>
          <w:sz w:val="32"/>
        </w:rPr>
        <w:t>4.  Index by audience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42"/>
        <w:gridCol w:w="6271"/>
      </w:tblGrid>
      <w:tr>
        <w:trPr>
          <w:tblHeader w:val="true"/>
        </w:trPr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Audience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Start with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 (25 files)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Product Functionality, Demo Script, FAQ and Objection Handling, Rate Card, Battlecard (INTERNAL), Negotiation Playbook (INTERNAL)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 (30 files)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Approach and Plan, Discovery Workbook Guide, Fit-Gap Register, RAID Log, Data Migration and Cutover Plan, User Manual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Development (9 files)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Technical Reference, API and Dependency Catalogue, Data Dictionary, Release Notes Template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Support (20 files)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Production Support Approach and Standards, Schedules and Batch Jobs, Business Continuity and Disaster Recovery Plan, Communication Templates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 (37 files)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OOTB Strategy and Playbook (INTERNAL), Commercial Proposal Note (INTERNAL), Release Notes and Roadmap, Architecture, Infrastructure, Security and Data Privacy</w:t>
            </w:r>
          </w:p>
        </w:tc>
      </w:tr>
    </w:tbl>
    <w:p>
      <w:pPr>
        <w:pStyle w:val="Heading1"/>
        <w:rPr/>
      </w:pPr>
      <w:r>
        <w:br w:type="page"/>
      </w:r>
      <w:bookmarkStart w:id="8" w:name="__RefHeading___Toc3118_3525619064"/>
      <w:bookmarkEnd w:id="8"/>
      <w:r>
        <w:rPr>
          <w:rFonts w:eastAsia="Segoe UI" w:cs="Segoe UI" w:ascii="Segoe UI" w:hAnsi="Segoe UI"/>
          <w:b/>
          <w:color w:val="0F4761"/>
          <w:sz w:val="32"/>
        </w:rPr>
        <w:t>5.  Index by lifecycle stage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35"/>
        <w:gridCol w:w="6978"/>
      </w:tblGrid>
      <w:tr>
        <w:trPr>
          <w:tblHeader w:val="true"/>
        </w:trPr>
        <w:tc>
          <w:tcPr>
            <w:tcW w:w="20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Stage</w:t>
            </w:r>
          </w:p>
        </w:tc>
        <w:tc>
          <w:tcPr>
            <w:tcW w:w="69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Documents used</w:t>
            </w:r>
          </w:p>
        </w:tc>
      </w:tr>
      <w:tr>
        <w:trPr/>
        <w:tc>
          <w:tcPr>
            <w:tcW w:w="20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  <w:tc>
          <w:tcPr>
            <w:tcW w:w="69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Brochure; One Page Brochure; Client Presentation; Product Functionality; Demo Script; FAQ and Objection Handling; Prospect Email Templates; Prospect Email Templates; Commercial Proposal Rate Card; ROI Calculator; Price Book (INTERNAL); Competitive Battlecard INTERNAL (INTERNAL); OOTB Strategy and Playbook (INTERNAL); Commercial Proposal Note (INTERNAL); Commercials and Pricing (INTERNAL); Security Due Diligence Questionnaire; Architecture Infrastructure Security and Privacy; Philippine Regulatory Compliance Matrix; Release Notes and Roadmap; Mutual Non Disclosure Agreement; Implementation Approach and Plan; Test Summary Report; OOTB Documentation Pack Index</w:t>
            </w:r>
          </w:p>
        </w:tc>
      </w:tr>
      <w:tr>
        <w:trPr/>
        <w:tc>
          <w:tcPr>
            <w:tcW w:w="20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  <w:tc>
          <w:tcPr>
            <w:tcW w:w="69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Prospect Email Templates; Prospect Email Templates; Commercial Proposal Rate Card; Price Book (INTERNAL); Negotiation Playbook INTERNAL (INTERNAL); OOTB Strategy and Playbook (INTERNAL); Commercial Proposal Note (INTERNAL); Commercials and Pricing (INTERNAL); Security Due Diligence Questionnaire; Architecture Infrastructure Security and Privacy; Contract Pack Index and Cover Letter; Letter of Award and Proposal Acceptance; Master Services Agreement; Order Form; Perpetual Software Licence Agreement; Software Subscription Agreement; Implementation Statement of Work; Annual Maintenance Support and SLA; Hosting and Infrastructure Services Agreement; Data Processing Agreement; Service Catalogue and Rate Annex; Customer Responsibilities and RACI Annex; Change Request Procedure and Form; Source Code Escrow Agreement; Exit and Transition Plan; Production Support Approach and Standards; Business Continuity and Disaster Recovery Plan; OOTB Documentation Pack Index</w:t>
            </w:r>
          </w:p>
        </w:tc>
      </w:tr>
      <w:tr>
        <w:trPr/>
        <w:tc>
          <w:tcPr>
            <w:tcW w:w="20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</w:t>
            </w:r>
          </w:p>
        </w:tc>
        <w:tc>
          <w:tcPr>
            <w:tcW w:w="69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OOTB Strategy and Playbook (INTERNAL); Architecture Infrastructure Security and Privacy; Philippine Regulatory Compliance Matrix; Implementation Statement of Work; Customer Responsibilities and RACI Annex; Change Request Procedure and Form; Implementation Approach and Plan; Implementation Plan; Discovery Workbook Guide; Discovery and Configuration Workbook; Fit Gap Register; RAID Log Template; Project Status Report Template; Data Migration and Cutover Plan; Data Dictionary; Privacy Impact Assessment and Records of Processing Templates; Training Plan; User Manual; Reports Book; Communication Templates and Touchpoints; Communication Touchpoints; Schedules and Batch Jobs; Test Cases; Technical Reference; API and Dependency Catalogue; OOTB Documentation Pack Index</w:t>
            </w:r>
          </w:p>
        </w:tc>
      </w:tr>
      <w:tr>
        <w:trPr/>
        <w:tc>
          <w:tcPr>
            <w:tcW w:w="20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Go-live</w:t>
            </w:r>
          </w:p>
        </w:tc>
        <w:tc>
          <w:tcPr>
            <w:tcW w:w="69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OOTB Strategy and Playbook (INTERNAL); Release Notes and Roadmap; UAT and Go Live Acceptance Certificates; Hypercare Exit and Handover Certificate; RAID Log Template; Project Status Report Template; Data Migration and Cutover Plan; Privacy Impact Assessment and Records of Processing Templates; User Manual; Schedules and Batch Jobs; Test Cases; Test Summary Report; Production Support Approach and Standards; OOTB Documentation Pack Index</w:t>
            </w:r>
          </w:p>
        </w:tc>
      </w:tr>
      <w:tr>
        <w:trPr/>
        <w:tc>
          <w:tcPr>
            <w:tcW w:w="20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Support</w:t>
            </w:r>
          </w:p>
        </w:tc>
        <w:tc>
          <w:tcPr>
            <w:tcW w:w="69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OOTB Strategy and Playbook (INTERNAL); Release Notes and Roadmap; Annual Maintenance Support and SLA; Hosting and Infrastructure Services Agreement; Service Catalogue and Rate Annex; Change Request Procedure and Form; Exit and Transition Plan; Hypercare Exit and Handover Certificate; Data Dictionary; User Manual; Reports Book; Communication Templates and Touchpoints; Communication Touchpoints; Schedules and Batch Jobs; Technical Reference; API and Dependency Catalogue; Release Notes Template; Production Support Approach and Standards; Business Continuity and Disaster Recovery Plan; OOTB Documentation Pack Index</w:t>
            </w:r>
          </w:p>
        </w:tc>
      </w:tr>
    </w:tbl>
    <w:p>
      <w:pPr>
        <w:pStyle w:val="Heading1"/>
        <w:rPr/>
      </w:pPr>
      <w:r>
        <w:br w:type="page"/>
      </w:r>
      <w:bookmarkStart w:id="9" w:name="__RefHeading___Toc3120_3525619064"/>
      <w:bookmarkEnd w:id="9"/>
      <w:r>
        <w:rPr>
          <w:rFonts w:eastAsia="Segoe UI" w:cs="Segoe UI" w:ascii="Segoe UI" w:hAnsi="Segoe UI"/>
          <w:b/>
          <w:color w:val="0F4761"/>
          <w:sz w:val="32"/>
        </w:rPr>
        <w:t>6.  File list</w:t>
      </w:r>
    </w:p>
    <w:p>
      <w:pPr>
        <w:pStyle w:val="Heading2"/>
        <w:rPr/>
      </w:pPr>
      <w:bookmarkStart w:id="10" w:name="__RefHeading___Toc3122_3525619064"/>
      <w:bookmarkEnd w:id="10"/>
      <w:r>
        <w:rPr>
          <w:rFonts w:eastAsia="Segoe UI" w:cs="Segoe UI"/>
          <w:b/>
          <w:color w:val="0F4761"/>
          <w:sz w:val="26"/>
        </w:rPr>
        <w:t>6.1  Sales and pre-sales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54"/>
        <w:gridCol w:w="2254"/>
        <w:gridCol w:w="2254"/>
        <w:gridCol w:w="2253"/>
      </w:tblGrid>
      <w:tr>
        <w:trPr>
          <w:tblHeader w:val="true"/>
        </w:trPr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File and formats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Purpose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Audience and distribution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Used in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iNXT_BrokerVerse_Brochure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Two-page product brochure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iNXT_BrokerVerse_One_Page_Brochure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pdf, png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One-page summary for a first e-mail or a trade event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iNXT_BrokerVerse_Client_Presentation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pptx,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presentation deck for the first meeting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iNXT_BrokerVerse_Product_Functionality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What the product does, module by module, with the vendor comparison checklist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Delivery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iNXT_BrokerVerse_Demo_Script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Scripted product demonstration with personas, data and timings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iNXT_BrokerVerse_FAQ_and_Objection_Handling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Answers to common questions and objections; known limits to disclose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iNXT_BrokerVerse_Prospect_Email_Templates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E-mails from first contact to the welcome after signing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Prospect_Email_Templates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txt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Plain-text copy of the prospect e-mails for pasting into a mail client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iNXT_BrokerVerse_Commercial_Proposal_Rate_Card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Rate card and commercial proposal given to the broker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iNXT_BrokerVerse_ROI_Calculator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Return on investment calculator filled in with the broker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iNXT_BrokerVerse_Price_Book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Price book with quick quote, packages and negotiation limits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101820"/>
                <w:kern w:val="0"/>
                <w:sz w:val="18"/>
                <w:szCs w:val="24"/>
                <w:lang w:val="en-US" w:eastAsia="ja-JP" w:bidi="ar-SA"/>
              </w:rPr>
              <w:t>INTERNAL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iNXT_BrokerVerse_Competitive_Battlecard_INTERNAL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Competitor positioning and proof points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101820"/>
                <w:kern w:val="0"/>
                <w:sz w:val="18"/>
                <w:szCs w:val="24"/>
                <w:lang w:val="en-US" w:eastAsia="ja-JP" w:bidi="ar-SA"/>
              </w:rPr>
              <w:t>INTERNAL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iNXT_BrokerVerse_OOTB_Strategy_and_Playbook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How iorta TechNXT sells, delivers, supports and evolves the OOTB product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Management, Sales, Delivery, Development,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101820"/>
                <w:kern w:val="0"/>
                <w:sz w:val="18"/>
                <w:szCs w:val="24"/>
                <w:lang w:val="en-US" w:eastAsia="ja-JP" w:bidi="ar-SA"/>
              </w:rPr>
              <w:t>INTERNAL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Contracting, Implementation, Go-live, Support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BrokerVerse_Commercial_Proposal_Note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Pricing rationale, market positioning and commercial assumptions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Management, 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101820"/>
                <w:kern w:val="0"/>
                <w:sz w:val="18"/>
                <w:szCs w:val="24"/>
                <w:lang w:val="en-US" w:eastAsia="ja-JP" w:bidi="ar-SA"/>
              </w:rPr>
              <w:t>INTERNAL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BrokerVerse_Commercials_and_Pricing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Formula-driven pricing model behind the rate card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Management, Sales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101820"/>
                <w:kern w:val="0"/>
                <w:sz w:val="18"/>
                <w:szCs w:val="24"/>
                <w:lang w:val="en-US" w:eastAsia="ja-JP" w:bidi="ar-SA"/>
              </w:rPr>
              <w:t>INTERNAL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BrokerVerse_Security_Due_Diligence_Questionnaire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pdf, xlsx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Pre-answered security and outsourcing due diligence questionnaire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BrokerVerse_Architecture_Infrastructure_Security_and_Privacy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Architecture, hosting options, security controls and data privacy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Development, Support,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Contracting, Implementation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BrokerVerse_Philippine_Regulatory_Compliance_Matrix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How the product supports IC, BIR, premium tax, CTPL, DPA and AMLA obligations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Implementation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BrokerVerse_Release_Notes_and_Roadmap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What release 1.0 delivers, known limitations, versioning policy and indicative roadmap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Delivery, Support,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Go-live, Support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BrokerVerse_Implementation_Approach_and_Plan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Method, phases, plans by size, roles, governance and risks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Implementation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BrokerVerse_Test_Summary_Report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Results of the release test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Development,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Go-live</w:t>
            </w:r>
          </w:p>
        </w:tc>
      </w:tr>
      <w:tr>
        <w:trPr/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BrokerVerse_OOTB_Documentation_Pack_Index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This index</w:t>
            </w:r>
          </w:p>
        </w:tc>
        <w:tc>
          <w:tcPr>
            <w:tcW w:w="225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Delivery, Development, Support,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2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Pre-sales, Contracting, Implementation, Go-live, Support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1" w:name="__RefHeading___Toc3124_3525619064"/>
      <w:bookmarkEnd w:id="11"/>
      <w:r>
        <w:rPr>
          <w:rFonts w:eastAsia="Segoe UI" w:cs="Segoe UI"/>
          <w:b/>
          <w:color w:val="0F4761"/>
          <w:sz w:val="26"/>
        </w:rPr>
        <w:t>6.2  Contracting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87"/>
        <w:gridCol w:w="2687"/>
        <w:gridCol w:w="1623"/>
        <w:gridCol w:w="2016"/>
      </w:tblGrid>
      <w:tr>
        <w:trPr>
          <w:tblHeader w:val="true"/>
        </w:trPr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File and formats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Purpose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Audience and distribution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Used in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iNXT_BrokerVerse_Contract_Pack_Index_and_Cover_Letter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Index of the contract pack and cover letter to the broker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iNXT_BrokerVerse_Mutual_Non_Disclosure_Agreement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Mutual NDA before detailed discussions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Pre-sales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iNXT_BrokerVerse_Letter_of_Award_and_Proposal_Acceptance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Broker letter of award and acceptance of the proposal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iNXT_BrokerVerse_Master_Services_Agreement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 Services Agreement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iNXT_BrokerVerse_Order_Form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Order Form: size, model, prices, hosting and dates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iNXT_BrokerVerse_Perpetual_Software_Licence_Agreement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Licence schedule for the perpetual model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iNXT_BrokerVerse_Software_Subscription_Agreement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Subscription schedule for the SaaS model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iNXT_BrokerVerse_Implementation_Statement_of_Work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scope, milestones, acceptance and governance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Contracting, Implementation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iNXT_BrokerVerse_Annual_Maintenance_Support_and_SLA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Annual maintenance, support and service levels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Support,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Contracting, Support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iNXT_BrokerVerse_Hosting_and_Infrastructure_Services_Agreement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Hosting services, data location, backups and recovery objectives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Support,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Contracting, Support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iNXT_BrokerVerse_Data_Processing_Agreement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processing agreement under the Data Privacy Act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iNXT_BrokerVerse_Service_Catalogue_and_Rate_Annex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Optional services and day rates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Contracting, Support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iNXT_BrokerVerse_Customer_Responsibilities_and_RACI_Annex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What the broker provides and who does what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Contracting, Implementation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iNXT_BrokerVerse_Change_Request_Procedure_and_Form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Change request procedure and form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Contracting, Implementation, Support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iNXT_BrokerVerse_Source_Code_Escrow_Agreement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Optional source code escrow with the perpetual licence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iNXT_BrokerVerse_Exit_and_Transition_Plan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return and transition at the end of the contract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Management,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Contracting, Support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iNXT_BrokerVerse_UAT_and_Go_Live_Acceptance_Certificates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UAT and go-live acceptance certificates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Go-live</w:t>
            </w:r>
          </w:p>
        </w:tc>
      </w:tr>
      <w:tr>
        <w:trPr/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iNXT_BrokerVerse_Hypercare_Exit_and_Handover_Certificate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6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Hypercare exit and handover to support</w:t>
            </w:r>
          </w:p>
        </w:tc>
        <w:tc>
          <w:tcPr>
            <w:tcW w:w="16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Support,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20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Go-live, Support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2" w:name="__RefHeading___Toc3126_3525619064"/>
      <w:bookmarkEnd w:id="12"/>
      <w:r>
        <w:rPr>
          <w:rFonts w:eastAsia="Segoe UI" w:cs="Segoe UI"/>
          <w:b/>
          <w:color w:val="0F4761"/>
          <w:sz w:val="26"/>
        </w:rPr>
        <w:t>6.3  Implementation and go-live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37"/>
        <w:gridCol w:w="2739"/>
        <w:gridCol w:w="1711"/>
        <w:gridCol w:w="1826"/>
      </w:tblGrid>
      <w:tr>
        <w:trPr>
          <w:tblHeader w:val="true"/>
        </w:trPr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File and formats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Purpose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Audience and distribution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Used in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BrokerVerse_Implementation_Plan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Gantt plans for the three sizes and the RACI matrix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BrokerVerse_Discovery_Workbook_Guide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How to run the discovery and configuration workshops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BrokerVerse_Discovery_and_Configuration_Workbook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Configuration decisions captured in discovery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BrokerVerse_Fit_Gap_Register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Register of requirements classed Fit, Configure, Procedure or Gap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BrokerVerse_RAID_Log_Template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Risks, assumptions, issues and dependencies with scoring and summary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Go-live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BrokerVerse_Project_Status_Report_Template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Weekly or fortnightly status and steering committee report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Go-live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BrokerVerse_Data_Migration_and_Cutover_Plan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Go-live data, templates, mock loads, reconciliation and cutover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Go-live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BrokerVerse_Data_Dictionary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pdf, xlsx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Tables, columns, relationships, personal data and retention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Development,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Support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BrokerVerse_Privacy_Impact_Assessment_and_Records_of_Processing_Templates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PIA and records of processing pre-filled for the broker DPO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Go-live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BrokerVerse_Training_Plan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Training and change management by role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BrokerVerse_User_Manual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User manual for the seven roles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Go-live, Support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BrokerVerse_Reports_Book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pdf, xlsx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Every report, dashboard and export with its columns and rules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Support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BrokerVerse_Communication_Templates_and_Touchpoints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Every e-mail, notification and printed document the system sends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Support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BrokerVerse_Communication_Touchpoints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Companion workbook of the communication templates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Support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BrokerVerse_Schedules_and_Batch_Jobs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Scheduled jobs, batch processes and the operational run book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Go-live, Support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BrokerVerse_Test_Cases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Release test cases, traceability and defects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Delivery, Development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Go-live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BrokerVerse_Technical_Reference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Code base, modules, security implementation and how to extend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Development,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Support</w:t>
            </w:r>
          </w:p>
        </w:tc>
      </w:tr>
      <w:tr>
        <w:trPr/>
        <w:tc>
          <w:tcPr>
            <w:tcW w:w="2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BrokerVerse_API_and_Dependency_Catalogue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xlsx</w:t>
            </w:r>
          </w:p>
        </w:tc>
        <w:tc>
          <w:tcPr>
            <w:tcW w:w="27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Every API route with its permission and the screens that call it</w:t>
            </w:r>
          </w:p>
        </w:tc>
        <w:tc>
          <w:tcPr>
            <w:tcW w:w="17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Development,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8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Implementation, Support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3" w:name="__RefHeading___Toc3128_3525619064"/>
      <w:bookmarkEnd w:id="13"/>
      <w:r>
        <w:rPr>
          <w:rFonts w:eastAsia="Segoe UI" w:cs="Segoe UI"/>
          <w:b/>
          <w:color w:val="0F4761"/>
          <w:sz w:val="26"/>
        </w:rPr>
        <w:t>6.4  Development and support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0"/>
        <w:gridCol w:w="2835"/>
        <w:gridCol w:w="1599"/>
        <w:gridCol w:w="1729"/>
      </w:tblGrid>
      <w:tr>
        <w:trPr>
          <w:tblHeader w:val="true"/>
        </w:trPr>
        <w:tc>
          <w:tcPr>
            <w:tcW w:w="28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File and formats</w:t>
            </w:r>
          </w:p>
        </w:tc>
        <w:tc>
          <w:tcPr>
            <w:tcW w:w="28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Purpose</w:t>
            </w:r>
          </w:p>
        </w:tc>
        <w:tc>
          <w:tcPr>
            <w:tcW w:w="1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Audience and distribution</w:t>
            </w:r>
          </w:p>
        </w:tc>
        <w:tc>
          <w:tcPr>
            <w:tcW w:w="172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Used in</w:t>
            </w:r>
          </w:p>
        </w:tc>
      </w:tr>
      <w:tr>
        <w:trPr/>
        <w:tc>
          <w:tcPr>
            <w:tcW w:w="28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iNXT_BrokerVerse_Negotiation_Playbook_INTERNAL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8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Discount limits, trade-offs and approval rules in negotiation</w:t>
            </w:r>
          </w:p>
        </w:tc>
        <w:tc>
          <w:tcPr>
            <w:tcW w:w="1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Sales,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101820"/>
                <w:kern w:val="0"/>
                <w:sz w:val="18"/>
                <w:szCs w:val="24"/>
                <w:lang w:val="en-US" w:eastAsia="ja-JP" w:bidi="ar-SA"/>
              </w:rPr>
              <w:t>INTERNAL</w:t>
            </w:r>
          </w:p>
        </w:tc>
        <w:tc>
          <w:tcPr>
            <w:tcW w:w="172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</w:t>
            </w:r>
          </w:p>
        </w:tc>
      </w:tr>
      <w:tr>
        <w:trPr/>
        <w:tc>
          <w:tcPr>
            <w:tcW w:w="28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BrokerVerse_Release_Notes_Template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8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Release notes for each patch, minor or major release</w:t>
            </w:r>
          </w:p>
        </w:tc>
        <w:tc>
          <w:tcPr>
            <w:tcW w:w="1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Development,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72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Support</w:t>
            </w:r>
          </w:p>
        </w:tc>
      </w:tr>
      <w:tr>
        <w:trPr/>
        <w:tc>
          <w:tcPr>
            <w:tcW w:w="28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BrokerVerse_Production_Support_Approach_and_Standards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8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Support model, severities, change and release management, monitoring</w:t>
            </w:r>
          </w:p>
        </w:tc>
        <w:tc>
          <w:tcPr>
            <w:tcW w:w="1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Support,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72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Contracting, Go-live, Support</w:t>
            </w:r>
          </w:p>
        </w:tc>
      </w:tr>
      <w:tr>
        <w:trPr/>
        <w:tc>
          <w:tcPr>
            <w:tcW w:w="28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BrokerVerse_Business_Continuity_and_Disaster_Recovery_Plan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docx, pdf</w:t>
            </w:r>
          </w:p>
        </w:tc>
        <w:tc>
          <w:tcPr>
            <w:tcW w:w="28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Backups, recovery objectives, scenarios and DR tests</w:t>
            </w:r>
          </w:p>
        </w:tc>
        <w:tc>
          <w:tcPr>
            <w:tcW w:w="1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Support,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Client-facing</w:t>
            </w:r>
          </w:p>
        </w:tc>
        <w:tc>
          <w:tcPr>
            <w:tcW w:w="172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Contracting, Support</w:t>
            </w:r>
          </w:p>
        </w:tc>
      </w:tr>
    </w:tbl>
    <w:p>
      <w:pPr>
        <w:pStyle w:val="Heading1"/>
        <w:rPr/>
      </w:pPr>
      <w:r>
        <w:br w:type="page"/>
      </w:r>
      <w:bookmarkStart w:id="14" w:name="__RefHeading___Toc3130_3525619064"/>
      <w:bookmarkEnd w:id="14"/>
      <w:r>
        <w:rPr>
          <w:rFonts w:eastAsia="Segoe UI" w:cs="Segoe UI" w:ascii="Segoe UI" w:hAnsi="Segoe UI"/>
          <w:b/>
          <w:color w:val="0F4761"/>
          <w:sz w:val="32"/>
        </w:rPr>
        <w:t>7.  INTERNAL documents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These files never leave iorta TechNXT: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101820"/>
          <w:sz w:val="19"/>
        </w:rPr>
        <w:t>sales/iNXT_BrokerVerse_Price_Book</w:t>
      </w:r>
      <w:r>
        <w:rPr>
          <w:rFonts w:eastAsia="Segoe UI" w:cs="Segoe UI" w:ascii="Segoe UI" w:hAnsi="Segoe UI"/>
          <w:color w:val="101820"/>
          <w:sz w:val="21"/>
        </w:rPr>
        <w:t xml:space="preserve"> (xlsx): Price book with quick quote, packages and negotiation limits.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101820"/>
          <w:sz w:val="19"/>
        </w:rPr>
        <w:t>out/iNXT_BrokerVerse_Competitive_Battlecard_INTERNAL</w:t>
      </w:r>
      <w:r>
        <w:rPr>
          <w:rFonts w:eastAsia="Segoe UI" w:cs="Segoe UI" w:ascii="Segoe UI" w:hAnsi="Segoe UI"/>
          <w:color w:val="101820"/>
          <w:sz w:val="21"/>
        </w:rPr>
        <w:t xml:space="preserve"> (docx, pdf): Competitor positioning and proof points.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101820"/>
          <w:sz w:val="19"/>
        </w:rPr>
        <w:t>out/iNXT_BrokerVerse_Negotiation_Playbook_INTERNAL</w:t>
      </w:r>
      <w:r>
        <w:rPr>
          <w:rFonts w:eastAsia="Segoe UI" w:cs="Segoe UI" w:ascii="Segoe UI" w:hAnsi="Segoe UI"/>
          <w:color w:val="101820"/>
          <w:sz w:val="21"/>
        </w:rPr>
        <w:t xml:space="preserve"> (docx, pdf): Discount limits, trade-offs and approval rules in negotiation.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101820"/>
          <w:sz w:val="19"/>
        </w:rPr>
        <w:t>out/iNXT_BrokerVerse_OOTB_Strategy_and_Playbook</w:t>
      </w:r>
      <w:r>
        <w:rPr>
          <w:rFonts w:eastAsia="Segoe UI" w:cs="Segoe UI" w:ascii="Segoe UI" w:hAnsi="Segoe UI"/>
          <w:color w:val="101820"/>
          <w:sz w:val="21"/>
        </w:rPr>
        <w:t xml:space="preserve"> (docx, pdf): How iorta TechNXT sells, delivers, supports and evolves the OOTB product.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101820"/>
          <w:sz w:val="19"/>
        </w:rPr>
        <w:t>out/BrokerVerse_Commercial_Proposal_Note</w:t>
      </w:r>
      <w:r>
        <w:rPr>
          <w:rFonts w:eastAsia="Segoe UI" w:cs="Segoe UI" w:ascii="Segoe UI" w:hAnsi="Segoe UI"/>
          <w:color w:val="101820"/>
          <w:sz w:val="21"/>
        </w:rPr>
        <w:t xml:space="preserve"> (docx, pdf): Pricing rationale, market positioning and commercial assumptions.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101820"/>
          <w:sz w:val="19"/>
        </w:rPr>
        <w:t>out/BrokerVerse_Commercials_and_Pricing</w:t>
      </w:r>
      <w:r>
        <w:rPr>
          <w:rFonts w:eastAsia="Segoe UI" w:cs="Segoe UI" w:ascii="Segoe UI" w:hAnsi="Segoe UI"/>
          <w:color w:val="101820"/>
          <w:sz w:val="21"/>
        </w:rPr>
        <w:t xml:space="preserve"> (xlsx): Formula-driven pricing model behind the rate card.</w:t>
      </w:r>
      <w:r>
        <w:br w:type="page"/>
      </w:r>
    </w:p>
    <w:p>
      <w:pPr>
        <w:pStyle w:val="Heading1"/>
        <w:rPr/>
      </w:pPr>
      <w:bookmarkStart w:id="15" w:name="__RefHeading___Toc3132_3525619064"/>
      <w:bookmarkEnd w:id="15"/>
      <w:r>
        <w:rPr>
          <w:rFonts w:eastAsia="Segoe UI" w:cs="Segoe UI" w:ascii="Segoe UI" w:hAnsi="Segoe UI"/>
          <w:b/>
          <w:color w:val="0F4761"/>
          <w:sz w:val="32"/>
        </w:rPr>
        <w:t>8.  Building the documents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 xml:space="preserve">Each Word and PDF document is built from its text source in </w:t>
      </w:r>
      <w:r>
        <w:rPr>
          <w:rFonts w:eastAsia="Consolas" w:cs="Consolas" w:ascii="Consolas" w:hAnsi="Consolas"/>
          <w:color w:val="101820"/>
          <w:sz w:val="19"/>
        </w:rPr>
        <w:t>source/</w:t>
      </w:r>
      <w:r>
        <w:rPr>
          <w:rFonts w:eastAsia="Segoe UI" w:cs="Segoe UI" w:ascii="Segoe UI" w:hAnsi="Segoe UI"/>
          <w:color w:val="101820"/>
          <w:sz w:val="21"/>
        </w:rPr>
        <w:t xml:space="preserve"> into the iorta TechNXT template:</w:t>
      </w:r>
    </w:p>
    <w:p>
      <w:pPr>
        <w:pStyle w:val="Normal"/>
        <w:shd w:val="clear" w:color="auto" w:fill="F3F4F6"/>
        <w:spacing w:before="0" w:after="0"/>
        <w:ind w:left="170"/>
        <w:rPr/>
      </w:pPr>
      <w:r>
        <w:rPr>
          <w:rFonts w:eastAsia="Consolas" w:cs="Consolas" w:ascii="Consolas" w:hAnsi="Consolas"/>
          <w:color w:val="101820"/>
          <w:sz w:val="17"/>
        </w:rPr>
        <w:t>cd docs/package/tools</w:t>
      </w:r>
    </w:p>
    <w:p>
      <w:pPr>
        <w:pStyle w:val="Normal"/>
        <w:shd w:val="clear" w:color="auto" w:fill="F3F4F6"/>
        <w:spacing w:before="0" w:after="0"/>
        <w:ind w:left="170"/>
        <w:rPr/>
      </w:pPr>
      <w:r>
        <w:rPr>
          <w:rFonts w:eastAsia="Consolas" w:cs="Consolas" w:ascii="Consolas" w:hAnsi="Consolas"/>
          <w:color w:val="101820"/>
          <w:sz w:val="17"/>
        </w:rPr>
        <w:t>python3 build_doc.py ../source/&lt;name&gt;.md ../out/&lt;File_Name&gt;.docx</w:t>
      </w:r>
    </w:p>
    <w:p>
      <w:pPr>
        <w:pStyle w:val="Normal"/>
        <w:shd w:val="clear" w:color="auto" w:fill="F3F4F6"/>
        <w:spacing w:before="0" w:after="0"/>
        <w:ind w:left="170"/>
        <w:rPr/>
      </w:pPr>
      <w:r>
        <w:rPr>
          <w:rFonts w:eastAsia="Consolas" w:cs="Consolas" w:ascii="Consolas" w:hAnsi="Consolas"/>
          <w:color w:val="101820"/>
          <w:sz w:val="17"/>
        </w:rPr>
        <w:t>python3 refresh.py ../out/&lt;File_Name&gt;.docx      (contents page and PDF)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 xml:space="preserve">The Product Functionality document also needs </w:t>
      </w:r>
      <w:r>
        <w:rPr>
          <w:rFonts w:eastAsia="Consolas" w:cs="Consolas" w:ascii="Consolas" w:hAnsi="Consolas"/>
          <w:color w:val="101820"/>
          <w:sz w:val="19"/>
        </w:rPr>
        <w:t>python3 brochure/widths.py</w:t>
      </w:r>
      <w:r>
        <w:rPr>
          <w:rFonts w:eastAsia="Segoe UI" w:cs="Segoe UI" w:ascii="Segoe UI" w:hAnsi="Segoe UI"/>
          <w:color w:val="101820"/>
          <w:sz w:val="21"/>
        </w:rPr>
        <w:t xml:space="preserve"> on the .docx before </w:t>
      </w:r>
      <w:r>
        <w:rPr>
          <w:rFonts w:eastAsia="Consolas" w:cs="Consolas" w:ascii="Consolas" w:hAnsi="Consolas"/>
          <w:color w:val="101820"/>
          <w:sz w:val="19"/>
        </w:rPr>
        <w:t>refresh.py</w:t>
      </w:r>
      <w:r>
        <w:rPr>
          <w:rFonts w:eastAsia="Segoe UI" w:cs="Segoe UI" w:ascii="Segoe UI" w:hAnsi="Segoe UI"/>
          <w:color w:val="101820"/>
          <w:sz w:val="21"/>
        </w:rPr>
        <w:t>. The workbooks have their own builders (</w:t>
      </w:r>
      <w:r>
        <w:rPr>
          <w:rFonts w:eastAsia="Consolas" w:cs="Consolas" w:ascii="Consolas" w:hAnsi="Consolas"/>
          <w:color w:val="101820"/>
          <w:sz w:val="19"/>
        </w:rPr>
        <w:t>build_project_templates_xlsx.py</w:t>
      </w:r>
      <w:r>
        <w:rPr>
          <w:rFonts w:eastAsia="Segoe UI" w:cs="Segoe UI" w:ascii="Segoe UI" w:hAnsi="Segoe UI"/>
          <w:color w:val="101820"/>
          <w:sz w:val="21"/>
        </w:rPr>
        <w:t xml:space="preserve"> for the Fit-Gap Register and the RAID Log, </w:t>
      </w:r>
      <w:r>
        <w:rPr>
          <w:rFonts w:eastAsia="Consolas" w:cs="Consolas" w:ascii="Consolas" w:hAnsi="Consolas"/>
          <w:color w:val="101820"/>
          <w:sz w:val="19"/>
        </w:rPr>
        <w:t>build_plan_xlsx.py</w:t>
      </w:r>
      <w:r>
        <w:rPr>
          <w:rFonts w:eastAsia="Segoe UI" w:cs="Segoe UI" w:ascii="Segoe UI" w:hAnsi="Segoe UI"/>
          <w:color w:val="101820"/>
          <w:sz w:val="21"/>
        </w:rPr>
        <w:t xml:space="preserve">, </w:t>
      </w:r>
      <w:r>
        <w:rPr>
          <w:rFonts w:eastAsia="Consolas" w:cs="Consolas" w:ascii="Consolas" w:hAnsi="Consolas"/>
          <w:color w:val="101820"/>
          <w:sz w:val="19"/>
        </w:rPr>
        <w:t>build_discovery_workbook.py</w:t>
      </w:r>
      <w:r>
        <w:rPr>
          <w:rFonts w:eastAsia="Segoe UI" w:cs="Segoe UI" w:ascii="Segoe UI" w:hAnsi="Segoe UI"/>
          <w:color w:val="101820"/>
          <w:sz w:val="21"/>
        </w:rPr>
        <w:t xml:space="preserve">, </w:t>
      </w:r>
      <w:r>
        <w:rPr>
          <w:rFonts w:eastAsia="Consolas" w:cs="Consolas" w:ascii="Consolas" w:hAnsi="Consolas"/>
          <w:color w:val="101820"/>
          <w:sz w:val="19"/>
        </w:rPr>
        <w:t>build_pricing.py</w:t>
      </w:r>
      <w:r>
        <w:rPr>
          <w:rFonts w:eastAsia="Segoe UI" w:cs="Segoe UI" w:ascii="Segoe UI" w:hAnsi="Segoe UI"/>
          <w:color w:val="101820"/>
          <w:sz w:val="21"/>
        </w:rPr>
        <w:t xml:space="preserve">, </w:t>
      </w:r>
      <w:r>
        <w:rPr>
          <w:rFonts w:eastAsia="Consolas" w:cs="Consolas" w:ascii="Consolas" w:hAnsi="Consolas"/>
          <w:color w:val="101820"/>
          <w:sz w:val="19"/>
        </w:rPr>
        <w:t>build_price_book.py</w:t>
      </w:r>
      <w:r>
        <w:rPr>
          <w:rFonts w:eastAsia="Segoe UI" w:cs="Segoe UI" w:ascii="Segoe UI" w:hAnsi="Segoe UI"/>
          <w:color w:val="101820"/>
          <w:sz w:val="21"/>
        </w:rPr>
        <w:t xml:space="preserve">, </w:t>
      </w:r>
      <w:r>
        <w:rPr>
          <w:rFonts w:eastAsia="Consolas" w:cs="Consolas" w:ascii="Consolas" w:hAnsi="Consolas"/>
          <w:color w:val="101820"/>
          <w:sz w:val="19"/>
        </w:rPr>
        <w:t>build_roi.py</w:t>
      </w:r>
      <w:r>
        <w:rPr>
          <w:rFonts w:eastAsia="Segoe UI" w:cs="Segoe UI" w:ascii="Segoe UI" w:hAnsi="Segoe UI"/>
          <w:color w:val="101820"/>
          <w:sz w:val="21"/>
        </w:rPr>
        <w:t xml:space="preserve">, </w:t>
      </w:r>
      <w:r>
        <w:rPr>
          <w:rFonts w:eastAsia="Consolas" w:cs="Consolas" w:ascii="Consolas" w:hAnsi="Consolas"/>
          <w:color w:val="101820"/>
          <w:sz w:val="19"/>
        </w:rPr>
        <w:t>build_questionnaire_xlsx.py</w:t>
      </w:r>
      <w:r>
        <w:rPr>
          <w:rFonts w:eastAsia="Segoe UI" w:cs="Segoe UI" w:ascii="Segoe UI" w:hAnsi="Segoe UI"/>
          <w:color w:val="101820"/>
          <w:sz w:val="21"/>
        </w:rPr>
        <w:t xml:space="preserve">). After rebuilding a sales document, copy the .docx and .pdf to </w:t>
      </w:r>
      <w:r>
        <w:rPr>
          <w:rFonts w:eastAsia="Consolas" w:cs="Consolas" w:ascii="Consolas" w:hAnsi="Consolas"/>
          <w:color w:val="101820"/>
          <w:sz w:val="19"/>
        </w:rPr>
        <w:t>sales/</w:t>
      </w:r>
      <w:r>
        <w:rPr>
          <w:rFonts w:eastAsia="Segoe UI" w:cs="Segoe UI" w:ascii="Segoe UI" w:hAnsi="Segoe UI"/>
          <w:color w:val="101820"/>
          <w:sz w:val="21"/>
        </w:rPr>
        <w:t xml:space="preserve">. Writing rules: </w:t>
      </w:r>
      <w:r>
        <w:rPr>
          <w:rFonts w:eastAsia="Consolas" w:cs="Consolas" w:ascii="Consolas" w:hAnsi="Consolas"/>
          <w:color w:val="101820"/>
          <w:sz w:val="19"/>
        </w:rPr>
        <w:t>tools/WRITING_RULES.md</w:t>
      </w:r>
      <w:r>
        <w:rPr>
          <w:rFonts w:eastAsia="Segoe UI" w:cs="Segoe UI" w:ascii="Segoe UI" w:hAnsi="Segoe UI"/>
          <w:color w:val="101820"/>
          <w:sz w:val="21"/>
        </w:rPr>
        <w:t xml:space="preserve">. This index is generated by </w:t>
      </w:r>
      <w:r>
        <w:rPr>
          <w:rFonts w:eastAsia="Consolas" w:cs="Consolas" w:ascii="Consolas" w:hAnsi="Consolas"/>
          <w:color w:val="101820"/>
          <w:sz w:val="19"/>
        </w:rPr>
        <w:t>build_pack_index.py</w:t>
      </w:r>
      <w:r>
        <w:rPr>
          <w:rFonts w:eastAsia="Segoe UI" w:cs="Segoe UI" w:ascii="Segoe UI" w:hAnsi="Segoe UI"/>
          <w:color w:val="101820"/>
          <w:sz w:val="21"/>
        </w:rPr>
        <w:t>.</w:t>
      </w:r>
      <w:r>
        <w:br w:type="page"/>
      </w:r>
    </w:p>
    <w:p>
      <w:pPr>
        <w:pStyle w:val="Heading1"/>
        <w:tabs>
          <w:tab w:val="clear" w:pos="720"/>
          <w:tab w:val="left" w:pos="360" w:leader="none"/>
        </w:tabs>
        <w:spacing w:lineRule="auto" w:line="360"/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bookmarkStart w:id="16" w:name="__RefHeading___Toc3134_3525619064"/>
      <w:bookmarkStart w:id="17" w:name="_Toc233203395"/>
      <w:bookmarkEnd w:id="16"/>
      <w:r>
        <w:rPr>
          <w:rStyle w:val="BookTitle"/>
          <w:bCs w:val="false"/>
          <w:i w:val="false"/>
          <w:iCs w:val="false"/>
          <w:spacing w:val="0"/>
        </w:rPr>
        <w:t>9.  Document Sign-Off</w:t>
      </w:r>
      <w:bookmarkEnd w:id="17"/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57"/>
        <w:gridCol w:w="3859"/>
        <w:gridCol w:w="1727"/>
        <w:gridCol w:w="1982"/>
      </w:tblGrid>
      <w:tr>
        <w:trPr>
          <w:trHeight w:val="440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Serial Number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Description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Owner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Status</w:t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No open items at the time of issue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3294"/>
        <w:gridCol w:w="1828"/>
        <w:gridCol w:w="2349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 Off Date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Signature</w:t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</w:t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Department &amp; Project Role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drawing>
          <wp:anchor behindDoc="1" distT="0" distB="0" distL="0" distR="0" simplePos="0" locked="0" layoutInCell="0" allowOverlap="1" relativeHeight="1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245" cy="10677525"/>
            <wp:effectExtent l="0" t="0" r="0" b="0"/>
            <wp:wrapNone/>
            <wp:docPr id="8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footerReference w:type="first" r:id="rId6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5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9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5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10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0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00"/>
      </w:pPr>
      <w:rPr>
        <w:rFonts w:ascii="Symbol" w:hAnsi="Symbol" w:cs="Symbol" w:hint="default"/>
      </w:rPr>
    </w:lvl>
    <w:lvl w:ilvl="2">
      <w:start w:val="1"/>
      <w:numFmt w:val="bullet"/>
      <w:lvlText w:val="◦"/>
      <w:lvlJc w:val="left"/>
      <w:pPr>
        <w:tabs>
          <w:tab w:val="num" w:pos="0"/>
        </w:tabs>
        <w:ind w:left="1440" w:hanging="30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ＭＳ 明朝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ＭＳ 明朝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 w:val="true"/>
      <w:keepLines/>
      <w:spacing w:before="240" w:after="0"/>
      <w:outlineLvl w:val="0"/>
    </w:pPr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2" w:customStyle="1">
    <w:name w:val="Heading 2"/>
    <w:basedOn w:val="Normal"/>
    <w:qFormat/>
    <w:pPr>
      <w:keepNext w:val="true"/>
      <w:spacing w:before="240" w:after="80"/>
      <w:outlineLvl w:val="1"/>
    </w:pPr>
    <w:rPr>
      <w:rFonts w:ascii="Segoe UI" w:hAnsi="Segoe UI"/>
      <w:b/>
      <w:color w:val="0F4761"/>
      <w:sz w:val="26"/>
    </w:rPr>
  </w:style>
  <w:style w:type="paragraph" w:styleId="Heading3" w:customStyle="1">
    <w:name w:val="Heading 3"/>
    <w:basedOn w:val="Normal"/>
    <w:qFormat/>
    <w:pPr>
      <w:keepNext w:val="true"/>
      <w:spacing w:before="240" w:after="80"/>
      <w:outlineLvl w:val="2"/>
    </w:pPr>
    <w:rPr>
      <w:rFonts w:ascii="Segoe UI" w:hAnsi="Segoe UI"/>
      <w:b/>
      <w:color w:val="0F4761"/>
      <w:sz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526c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a4a03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b183a"/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lineRule="auto" w:line="276" w:before="480" w:after="0"/>
      <w:outlineLvl w:val="9"/>
    </w:pPr>
    <w:rPr>
      <w:rFonts w:ascii="Arial" w:hAnsi="Arial" w:eastAsia="Times New Roman" w:cs="Arial"/>
      <w:bCs/>
      <w:color w:themeColor="accent1" w:themeShade="bf"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clear" w:pos="720"/>
        <w:tab w:val="left" w:pos="900" w:leader="none"/>
        <w:tab w:val="right" w:pos="9350" w:leader="dot"/>
      </w:tabs>
      <w:spacing w:lineRule="auto" w:line="276" w:before="0" w:after="100"/>
      <w:jc w:val="both"/>
    </w:pPr>
    <w:rPr>
      <w:rFonts w:ascii="Segoe UI" w:hAnsi="Segoe UI" w:eastAsia="Times New Roman" w:cs="Times New Roman"/>
      <w:b/>
      <w:color w:val="101820"/>
      <w:sz w:val="20"/>
      <w:szCs w:val="22"/>
      <w:lang w:eastAsia="en-US"/>
    </w:rPr>
  </w:style>
  <w:style w:type="paragraph" w:styleId="TOC2" w:customStyle="1">
    <w:name w:val="TOC 2"/>
    <w:basedOn w:val="TOC1"/>
    <w:pPr>
      <w:ind w:left="340"/>
    </w:pPr>
    <w:rPr/>
  </w:style>
  <w:style w:type="paragraph" w:styleId="TOC3" w:customStyle="1">
    <w:name w:val="TOC 3"/>
    <w:basedOn w:val="TOC1"/>
    <w:pPr>
      <w:ind w:left="68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5F57171CF124DA305F5F2F2C90404" ma:contentTypeVersion="10" ma:contentTypeDescription="Create a new document." ma:contentTypeScope="" ma:versionID="5fc2ae173fd82ea9f4710d62b9055a3a">
  <xsd:schema xmlns:xsd="http://www.w3.org/2001/XMLSchema" xmlns:xs="http://www.w3.org/2001/XMLSchema" xmlns:p="http://schemas.microsoft.com/office/2006/metadata/properties" xmlns:ns3="fcd4fbc6-d149-41e6-b5a3-0f2dc7078962" targetNamespace="http://schemas.microsoft.com/office/2006/metadata/properties" ma:root="true" ma:fieldsID="47065ddf53e9fb8c6afaae7654624852" ns3:_="">
    <xsd:import namespace="fcd4fbc6-d149-41e6-b5a3-0f2dc70789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4fbc6-d149-41e6-b5a3-0f2dc70789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d4fbc6-d149-41e6-b5a3-0f2dc7078962" xsi:nil="true"/>
  </documentManagement>
</p:properties>
</file>

<file path=customXml/itemProps1.xml><?xml version="1.0" encoding="utf-8"?>
<ds:datastoreItem xmlns:ds="http://schemas.openxmlformats.org/officeDocument/2006/customXml" ds:itemID="{C0CA43DA-C851-4C9F-AA9A-3B73EDF75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d4fbc6-d149-41e6-b5a3-0f2dc7078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E9AF4-17E0-496B-86F7-DDAE56028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5506AB-341E-4DB7-9E6C-94E21EE122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AF19BD-2A20-432E-A6D3-31F36EF57940}">
  <ds:schemaRefs>
    <ds:schemaRef ds:uri="http://schemas.microsoft.com/office/2006/metadata/properties"/>
    <ds:schemaRef ds:uri="http://schemas.microsoft.com/office/infopath/2007/PartnerControls"/>
    <ds:schemaRef ds:uri="fcd4fbc6-d149-41e6-b5a3-0f2dc70789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8</Pages>
  <Words>812</Words>
  <Characters>4634</Characters>
  <CharactersWithSpaces>5436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2026-06-24T05:58:00Z</dcterms:created>
  <dc:creator>Andrew R</dc:creator>
  <dc:description/>
  <dc:language>en-US</dc:language>
  <cp:lastModifiedBy/>
  <dcterms:modified xsi:type="dcterms:W3CDTF">2026-10-03T20:30:46Z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0x01010010B5F57171CF124DA305F5F2F2C90404</vt:lpwstr>
  </property>
</Properties>
</file>