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or patch [x.y.z],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or patch [x.y.z],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0892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0894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0896_3949650649">
            <w:r>
              <w:rPr>
                <w:webHidden/>
                <w:rStyle w:val="IndexLink"/>
              </w:rPr>
              <w:t>3. How to use this template</w:t>
              <w:tab/>
              <w:t>4</w:t>
            </w:r>
          </w:hyperlink>
        </w:p>
        <w:p>
          <w:pPr>
            <w:pStyle w:val="TOC1"/>
            <w:tabs>
              <w:tab w:val="clear" w:pos="900"/>
              <w:tab w:val="clear" w:pos="9350"/>
              <w:tab w:val="right" w:pos="9025" w:leader="dot"/>
            </w:tabs>
            <w:rPr/>
          </w:pPr>
          <w:hyperlink w:anchor="__RefHeading___Toc120898_3949650649">
            <w:r>
              <w:rPr>
                <w:webHidden/>
                <w:rStyle w:val="IndexLink"/>
              </w:rPr>
              <w:t>4. Release identification</w:t>
              <w:tab/>
              <w:t>5</w:t>
            </w:r>
          </w:hyperlink>
        </w:p>
        <w:p>
          <w:pPr>
            <w:pStyle w:val="TOC1"/>
            <w:tabs>
              <w:tab w:val="clear" w:pos="900"/>
              <w:tab w:val="clear" w:pos="9350"/>
              <w:tab w:val="right" w:pos="9025" w:leader="dot"/>
            </w:tabs>
            <w:rPr/>
          </w:pPr>
          <w:hyperlink w:anchor="__RefHeading___Toc120900_3949650649">
            <w:r>
              <w:rPr>
                <w:webHidden/>
                <w:rStyle w:val="IndexLink"/>
              </w:rPr>
              <w:t>5. Summary</w:t>
              <w:tab/>
              <w:t>6</w:t>
            </w:r>
          </w:hyperlink>
        </w:p>
        <w:p>
          <w:pPr>
            <w:pStyle w:val="TOC1"/>
            <w:tabs>
              <w:tab w:val="clear" w:pos="900"/>
              <w:tab w:val="clear" w:pos="9350"/>
              <w:tab w:val="right" w:pos="9025" w:leader="dot"/>
            </w:tabs>
            <w:rPr/>
          </w:pPr>
          <w:hyperlink w:anchor="__RefHeading___Toc120902_3949650649">
            <w:r>
              <w:rPr>
                <w:webHidden/>
                <w:rStyle w:val="IndexLink"/>
              </w:rPr>
              <w:t>6. New and changed functions</w:t>
              <w:tab/>
              <w:t>7</w:t>
            </w:r>
          </w:hyperlink>
        </w:p>
        <w:p>
          <w:pPr>
            <w:pStyle w:val="TOC1"/>
            <w:tabs>
              <w:tab w:val="clear" w:pos="900"/>
              <w:tab w:val="clear" w:pos="9350"/>
              <w:tab w:val="right" w:pos="9025" w:leader="dot"/>
            </w:tabs>
            <w:rPr/>
          </w:pPr>
          <w:hyperlink w:anchor="__RefHeading___Toc120904_3949650649">
            <w:r>
              <w:rPr>
                <w:webHidden/>
                <w:rStyle w:val="IndexLink"/>
              </w:rPr>
              <w:t>7. Fixed defects</w:t>
              <w:tab/>
              <w:t>8</w:t>
            </w:r>
          </w:hyperlink>
        </w:p>
        <w:p>
          <w:pPr>
            <w:pStyle w:val="TOC1"/>
            <w:tabs>
              <w:tab w:val="clear" w:pos="900"/>
              <w:tab w:val="clear" w:pos="9350"/>
              <w:tab w:val="right" w:pos="9025" w:leader="dot"/>
            </w:tabs>
            <w:rPr/>
          </w:pPr>
          <w:hyperlink w:anchor="__RefHeading___Toc120906_3949650649">
            <w:r>
              <w:rPr>
                <w:webHidden/>
                <w:rStyle w:val="IndexLink"/>
              </w:rPr>
              <w:t>8. Security fixes</w:t>
              <w:tab/>
              <w:t>9</w:t>
            </w:r>
          </w:hyperlink>
        </w:p>
        <w:p>
          <w:pPr>
            <w:pStyle w:val="TOC1"/>
            <w:tabs>
              <w:tab w:val="clear" w:pos="900"/>
              <w:tab w:val="clear" w:pos="9350"/>
              <w:tab w:val="right" w:pos="9025" w:leader="dot"/>
            </w:tabs>
            <w:rPr/>
          </w:pPr>
          <w:hyperlink w:anchor="__RefHeading___Toc120908_3949650649">
            <w:r>
              <w:rPr>
                <w:webHidden/>
                <w:rStyle w:val="IndexLink"/>
              </w:rPr>
              <w:t>9. Regulatory and configuration changes</w:t>
              <w:tab/>
              <w:t>10</w:t>
            </w:r>
          </w:hyperlink>
        </w:p>
        <w:p>
          <w:pPr>
            <w:pStyle w:val="TOC1"/>
            <w:tabs>
              <w:tab w:val="clear" w:pos="900"/>
              <w:tab w:val="clear" w:pos="9350"/>
              <w:tab w:val="right" w:pos="9025" w:leader="dot"/>
            </w:tabs>
            <w:rPr/>
          </w:pPr>
          <w:hyperlink w:anchor="__RefHeading___Toc120910_3949650649">
            <w:r>
              <w:rPr>
                <w:webHidden/>
                <w:rStyle w:val="IndexLink"/>
              </w:rPr>
              <w:t>10. Database changes</w:t>
              <w:tab/>
              <w:t>11</w:t>
            </w:r>
          </w:hyperlink>
        </w:p>
        <w:p>
          <w:pPr>
            <w:pStyle w:val="TOC1"/>
            <w:tabs>
              <w:tab w:val="clear" w:pos="900"/>
              <w:tab w:val="clear" w:pos="9350"/>
              <w:tab w:val="right" w:pos="9025" w:leader="dot"/>
            </w:tabs>
            <w:rPr/>
          </w:pPr>
          <w:hyperlink w:anchor="__RefHeading___Toc120912_3949650649">
            <w:r>
              <w:rPr>
                <w:webHidden/>
                <w:rStyle w:val="IndexLink"/>
              </w:rPr>
              <w:t>11. Actions for the broker</w:t>
              <w:tab/>
              <w:t>12</w:t>
            </w:r>
          </w:hyperlink>
        </w:p>
        <w:p>
          <w:pPr>
            <w:pStyle w:val="TOC2"/>
            <w:tabs>
              <w:tab w:val="clear" w:pos="900"/>
              <w:tab w:val="clear" w:pos="9350"/>
              <w:tab w:val="right" w:pos="9025" w:leader="dot"/>
            </w:tabs>
            <w:rPr/>
          </w:pPr>
          <w:hyperlink w:anchor="__RefHeading___Toc120914_3949650649">
            <w:r>
              <w:rPr>
                <w:webHidden/>
                <w:rStyle w:val="IndexLink"/>
              </w:rPr>
              <w:t>11.1 Before deployment</w:t>
              <w:tab/>
              <w:t>12</w:t>
            </w:r>
          </w:hyperlink>
        </w:p>
        <w:p>
          <w:pPr>
            <w:pStyle w:val="TOC2"/>
            <w:tabs>
              <w:tab w:val="clear" w:pos="900"/>
              <w:tab w:val="clear" w:pos="9350"/>
              <w:tab w:val="right" w:pos="9025" w:leader="dot"/>
            </w:tabs>
            <w:rPr/>
          </w:pPr>
          <w:hyperlink w:anchor="__RefHeading___Toc120916_3949650649">
            <w:r>
              <w:rPr>
                <w:webHidden/>
                <w:rStyle w:val="IndexLink"/>
              </w:rPr>
              <w:t>11.2 After deployment</w:t>
              <w:tab/>
              <w:t>12</w:t>
            </w:r>
          </w:hyperlink>
        </w:p>
        <w:p>
          <w:pPr>
            <w:pStyle w:val="TOC1"/>
            <w:tabs>
              <w:tab w:val="clear" w:pos="900"/>
              <w:tab w:val="clear" w:pos="9350"/>
              <w:tab w:val="right" w:pos="9025" w:leader="dot"/>
            </w:tabs>
            <w:rPr/>
          </w:pPr>
          <w:hyperlink w:anchor="__RefHeading___Toc120918_3949650649">
            <w:r>
              <w:rPr>
                <w:webHidden/>
                <w:rStyle w:val="IndexLink"/>
              </w:rPr>
              <w:t>12. Known issues in this release</w:t>
              <w:tab/>
              <w:t>13</w:t>
            </w:r>
          </w:hyperlink>
        </w:p>
        <w:p>
          <w:pPr>
            <w:pStyle w:val="TOC1"/>
            <w:tabs>
              <w:tab w:val="clear" w:pos="900"/>
              <w:tab w:val="clear" w:pos="9350"/>
              <w:tab w:val="right" w:pos="9025" w:leader="dot"/>
            </w:tabs>
            <w:rPr/>
          </w:pPr>
          <w:hyperlink w:anchor="__RefHeading___Toc120920_3949650649">
            <w:r>
              <w:rPr>
                <w:webHidden/>
                <w:rStyle w:val="IndexLink"/>
              </w:rPr>
              <w:t>13. Testing performed</w:t>
              <w:tab/>
              <w:t>14</w:t>
            </w:r>
          </w:hyperlink>
        </w:p>
        <w:p>
          <w:pPr>
            <w:pStyle w:val="TOC1"/>
            <w:tabs>
              <w:tab w:val="clear" w:pos="900"/>
              <w:tab w:val="clear" w:pos="9350"/>
              <w:tab w:val="right" w:pos="9025" w:leader="dot"/>
            </w:tabs>
            <w:rPr/>
          </w:pPr>
          <w:hyperlink w:anchor="__RefHeading___Toc120922_3949650649">
            <w:r>
              <w:rPr>
                <w:webHidden/>
                <w:rStyle w:val="IndexLink"/>
              </w:rPr>
              <w:t>14. Rollback plan</w:t>
              <w:tab/>
              <w:t>15</w:t>
            </w:r>
          </w:hyperlink>
        </w:p>
        <w:p>
          <w:pPr>
            <w:pStyle w:val="TOC1"/>
            <w:tabs>
              <w:tab w:val="clear" w:pos="900"/>
              <w:tab w:val="clear" w:pos="9350"/>
              <w:tab w:val="right" w:pos="9025" w:leader="dot"/>
            </w:tabs>
            <w:rPr/>
          </w:pPr>
          <w:hyperlink w:anchor="__RefHeading___Toc120924_3949650649">
            <w:r>
              <w:rPr>
                <w:webHidden/>
                <w:rStyle w:val="IndexLink"/>
              </w:rPr>
              <w:t>15. Approval</w:t>
              <w:tab/>
              <w:t>16</w:t>
            </w:r>
          </w:hyperlink>
        </w:p>
        <w:p>
          <w:pPr>
            <w:pStyle w:val="TOC1"/>
            <w:tabs>
              <w:tab w:val="clear" w:pos="900"/>
              <w:tab w:val="clear" w:pos="9350"/>
              <w:tab w:val="right" w:pos="9025" w:leader="dot"/>
            </w:tabs>
            <w:rPr/>
          </w:pPr>
          <w:hyperlink w:anchor="__RefHeading___Toc120926_3949650649">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0892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one copy per release or patch</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0894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0896_3949650649"/>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pStyle w:val="Normal"/>
        <w:numPr>
          <w:ilvl w:val="0"/>
          <w:numId w:val="1"/>
        </w:numPr>
        <w:spacing w:before="0" w:after="60"/>
        <w:rPr/>
      </w:pPr>
      <w:r>
        <w:rPr>
          <w:rFonts w:eastAsia="Segoe UI" w:cs="Segoe UI" w:ascii="Segoe UI" w:hAnsi="Segoe UI"/>
          <w:color w:val="101820"/>
          <w:sz w:val="21"/>
        </w:rPr>
        <w:t>Copy the template, set the version number in the title, and replace every text in [square brackets].</w:t>
      </w:r>
    </w:p>
    <w:p>
      <w:pPr>
        <w:pStyle w:val="Normal"/>
        <w:numPr>
          <w:ilvl w:val="0"/>
          <w:numId w:val="1"/>
        </w:numPr>
        <w:spacing w:before="0" w:after="60"/>
        <w:rPr/>
      </w:pPr>
      <w:r>
        <w:rPr>
          <w:rFonts w:eastAsia="Segoe UI" w:cs="Segoe UI" w:ascii="Segoe UI" w:hAnsi="Segoe UI"/>
          <w:color w:val="101820"/>
          <w:sz w:val="21"/>
        </w:rPr>
        <w:t>Use the system's own names for menus, screens, settings and statuses, exactly as on screen, for example Master &gt; Configuration &gt; Billing, Collections &amp; Credit.</w:t>
      </w:r>
    </w:p>
    <w:p>
      <w:pPr>
        <w:pStyle w:val="Normal"/>
        <w:numPr>
          <w:ilvl w:val="0"/>
          <w:numId w:val="1"/>
        </w:numPr>
        <w:spacing w:before="0" w:after="60"/>
        <w:rPr/>
      </w:pPr>
      <w:r>
        <w:rPr>
          <w:rFonts w:eastAsia="Segoe UI" w:cs="Segoe UI" w:ascii="Segoe UI" w:hAnsi="Segoe UI"/>
          <w:color w:val="101820"/>
          <w:sz w:val="21"/>
        </w:rPr>
        <w:t>Describe the effect on the user, not the code. Each item says what changes, for whom, and whether anyone must act.</w:t>
      </w:r>
    </w:p>
    <w:p>
      <w:pPr>
        <w:pStyle w:val="Normal"/>
        <w:numPr>
          <w:ilvl w:val="0"/>
          <w:numId w:val="1"/>
        </w:numPr>
        <w:spacing w:before="0" w:after="60"/>
        <w:rPr/>
      </w:pPr>
      <w:r>
        <w:rPr>
          <w:rFonts w:eastAsia="Segoe UI" w:cs="Segoe UI" w:ascii="Segoe UI" w:hAnsi="Segoe UI"/>
          <w:color w:val="101820"/>
          <w:sz w:val="21"/>
        </w:rPr>
        <w:t>Delete the sections that have no content and this chapter before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4"/>
        <w:gridCol w:w="3970"/>
        <w:gridCol w:w="3971"/>
      </w:tblGrid>
      <w:tr>
        <w:trPr>
          <w:tblHeader w:val="true"/>
        </w:trPr>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type</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Notice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 (1.0.z)</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emergency release for a P1 or a security issue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(1.y.0)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component upgrades; data and settings kept</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(x.0.0)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w:t>
            </w:r>
          </w:p>
        </w:tc>
      </w:tr>
    </w:tbl>
    <w:p>
      <w:pPr>
        <w:pStyle w:val="Heading1"/>
        <w:rPr/>
      </w:pPr>
      <w:r>
        <w:br w:type="page"/>
      </w:r>
      <w:bookmarkStart w:id="7" w:name="__RefHeading___Toc120898_3949650649"/>
      <w:bookmarkEnd w:id="7"/>
      <w:r>
        <w:rPr>
          <w:rFonts w:eastAsia="Segoe UI" w:cs="Segoe UI" w:ascii="Segoe UI" w:hAnsi="Segoe UI"/>
          <w:b/>
          <w:color w:val="0F4761"/>
          <w:sz w:val="32"/>
        </w:rPr>
        <w:t>4.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 [Patch / Minor / Major]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Repository tag and commit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[vx.y.z], commit [short hash];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after deployment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 in production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deployment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 PHT, in the maintenance window</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downtime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minutes]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(CAB)</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[RFC number], approved on [date]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w:t>
            </w:r>
          </w:p>
        </w:tc>
      </w:tr>
    </w:tbl>
    <w:p>
      <w:pPr>
        <w:pStyle w:val="Heading1"/>
        <w:rPr/>
      </w:pPr>
      <w:r>
        <w:br w:type="page"/>
      </w:r>
      <w:bookmarkStart w:id="8" w:name="__RefHeading___Toc120900_3949650649"/>
      <w:bookmarkEnd w:id="8"/>
      <w:r>
        <w:rPr>
          <w:rFonts w:eastAsia="Segoe UI" w:cs="Segoe UI" w:ascii="Segoe UI" w:hAnsi="Segoe UI"/>
          <w:b/>
          <w:color w:val="0F4761"/>
          <w:sz w:val="32"/>
        </w:rPr>
        <w:t>5.  Summary</w:t>
      </w:r>
    </w:p>
    <w:p>
      <w:pPr>
        <w:pStyle w:val="Normal"/>
        <w:spacing w:lineRule="auto" w:line="276" w:before="0" w:after="120"/>
        <w:rPr/>
      </w:pPr>
      <w:r>
        <w:rPr>
          <w:rFonts w:eastAsia="Segoe UI" w:cs="Segoe UI" w:ascii="Segoe UI" w:hAnsi="Segoe UI"/>
          <w:color w:val="101820"/>
          <w:sz w:val="21"/>
        </w:rPr>
        <w:t>[Two to four sentences for managers: why this release, what users will notice, and whether any action is needed before or after deployment.]</w:t>
      </w:r>
      <w:r>
        <w:br w:type="page"/>
      </w:r>
    </w:p>
    <w:p>
      <w:pPr>
        <w:pStyle w:val="Heading1"/>
        <w:rPr/>
      </w:pPr>
      <w:bookmarkStart w:id="9" w:name="__RefHeading___Toc120902_3949650649"/>
      <w:bookmarkEnd w:id="9"/>
      <w:r>
        <w:rPr>
          <w:rFonts w:eastAsia="Segoe UI" w:cs="Segoe UI" w:ascii="Segoe UI" w:hAnsi="Segoe UI"/>
          <w:b/>
          <w:color w:val="0F4761"/>
          <w:sz w:val="32"/>
        </w:rPr>
        <w:t>6.  New and changed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5"/>
        <w:gridCol w:w="3360"/>
        <w:gridCol w:w="1122"/>
        <w:gridCol w:w="2776"/>
      </w:tblGrid>
      <w:tr>
        <w:trPr>
          <w:tblHeader w:val="true"/>
        </w:trPr>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27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 needed</w:t>
            </w:r>
          </w:p>
        </w:tc>
      </w:tr>
      <w:tr>
        <w:trPr/>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Accounting]</w:t>
            </w:r>
          </w:p>
        </w:tc>
        <w:tc>
          <w:tcPr>
            <w:tcW w:w="3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user can now do, with the menu path]</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27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train / switch on setting ...]</w:t>
            </w:r>
          </w:p>
        </w:tc>
      </w:tr>
    </w:tbl>
    <w:p>
      <w:pPr>
        <w:pStyle w:val="Heading1"/>
        <w:rPr/>
      </w:pPr>
      <w:r>
        <w:br w:type="page"/>
      </w:r>
      <w:bookmarkStart w:id="10" w:name="__RefHeading___Toc120904_3949650649"/>
      <w:bookmarkEnd w:id="10"/>
      <w:r>
        <w:rPr>
          <w:rFonts w:eastAsia="Segoe UI" w:cs="Segoe UI" w:ascii="Segoe UI" w:hAnsi="Segoe UI"/>
          <w:b/>
          <w:color w:val="0F4761"/>
          <w:sz w:val="32"/>
        </w:rPr>
        <w:t>7.  Fixed defects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5"/>
        <w:gridCol w:w="2091"/>
        <w:gridCol w:w="2351"/>
        <w:gridCol w:w="1306"/>
      </w:tblGrid>
      <w:tr>
        <w:trPr>
          <w:tblHeader w:val="true"/>
        </w:trPr>
        <w:tc>
          <w:tcPr>
            <w:tcW w:w="3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Ticket or defect</w:t>
            </w:r>
          </w:p>
        </w:tc>
        <w:tc>
          <w:tcPr>
            <w:tcW w:w="2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Problem</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Fix</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[BV-DEF-nnn / ticket no.]</w:t>
            </w:r>
          </w:p>
        </w:tc>
        <w:tc>
          <w:tcPr>
            <w:tcW w:w="2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users saw]</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now happens]</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P4]</w:t>
            </w:r>
          </w:p>
        </w:tc>
      </w:tr>
    </w:tbl>
    <w:p>
      <w:pPr>
        <w:pStyle w:val="Heading1"/>
        <w:rPr/>
      </w:pPr>
      <w:r>
        <w:br w:type="page"/>
      </w:r>
      <w:bookmarkStart w:id="11" w:name="__RefHeading___Toc120906_3949650649"/>
      <w:bookmarkEnd w:id="11"/>
      <w:r>
        <w:rPr>
          <w:rFonts w:eastAsia="Segoe UI" w:cs="Segoe UI" w:ascii="Segoe UI" w:hAnsi="Segoe UI"/>
          <w:b/>
          <w:color w:val="0F4761"/>
          <w:sz w:val="32"/>
        </w:rPr>
        <w:t>8.  Security fixes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1924"/>
        <w:gridCol w:w="2451"/>
        <w:gridCol w:w="2887"/>
      </w:tblGrid>
      <w:tr>
        <w:trPr>
          <w:tblHeader w:val="true"/>
        </w:trPr>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24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w:t>
            </w:r>
          </w:p>
        </w:tc>
      </w:tr>
      <w:tr>
        <w:trPr/>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reference]</w:t>
            </w:r>
          </w:p>
        </w:tc>
        <w:tc>
          <w:tcPr>
            <w:tcW w:w="1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or component]</w:t>
            </w:r>
          </w:p>
        </w:tc>
        <w:tc>
          <w:tcPr>
            <w:tcW w:w="24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 high / moderate]</w:t>
            </w:r>
          </w:p>
        </w:tc>
        <w:tc>
          <w:tcPr>
            <w:tcW w:w="2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no user action / action]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Security patches follow the agreed timelines: critical within 14 days and high within 30 days of a fix being available.</w:t>
      </w:r>
      <w:r>
        <w:br w:type="page"/>
      </w:r>
    </w:p>
    <w:p>
      <w:pPr>
        <w:pStyle w:val="Heading1"/>
        <w:rPr/>
      </w:pPr>
      <w:bookmarkStart w:id="12" w:name="__RefHeading___Toc120908_3949650649"/>
      <w:bookmarkEnd w:id="12"/>
      <w:r>
        <w:rPr>
          <w:rFonts w:eastAsia="Segoe UI" w:cs="Segoe UI" w:ascii="Segoe UI" w:hAnsi="Segoe UI"/>
          <w:b/>
          <w:color w:val="0F4761"/>
          <w:sz w:val="32"/>
        </w:rPr>
        <w:t>9.  Regulatory and configuration changes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09"/>
        <w:gridCol w:w="908"/>
        <w:gridCol w:w="1445"/>
        <w:gridCol w:w="1306"/>
        <w:gridCol w:w="1445"/>
      </w:tblGrid>
      <w:tr>
        <w:trPr>
          <w:tblHeader w:val="true"/>
        </w:trPr>
        <w:tc>
          <w:tcPr>
            <w:tcW w:w="3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or master</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value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to confirm</w:t>
            </w:r>
          </w:p>
        </w:tc>
      </w:tr>
      <w:tr>
        <w:trPr/>
        <w:tc>
          <w:tcPr>
            <w:tcW w:w="3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premium tax rule, BIR form layout, number series]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or screen]</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[value]</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 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and master data changed by the broker are kept: a release adds what is missing and never overwrites a value the broker has changed, unless this section says so.</w:t>
      </w:r>
      <w:r>
        <w:br w:type="page"/>
      </w:r>
    </w:p>
    <w:p>
      <w:pPr>
        <w:pStyle w:val="Heading1"/>
        <w:rPr/>
      </w:pPr>
      <w:bookmarkStart w:id="13" w:name="__RefHeading___Toc120910_3949650649"/>
      <w:bookmarkEnd w:id="13"/>
      <w:r>
        <w:rPr>
          <w:rFonts w:eastAsia="Segoe UI" w:cs="Segoe UI" w:ascii="Segoe UI" w:hAnsi="Segoe UI"/>
          <w:b/>
          <w:color w:val="0F4761"/>
          <w:sz w:val="32"/>
        </w:rPr>
        <w:t>10.  Database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2153"/>
        <w:gridCol w:w="2042"/>
        <w:gridCol w:w="3203"/>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Migration</w:t>
            </w:r>
          </w:p>
        </w:tc>
        <w:tc>
          <w:tcPr>
            <w:tcW w:w="2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2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 on existing data</w:t>
            </w:r>
          </w:p>
        </w:tc>
        <w:tc>
          <w:tcPr>
            <w:tcW w:w="3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Reversible by redeploying the previous release</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[NNNN_name.sql]</w:t>
            </w:r>
          </w:p>
        </w:tc>
        <w:tc>
          <w:tcPr>
            <w:tcW w:w="2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[adds table / column / setting]</w:t>
            </w:r>
          </w:p>
        </w:tc>
        <w:tc>
          <w:tcPr>
            <w:tcW w:w="2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records updated: ...]</w:t>
            </w:r>
          </w:p>
        </w:tc>
        <w:tc>
          <w:tcPr>
            <w:tcW w:w="3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explain]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Migrations are applied automatically when the API starts, under a lock. A database snapshot is taken before deployment.</w:t>
      </w:r>
      <w:r>
        <w:br w:type="page"/>
      </w:r>
    </w:p>
    <w:p>
      <w:pPr>
        <w:pStyle w:val="Heading1"/>
        <w:rPr/>
      </w:pPr>
      <w:bookmarkStart w:id="14" w:name="__RefHeading___Toc120912_3949650649"/>
      <w:bookmarkEnd w:id="14"/>
      <w:r>
        <w:rPr>
          <w:rFonts w:eastAsia="Segoe UI" w:cs="Segoe UI" w:ascii="Segoe UI" w:hAnsi="Segoe UI"/>
          <w:b/>
          <w:color w:val="0F4761"/>
          <w:sz w:val="32"/>
        </w:rPr>
        <w:t>11.  Actions for the broker</w:t>
      </w:r>
    </w:p>
    <w:p>
      <w:pPr>
        <w:pStyle w:val="Heading2"/>
        <w:rPr/>
      </w:pPr>
      <w:bookmarkStart w:id="15" w:name="__RefHeading___Toc120914_3949650649"/>
      <w:bookmarkEnd w:id="15"/>
      <w:r>
        <w:rPr>
          <w:rFonts w:eastAsia="Segoe UI" w:cs="Segoe UI"/>
          <w:b/>
          <w:color w:val="0F4761"/>
          <w:sz w:val="26"/>
        </w:rPr>
        <w:t>11.1  Before deployment</w:t>
      </w:r>
    </w:p>
    <w:p>
      <w:pPr>
        <w:pStyle w:val="Normal"/>
        <w:numPr>
          <w:ilvl w:val="0"/>
          <w:numId w:val="1"/>
        </w:numPr>
        <w:spacing w:before="0" w:after="60"/>
        <w:rPr/>
      </w:pPr>
      <w:r>
        <w:rPr>
          <w:rFonts w:eastAsia="Segoe UI" w:cs="Segoe UI" w:ascii="Segoe UI" w:hAnsi="Segoe UI"/>
          <w:color w:val="101820"/>
          <w:sz w:val="21"/>
        </w:rPr>
        <w:t>[for example: confirm the new setting value with the Accounting Manager]</w:t>
      </w:r>
    </w:p>
    <w:p>
      <w:pPr>
        <w:pStyle w:val="Normal"/>
        <w:numPr>
          <w:ilvl w:val="0"/>
          <w:numId w:val="1"/>
        </w:numPr>
        <w:spacing w:before="0" w:after="60"/>
        <w:rPr/>
      </w:pPr>
      <w:r>
        <w:rPr>
          <w:rFonts w:eastAsia="Segoe UI" w:cs="Segoe UI" w:ascii="Segoe UI" w:hAnsi="Segoe UI"/>
          <w:color w:val="101820"/>
          <w:sz w:val="21"/>
        </w:rPr>
        <w:t>[UAT scripts to re-run in the test environment: ...]</w:t>
      </w:r>
    </w:p>
    <w:p>
      <w:pPr>
        <w:pStyle w:val="Heading2"/>
        <w:rPr/>
      </w:pPr>
      <w:bookmarkStart w:id="16" w:name="__RefHeading___Toc120916_3949650649"/>
      <w:bookmarkEnd w:id="16"/>
      <w:r>
        <w:rPr>
          <w:rFonts w:eastAsia="Segoe UI" w:cs="Segoe UI"/>
          <w:b/>
          <w:color w:val="0F4761"/>
          <w:sz w:val="26"/>
        </w:rPr>
        <w:t>11.2  After deployment</w:t>
      </w:r>
    </w:p>
    <w:p>
      <w:pPr>
        <w:pStyle w:val="Normal"/>
        <w:numPr>
          <w:ilvl w:val="0"/>
          <w:numId w:val="1"/>
        </w:numPr>
        <w:spacing w:before="0" w:after="60"/>
        <w:rPr/>
      </w:pPr>
      <w:r>
        <w:rPr>
          <w:rFonts w:eastAsia="Segoe UI" w:cs="Segoe UI" w:ascii="Segoe UI" w:hAnsi="Segoe UI"/>
          <w:color w:val="101820"/>
          <w:sz w:val="21"/>
        </w:rPr>
        <w:t>[for example: switch on the job ... in Master &gt; Schedules; check the E-mail Outbox]</w:t>
      </w:r>
    </w:p>
    <w:p>
      <w:pPr>
        <w:pStyle w:val="Normal"/>
        <w:numPr>
          <w:ilvl w:val="0"/>
          <w:numId w:val="1"/>
        </w:numPr>
        <w:spacing w:before="0" w:after="60"/>
        <w:rPr/>
      </w:pPr>
      <w:r>
        <w:rPr>
          <w:rFonts w:eastAsia="Segoe UI" w:cs="Segoe UI" w:ascii="Segoe UI" w:hAnsi="Segoe UI"/>
          <w:color w:val="101820"/>
          <w:sz w:val="21"/>
        </w:rPr>
        <w:t>Check the smoke test result sent by iorta TechNXT.</w:t>
      </w:r>
      <w:r>
        <w:br w:type="page"/>
      </w:r>
    </w:p>
    <w:p>
      <w:pPr>
        <w:pStyle w:val="Heading1"/>
        <w:rPr/>
      </w:pPr>
      <w:bookmarkStart w:id="17" w:name="__RefHeading___Toc120918_3949650649"/>
      <w:bookmarkEnd w:id="17"/>
      <w:r>
        <w:rPr>
          <w:rFonts w:eastAsia="Segoe UI" w:cs="Segoe UI" w:ascii="Segoe UI" w:hAnsi="Segoe UI"/>
          <w:b/>
          <w:color w:val="0F4761"/>
          <w:sz w:val="32"/>
        </w:rPr>
        <w:t>12.  Known issues in this release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52"/>
        <w:gridCol w:w="2252"/>
        <w:gridCol w:w="45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4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or backlog]</w:t>
            </w:r>
          </w:p>
        </w:tc>
      </w:tr>
    </w:tbl>
    <w:p>
      <w:pPr>
        <w:pStyle w:val="Heading1"/>
        <w:rPr/>
      </w:pPr>
      <w:r>
        <w:br w:type="page"/>
      </w:r>
      <w:bookmarkStart w:id="18" w:name="__RefHeading___Toc120920_3949650649"/>
      <w:bookmarkEnd w:id="18"/>
      <w:r>
        <w:rPr>
          <w:rFonts w:eastAsia="Segoe UI" w:cs="Segoe UI" w:ascii="Segoe UI" w:hAnsi="Segoe UI"/>
          <w:b/>
          <w:color w:val="0F4761"/>
          <w:sz w:val="32"/>
        </w:rPr>
        <w:t>13.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4"/>
        <w:gridCol w:w="3629"/>
      </w:tblGrid>
      <w:tr>
        <w:trPr>
          <w:tblHeader w:val="true"/>
        </w:trPr>
        <w:tc>
          <w:tcPr>
            <w:tcW w:w="53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business-rule tests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of 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set in the test environment</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n failed, n not run]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UAT of the changed areas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 on ...]</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 (dependency audit, image scan)</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r>
    </w:tbl>
    <w:p>
      <w:pPr>
        <w:pStyle w:val="Heading1"/>
        <w:rPr/>
      </w:pPr>
      <w:r>
        <w:br w:type="page"/>
      </w:r>
      <w:bookmarkStart w:id="19" w:name="__RefHeading___Toc120922_3949650649"/>
      <w:bookmarkEnd w:id="19"/>
      <w:r>
        <w:rPr>
          <w:rFonts w:eastAsia="Segoe UI" w:cs="Segoe UI" w:ascii="Segoe UI" w:hAnsi="Segoe UI"/>
          <w:b/>
          <w:color w:val="0F4761"/>
          <w:sz w:val="32"/>
        </w:rPr>
        <w:t>14.  Rollback plan</w:t>
      </w:r>
    </w:p>
    <w:p>
      <w:pPr>
        <w:pStyle w:val="Normal"/>
        <w:spacing w:lineRule="auto" w:line="276" w:before="0" w:after="120"/>
        <w:rPr/>
      </w:pPr>
      <w:r>
        <w:rPr>
          <w:rFonts w:eastAsia="Segoe UI" w:cs="Segoe UI" w:ascii="Segoe UI" w:hAnsi="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r>
        <w:br w:type="page"/>
      </w:r>
    </w:p>
    <w:p>
      <w:pPr>
        <w:pStyle w:val="Heading1"/>
        <w:rPr/>
      </w:pPr>
      <w:bookmarkStart w:id="20" w:name="__RefHeading___Toc120924_3949650649"/>
      <w:bookmarkEnd w:id="20"/>
      <w:r>
        <w:rPr>
          <w:rFonts w:eastAsia="Segoe UI" w:cs="Segoe UI" w:ascii="Segoe UI" w:hAnsi="Segoe UI"/>
          <w:b/>
          <w:color w:val="0F4761"/>
          <w:sz w:val="32"/>
        </w:rPr>
        <w:t>15.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7"/>
        <w:gridCol w:w="907"/>
        <w:gridCol w:w="3973"/>
        <w:gridCol w:w="906"/>
      </w:tblGrid>
      <w:tr>
        <w:trPr>
          <w:tblHeader w:val="true"/>
        </w:trPr>
        <w:tc>
          <w:tcPr>
            <w:tcW w:w="3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[Ready for deployment]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or System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conditions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120926_3949650649"/>
      <w:bookmarkStart w:id="22" w:name="_Toc233203395"/>
      <w:bookmarkEnd w:id="21"/>
      <w:r>
        <w:rPr>
          <w:rStyle w:val="BookTitle"/>
          <w:bCs w:val="false"/>
          <w:i w:val="false"/>
          <w:iCs w:val="false"/>
          <w:spacing w:val="0"/>
        </w:rPr>
        <w:t>16.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and delete the sections that do not apply before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release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