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0404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30406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30408_3949650649">
            <w:r>
              <w:rPr>
                <w:webHidden/>
                <w:rStyle w:val="IndexLink"/>
              </w:rPr>
              <w:t>3. About this template</w:t>
              <w:tab/>
              <w:t>5</w:t>
            </w:r>
          </w:hyperlink>
        </w:p>
        <w:p>
          <w:pPr>
            <w:pStyle w:val="TOC1"/>
            <w:tabs>
              <w:tab w:val="clear" w:pos="900"/>
              <w:tab w:val="clear" w:pos="9350"/>
              <w:tab w:val="right" w:pos="9025" w:leader="dot"/>
            </w:tabs>
            <w:rPr/>
          </w:pPr>
          <w:hyperlink w:anchor="__RefHeading___Toc130410_3949650649">
            <w:r>
              <w:rPr>
                <w:webHidden/>
                <w:rStyle w:val="IndexLink"/>
              </w:rPr>
              <w:t>4. Agreement and scope</w:t>
              <w:tab/>
              <w:t>6</w:t>
            </w:r>
          </w:hyperlink>
        </w:p>
        <w:p>
          <w:pPr>
            <w:pStyle w:val="TOC2"/>
            <w:tabs>
              <w:tab w:val="clear" w:pos="900"/>
              <w:tab w:val="clear" w:pos="9350"/>
              <w:tab w:val="right" w:pos="9025" w:leader="dot"/>
            </w:tabs>
            <w:rPr/>
          </w:pPr>
          <w:hyperlink w:anchor="__RefHeading___Toc130412_3949650649">
            <w:r>
              <w:rPr>
                <w:webHidden/>
                <w:rStyle w:val="IndexLink"/>
              </w:rPr>
              <w:t>4.1 Parties and documents</w:t>
              <w:tab/>
              <w:t>6</w:t>
            </w:r>
          </w:hyperlink>
        </w:p>
        <w:p>
          <w:pPr>
            <w:pStyle w:val="TOC2"/>
            <w:tabs>
              <w:tab w:val="clear" w:pos="900"/>
              <w:tab w:val="clear" w:pos="9350"/>
              <w:tab w:val="right" w:pos="9025" w:leader="dot"/>
            </w:tabs>
            <w:rPr/>
          </w:pPr>
          <w:hyperlink w:anchor="__RefHeading___Toc130414_3949650649">
            <w:r>
              <w:rPr>
                <w:webHidden/>
                <w:rStyle w:val="IndexLink"/>
              </w:rPr>
              <w:t>4.2 Maintenance</w:t>
              <w:tab/>
              <w:t>6</w:t>
            </w:r>
          </w:hyperlink>
        </w:p>
        <w:p>
          <w:pPr>
            <w:pStyle w:val="TOC2"/>
            <w:tabs>
              <w:tab w:val="clear" w:pos="900"/>
              <w:tab w:val="clear" w:pos="9350"/>
              <w:tab w:val="right" w:pos="9025" w:leader="dot"/>
            </w:tabs>
            <w:rPr/>
          </w:pPr>
          <w:hyperlink w:anchor="__RefHeading___Toc130416_3949650649">
            <w:r>
              <w:rPr>
                <w:webHidden/>
                <w:rStyle w:val="IndexLink"/>
              </w:rPr>
              <w:t>4.3 Support</w:t>
              <w:tab/>
              <w:t>6</w:t>
            </w:r>
          </w:hyperlink>
        </w:p>
        <w:p>
          <w:pPr>
            <w:pStyle w:val="TOC2"/>
            <w:tabs>
              <w:tab w:val="clear" w:pos="900"/>
              <w:tab w:val="clear" w:pos="9350"/>
              <w:tab w:val="right" w:pos="9025" w:leader="dot"/>
            </w:tabs>
            <w:rPr/>
          </w:pPr>
          <w:hyperlink w:anchor="__RefHeading___Toc130418_3949650649">
            <w:r>
              <w:rPr>
                <w:webHidden/>
                <w:rStyle w:val="IndexLink"/>
              </w:rPr>
              <w:t>4.4 Support levels</w:t>
              <w:tab/>
              <w:t>6</w:t>
            </w:r>
          </w:hyperlink>
        </w:p>
        <w:p>
          <w:pPr>
            <w:pStyle w:val="TOC1"/>
            <w:tabs>
              <w:tab w:val="clear" w:pos="900"/>
              <w:tab w:val="clear" w:pos="9350"/>
              <w:tab w:val="right" w:pos="9025" w:leader="dot"/>
            </w:tabs>
            <w:rPr/>
          </w:pPr>
          <w:hyperlink w:anchor="__RefHeading___Toc130420_3949650649">
            <w:r>
              <w:rPr>
                <w:webHidden/>
                <w:rStyle w:val="IndexLink"/>
              </w:rPr>
              <w:t>5. Fees</w:t>
              <w:tab/>
              <w:t>7</w:t>
            </w:r>
          </w:hyperlink>
        </w:p>
        <w:p>
          <w:pPr>
            <w:pStyle w:val="TOC2"/>
            <w:tabs>
              <w:tab w:val="clear" w:pos="900"/>
              <w:tab w:val="clear" w:pos="9350"/>
              <w:tab w:val="right" w:pos="9025" w:leader="dot"/>
            </w:tabs>
            <w:rPr/>
          </w:pPr>
          <w:hyperlink w:anchor="__RefHeading___Toc130422_3949650649">
            <w:r>
              <w:rPr>
                <w:webHidden/>
                <w:rStyle w:val="IndexLink"/>
              </w:rPr>
              <w:t>5.1 AMC fee (perpetual licence)</w:t>
              <w:tab/>
              <w:t>7</w:t>
            </w:r>
          </w:hyperlink>
        </w:p>
        <w:p>
          <w:pPr>
            <w:pStyle w:val="TOC2"/>
            <w:tabs>
              <w:tab w:val="clear" w:pos="900"/>
              <w:tab w:val="clear" w:pos="9350"/>
              <w:tab w:val="right" w:pos="9025" w:leader="dot"/>
            </w:tabs>
            <w:rPr/>
          </w:pPr>
          <w:hyperlink w:anchor="__RefHeading___Toc130424_3949650649">
            <w:r>
              <w:rPr>
                <w:webHidden/>
                <w:rStyle w:val="IndexLink"/>
              </w:rPr>
              <w:t>5.2 Subscription</w:t>
              <w:tab/>
              <w:t>7</w:t>
            </w:r>
          </w:hyperlink>
        </w:p>
        <w:p>
          <w:pPr>
            <w:pStyle w:val="TOC2"/>
            <w:tabs>
              <w:tab w:val="clear" w:pos="900"/>
              <w:tab w:val="clear" w:pos="9350"/>
              <w:tab w:val="right" w:pos="9025" w:leader="dot"/>
            </w:tabs>
            <w:rPr/>
          </w:pPr>
          <w:hyperlink w:anchor="__RefHeading___Toc130426_3949650649">
            <w:r>
              <w:rPr>
                <w:webHidden/>
                <w:rStyle w:val="IndexLink"/>
              </w:rPr>
              <w:t>5.3 Extended P1 support (optional)</w:t>
              <w:tab/>
              <w:t>7</w:t>
            </w:r>
          </w:hyperlink>
        </w:p>
        <w:p>
          <w:pPr>
            <w:pStyle w:val="TOC2"/>
            <w:tabs>
              <w:tab w:val="clear" w:pos="900"/>
              <w:tab w:val="clear" w:pos="9350"/>
              <w:tab w:val="right" w:pos="9025" w:leader="dot"/>
            </w:tabs>
            <w:rPr/>
          </w:pPr>
          <w:hyperlink w:anchor="__RefHeading___Toc130428_3949650649">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130430_3949650649">
            <w:r>
              <w:rPr>
                <w:webHidden/>
                <w:rStyle w:val="IndexLink"/>
              </w:rPr>
              <w:t>6. Service hours</w:t>
              <w:tab/>
              <w:t>8</w:t>
            </w:r>
          </w:hyperlink>
        </w:p>
        <w:p>
          <w:pPr>
            <w:pStyle w:val="TOC1"/>
            <w:tabs>
              <w:tab w:val="clear" w:pos="900"/>
              <w:tab w:val="clear" w:pos="9350"/>
              <w:tab w:val="right" w:pos="9025" w:leader="dot"/>
            </w:tabs>
            <w:rPr/>
          </w:pPr>
          <w:hyperlink w:anchor="__RefHeading___Toc130432_3949650649">
            <w:r>
              <w:rPr>
                <w:webHidden/>
                <w:rStyle w:val="IndexLink"/>
              </w:rPr>
              <w:t>7. Severity levels and targets</w:t>
              <w:tab/>
              <w:t>9</w:t>
            </w:r>
          </w:hyperlink>
        </w:p>
        <w:p>
          <w:pPr>
            <w:pStyle w:val="TOC2"/>
            <w:tabs>
              <w:tab w:val="clear" w:pos="900"/>
              <w:tab w:val="clear" w:pos="9350"/>
              <w:tab w:val="right" w:pos="9025" w:leader="dot"/>
            </w:tabs>
            <w:rPr/>
          </w:pPr>
          <w:hyperlink w:anchor="__RefHeading___Toc130434_3949650649">
            <w:r>
              <w:rPr>
                <w:webHidden/>
                <w:rStyle w:val="IndexLink"/>
              </w:rPr>
              <w:t>7.1 Definitions</w:t>
              <w:tab/>
              <w:t>9</w:t>
            </w:r>
          </w:hyperlink>
        </w:p>
        <w:p>
          <w:pPr>
            <w:pStyle w:val="TOC2"/>
            <w:tabs>
              <w:tab w:val="clear" w:pos="900"/>
              <w:tab w:val="clear" w:pos="9350"/>
              <w:tab w:val="right" w:pos="9025" w:leader="dot"/>
            </w:tabs>
            <w:rPr/>
          </w:pPr>
          <w:hyperlink w:anchor="__RefHeading___Toc130436_3949650649">
            <w:r>
              <w:rPr>
                <w:webHidden/>
                <w:rStyle w:val="IndexLink"/>
              </w:rPr>
              <w:t>7.2 Targets</w:t>
              <w:tab/>
              <w:t>9</w:t>
            </w:r>
          </w:hyperlink>
        </w:p>
        <w:p>
          <w:pPr>
            <w:pStyle w:val="TOC2"/>
            <w:tabs>
              <w:tab w:val="clear" w:pos="900"/>
              <w:tab w:val="clear" w:pos="9350"/>
              <w:tab w:val="right" w:pos="9025" w:leader="dot"/>
            </w:tabs>
            <w:rPr/>
          </w:pPr>
          <w:hyperlink w:anchor="__RefHeading___Toc130438_3949650649">
            <w:r>
              <w:rPr>
                <w:webHidden/>
                <w:rStyle w:val="IndexLink"/>
              </w:rPr>
              <w:t>7.3 Clock rules</w:t>
              <w:tab/>
              <w:t>9</w:t>
            </w:r>
          </w:hyperlink>
        </w:p>
        <w:p>
          <w:pPr>
            <w:pStyle w:val="TOC1"/>
            <w:tabs>
              <w:tab w:val="clear" w:pos="900"/>
              <w:tab w:val="clear" w:pos="9350"/>
              <w:tab w:val="right" w:pos="9025" w:leader="dot"/>
            </w:tabs>
            <w:rPr/>
          </w:pPr>
          <w:hyperlink w:anchor="__RefHeading___Toc130440_3949650649">
            <w:r>
              <w:rPr>
                <w:webHidden/>
                <w:rStyle w:val="IndexLink"/>
              </w:rPr>
              <w:t>8. Service desk and tickets</w:t>
              <w:tab/>
              <w:t>10</w:t>
            </w:r>
          </w:hyperlink>
        </w:p>
        <w:p>
          <w:pPr>
            <w:pStyle w:val="TOC2"/>
            <w:tabs>
              <w:tab w:val="clear" w:pos="900"/>
              <w:tab w:val="clear" w:pos="9350"/>
              <w:tab w:val="right" w:pos="9025" w:leader="dot"/>
            </w:tabs>
            <w:rPr/>
          </w:pPr>
          <w:hyperlink w:anchor="__RefHeading___Toc130442_3949650649">
            <w:r>
              <w:rPr>
                <w:webHidden/>
                <w:rStyle w:val="IndexLink"/>
              </w:rPr>
              <w:t>8.1 Minimum content of a ticket</w:t>
              <w:tab/>
              <w:t>10</w:t>
            </w:r>
          </w:hyperlink>
        </w:p>
        <w:p>
          <w:pPr>
            <w:pStyle w:val="TOC2"/>
            <w:tabs>
              <w:tab w:val="clear" w:pos="900"/>
              <w:tab w:val="clear" w:pos="9350"/>
              <w:tab w:val="right" w:pos="9025" w:leader="dot"/>
            </w:tabs>
            <w:rPr/>
          </w:pPr>
          <w:hyperlink w:anchor="__RefHeading___Toc130444_3949650649">
            <w:r>
              <w:rPr>
                <w:webHidden/>
                <w:rStyle w:val="IndexLink"/>
              </w:rPr>
              <w:t>8.2 Ticket statuses</w:t>
              <w:tab/>
              <w:t>10</w:t>
            </w:r>
          </w:hyperlink>
        </w:p>
        <w:p>
          <w:pPr>
            <w:pStyle w:val="TOC1"/>
            <w:tabs>
              <w:tab w:val="clear" w:pos="900"/>
              <w:tab w:val="clear" w:pos="9350"/>
              <w:tab w:val="right" w:pos="9025" w:leader="dot"/>
            </w:tabs>
            <w:rPr/>
          </w:pPr>
          <w:hyperlink w:anchor="__RefHeading___Toc130446_3949650649">
            <w:r>
              <w:rPr>
                <w:webHidden/>
                <w:rStyle w:val="IndexLink"/>
              </w:rPr>
              <w:t>9. Escalation</w:t>
              <w:tab/>
              <w:t>11</w:t>
            </w:r>
          </w:hyperlink>
        </w:p>
        <w:p>
          <w:pPr>
            <w:pStyle w:val="TOC1"/>
            <w:tabs>
              <w:tab w:val="clear" w:pos="900"/>
              <w:tab w:val="clear" w:pos="9350"/>
              <w:tab w:val="right" w:pos="9025" w:leader="dot"/>
            </w:tabs>
            <w:rPr/>
          </w:pPr>
          <w:hyperlink w:anchor="__RefHeading___Toc130448_3949650649">
            <w:r>
              <w:rPr>
                <w:webHidden/>
                <w:rStyle w:val="IndexLink"/>
              </w:rPr>
              <w:t>10. Service credits</w:t>
              <w:tab/>
              <w:t>12</w:t>
            </w:r>
          </w:hyperlink>
        </w:p>
        <w:p>
          <w:pPr>
            <w:pStyle w:val="TOC2"/>
            <w:tabs>
              <w:tab w:val="clear" w:pos="900"/>
              <w:tab w:val="clear" w:pos="9350"/>
              <w:tab w:val="right" w:pos="9025" w:leader="dot"/>
            </w:tabs>
            <w:rPr/>
          </w:pPr>
          <w:hyperlink w:anchor="__RefHeading___Toc130450_3949650649">
            <w:r>
              <w:rPr>
                <w:webHidden/>
                <w:rStyle w:val="IndexLink"/>
              </w:rPr>
              <w:t>10.1 Credits</w:t>
              <w:tab/>
              <w:t>12</w:t>
            </w:r>
          </w:hyperlink>
        </w:p>
        <w:p>
          <w:pPr>
            <w:pStyle w:val="TOC2"/>
            <w:tabs>
              <w:tab w:val="clear" w:pos="900"/>
              <w:tab w:val="clear" w:pos="9350"/>
              <w:tab w:val="right" w:pos="9025" w:leader="dot"/>
            </w:tabs>
            <w:rPr/>
          </w:pPr>
          <w:hyperlink w:anchor="__RefHeading___Toc130452_3949650649">
            <w:r>
              <w:rPr>
                <w:webHidden/>
                <w:rStyle w:val="IndexLink"/>
              </w:rPr>
              <w:t>10.2 Rules</w:t>
              <w:tab/>
              <w:t>12</w:t>
            </w:r>
          </w:hyperlink>
        </w:p>
        <w:p>
          <w:pPr>
            <w:pStyle w:val="TOC1"/>
            <w:tabs>
              <w:tab w:val="clear" w:pos="900"/>
              <w:tab w:val="clear" w:pos="9350"/>
              <w:tab w:val="right" w:pos="9025" w:leader="dot"/>
            </w:tabs>
            <w:rPr/>
          </w:pPr>
          <w:hyperlink w:anchor="__RefHeading___Toc130454_3949650649">
            <w:r>
              <w:rPr>
                <w:webHidden/>
                <w:rStyle w:val="IndexLink"/>
              </w:rPr>
              <w:t>11. Reporting and reviews</w:t>
              <w:tab/>
              <w:t>13</w:t>
            </w:r>
          </w:hyperlink>
        </w:p>
        <w:p>
          <w:pPr>
            <w:pStyle w:val="TOC2"/>
            <w:tabs>
              <w:tab w:val="clear" w:pos="900"/>
              <w:tab w:val="clear" w:pos="9350"/>
              <w:tab w:val="right" w:pos="9025" w:leader="dot"/>
            </w:tabs>
            <w:rPr/>
          </w:pPr>
          <w:hyperlink w:anchor="__RefHeading___Toc130456_3949650649">
            <w:r>
              <w:rPr>
                <w:webHidden/>
                <w:rStyle w:val="IndexLink"/>
              </w:rPr>
              <w:t>11.1 Monthly service report</w:t>
              <w:tab/>
              <w:t>13</w:t>
            </w:r>
          </w:hyperlink>
        </w:p>
        <w:p>
          <w:pPr>
            <w:pStyle w:val="TOC2"/>
            <w:tabs>
              <w:tab w:val="clear" w:pos="900"/>
              <w:tab w:val="clear" w:pos="9350"/>
              <w:tab w:val="right" w:pos="9025" w:leader="dot"/>
            </w:tabs>
            <w:rPr/>
          </w:pPr>
          <w:hyperlink w:anchor="__RefHeading___Toc130458_3949650649">
            <w:r>
              <w:rPr>
                <w:webHidden/>
                <w:rStyle w:val="IndexLink"/>
              </w:rPr>
              <w:t>11.2 KPIs</w:t>
              <w:tab/>
              <w:t>13</w:t>
            </w:r>
          </w:hyperlink>
        </w:p>
        <w:p>
          <w:pPr>
            <w:pStyle w:val="TOC2"/>
            <w:tabs>
              <w:tab w:val="clear" w:pos="900"/>
              <w:tab w:val="clear" w:pos="9350"/>
              <w:tab w:val="right" w:pos="9025" w:leader="dot"/>
            </w:tabs>
            <w:rPr/>
          </w:pPr>
          <w:hyperlink w:anchor="__RefHeading___Toc130460_3949650649">
            <w:r>
              <w:rPr>
                <w:webHidden/>
                <w:rStyle w:val="IndexLink"/>
              </w:rPr>
              <w:t>11.3 Service review</w:t>
              <w:tab/>
              <w:t>13</w:t>
            </w:r>
          </w:hyperlink>
        </w:p>
        <w:p>
          <w:pPr>
            <w:pStyle w:val="TOC1"/>
            <w:tabs>
              <w:tab w:val="clear" w:pos="900"/>
              <w:tab w:val="clear" w:pos="9350"/>
              <w:tab w:val="right" w:pos="9025" w:leader="dot"/>
            </w:tabs>
            <w:rPr/>
          </w:pPr>
          <w:hyperlink w:anchor="__RefHeading___Toc130462_3949650649">
            <w:r>
              <w:rPr>
                <w:webHidden/>
                <w:rStyle w:val="IndexLink"/>
              </w:rPr>
              <w:t>12. Releases and changes</w:t>
              <w:tab/>
              <w:t>14</w:t>
            </w:r>
          </w:hyperlink>
        </w:p>
        <w:p>
          <w:pPr>
            <w:pStyle w:val="TOC1"/>
            <w:tabs>
              <w:tab w:val="clear" w:pos="900"/>
              <w:tab w:val="clear" w:pos="9350"/>
              <w:tab w:val="right" w:pos="9025" w:leader="dot"/>
            </w:tabs>
            <w:rPr/>
          </w:pPr>
          <w:hyperlink w:anchor="__RefHeading___Toc130464_3949650649">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130466_3949650649">
            <w:r>
              <w:rPr>
                <w:webHidden/>
                <w:rStyle w:val="IndexLink"/>
              </w:rPr>
              <w:t>14. Exclusions</w:t>
              <w:tab/>
              <w:t>16</w:t>
            </w:r>
          </w:hyperlink>
        </w:p>
        <w:p>
          <w:pPr>
            <w:pStyle w:val="TOC1"/>
            <w:tabs>
              <w:tab w:val="clear" w:pos="900"/>
              <w:tab w:val="clear" w:pos="9350"/>
              <w:tab w:val="right" w:pos="9025" w:leader="dot"/>
            </w:tabs>
            <w:rPr/>
          </w:pPr>
          <w:hyperlink w:anchor="__RefHeading___Toc130468_3949650649">
            <w:r>
              <w:rPr>
                <w:webHidden/>
                <w:rStyle w:val="IndexLink"/>
              </w:rPr>
              <w:t>15. Client obligations</w:t>
              <w:tab/>
              <w:t>17</w:t>
            </w:r>
          </w:hyperlink>
        </w:p>
        <w:p>
          <w:pPr>
            <w:pStyle w:val="TOC1"/>
            <w:tabs>
              <w:tab w:val="clear" w:pos="900"/>
              <w:tab w:val="clear" w:pos="9350"/>
              <w:tab w:val="right" w:pos="9025" w:leader="dot"/>
            </w:tabs>
            <w:rPr/>
          </w:pPr>
          <w:hyperlink w:anchor="__RefHeading___Toc130470_3949650649">
            <w:r>
              <w:rPr>
                <w:webHidden/>
                <w:rStyle w:val="IndexLink"/>
              </w:rPr>
              <w:t>16. Term and termination</w:t>
              <w:tab/>
              <w:t>18</w:t>
            </w:r>
          </w:hyperlink>
        </w:p>
        <w:p>
          <w:pPr>
            <w:pStyle w:val="TOC1"/>
            <w:tabs>
              <w:tab w:val="clear" w:pos="900"/>
              <w:tab w:val="clear" w:pos="9350"/>
              <w:tab w:val="right" w:pos="9025" w:leader="dot"/>
            </w:tabs>
            <w:rPr/>
          </w:pPr>
          <w:hyperlink w:anchor="__RefHeading___Toc130472_3949650649">
            <w:r>
              <w:rPr>
                <w:webHidden/>
                <w:rStyle w:val="IndexLink"/>
              </w:rPr>
              <w:t>17. Signatures</w:t>
              <w:tab/>
              <w:t>19</w:t>
            </w:r>
          </w:hyperlink>
        </w:p>
        <w:p>
          <w:pPr>
            <w:pStyle w:val="TOC1"/>
            <w:tabs>
              <w:tab w:val="clear" w:pos="900"/>
              <w:tab w:val="clear" w:pos="9350"/>
              <w:tab w:val="right" w:pos="9025" w:leader="dot"/>
            </w:tabs>
            <w:rPr/>
          </w:pPr>
          <w:hyperlink w:anchor="__RefHeading___Toc130474_3949650649">
            <w:r>
              <w:rPr>
                <w:webHidden/>
                <w:rStyle w:val="IndexLink"/>
              </w:rPr>
              <w:t>18. Annex A: contacts</w:t>
              <w:tab/>
              <w:t>20</w:t>
            </w:r>
          </w:hyperlink>
        </w:p>
        <w:p>
          <w:pPr>
            <w:pStyle w:val="TOC1"/>
            <w:tabs>
              <w:tab w:val="clear" w:pos="900"/>
              <w:tab w:val="clear" w:pos="9350"/>
              <w:tab w:val="right" w:pos="9025" w:leader="dot"/>
            </w:tabs>
            <w:rPr/>
          </w:pPr>
          <w:hyperlink w:anchor="__RefHeading___Toc130476_3949650649">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0404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0406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0408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130410_3949650649"/>
      <w:bookmarkEnd w:id="7"/>
      <w:r>
        <w:rPr>
          <w:rFonts w:eastAsia="Segoe UI" w:cs="Segoe UI" w:ascii="Segoe UI" w:hAnsi="Segoe UI"/>
          <w:b/>
          <w:color w:val="0F4761"/>
          <w:sz w:val="32"/>
        </w:rPr>
        <w:t>4.  Agreement and scope</w:t>
      </w:r>
    </w:p>
    <w:p>
      <w:pPr>
        <w:pStyle w:val="Heading2"/>
        <w:rPr/>
      </w:pPr>
      <w:bookmarkStart w:id="8" w:name="__RefHeading___Toc130412_3949650649"/>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rPr/>
      </w:pPr>
      <w:bookmarkStart w:id="9" w:name="__RefHeading___Toc130414_3949650649"/>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130416_3949650649"/>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130418_3949650649"/>
      <w:bookmarkEnd w:id="11"/>
      <w:r>
        <w:rPr>
          <w:rFonts w:eastAsia="Segoe UI" w:cs="Segoe UI"/>
          <w:b/>
          <w:color w:val="0F4761"/>
          <w:sz w:val="26"/>
        </w:rPr>
        <w:t>4.4  Support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6"/>
        <w:gridCol w:w="404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130420_3949650649"/>
      <w:bookmarkEnd w:id="12"/>
      <w:r>
        <w:rPr>
          <w:rFonts w:eastAsia="Segoe UI" w:cs="Segoe UI" w:ascii="Segoe UI" w:hAnsi="Segoe UI"/>
          <w:b/>
          <w:color w:val="0F4761"/>
          <w:sz w:val="32"/>
        </w:rPr>
        <w:t>5.  Fees</w:t>
      </w:r>
    </w:p>
    <w:p>
      <w:pPr>
        <w:pStyle w:val="Heading2"/>
        <w:rPr/>
      </w:pPr>
      <w:bookmarkStart w:id="13" w:name="__RefHeading___Toc130422_3949650649"/>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 later of their licence date and the AMC start, prorated to the next AMC anniversary.</w:t>
      </w:r>
    </w:p>
    <w:p>
      <w:pPr>
        <w:pStyle w:val="Heading2"/>
        <w:rPr/>
      </w:pPr>
      <w:bookmarkStart w:id="14" w:name="__RefHeading___Toc130424_3949650649"/>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130426_3949650649"/>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130428_3949650649"/>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130430_3949650649"/>
      <w:bookmarkEnd w:id="17"/>
      <w:r>
        <w:rPr>
          <w:rFonts w:eastAsia="Segoe UI" w:cs="Segoe UI" w:ascii="Segoe UI" w:hAnsi="Segoe UI"/>
          <w:b/>
          <w:color w:val="0F4761"/>
          <w:sz w:val="32"/>
        </w:rPr>
        <w:t>6.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130432_3949650649"/>
      <w:bookmarkEnd w:id="18"/>
      <w:r>
        <w:rPr>
          <w:rFonts w:eastAsia="Segoe UI" w:cs="Segoe UI" w:ascii="Segoe UI" w:hAnsi="Segoe UI"/>
          <w:b/>
          <w:color w:val="0F4761"/>
          <w:sz w:val="32"/>
        </w:rPr>
        <w:t>7.  Severity levels and targets</w:t>
      </w:r>
    </w:p>
    <w:p>
      <w:pPr>
        <w:pStyle w:val="Heading2"/>
        <w:rPr/>
      </w:pPr>
      <w:bookmarkStart w:id="19" w:name="__RefHeading___Toc130434_3949650649"/>
      <w:bookmarkEnd w:id="19"/>
      <w:r>
        <w:rPr>
          <w:rFonts w:eastAsia="Segoe UI" w:cs="Segoe UI"/>
          <w:b/>
          <w:color w:val="0F4761"/>
          <w:sz w:val="26"/>
        </w:rPr>
        <w:t>7.1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130436_3949650649"/>
      <w:bookmarkEnd w:id="20"/>
      <w:r>
        <w:rPr>
          <w:rFonts w:eastAsia="Segoe UI" w:cs="Segoe UI"/>
          <w:b/>
          <w:color w:val="0F4761"/>
          <w:sz w:val="26"/>
        </w:rPr>
        <w:t>7.2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130438_3949650649"/>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130440_3949650649"/>
      <w:bookmarkEnd w:id="22"/>
      <w:r>
        <w:rPr>
          <w:rFonts w:eastAsia="Segoe UI" w:cs="Segoe UI" w:ascii="Segoe UI" w:hAnsi="Segoe UI"/>
          <w:b/>
          <w:color w:val="0F4761"/>
          <w:sz w:val="32"/>
        </w:rPr>
        <w:t>8.  Service desk and tickets</w:t>
      </w:r>
    </w:p>
    <w:p>
      <w:pPr>
        <w:pStyle w:val="Heading2"/>
        <w:rPr/>
      </w:pPr>
      <w:bookmarkStart w:id="23" w:name="__RefHeading___Toc130442_3949650649"/>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130444_3949650649"/>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130446_3949650649"/>
      <w:bookmarkEnd w:id="25"/>
      <w:r>
        <w:rPr>
          <w:rFonts w:eastAsia="Segoe UI" w:cs="Segoe UI" w:ascii="Segoe UI" w:hAnsi="Segoe UI"/>
          <w:b/>
          <w:color w:val="0F4761"/>
          <w:sz w:val="32"/>
        </w:rPr>
        <w:t>9.  Escalation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130448_3949650649"/>
      <w:bookmarkEnd w:id="26"/>
      <w:r>
        <w:rPr>
          <w:rFonts w:eastAsia="Segoe UI" w:cs="Segoe UI" w:ascii="Segoe UI" w:hAnsi="Segoe UI"/>
          <w:b/>
          <w:color w:val="0F4761"/>
          <w:sz w:val="32"/>
        </w:rPr>
        <w:t>10.  Service credits</w:t>
      </w:r>
    </w:p>
    <w:p>
      <w:pPr>
        <w:pStyle w:val="Heading2"/>
        <w:rPr/>
      </w:pPr>
      <w:bookmarkStart w:id="27" w:name="__RefHeading___Toc130450_3949650649"/>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78"/>
        <w:gridCol w:w="2035"/>
      </w:tblGrid>
      <w:tr>
        <w:trPr>
          <w:tblHeader w:val="true"/>
        </w:trPr>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130452_3949650649"/>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130454_3949650649"/>
      <w:bookmarkEnd w:id="29"/>
      <w:r>
        <w:rPr>
          <w:rFonts w:eastAsia="Segoe UI" w:cs="Segoe UI" w:ascii="Segoe UI" w:hAnsi="Segoe UI"/>
          <w:b/>
          <w:color w:val="0F4761"/>
          <w:sz w:val="32"/>
        </w:rPr>
        <w:t>11.  Reporting and reviews</w:t>
      </w:r>
    </w:p>
    <w:p>
      <w:pPr>
        <w:pStyle w:val="Heading2"/>
        <w:rPr/>
      </w:pPr>
      <w:bookmarkStart w:id="30" w:name="__RefHeading___Toc130456_3949650649"/>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130458_3949650649"/>
      <w:bookmarkEnd w:id="31"/>
      <w:r>
        <w:rPr>
          <w:rFonts w:eastAsia="Segoe UI" w:cs="Segoe UI"/>
          <w:b/>
          <w:color w:val="0F4761"/>
          <w:sz w:val="26"/>
        </w:rPr>
        <w:t>11.2  KPIs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1"/>
        <w:gridCol w:w="4283"/>
        <w:gridCol w:w="1250"/>
      </w:tblGrid>
      <w:tr>
        <w:trPr>
          <w:tblHeader w:val="true"/>
        </w:trPr>
        <w:tc>
          <w:tcPr>
            <w:tcW w:w="3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130460_3949650649"/>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130462_3949650649"/>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130464_3949650649"/>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130466_3949650649"/>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130468_3949650649"/>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130470_3949650649"/>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130472_3949650649"/>
      <w:bookmarkEnd w:id="38"/>
      <w:r>
        <w:rPr>
          <w:rFonts w:eastAsia="Segoe UI" w:cs="Segoe UI" w:ascii="Segoe UI" w:hAnsi="Segoe UI"/>
          <w:b/>
          <w:color w:val="0F4761"/>
          <w:sz w:val="32"/>
        </w:rPr>
        <w:t>17.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9" w:name="__RefHeading___Toc130474_3949650649"/>
      <w:bookmarkEnd w:id="39"/>
      <w:r>
        <w:rPr>
          <w:rFonts w:eastAsia="Segoe UI" w:cs="Segoe UI" w:ascii="Segoe UI" w:hAnsi="Segoe UI"/>
          <w:b/>
          <w:color w:val="0F4761"/>
          <w:sz w:val="32"/>
        </w:rPr>
        <w:t>18.  Annex A: contacts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8"/>
        <w:gridCol w:w="1501"/>
        <w:gridCol w:w="2196"/>
        <w:gridCol w:w="1618"/>
        <w:gridCol w:w="1041"/>
      </w:tblGrid>
      <w:tr>
        <w:trPr>
          <w:tblHeader w:val="true"/>
        </w:trPr>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1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40" w:name="__RefHeading___Toc130476_3949650649"/>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2026-10-03T20:29:14Z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