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8.jpeg" ContentType="image/jpeg"/>
  <Override PartName="/word/media/image7.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43">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54">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44"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46"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1.1</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1.1</w:t>
                      </w:r>
                    </w:p>
                  </w:txbxContent>
                </v:textbox>
                <w10:wrap type="square"/>
              </v:rect>
            </w:pict>
          </mc:Fallback>
        </mc:AlternateContent>
        <mc:AlternateContent>
          <mc:Choice Requires="wps">
            <w:drawing>
              <wp:anchor behindDoc="0" distT="45720" distB="45720" distL="114300" distR="113665" simplePos="0" locked="0" layoutInCell="0" allowOverlap="1" relativeHeight="48"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50"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Implementation Approach</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Implementation Approach</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52"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and Plan for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and Plan for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7555_3133665205">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7557_3133665205">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7559_3133665205">
            <w:r>
              <w:rPr>
                <w:webHidden/>
                <w:rStyle w:val="IndexLink"/>
              </w:rPr>
              <w:t>3. Introduction</w:t>
              <w:tab/>
              <w:t>5</w:t>
            </w:r>
          </w:hyperlink>
        </w:p>
        <w:p>
          <w:pPr>
            <w:pStyle w:val="TOC2"/>
            <w:tabs>
              <w:tab w:val="clear" w:pos="900"/>
              <w:tab w:val="clear" w:pos="9350"/>
              <w:tab w:val="right" w:pos="9025" w:leader="dot"/>
            </w:tabs>
            <w:rPr/>
          </w:pPr>
          <w:hyperlink w:anchor="__RefHeading___Toc7561_3133665205">
            <w:r>
              <w:rPr>
                <w:webHidden/>
                <w:rStyle w:val="IndexLink"/>
              </w:rPr>
              <w:t>3.1 Purpose</w:t>
              <w:tab/>
              <w:t>5</w:t>
            </w:r>
          </w:hyperlink>
        </w:p>
        <w:p>
          <w:pPr>
            <w:pStyle w:val="TOC2"/>
            <w:tabs>
              <w:tab w:val="clear" w:pos="900"/>
              <w:tab w:val="clear" w:pos="9350"/>
              <w:tab w:val="right" w:pos="9025" w:leader="dot"/>
            </w:tabs>
            <w:rPr/>
          </w:pPr>
          <w:hyperlink w:anchor="__RefHeading___Toc7563_3133665205">
            <w:r>
              <w:rPr>
                <w:webHidden/>
                <w:rStyle w:val="IndexLink"/>
              </w:rPr>
              <w:t>3.2 Companion documents</w:t>
              <w:tab/>
              <w:t>5</w:t>
            </w:r>
          </w:hyperlink>
        </w:p>
        <w:p>
          <w:pPr>
            <w:pStyle w:val="TOC2"/>
            <w:tabs>
              <w:tab w:val="clear" w:pos="900"/>
              <w:tab w:val="clear" w:pos="9350"/>
              <w:tab w:val="right" w:pos="9025" w:leader="dot"/>
            </w:tabs>
            <w:rPr/>
          </w:pPr>
          <w:hyperlink w:anchor="__RefHeading___Toc7565_3133665205">
            <w:r>
              <w:rPr>
                <w:webHidden/>
                <w:rStyle w:val="IndexLink"/>
              </w:rPr>
              <w:t>3.3 Audience</w:t>
              <w:tab/>
              <w:t>6</w:t>
            </w:r>
          </w:hyperlink>
        </w:p>
        <w:p>
          <w:pPr>
            <w:pStyle w:val="TOC2"/>
            <w:tabs>
              <w:tab w:val="clear" w:pos="900"/>
              <w:tab w:val="clear" w:pos="9350"/>
              <w:tab w:val="right" w:pos="9025" w:leader="dot"/>
            </w:tabs>
            <w:rPr/>
          </w:pPr>
          <w:hyperlink w:anchor="__RefHeading___Toc7567_3133665205">
            <w:r>
              <w:rPr>
                <w:webHidden/>
                <w:rStyle w:val="IndexLink"/>
              </w:rPr>
              <w:t>3.4 Version history</w:t>
              <w:tab/>
              <w:t>6</w:t>
            </w:r>
          </w:hyperlink>
        </w:p>
        <w:p>
          <w:pPr>
            <w:pStyle w:val="TOC1"/>
            <w:tabs>
              <w:tab w:val="clear" w:pos="900"/>
              <w:tab w:val="clear" w:pos="9350"/>
              <w:tab w:val="right" w:pos="9025" w:leader="dot"/>
            </w:tabs>
            <w:rPr/>
          </w:pPr>
          <w:hyperlink w:anchor="__RefHeading___Toc7569_3133665205">
            <w:r>
              <w:rPr>
                <w:webHidden/>
                <w:rStyle w:val="IndexLink"/>
              </w:rPr>
              <w:t>4. Implementation approach</w:t>
              <w:tab/>
              <w:t>7</w:t>
            </w:r>
          </w:hyperlink>
        </w:p>
        <w:p>
          <w:pPr>
            <w:pStyle w:val="TOC2"/>
            <w:tabs>
              <w:tab w:val="clear" w:pos="900"/>
              <w:tab w:val="clear" w:pos="9350"/>
              <w:tab w:val="right" w:pos="9025" w:leader="dot"/>
            </w:tabs>
            <w:rPr/>
          </w:pPr>
          <w:hyperlink w:anchor="__RefHeading___Toc7571_3133665205">
            <w:r>
              <w:rPr>
                <w:webHidden/>
                <w:rStyle w:val="IndexLink"/>
              </w:rPr>
              <w:t>4.1 Configure, do not customise</w:t>
              <w:tab/>
              <w:t>7</w:t>
            </w:r>
          </w:hyperlink>
        </w:p>
        <w:p>
          <w:pPr>
            <w:pStyle w:val="TOC2"/>
            <w:tabs>
              <w:tab w:val="clear" w:pos="900"/>
              <w:tab w:val="clear" w:pos="9350"/>
              <w:tab w:val="right" w:pos="9025" w:leader="dot"/>
            </w:tabs>
            <w:rPr/>
          </w:pPr>
          <w:hyperlink w:anchor="__RefHeading___Toc7573_3133665205">
            <w:r>
              <w:rPr>
                <w:webHidden/>
                <w:rStyle w:val="IndexLink"/>
              </w:rPr>
              <w:t>4.2 Principles</w:t>
              <w:tab/>
              <w:t>8</w:t>
            </w:r>
          </w:hyperlink>
        </w:p>
        <w:p>
          <w:pPr>
            <w:pStyle w:val="TOC2"/>
            <w:tabs>
              <w:tab w:val="clear" w:pos="900"/>
              <w:tab w:val="clear" w:pos="9350"/>
              <w:tab w:val="right" w:pos="9025" w:leader="dot"/>
            </w:tabs>
            <w:rPr/>
          </w:pPr>
          <w:hyperlink w:anchor="__RefHeading___Toc7575_3133665205">
            <w:r>
              <w:rPr>
                <w:webHidden/>
                <w:rStyle w:val="IndexLink"/>
              </w:rPr>
              <w:t>4.3 Implementation sizes</w:t>
              <w:tab/>
              <w:t>8</w:t>
            </w:r>
          </w:hyperlink>
        </w:p>
        <w:p>
          <w:pPr>
            <w:pStyle w:val="TOC2"/>
            <w:tabs>
              <w:tab w:val="clear" w:pos="900"/>
              <w:tab w:val="clear" w:pos="9350"/>
              <w:tab w:val="right" w:pos="9025" w:leader="dot"/>
            </w:tabs>
            <w:rPr/>
          </w:pPr>
          <w:hyperlink w:anchor="__RefHeading___Toc7577_3133665205">
            <w:r>
              <w:rPr>
                <w:webHidden/>
                <w:rStyle w:val="IndexLink"/>
              </w:rPr>
              <w:t>4.4 Environment model</w:t>
              <w:tab/>
              <w:t>9</w:t>
            </w:r>
          </w:hyperlink>
        </w:p>
        <w:p>
          <w:pPr>
            <w:pStyle w:val="TOC1"/>
            <w:tabs>
              <w:tab w:val="clear" w:pos="900"/>
              <w:tab w:val="clear" w:pos="9350"/>
              <w:tab w:val="right" w:pos="9025" w:leader="dot"/>
            </w:tabs>
            <w:rPr/>
          </w:pPr>
          <w:hyperlink w:anchor="__RefHeading___Toc7579_3133665205">
            <w:r>
              <w:rPr>
                <w:webHidden/>
                <w:rStyle w:val="IndexLink"/>
              </w:rPr>
              <w:t>5. Phases</w:t>
              <w:tab/>
              <w:t>10</w:t>
            </w:r>
          </w:hyperlink>
        </w:p>
        <w:p>
          <w:pPr>
            <w:pStyle w:val="TOC2"/>
            <w:tabs>
              <w:tab w:val="clear" w:pos="900"/>
              <w:tab w:val="clear" w:pos="9350"/>
              <w:tab w:val="right" w:pos="9025" w:leader="dot"/>
            </w:tabs>
            <w:rPr/>
          </w:pPr>
          <w:hyperlink w:anchor="__RefHeading___Toc7581_3133665205">
            <w:r>
              <w:rPr>
                <w:webHidden/>
                <w:rStyle w:val="IndexLink"/>
              </w:rPr>
              <w:t>5.1 Overview</w:t>
              <w:tab/>
              <w:t>10</w:t>
            </w:r>
          </w:hyperlink>
        </w:p>
        <w:p>
          <w:pPr>
            <w:pStyle w:val="TOC2"/>
            <w:tabs>
              <w:tab w:val="clear" w:pos="900"/>
              <w:tab w:val="clear" w:pos="9350"/>
              <w:tab w:val="right" w:pos="9025" w:leader="dot"/>
            </w:tabs>
            <w:rPr/>
          </w:pPr>
          <w:hyperlink w:anchor="__RefHeading___Toc7583_3133665205">
            <w:r>
              <w:rPr>
                <w:webHidden/>
                <w:rStyle w:val="IndexLink"/>
              </w:rPr>
              <w:t>5.2 Mobilisation</w:t>
              <w:tab/>
              <w:t>11</w:t>
            </w:r>
          </w:hyperlink>
        </w:p>
        <w:p>
          <w:pPr>
            <w:pStyle w:val="TOC2"/>
            <w:tabs>
              <w:tab w:val="clear" w:pos="900"/>
              <w:tab w:val="clear" w:pos="9350"/>
              <w:tab w:val="right" w:pos="9025" w:leader="dot"/>
            </w:tabs>
            <w:rPr/>
          </w:pPr>
          <w:hyperlink w:anchor="__RefHeading___Toc7585_3133665205">
            <w:r>
              <w:rPr>
                <w:webHidden/>
                <w:rStyle w:val="IndexLink"/>
              </w:rPr>
              <w:t>5.3 Environments and pipeline</w:t>
              <w:tab/>
              <w:t>12</w:t>
            </w:r>
          </w:hyperlink>
        </w:p>
        <w:p>
          <w:pPr>
            <w:pStyle w:val="TOC2"/>
            <w:tabs>
              <w:tab w:val="clear" w:pos="900"/>
              <w:tab w:val="clear" w:pos="9350"/>
              <w:tab w:val="right" w:pos="9025" w:leader="dot"/>
            </w:tabs>
            <w:rPr/>
          </w:pPr>
          <w:hyperlink w:anchor="__RefHeading___Toc7587_3133665205">
            <w:r>
              <w:rPr>
                <w:webHidden/>
                <w:rStyle w:val="IndexLink"/>
              </w:rPr>
              <w:t>5.4 Discovery and fit-gap</w:t>
              <w:tab/>
              <w:t>12</w:t>
            </w:r>
          </w:hyperlink>
        </w:p>
        <w:p>
          <w:pPr>
            <w:pStyle w:val="TOC2"/>
            <w:tabs>
              <w:tab w:val="clear" w:pos="900"/>
              <w:tab w:val="clear" w:pos="9350"/>
              <w:tab w:val="right" w:pos="9025" w:leader="dot"/>
            </w:tabs>
            <w:rPr/>
          </w:pPr>
          <w:hyperlink w:anchor="__RefHeading___Toc7589_3133665205">
            <w:r>
              <w:rPr>
                <w:webHidden/>
                <w:rStyle w:val="IndexLink"/>
              </w:rPr>
              <w:t>5.5 Client inputs and the configuration kit</w:t>
              <w:tab/>
              <w:t>13</w:t>
            </w:r>
          </w:hyperlink>
        </w:p>
        <w:p>
          <w:pPr>
            <w:pStyle w:val="TOC2"/>
            <w:tabs>
              <w:tab w:val="clear" w:pos="900"/>
              <w:tab w:val="clear" w:pos="9350"/>
              <w:tab w:val="right" w:pos="9025" w:leader="dot"/>
            </w:tabs>
            <w:rPr/>
          </w:pPr>
          <w:hyperlink w:anchor="__RefHeading___Toc7591_3133665205">
            <w:r>
              <w:rPr>
                <w:webHidden/>
                <w:rStyle w:val="IndexLink"/>
              </w:rPr>
              <w:t>5.6 Regulatory registrations</w:t>
              <w:tab/>
              <w:t>13</w:t>
            </w:r>
          </w:hyperlink>
        </w:p>
        <w:p>
          <w:pPr>
            <w:pStyle w:val="TOC2"/>
            <w:tabs>
              <w:tab w:val="clear" w:pos="900"/>
              <w:tab w:val="clear" w:pos="9350"/>
              <w:tab w:val="right" w:pos="9025" w:leader="dot"/>
            </w:tabs>
            <w:rPr/>
          </w:pPr>
          <w:hyperlink w:anchor="__RefHeading___Toc7593_3133665205">
            <w:r>
              <w:rPr>
                <w:webHidden/>
                <w:rStyle w:val="IndexLink"/>
              </w:rPr>
              <w:t>5.7 Configuration</w:t>
              <w:tab/>
              <w:t>14</w:t>
            </w:r>
          </w:hyperlink>
        </w:p>
        <w:p>
          <w:pPr>
            <w:pStyle w:val="TOC2"/>
            <w:tabs>
              <w:tab w:val="clear" w:pos="900"/>
              <w:tab w:val="clear" w:pos="9350"/>
              <w:tab w:val="right" w:pos="9025" w:leader="dot"/>
            </w:tabs>
            <w:rPr/>
          </w:pPr>
          <w:hyperlink w:anchor="__RefHeading___Toc7595_3133665205">
            <w:r>
              <w:rPr>
                <w:webHidden/>
                <w:rStyle w:val="IndexLink"/>
              </w:rPr>
              <w:t>5.8 Compliance set-up</w:t>
              <w:tab/>
              <w:t>14</w:t>
            </w:r>
          </w:hyperlink>
        </w:p>
        <w:p>
          <w:pPr>
            <w:pStyle w:val="TOC2"/>
            <w:tabs>
              <w:tab w:val="clear" w:pos="900"/>
              <w:tab w:val="clear" w:pos="9350"/>
              <w:tab w:val="right" w:pos="9025" w:leader="dot"/>
            </w:tabs>
            <w:rPr/>
          </w:pPr>
          <w:hyperlink w:anchor="__RefHeading___Toc7597_3133665205">
            <w:r>
              <w:rPr>
                <w:webHidden/>
                <w:rStyle w:val="IndexLink"/>
              </w:rPr>
              <w:t>5.9 Branding and brand pack</w:t>
              <w:tab/>
              <w:t>15</w:t>
            </w:r>
          </w:hyperlink>
        </w:p>
        <w:p>
          <w:pPr>
            <w:pStyle w:val="TOC2"/>
            <w:tabs>
              <w:tab w:val="clear" w:pos="900"/>
              <w:tab w:val="clear" w:pos="9350"/>
              <w:tab w:val="right" w:pos="9025" w:leader="dot"/>
            </w:tabs>
            <w:rPr/>
          </w:pPr>
          <w:hyperlink w:anchor="__RefHeading___Toc7599_3133665205">
            <w:r>
              <w:rPr>
                <w:webHidden/>
                <w:rStyle w:val="IndexLink"/>
              </w:rPr>
              <w:t>5.10 Data migration</w:t>
              <w:tab/>
              <w:t>15</w:t>
            </w:r>
          </w:hyperlink>
        </w:p>
        <w:p>
          <w:pPr>
            <w:pStyle w:val="TOC2"/>
            <w:tabs>
              <w:tab w:val="clear" w:pos="900"/>
              <w:tab w:val="clear" w:pos="9350"/>
              <w:tab w:val="right" w:pos="9025" w:leader="dot"/>
            </w:tabs>
            <w:rPr/>
          </w:pPr>
          <w:hyperlink w:anchor="__RefHeading___Toc7601_3133665205">
            <w:r>
              <w:rPr>
                <w:webHidden/>
                <w:rStyle w:val="IndexLink"/>
              </w:rPr>
              <w:t>5.11 Integrations with partners</w:t>
              <w:tab/>
              <w:t>15</w:t>
            </w:r>
          </w:hyperlink>
        </w:p>
        <w:p>
          <w:pPr>
            <w:pStyle w:val="TOC2"/>
            <w:tabs>
              <w:tab w:val="clear" w:pos="900"/>
              <w:tab w:val="clear" w:pos="9350"/>
              <w:tab w:val="right" w:pos="9025" w:leader="dot"/>
            </w:tabs>
            <w:rPr/>
          </w:pPr>
          <w:hyperlink w:anchor="__RefHeading___Toc7603_3133665205">
            <w:r>
              <w:rPr>
                <w:webHidden/>
                <w:rStyle w:val="IndexLink"/>
              </w:rPr>
              <w:t>5.12 Training</w:t>
              <w:tab/>
              <w:t>16</w:t>
            </w:r>
          </w:hyperlink>
        </w:p>
        <w:p>
          <w:pPr>
            <w:pStyle w:val="TOC2"/>
            <w:tabs>
              <w:tab w:val="clear" w:pos="900"/>
              <w:tab w:val="clear" w:pos="9350"/>
              <w:tab w:val="right" w:pos="9025" w:leader="dot"/>
            </w:tabs>
            <w:rPr/>
          </w:pPr>
          <w:hyperlink w:anchor="__RefHeading___Toc7605_3133665205">
            <w:r>
              <w:rPr>
                <w:webHidden/>
                <w:rStyle w:val="IndexLink"/>
              </w:rPr>
              <w:t>5.13 System integration test</w:t>
              <w:tab/>
              <w:t>16</w:t>
            </w:r>
          </w:hyperlink>
        </w:p>
        <w:p>
          <w:pPr>
            <w:pStyle w:val="TOC2"/>
            <w:tabs>
              <w:tab w:val="clear" w:pos="900"/>
              <w:tab w:val="clear" w:pos="9350"/>
              <w:tab w:val="right" w:pos="9025" w:leader="dot"/>
            </w:tabs>
            <w:rPr/>
          </w:pPr>
          <w:hyperlink w:anchor="__RefHeading___Toc7607_3133665205">
            <w:r>
              <w:rPr>
                <w:webHidden/>
                <w:rStyle w:val="IndexLink"/>
              </w:rPr>
              <w:t>5.14 User acceptance test</w:t>
              <w:tab/>
              <w:t>16</w:t>
            </w:r>
          </w:hyperlink>
        </w:p>
        <w:p>
          <w:pPr>
            <w:pStyle w:val="TOC2"/>
            <w:tabs>
              <w:tab w:val="clear" w:pos="900"/>
              <w:tab w:val="clear" w:pos="9350"/>
              <w:tab w:val="right" w:pos="9025" w:leader="dot"/>
            </w:tabs>
            <w:rPr/>
          </w:pPr>
          <w:hyperlink w:anchor="__RefHeading___Toc7609_3133665205">
            <w:r>
              <w:rPr>
                <w:webHidden/>
                <w:rStyle w:val="IndexLink"/>
              </w:rPr>
              <w:t>5.15 Rehearsal, cutover and go-live</w:t>
              <w:tab/>
              <w:t>17</w:t>
            </w:r>
          </w:hyperlink>
        </w:p>
        <w:p>
          <w:pPr>
            <w:pStyle w:val="TOC2"/>
            <w:tabs>
              <w:tab w:val="clear" w:pos="900"/>
              <w:tab w:val="clear" w:pos="9350"/>
              <w:tab w:val="right" w:pos="9025" w:leader="dot"/>
            </w:tabs>
            <w:rPr/>
          </w:pPr>
          <w:hyperlink w:anchor="__RefHeading___Toc7611_3133665205">
            <w:r>
              <w:rPr>
                <w:webHidden/>
                <w:rStyle w:val="IndexLink"/>
              </w:rPr>
              <w:t>5.16 Hypercare</w:t>
              <w:tab/>
              <w:t>17</w:t>
            </w:r>
          </w:hyperlink>
        </w:p>
        <w:p>
          <w:pPr>
            <w:pStyle w:val="TOC1"/>
            <w:tabs>
              <w:tab w:val="clear" w:pos="900"/>
              <w:tab w:val="clear" w:pos="9350"/>
              <w:tab w:val="right" w:pos="9025" w:leader="dot"/>
            </w:tabs>
            <w:rPr/>
          </w:pPr>
          <w:hyperlink w:anchor="__RefHeading___Toc7613_3133665205">
            <w:r>
              <w:rPr>
                <w:webHidden/>
                <w:rStyle w:val="IndexLink"/>
              </w:rPr>
              <w:t>6. Timelines by size</w:t>
              <w:tab/>
              <w:t>18</w:t>
            </w:r>
          </w:hyperlink>
        </w:p>
        <w:p>
          <w:pPr>
            <w:pStyle w:val="TOC2"/>
            <w:tabs>
              <w:tab w:val="clear" w:pos="900"/>
              <w:tab w:val="clear" w:pos="9350"/>
              <w:tab w:val="right" w:pos="9025" w:leader="dot"/>
            </w:tabs>
            <w:rPr/>
          </w:pPr>
          <w:hyperlink w:anchor="__RefHeading___Toc7615_3133665205">
            <w:r>
              <w:rPr>
                <w:webHidden/>
                <w:rStyle w:val="IndexLink"/>
              </w:rPr>
              <w:t>6.1 Phases and milestones</w:t>
              <w:tab/>
              <w:t>18</w:t>
            </w:r>
          </w:hyperlink>
        </w:p>
        <w:p>
          <w:pPr>
            <w:pStyle w:val="TOC2"/>
            <w:tabs>
              <w:tab w:val="clear" w:pos="900"/>
              <w:tab w:val="clear" w:pos="9350"/>
              <w:tab w:val="right" w:pos="9025" w:leader="dot"/>
            </w:tabs>
            <w:rPr/>
          </w:pPr>
          <w:hyperlink w:anchor="__RefHeading___Toc7617_3133665205">
            <w:r>
              <w:rPr>
                <w:webHidden/>
                <w:rStyle w:val="IndexLink"/>
              </w:rPr>
              <w:t>6.2 Small broker (8 weeks)</w:t>
              <w:tab/>
              <w:t>19</w:t>
            </w:r>
          </w:hyperlink>
        </w:p>
        <w:p>
          <w:pPr>
            <w:pStyle w:val="TOC2"/>
            <w:tabs>
              <w:tab w:val="clear" w:pos="900"/>
              <w:tab w:val="clear" w:pos="9350"/>
              <w:tab w:val="right" w:pos="9025" w:leader="dot"/>
            </w:tabs>
            <w:rPr/>
          </w:pPr>
          <w:hyperlink w:anchor="__RefHeading___Toc7619_3133665205">
            <w:r>
              <w:rPr>
                <w:webHidden/>
                <w:rStyle w:val="IndexLink"/>
              </w:rPr>
              <w:t>6.3 Medium broker (12 weeks)</w:t>
              <w:tab/>
              <w:t>20</w:t>
            </w:r>
          </w:hyperlink>
        </w:p>
        <w:p>
          <w:pPr>
            <w:pStyle w:val="TOC2"/>
            <w:tabs>
              <w:tab w:val="clear" w:pos="900"/>
              <w:tab w:val="clear" w:pos="9350"/>
              <w:tab w:val="right" w:pos="9025" w:leader="dot"/>
            </w:tabs>
            <w:rPr/>
          </w:pPr>
          <w:hyperlink w:anchor="__RefHeading___Toc7621_3133665205">
            <w:r>
              <w:rPr>
                <w:webHidden/>
                <w:rStyle w:val="IndexLink"/>
              </w:rPr>
              <w:t>6.4 Large broker (20 weeks)</w:t>
              <w:tab/>
              <w:t>21</w:t>
            </w:r>
          </w:hyperlink>
        </w:p>
        <w:p>
          <w:pPr>
            <w:pStyle w:val="TOC2"/>
            <w:tabs>
              <w:tab w:val="clear" w:pos="900"/>
              <w:tab w:val="clear" w:pos="9350"/>
              <w:tab w:val="right" w:pos="9025" w:leader="dot"/>
            </w:tabs>
            <w:rPr/>
          </w:pPr>
          <w:hyperlink w:anchor="__RefHeading___Toc7623_3133665205">
            <w:r>
              <w:rPr>
                <w:webHidden/>
                <w:rStyle w:val="IndexLink"/>
              </w:rPr>
              <w:t>6.5 Enterprise broker (26 weeks)</w:t>
              <w:tab/>
              <w:t>22</w:t>
            </w:r>
          </w:hyperlink>
        </w:p>
        <w:p>
          <w:pPr>
            <w:pStyle w:val="TOC2"/>
            <w:tabs>
              <w:tab w:val="clear" w:pos="900"/>
              <w:tab w:val="clear" w:pos="9350"/>
              <w:tab w:val="right" w:pos="9025" w:leader="dot"/>
            </w:tabs>
            <w:rPr/>
          </w:pPr>
          <w:hyperlink w:anchor="__RefHeading___Toc7625_3133665205">
            <w:r>
              <w:rPr>
                <w:webHidden/>
                <w:rStyle w:val="IndexLink"/>
              </w:rPr>
              <w:t>6.6 Task-level plan</w:t>
              <w:tab/>
              <w:t>23</w:t>
            </w:r>
          </w:hyperlink>
        </w:p>
        <w:p>
          <w:pPr>
            <w:pStyle w:val="TOC1"/>
            <w:tabs>
              <w:tab w:val="clear" w:pos="900"/>
              <w:tab w:val="clear" w:pos="9350"/>
              <w:tab w:val="right" w:pos="9025" w:leader="dot"/>
            </w:tabs>
            <w:rPr/>
          </w:pPr>
          <w:hyperlink w:anchor="__RefHeading___Toc7627_3133665205">
            <w:r>
              <w:rPr>
                <w:webHidden/>
                <w:rStyle w:val="IndexLink"/>
              </w:rPr>
              <w:t>7. Roles and responsibilities</w:t>
              <w:tab/>
              <w:t>25</w:t>
            </w:r>
          </w:hyperlink>
        </w:p>
        <w:p>
          <w:pPr>
            <w:pStyle w:val="TOC2"/>
            <w:tabs>
              <w:tab w:val="clear" w:pos="900"/>
              <w:tab w:val="clear" w:pos="9350"/>
              <w:tab w:val="right" w:pos="9025" w:leader="dot"/>
            </w:tabs>
            <w:rPr/>
          </w:pPr>
          <w:hyperlink w:anchor="__RefHeading___Toc7629_3133665205">
            <w:r>
              <w:rPr>
                <w:webHidden/>
                <w:rStyle w:val="IndexLink"/>
              </w:rPr>
              <w:t>7.1 Project roles</w:t>
              <w:tab/>
              <w:t>25</w:t>
            </w:r>
          </w:hyperlink>
        </w:p>
        <w:p>
          <w:pPr>
            <w:pStyle w:val="TOC2"/>
            <w:tabs>
              <w:tab w:val="clear" w:pos="900"/>
              <w:tab w:val="clear" w:pos="9350"/>
              <w:tab w:val="right" w:pos="9025" w:leader="dot"/>
            </w:tabs>
            <w:rPr/>
          </w:pPr>
          <w:hyperlink w:anchor="__RefHeading___Toc7631_3133665205">
            <w:r>
              <w:rPr>
                <w:webHidden/>
                <w:rStyle w:val="IndexLink"/>
              </w:rPr>
              <w:t>7.2 RACI</w:t>
              <w:tab/>
              <w:t>25</w:t>
            </w:r>
          </w:hyperlink>
        </w:p>
        <w:p>
          <w:pPr>
            <w:pStyle w:val="TOC1"/>
            <w:tabs>
              <w:tab w:val="clear" w:pos="900"/>
              <w:tab w:val="clear" w:pos="9350"/>
              <w:tab w:val="right" w:pos="9025" w:leader="dot"/>
            </w:tabs>
            <w:rPr/>
          </w:pPr>
          <w:hyperlink w:anchor="__RefHeading___Toc7633_3133665205">
            <w:r>
              <w:rPr>
                <w:webHidden/>
                <w:rStyle w:val="IndexLink"/>
              </w:rPr>
              <w:t>8. Governance</w:t>
              <w:tab/>
              <w:t>27</w:t>
            </w:r>
          </w:hyperlink>
        </w:p>
        <w:p>
          <w:pPr>
            <w:pStyle w:val="TOC2"/>
            <w:tabs>
              <w:tab w:val="clear" w:pos="900"/>
              <w:tab w:val="clear" w:pos="9350"/>
              <w:tab w:val="right" w:pos="9025" w:leader="dot"/>
            </w:tabs>
            <w:rPr/>
          </w:pPr>
          <w:hyperlink w:anchor="__RefHeading___Toc7635_3133665205">
            <w:r>
              <w:rPr>
                <w:webHidden/>
                <w:rStyle w:val="IndexLink"/>
              </w:rPr>
              <w:t>8.1 Steering committee</w:t>
              <w:tab/>
              <w:t>27</w:t>
            </w:r>
          </w:hyperlink>
        </w:p>
        <w:p>
          <w:pPr>
            <w:pStyle w:val="TOC2"/>
            <w:tabs>
              <w:tab w:val="clear" w:pos="900"/>
              <w:tab w:val="clear" w:pos="9350"/>
              <w:tab w:val="right" w:pos="9025" w:leader="dot"/>
            </w:tabs>
            <w:rPr/>
          </w:pPr>
          <w:hyperlink w:anchor="__RefHeading___Toc7637_3133665205">
            <w:r>
              <w:rPr>
                <w:webHidden/>
                <w:rStyle w:val="IndexLink"/>
              </w:rPr>
              <w:t>8.2 Weekly status</w:t>
              <w:tab/>
              <w:t>27</w:t>
            </w:r>
          </w:hyperlink>
        </w:p>
        <w:p>
          <w:pPr>
            <w:pStyle w:val="TOC2"/>
            <w:tabs>
              <w:tab w:val="clear" w:pos="900"/>
              <w:tab w:val="clear" w:pos="9350"/>
              <w:tab w:val="right" w:pos="9025" w:leader="dot"/>
            </w:tabs>
            <w:rPr/>
          </w:pPr>
          <w:hyperlink w:anchor="__RefHeading___Toc7639_3133665205">
            <w:r>
              <w:rPr>
                <w:webHidden/>
                <w:rStyle w:val="IndexLink"/>
              </w:rPr>
              <w:t>8.3 RAID log</w:t>
              <w:tab/>
              <w:t>27</w:t>
            </w:r>
          </w:hyperlink>
        </w:p>
        <w:p>
          <w:pPr>
            <w:pStyle w:val="TOC1"/>
            <w:tabs>
              <w:tab w:val="clear" w:pos="900"/>
              <w:tab w:val="clear" w:pos="9350"/>
              <w:tab w:val="right" w:pos="9025" w:leader="dot"/>
            </w:tabs>
            <w:rPr/>
          </w:pPr>
          <w:hyperlink w:anchor="__RefHeading___Toc7641_3133665205">
            <w:r>
              <w:rPr>
                <w:webHidden/>
                <w:rStyle w:val="IndexLink"/>
              </w:rPr>
              <w:t>9. Deliverables and acceptance criteria</w:t>
              <w:tab/>
              <w:t>28</w:t>
            </w:r>
          </w:hyperlink>
        </w:p>
        <w:p>
          <w:pPr>
            <w:pStyle w:val="TOC1"/>
            <w:tabs>
              <w:tab w:val="clear" w:pos="900"/>
              <w:tab w:val="clear" w:pos="9350"/>
              <w:tab w:val="right" w:pos="9025" w:leader="dot"/>
            </w:tabs>
            <w:rPr/>
          </w:pPr>
          <w:hyperlink w:anchor="__RefHeading___Toc7643_3133665205">
            <w:r>
              <w:rPr>
                <w:webHidden/>
                <w:rStyle w:val="IndexLink"/>
              </w:rPr>
              <w:t>10. Assumptions</w:t>
              <w:tab/>
              <w:t>29</w:t>
            </w:r>
          </w:hyperlink>
        </w:p>
        <w:p>
          <w:pPr>
            <w:pStyle w:val="TOC1"/>
            <w:tabs>
              <w:tab w:val="clear" w:pos="900"/>
              <w:tab w:val="clear" w:pos="9350"/>
              <w:tab w:val="right" w:pos="9025" w:leader="dot"/>
            </w:tabs>
            <w:rPr/>
          </w:pPr>
          <w:hyperlink w:anchor="__RefHeading___Toc7645_3133665205">
            <w:r>
              <w:rPr>
                <w:webHidden/>
                <w:rStyle w:val="IndexLink"/>
              </w:rPr>
              <w:t>11. Exclusions</w:t>
              <w:tab/>
              <w:t>30</w:t>
            </w:r>
          </w:hyperlink>
        </w:p>
        <w:p>
          <w:pPr>
            <w:pStyle w:val="TOC1"/>
            <w:tabs>
              <w:tab w:val="clear" w:pos="900"/>
              <w:tab w:val="clear" w:pos="9350"/>
              <w:tab w:val="right" w:pos="9025" w:leader="dot"/>
            </w:tabs>
            <w:rPr/>
          </w:pPr>
          <w:hyperlink w:anchor="__RefHeading___Toc7647_3133665205">
            <w:r>
              <w:rPr>
                <w:webHidden/>
                <w:rStyle w:val="IndexLink"/>
              </w:rPr>
              <w:t>12. Dependencies on the broker</w:t>
              <w:tab/>
              <w:t>31</w:t>
            </w:r>
          </w:hyperlink>
        </w:p>
        <w:p>
          <w:pPr>
            <w:pStyle w:val="TOC1"/>
            <w:tabs>
              <w:tab w:val="clear" w:pos="900"/>
              <w:tab w:val="clear" w:pos="9350"/>
              <w:tab w:val="right" w:pos="9025" w:leader="dot"/>
            </w:tabs>
            <w:rPr/>
          </w:pPr>
          <w:hyperlink w:anchor="__RefHeading___Toc7649_3133665205">
            <w:r>
              <w:rPr>
                <w:webHidden/>
                <w:rStyle w:val="IndexLink"/>
              </w:rPr>
              <w:t>13. Risks and mitigations</w:t>
              <w:tab/>
              <w:t>32</w:t>
            </w:r>
          </w:hyperlink>
        </w:p>
        <w:p>
          <w:pPr>
            <w:pStyle w:val="TOC1"/>
            <w:tabs>
              <w:tab w:val="clear" w:pos="900"/>
              <w:tab w:val="clear" w:pos="9350"/>
              <w:tab w:val="right" w:pos="9025" w:leader="dot"/>
            </w:tabs>
            <w:rPr/>
          </w:pPr>
          <w:hyperlink w:anchor="__RefHeading___Toc7651_3133665205">
            <w:r>
              <w:rPr>
                <w:webHidden/>
                <w:rStyle w:val="IndexLink"/>
              </w:rPr>
              <w:t>14. Change request process</w:t>
              <w:tab/>
              <w:t>33</w:t>
            </w:r>
          </w:hyperlink>
        </w:p>
        <w:p>
          <w:pPr>
            <w:pStyle w:val="TOC1"/>
            <w:tabs>
              <w:tab w:val="clear" w:pos="900"/>
              <w:tab w:val="clear" w:pos="9350"/>
              <w:tab w:val="right" w:pos="9025" w:leader="dot"/>
            </w:tabs>
            <w:rPr/>
          </w:pPr>
          <w:hyperlink w:anchor="__RefHeading___Toc7653_3133665205">
            <w:r>
              <w:rPr>
                <w:webHidden/>
                <w:rStyle w:val="IndexLink"/>
                <w:i w:val="false"/>
                <w:iCs w:val="false"/>
              </w:rPr>
              <w:t>15. Document Sign-Off</w:t>
            </w:r>
            <w:r>
              <w:rPr>
                <w:rStyle w:val="IndexLink"/>
              </w:rPr>
              <w:tab/>
              <w:t>34</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7555_3133665205"/>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Four broker sizes with the environment model; go-live configuration and migration kits; compliance set-up, branding, partner integrations and regulatory registrations as phases; task-level plan from one model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7557_3133665205"/>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Authority to Print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Chart of accounts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Responsible, Accountable, Consulted, Informed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RAID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Risks, Assumptions, Issues, Dependencies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SteerCo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Steering committee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TTT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Train the trainer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7559_3133665205"/>
      <w:bookmarkEnd w:id="6"/>
      <w:r>
        <w:rPr>
          <w:rFonts w:eastAsia="Segoe UI" w:cs="Segoe UI" w:ascii="Segoe UI" w:hAnsi="Segoe UI"/>
          <w:b/>
          <w:color w:val="0F4761"/>
          <w:sz w:val="32"/>
        </w:rPr>
        <w:t>3.  Introduction</w:t>
      </w:r>
    </w:p>
    <w:p>
      <w:pPr>
        <w:pStyle w:val="Heading2"/>
        <w:rPr/>
      </w:pPr>
      <w:bookmarkStart w:id="7" w:name="__RefHeading___Toc7561_3133665205"/>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describes how iorta TechNXT implements BrokerVerse OOTB for a Philippine non-life insurance broker: the approach, the phases, a week-by-week plan for small, medium, large and enterprise brokers, who does what, how the project is governed, what each phase delivers and how it is accepted, and what is in and out of scope.</w:t>
      </w:r>
    </w:p>
    <w:p>
      <w:pPr>
        <w:pStyle w:val="Heading2"/>
        <w:rPr/>
      </w:pPr>
      <w:bookmarkStart w:id="8" w:name="__RefHeading___Toc7563_3133665205"/>
      <w:bookmarkEnd w:id="8"/>
      <w:r>
        <w:rPr>
          <w:rFonts w:eastAsia="Segoe UI" w:cs="Segoe UI"/>
          <w:b/>
          <w:color w:val="0F4761"/>
          <w:sz w:val="26"/>
        </w:rPr>
        <w:t>3.2  Companion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adds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BrokerVerse_Implementation_Plan.xlsx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task-level plan of each size: duration, owner party (iorta TechNXT, broker or partner), owner role, deliverable, predecessors, dates from the kick-off date, float and critical path; the milestones; every link; the full RACI</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Dependency Map and Critical Path</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Diagrams of the dependencies (client inputs, partner certifications, regulatory registrations, environments and keys), the critical path and lead times by size, and what slips when a dependency slips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BrokerVerse_RAID_Log_Template.xlsx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RAID log, pre-filled with the risks, assumptions, issues and dependencies typical of an implementation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Data Migration and Cutover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objects, templates, load sequence, reconciliation, cutover and rollback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Environment Strategy and Production Rollout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sets, release pipeline, promotion of configuration, cutover runbook T-30 to T+30</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Training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per role, including the compliance officer, curriculum, train-the-trainer, assessment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Philippine Regulatory Compliance Matrix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 the system supports the broker's IC, BIR, AMLA and Data Privacy Act obligations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User Manual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screen, for every role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 set-up and workbench (</w:t>
            </w:r>
            <w:r>
              <w:rPr>
                <w:rFonts w:eastAsia="Consolas" w:cs="Consolas" w:ascii="Consolas" w:hAnsi="Consolas"/>
                <w:color w:val="101820"/>
                <w:kern w:val="0"/>
                <w:sz w:val="16"/>
                <w:szCs w:val="24"/>
                <w:lang w:val="en-US" w:eastAsia="ja-JP" w:bidi="ar-SA"/>
              </w:rPr>
              <w:t>docs/onboarding/GO_LIVE_DATA_SETUP.md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GO_LIVE_DATA_WORKBENCH.md</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order of set-up and the use of the configuration and migration kits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pipeline and deployment (</w:t>
            </w:r>
            <w:r>
              <w:rPr>
                <w:rFonts w:eastAsia="Consolas" w:cs="Consolas" w:ascii="Consolas" w:hAnsi="Consolas"/>
                <w:color w:val="101820"/>
                <w:kern w:val="0"/>
                <w:sz w:val="16"/>
                <w:szCs w:val="24"/>
                <w:lang w:val="en-US" w:eastAsia="ja-JP" w:bidi="ar-SA"/>
              </w:rPr>
              <w:t>deploy/RELEASE_PIPELINE.md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deploy/REFERENCE.md</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GitHub Environments, secrets, deployment, rollback, key rotation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plan tables of this document, the workbook and the diagrams come from one plan model (</w:t>
      </w:r>
      <w:r>
        <w:rPr>
          <w:rFonts w:eastAsia="Consolas" w:cs="Consolas" w:ascii="Consolas" w:hAnsi="Consolas"/>
          <w:color w:val="101820"/>
          <w:sz w:val="19"/>
        </w:rPr>
        <w:t>docs/package/tools/delivery/plan_model.py</w:t>
      </w:r>
      <w:r>
        <w:rPr>
          <w:rFonts w:eastAsia="Segoe UI" w:cs="Segoe UI" w:ascii="Segoe UI" w:hAnsi="Segoe UI"/>
          <w:color w:val="101820"/>
          <w:sz w:val="21"/>
        </w:rPr>
        <w:t>), so they agree.</w:t>
      </w:r>
    </w:p>
    <w:p>
      <w:pPr>
        <w:pStyle w:val="Heading2"/>
        <w:rPr/>
      </w:pPr>
      <w:bookmarkStart w:id="9" w:name="__RefHeading___Toc7565_3133665205"/>
      <w:bookmarkEnd w:id="9"/>
      <w:r>
        <w:rPr>
          <w:rFonts w:eastAsia="Segoe UI" w:cs="Segoe UI"/>
          <w:b/>
          <w:color w:val="0F4761"/>
          <w:sz w:val="26"/>
        </w:rPr>
        <w:t>3.3  Audience</w:t>
      </w:r>
    </w:p>
    <w:p>
      <w:pPr>
        <w:pStyle w:val="Normal"/>
        <w:spacing w:lineRule="auto" w:line="276" w:before="0" w:after="120"/>
        <w:rPr/>
      </w:pPr>
      <w:r>
        <w:rPr>
          <w:rFonts w:eastAsia="Segoe UI" w:cs="Segoe UI" w:ascii="Segoe UI" w:hAnsi="Segoe UI"/>
          <w:color w:val="101820"/>
          <w:sz w:val="21"/>
        </w:rPr>
        <w:t>The broker's management (sponsor and steering committee), the broker's project manager, the process owners of Sales, Placement and Policy Processing, Client Servicing, Claims and Accounting, the broker's compliance officer and data protection officer, the broker's IT or System Administrator, and the iorta TechNXT head of delivery, project manager and project team.</w:t>
      </w:r>
    </w:p>
    <w:p>
      <w:pPr>
        <w:pStyle w:val="Heading2"/>
        <w:rPr/>
      </w:pPr>
      <w:bookmarkStart w:id="10" w:name="__RefHeading___Toc7567_3133665205"/>
      <w:bookmarkEnd w:id="10"/>
      <w:r>
        <w:rPr>
          <w:rFonts w:eastAsia="Segoe UI" w:cs="Segoe UI"/>
          <w:b/>
          <w:color w:val="0F4761"/>
          <w:sz w:val="26"/>
        </w:rPr>
        <w:t>3.4  Version history</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3"/>
        <w:gridCol w:w="1912"/>
        <w:gridCol w:w="6098"/>
      </w:tblGrid>
      <w:tr>
        <w:trPr>
          <w:tblHeader w:val="true"/>
        </w:trPr>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19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c>
          <w:tcPr>
            <w:tcW w:w="60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Change</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1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 October 2026</w:t>
            </w:r>
          </w:p>
        </w:tc>
        <w:tc>
          <w:tcPr>
            <w:tcW w:w="60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Initial issue: three sizes, twelve phases, RACI, governance, deliverables</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1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October 2026</w:t>
            </w:r>
          </w:p>
        </w:tc>
        <w:tc>
          <w:tcPr>
            <w:tcW w:w="60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Four sizes (enterprise added) with the environment model; configuration through the go-live configuration kit and migration through the migration kit; new phases for compliance set-up (AML/CFT, IC and NPC registers, masking), branding and the brand pack, integrations with partners (banks, SMS, CTPL authentication and LTO, insurers, BIR EIS, AMLC reporting) and regulatory registrations; GitHub Environments and encryption keys in the environment phase; task-level plan with owners, predecessors and milestones; dependencies and risks aligned with the Dependency Map and the RAID log</w:t>
            </w:r>
          </w:p>
        </w:tc>
      </w:tr>
    </w:tbl>
    <w:p>
      <w:pPr>
        <w:pStyle w:val="Heading1"/>
        <w:rPr/>
      </w:pPr>
      <w:r>
        <w:br w:type="page"/>
      </w:r>
      <w:bookmarkStart w:id="11" w:name="__RefHeading___Toc7569_3133665205"/>
      <w:bookmarkEnd w:id="11"/>
      <w:r>
        <w:rPr>
          <w:rFonts w:eastAsia="Segoe UI" w:cs="Segoe UI" w:ascii="Segoe UI" w:hAnsi="Segoe UI"/>
          <w:b/>
          <w:color w:val="0F4761"/>
          <w:sz w:val="32"/>
        </w:rPr>
        <w:t>4.  Implementation approach</w:t>
      </w:r>
    </w:p>
    <w:p>
      <w:pPr>
        <w:pStyle w:val="Heading2"/>
        <w:rPr/>
      </w:pPr>
      <w:bookmarkStart w:id="12" w:name="__RefHeading___Toc7571_3133665205"/>
      <w:bookmarkEnd w:id="12"/>
      <w:r>
        <w:rPr>
          <w:rFonts w:eastAsia="Segoe UI" w:cs="Segoe UI"/>
          <w:b/>
          <w:color w:val="0F4761"/>
          <w:sz w:val="26"/>
        </w:rPr>
        <w:t>4.1  Configure, do not customise</w:t>
      </w:r>
    </w:p>
    <w:p>
      <w:pPr>
        <w:pStyle w:val="Normal"/>
        <w:spacing w:lineRule="auto" w:line="276" w:before="0" w:after="120"/>
        <w:rPr/>
      </w:pPr>
      <w:r>
        <w:rPr>
          <w:rFonts w:eastAsia="Segoe UI" w:cs="Segoe UI" w:ascii="Segoe UI" w:hAnsi="Segoe UI"/>
          <w:color w:val="101820"/>
          <w:sz w:val="21"/>
        </w:rPr>
        <w:t>BrokerVerse OOTB is a finished product for Philippine non-life broking. It covers the broking cycle from lead to renewal (leads and their assignment, quotations, requests for quotation, placement slips, cover notes, policy issue, endorsements, cancellations, claims with document checklists and motor repairs, renewals), distribution (channels, dealer programmes, fleets, marine open covers, facultative placements, campaigns), the accounting of a broker (billing, instalments, official receipts and sales invoices, post-dated cheques, collections, remittance to insurers, direct bill, commission and insurer overrides, payables, fixed assets, petty cash, journals, bank reconciliation and bank payment files, month-end and year-end close), the BIR forms and files (2307, 0619-E, 1601-EQ, 1604-E, 2551Q, DAT files, EOPT invoices, EIS connector, CAS books), AML/CFT, the IC and NPC registers, and the integration framework (SMS, CTPL authentication, insurer APIs, bank files). The implementation fits the broker to the product through configuration and master data. It does not change the code.</w:t>
      </w:r>
    </w:p>
    <w:p>
      <w:pPr>
        <w:pStyle w:val="Normal"/>
        <w:spacing w:lineRule="auto" w:line="276" w:before="0" w:after="120"/>
        <w:rPr/>
      </w:pPr>
      <w:r>
        <w:rPr>
          <w:rFonts w:eastAsia="Segoe UI" w:cs="Segoe UI" w:ascii="Segoe UI" w:hAnsi="Segoe UI"/>
          <w:color w:val="101820"/>
          <w:sz w:val="21"/>
        </w:rPr>
        <w:t>What the broker sets without code: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in BrokerVerse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letterhead, branches, departments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Organization; Master &gt; System Configuration &gt; System Settings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Theme, logo, sign-in picture, branded documents and e-mails, e-signatures, brand packs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System Configuration &gt; System Settings &gt; Theme and Branding; Signatories; My Profile &gt; My e-signature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roles, reporting lines, authority limits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User Management (User, Role, User Access Matrix, Role Permissions, Authority Matrix, Delegations, Segregation of Duties, Access Reviews); Master &gt; Employee Management &gt; Hierarchy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addresses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Location (Country, Province, City / Municipality; regions and barangays from the PSGC)</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lines of business, products, covers, vehicles, distribution channels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Insurance Management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templates, rating factors, acceptance rules (refer, decline, loading with authority), document templates with merge fields, market and risk mapping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rates, premium taxes and LGU rates, tax codes with ATC, chart of accounts, account determination, posting rules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bank accounts, statement formats, bank file layouts, payment gateways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 business rules, limits, maker-checker switches, security, go-live settings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System Configuration &gt; Document Numbering, Configuration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 connectors, message templates, insurer mappings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System Configuration &gt; Schedules, Integrations, Message Templates, Insurer Integration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settings, risk factors, monitoring rules, screening lists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AML Settings, Screening Lists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licences, fit and proper, insurer authority, complaints, breach register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Insurance Commission; Compliance &gt; Data Privacy (NPC)</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Masking of personal identifiers by role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Role permission </w:t>
            </w:r>
            <w:r>
              <w:rPr>
                <w:rFonts w:eastAsia="Consolas" w:cs="Consolas" w:ascii="Consolas" w:hAnsi="Consolas"/>
                <w:color w:val="101820"/>
                <w:kern w:val="0"/>
                <w:sz w:val="16"/>
                <w:szCs w:val="24"/>
                <w:lang w:val="en-US" w:eastAsia="ja-JP" w:bidi="ar-SA"/>
              </w:rPr>
              <w:t>view:pii</w:t>
            </w:r>
            <w:r>
              <w:rPr>
                <w:rFonts w:eastAsia="Segoe UI" w:cs="Segoe UI" w:ascii="Segoe UI" w:hAnsi="Segoe UI"/>
                <w:color w:val="101820"/>
                <w:kern w:val="0"/>
                <w:sz w:val="18"/>
                <w:szCs w:val="24"/>
                <w:lang w:val="en-US" w:eastAsia="ja-JP" w:bidi="ar-SA"/>
              </w:rPr>
              <w:t xml:space="preserve">; settings </w:t>
            </w:r>
            <w:r>
              <w:rPr>
                <w:rFonts w:eastAsia="Consolas" w:cs="Consolas" w:ascii="Consolas" w:hAnsi="Consolas"/>
                <w:color w:val="101820"/>
                <w:kern w:val="0"/>
                <w:sz w:val="16"/>
                <w:szCs w:val="24"/>
                <w:lang w:val="en-US" w:eastAsia="ja-JP" w:bidi="ar-SA"/>
              </w:rPr>
              <w:t>privacy.masking_enabled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privacy.pii_reveal_mode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requirement that cannot be met by configuration, master data or a change in the broker's procedure is a gap. Gaps are recorded in the fit-gap register and handled through the change request process (chapter Change request process). They do not enter the go-live scope unless the steering committee approves them as a change request.</w:t>
      </w:r>
    </w:p>
    <w:p>
      <w:pPr>
        <w:pStyle w:val="Heading2"/>
        <w:rPr/>
      </w:pPr>
      <w:bookmarkStart w:id="13" w:name="__RefHeading___Toc7573_3133665205"/>
      <w:bookmarkEnd w:id="13"/>
      <w:r>
        <w:rPr>
          <w:rFonts w:eastAsia="Segoe UI" w:cs="Segoe UI"/>
          <w:b/>
          <w:color w:val="0F4761"/>
          <w:sz w:val="26"/>
        </w:rPr>
        <w:t>4.2  Principles</w:t>
      </w:r>
    </w:p>
    <w:p>
      <w:pPr>
        <w:pStyle w:val="Normal"/>
        <w:numPr>
          <w:ilvl w:val="0"/>
          <w:numId w:val="1"/>
        </w:numPr>
        <w:spacing w:before="0" w:after="60"/>
        <w:rPr/>
      </w:pPr>
      <w:r>
        <w:rPr>
          <w:rFonts w:eastAsia="Segoe UI" w:cs="Segoe UI" w:ascii="Segoe UI" w:hAnsi="Segoe UI"/>
          <w:b/>
          <w:color w:val="101820"/>
          <w:sz w:val="21"/>
        </w:rPr>
        <w:t>Product first.</w:t>
      </w:r>
      <w:r>
        <w:rPr>
          <w:rFonts w:eastAsia="Segoe UI" w:cs="Segoe UI" w:ascii="Segoe UI" w:hAnsi="Segoe UI"/>
          <w:color w:val="101820"/>
          <w:sz w:val="21"/>
        </w:rPr>
        <w:t xml:space="preserve"> The process walk-throughs use the delivered screens with the broker's own examples. The broker adapts a procedure before anyone asks for a change.</w:t>
      </w:r>
    </w:p>
    <w:p>
      <w:pPr>
        <w:pStyle w:val="Normal"/>
        <w:numPr>
          <w:ilvl w:val="0"/>
          <w:numId w:val="1"/>
        </w:numPr>
        <w:spacing w:before="0" w:after="60"/>
        <w:rPr/>
      </w:pPr>
      <w:r>
        <w:rPr>
          <w:rFonts w:eastAsia="Segoe UI" w:cs="Segoe UI" w:ascii="Segoe UI" w:hAnsi="Segoe UI"/>
          <w:b/>
          <w:color w:val="101820"/>
          <w:sz w:val="21"/>
        </w:rPr>
        <w:t>Data drives the timeline.</w:t>
      </w:r>
      <w:r>
        <w:rPr>
          <w:rFonts w:eastAsia="Segoe UI" w:cs="Segoe UI" w:ascii="Segoe UI" w:hAnsi="Segoe UI"/>
          <w:color w:val="101820"/>
          <w:sz w:val="21"/>
        </w:rPr>
        <w:t xml:space="preserve"> The insurer, product and commission data and the chart of accounts are on the critical path for every size. Requests for data and the blank kits go out in week 1.</w:t>
      </w:r>
    </w:p>
    <w:p>
      <w:pPr>
        <w:pStyle w:val="Normal"/>
        <w:numPr>
          <w:ilvl w:val="0"/>
          <w:numId w:val="1"/>
        </w:numPr>
        <w:spacing w:before="0" w:after="60"/>
        <w:rPr/>
      </w:pPr>
      <w:r>
        <w:rPr>
          <w:rFonts w:eastAsia="Segoe UI" w:cs="Segoe UI" w:ascii="Segoe UI" w:hAnsi="Segoe UI"/>
          <w:b/>
          <w:color w:val="101820"/>
          <w:sz w:val="21"/>
        </w:rPr>
        <w:t>Two kits, loaded again and again.</w:t>
      </w:r>
      <w:r>
        <w:rPr>
          <w:rFonts w:eastAsia="Segoe UI" w:cs="Segoe UI" w:ascii="Segoe UI" w:hAnsi="Segoe UI"/>
          <w:color w:val="101820"/>
          <w:sz w:val="21"/>
        </w:rPr>
        <w:t xml:space="preserve"> Configuration moves through the configuration kit and migration through the migration kit (Master &gt; Go-Live and Data &gt; Go-Live Data Load): validate as a trial run, correct with the errors workbook, load, and load again without duplicates. The same kit promotes configuration from Dev or SIT to UAT and Production.</w:t>
      </w:r>
    </w:p>
    <w:p>
      <w:pPr>
        <w:pStyle w:val="Normal"/>
        <w:numPr>
          <w:ilvl w:val="0"/>
          <w:numId w:val="1"/>
        </w:numPr>
        <w:spacing w:before="0" w:after="60"/>
        <w:rPr/>
      </w:pPr>
      <w:r>
        <w:rPr>
          <w:rFonts w:eastAsia="Segoe UI" w:cs="Segoe UI" w:ascii="Segoe UI" w:hAnsi="Segoe UI"/>
          <w:b/>
          <w:color w:val="101820"/>
          <w:sz w:val="21"/>
        </w:rPr>
        <w:t>Key users own the result.</w:t>
      </w:r>
      <w:r>
        <w:rPr>
          <w:rFonts w:eastAsia="Segoe UI" w:cs="Segoe UI" w:ascii="Segoe UI" w:hAnsi="Segoe UI"/>
          <w:color w:val="101820"/>
          <w:sz w:val="21"/>
        </w:rPr>
        <w:t xml:space="preserve"> Each team names one key user who takes part in discovery, tests the configuration, runs UAT and trains the team.</w:t>
      </w:r>
    </w:p>
    <w:p>
      <w:pPr>
        <w:pStyle w:val="Normal"/>
        <w:numPr>
          <w:ilvl w:val="0"/>
          <w:numId w:val="1"/>
        </w:numPr>
        <w:spacing w:before="0" w:after="60"/>
        <w:rPr/>
      </w:pPr>
      <w:r>
        <w:rPr>
          <w:rFonts w:eastAsia="Segoe UI" w:cs="Segoe UI" w:ascii="Segoe UI" w:hAnsi="Segoe UI"/>
          <w:b/>
          <w:color w:val="101820"/>
          <w:sz w:val="21"/>
        </w:rPr>
        <w:t>Registrations start on day one.</w:t>
      </w:r>
      <w:r>
        <w:rPr>
          <w:rFonts w:eastAsia="Segoe UI" w:cs="Segoe UI" w:ascii="Segoe UI" w:hAnsi="Segoe UI"/>
          <w:color w:val="101820"/>
          <w:sz w:val="21"/>
        </w:rPr>
        <w:t xml:space="preserve"> BIR, AMLC, NPC and IC items have lead times outside the project's control; they are confirmed or started at kick-off.</w:t>
      </w:r>
    </w:p>
    <w:p>
      <w:pPr>
        <w:pStyle w:val="Normal"/>
        <w:numPr>
          <w:ilvl w:val="0"/>
          <w:numId w:val="1"/>
        </w:numPr>
        <w:spacing w:before="0" w:after="60"/>
        <w:rPr/>
      </w:pPr>
      <w:r>
        <w:rPr>
          <w:rFonts w:eastAsia="Segoe UI" w:cs="Segoe UI" w:ascii="Segoe UI" w:hAnsi="Segoe UI"/>
          <w:b/>
          <w:color w:val="101820"/>
          <w:sz w:val="21"/>
        </w:rPr>
        <w:t>Partners certify, the product waits in test mode.</w:t>
      </w:r>
      <w:r>
        <w:rPr>
          <w:rFonts w:eastAsia="Segoe UI" w:cs="Segoe UI" w:ascii="Segoe UI" w:hAnsi="Segoe UI"/>
          <w:color w:val="101820"/>
          <w:sz w:val="21"/>
        </w:rPr>
        <w:t xml:space="preserve"> Every connector works in test mode until the partner certifies it; a partner that is late does not stop the go-live when a fallback exists.</w:t>
      </w:r>
    </w:p>
    <w:p>
      <w:pPr>
        <w:pStyle w:val="Normal"/>
        <w:numPr>
          <w:ilvl w:val="0"/>
          <w:numId w:val="1"/>
        </w:numPr>
        <w:spacing w:before="0" w:after="60"/>
        <w:rPr/>
      </w:pPr>
      <w:r>
        <w:rPr>
          <w:rFonts w:eastAsia="Segoe UI" w:cs="Segoe UI" w:ascii="Segoe UI" w:hAnsi="Segoe UI"/>
          <w:b/>
          <w:color w:val="101820"/>
          <w:sz w:val="21"/>
        </w:rPr>
        <w:t>Evidence for every acceptance.</w:t>
      </w:r>
      <w:r>
        <w:rPr>
          <w:rFonts w:eastAsia="Segoe UI" w:cs="Segoe UI" w:ascii="Segoe UI" w:hAnsi="Segoe UI"/>
          <w:color w:val="101820"/>
          <w:sz w:val="21"/>
        </w:rPr>
        <w:t xml:space="preserve"> Each phase ends with named deliverables and acceptance criteria. Sign-off is written.</w:t>
      </w:r>
    </w:p>
    <w:p>
      <w:pPr>
        <w:pStyle w:val="Heading2"/>
        <w:rPr/>
      </w:pPr>
      <w:bookmarkStart w:id="14" w:name="__RefHeading___Toc7575_3133665205"/>
      <w:bookmarkEnd w:id="14"/>
      <w:r>
        <w:rPr>
          <w:rFonts w:eastAsia="Segoe UI" w:cs="Segoe UI"/>
          <w:b/>
          <w:color w:val="0F4761"/>
          <w:sz w:val="26"/>
        </w:rPr>
        <w:t>4.3  Implementation sizes</w:t>
      </w:r>
    </w:p>
    <w:p>
      <w:pPr>
        <w:pStyle w:val="Normal"/>
        <w:spacing w:lineRule="auto" w:line="276" w:before="0" w:after="120"/>
        <w:rPr/>
      </w:pPr>
      <w:r>
        <w:rPr>
          <w:rFonts w:eastAsia="Segoe UI" w:cs="Segoe UI" w:ascii="Segoe UI" w:hAnsi="Segoe UI"/>
          <w:color w:val="101820"/>
          <w:sz w:val="21"/>
        </w:rPr>
        <w:t>The size follows the number of named users, as in the Service Catalogue and Rate Annex. The other figures are a typical profile (assumption); the steering committee confirms the size at mobilisation once the data volumes are known.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907"/>
        <w:gridCol w:w="2167"/>
        <w:gridCol w:w="2161"/>
        <w:gridCol w:w="1642"/>
        <w:gridCol w:w="1003"/>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Named users</w:t>
            </w:r>
          </w:p>
        </w:tc>
        <w:tc>
          <w:tcPr>
            <w:tcW w:w="21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Typical profile (assumption)</w:t>
            </w:r>
          </w:p>
        </w:tc>
        <w:tc>
          <w:tcPr>
            <w:tcW w:w="21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Environments</w:t>
            </w:r>
          </w:p>
        </w:tc>
        <w:tc>
          <w:tcPr>
            <w:tcW w:w="16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Duration to hypercare exit</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Go-live</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to 25</w:t>
            </w:r>
          </w:p>
        </w:tc>
        <w:tc>
          <w:tcPr>
            <w:tcW w:w="2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office, up to 10 insurers, up to 5,000 in-force policies</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UAT, Production; Pre-Prod temporary</w:t>
            </w:r>
          </w:p>
        </w:tc>
        <w:tc>
          <w:tcPr>
            <w:tcW w:w="1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weeks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week 7</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 to 100</w:t>
            </w:r>
          </w:p>
        </w:tc>
        <w:tc>
          <w:tcPr>
            <w:tcW w:w="2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 to 3 offices, up to 25 insurers, up to 25,000 in-force policies, co-insurance</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UAT, Production; Pre-Prod temporary</w:t>
            </w:r>
          </w:p>
        </w:tc>
        <w:tc>
          <w:tcPr>
            <w:tcW w:w="1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weeks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week 10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101 to 300</w:t>
            </w:r>
          </w:p>
        </w:tc>
        <w:tc>
          <w:tcPr>
            <w:tcW w:w="2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Several branches, many insurers, more than 25,000 in-force policies, several bank accounts, referrer networks</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SIT, UAT, Production with high availability; Pre-Prod temporary</w:t>
            </w:r>
          </w:p>
        </w:tc>
        <w:tc>
          <w:tcPr>
            <w:tcW w:w="1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weeks (16-week variant possible)</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week 15</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Above 300</w:t>
            </w:r>
          </w:p>
        </w:tc>
        <w:tc>
          <w:tcPr>
            <w:tcW w:w="2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National network, bank-affiliated or group broker, dealer programmes and fleets</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large, with a cross-region copy of the backups</w:t>
            </w:r>
          </w:p>
        </w:tc>
        <w:tc>
          <w:tcPr>
            <w:tcW w:w="1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 weeks, planned at mobilisation</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week 21</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An import file holds at most 20,000 data rows (</w:t>
      </w:r>
      <w:r>
        <w:rPr>
          <w:rFonts w:eastAsia="Consolas" w:cs="Consolas" w:ascii="Consolas" w:hAnsi="Consolas"/>
          <w:color w:val="101820"/>
          <w:sz w:val="19"/>
        </w:rPr>
        <w:t>IMPORT_MAX_ROWS</w:t>
      </w:r>
      <w:r>
        <w:rPr>
          <w:rFonts w:eastAsia="Segoe UI" w:cs="Segoe UI" w:ascii="Segoe UI" w:hAnsi="Segoe UI"/>
          <w:color w:val="101820"/>
          <w:sz w:val="21"/>
        </w:rPr>
        <w:t>). Larger books are loaded in several files, which the large and enterprise plans allow for.</w:t>
      </w:r>
    </w:p>
    <w:p>
      <w:pPr>
        <w:pStyle w:val="Heading2"/>
        <w:rPr/>
      </w:pPr>
      <w:bookmarkStart w:id="15" w:name="__RefHeading___Toc7577_3133665205"/>
      <w:bookmarkEnd w:id="15"/>
      <w:r>
        <w:rPr>
          <w:rFonts w:eastAsia="Segoe UI" w:cs="Segoe UI"/>
          <w:b/>
          <w:color w:val="0F4761"/>
          <w:sz w:val="26"/>
        </w:rPr>
        <w:t>4.4  Environment model</w:t>
      </w:r>
    </w:p>
    <w:p>
      <w:pPr>
        <w:pStyle w:val="Normal"/>
        <w:spacing w:lineRule="auto" w:line="276" w:before="0" w:after="120"/>
        <w:rPr/>
      </w:pPr>
      <w:r>
        <w:rPr>
          <w:rFonts w:eastAsia="Segoe UI" w:cs="Segoe UI" w:ascii="Segoe UI" w:hAnsi="Segoe UI"/>
          <w:color w:val="101820"/>
          <w:sz w:val="21"/>
        </w:rPr>
        <w:t>The environment set follows the broker size (decision of the product owner, 04 October 2026).</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2665"/>
        <w:gridCol w:w="1111"/>
        <w:gridCol w:w="1444"/>
        <w:gridCol w:w="2660"/>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26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Where configuration is built and SIT runs</w:t>
            </w:r>
          </w:p>
        </w:tc>
        <w:tc>
          <w:tcPr>
            <w:tcW w:w="11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Where mock loads run</w:t>
            </w:r>
          </w:p>
        </w:tc>
        <w:tc>
          <w:tcPr>
            <w:tcW w:w="14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Where UAT and training run</w:t>
            </w:r>
          </w:p>
        </w:tc>
        <w:tc>
          <w:tcPr>
            <w:tcW w:w="26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Pre-Prod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and medium</w:t>
            </w:r>
          </w:p>
        </w:tc>
        <w:tc>
          <w:tcPr>
            <w:tcW w:w="26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configuration build, integration and system integration test with synthetic data only</w:t>
            </w:r>
          </w:p>
        </w:tc>
        <w:tc>
          <w:tcPr>
            <w:tcW w:w="11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w:t>
            </w:r>
          </w:p>
        </w:tc>
        <w:tc>
          <w:tcPr>
            <w:tcW w:w="1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w:t>
            </w:r>
          </w:p>
        </w:tc>
        <w:tc>
          <w:tcPr>
            <w:tcW w:w="26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Temporary: created from a production backup for the cutover rehearsal, removed after hypercare</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and enterprise</w:t>
            </w:r>
          </w:p>
        </w:tc>
        <w:tc>
          <w:tcPr>
            <w:tcW w:w="26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for development and integration; SIT for configuration, system integration test and the first mock loads</w:t>
            </w:r>
          </w:p>
        </w:tc>
        <w:tc>
          <w:tcPr>
            <w:tcW w:w="11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then UAT</w:t>
            </w:r>
          </w:p>
        </w:tc>
        <w:tc>
          <w:tcPr>
            <w:tcW w:w="1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(separate from SIT)</w:t>
            </w:r>
          </w:p>
        </w:tc>
        <w:tc>
          <w:tcPr>
            <w:tcW w:w="26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Temporary, as above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One build is promoted unchanged through the environments by the release pipeline (</w:t>
      </w:r>
      <w:r>
        <w:rPr>
          <w:rFonts w:eastAsia="Consolas" w:cs="Consolas" w:ascii="Consolas" w:hAnsi="Consolas"/>
          <w:color w:val="101820"/>
          <w:sz w:val="19"/>
        </w:rPr>
        <w:t>ci.yml</w:t>
      </w:r>
      <w:r>
        <w:rPr>
          <w:rFonts w:eastAsia="Segoe UI" w:cs="Segoe UI" w:ascii="Segoe UI" w:hAnsi="Segoe UI"/>
          <w:color w:val="101820"/>
          <w:sz w:val="21"/>
        </w:rPr>
        <w:t xml:space="preserve">, </w:t>
      </w:r>
      <w:r>
        <w:rPr>
          <w:rFonts w:eastAsia="Consolas" w:cs="Consolas" w:ascii="Consolas" w:hAnsi="Consolas"/>
          <w:color w:val="101820"/>
          <w:sz w:val="19"/>
        </w:rPr>
        <w:t>deploy.yml</w:t>
      </w:r>
      <w:r>
        <w:rPr>
          <w:rFonts w:eastAsia="Segoe UI" w:cs="Segoe UI" w:ascii="Segoe UI" w:hAnsi="Segoe UI"/>
          <w:color w:val="101820"/>
          <w:sz w:val="21"/>
        </w:rPr>
        <w:t xml:space="preserve">, </w:t>
      </w:r>
      <w:r>
        <w:rPr>
          <w:rFonts w:eastAsia="Consolas" w:cs="Consolas" w:ascii="Consolas" w:hAnsi="Consolas"/>
          <w:color w:val="101820"/>
          <w:sz w:val="19"/>
        </w:rPr>
        <w:t>rollback.yml</w:t>
      </w:r>
      <w:r>
        <w:rPr>
          <w:rFonts w:eastAsia="Segoe UI" w:cs="Segoe UI" w:ascii="Segoe UI" w:hAnsi="Segoe UI"/>
          <w:color w:val="101820"/>
          <w:sz w:val="21"/>
        </w:rPr>
        <w:t>): Dev automatically from the integration branch, SIT by hand, UAT on a release candidate tag, Pre-Prod by hand, Production on a release tag with two approvers.</w:t>
      </w:r>
      <w:r>
        <w:br w:type="page"/>
      </w:r>
    </w:p>
    <w:p>
      <w:pPr>
        <w:pStyle w:val="Heading1"/>
        <w:rPr/>
      </w:pPr>
      <w:bookmarkStart w:id="16" w:name="__RefHeading___Toc7579_3133665205"/>
      <w:bookmarkEnd w:id="16"/>
      <w:r>
        <w:rPr>
          <w:rFonts w:eastAsia="Segoe UI" w:cs="Segoe UI" w:ascii="Segoe UI" w:hAnsi="Segoe UI"/>
          <w:b/>
          <w:color w:val="0F4761"/>
          <w:sz w:val="32"/>
        </w:rPr>
        <w:t>5.  Phases</w:t>
      </w:r>
    </w:p>
    <w:p>
      <w:pPr>
        <w:pStyle w:val="Heading2"/>
        <w:rPr/>
      </w:pPr>
      <w:bookmarkStart w:id="17" w:name="__RefHeading___Toc7581_3133665205"/>
      <w:bookmarkEnd w:id="17"/>
      <w:r>
        <w:rPr>
          <w:rFonts w:eastAsia="Segoe UI" w:cs="Segoe UI"/>
          <w:b/>
          <w:color w:val="0F4761"/>
          <w:sz w:val="26"/>
        </w:rPr>
        <w:t>5.1  Overview</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876"/>
        <w:gridCol w:w="523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28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Phase</w:t>
            </w:r>
          </w:p>
        </w:tc>
        <w:tc>
          <w:tcPr>
            <w:tcW w:w="52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team and governance, plan confirmed, data request and kits issued, hosting and environment set decided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and pipeline</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SIT (large, enterprise), UAT and Production; GitHub Environments with reviewers and secrets; application secrets and encryption keys with their custody; first deployment through the pipeline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compliance, integration and branding workshops on the delivered system; configuration decisions; fit-gap register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inputs</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fills the configuration kit, provides the partner contracts and prepares the migration extracts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registrations</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ATP or CAS and EIS enrolment; AMLC registration; IC licence data; NPC registration; screening lists; tax adviser confirmation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validated and loaded; on-screen configuration (Product Configurator, tax codes, posting rules, approvals, roles, schedules)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set-up</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settings, risk factors and rules, screening lists; licence register, fit and proper, insurer authority; complaints and breach settings; masking by role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 and brand pack</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Theme, letterhead, sign-in page, branded documents and e-mails, e-signatures mapped to documents, brand pack exported for promotion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with partners</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bank statement formats and bank payment files; SMS or Viber; CTPL authentication and LTO; insurer APIs; payment gateway; BIR EIS; AMLC report file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to the migration kit, mock loads with reconciliation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Train-the-trainer, compliance officer and DPO training, end-user training per role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and UAT</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integration test in Dev or SIT; UAT with the broker's data; sign-off</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 and cutover</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to Production; Pre-Prod from a production backup; rehearsal; go/no-go; cutover; go-live lock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support until the first month-end close; handover to production support</w:t>
            </w:r>
          </w:p>
        </w:tc>
      </w:tr>
    </w:tbl>
    <w:p>
      <w:pPr>
        <w:pStyle w:val="Normal"/>
        <w:spacing w:before="0" w:after="80"/>
        <w:rPr/>
      </w:pPr>
      <w:r>
        <w:rPr/>
      </w:r>
    </w:p>
    <w:p>
      <w:pPr>
        <w:pStyle w:val="Normal"/>
        <w:jc w:val="center"/>
        <w:rPr/>
      </w:pPr>
      <w:r>
        <w:rPr/>
        <w:drawing>
          <wp:inline distT="0" distB="0" distL="0" distR="0">
            <wp:extent cx="5760085" cy="5384165"/>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5384165"/>
                    </a:xfrm>
                    <a:prstGeom prst="rect">
                      <a:avLst/>
                    </a:prstGeom>
                  </pic:spPr>
                </pic:pic>
              </a:graphicData>
            </a:graphic>
          </wp:inline>
        </w:drawing>
      </w:r>
    </w:p>
    <w:p>
      <w:pPr>
        <w:pStyle w:val="Normal"/>
        <w:jc w:val="center"/>
        <w:rPr/>
      </w:pPr>
      <w:r>
        <w:rPr>
          <w:rFonts w:eastAsia="Segoe UI" w:cs="Segoe UI" w:ascii="Segoe UI" w:hAnsi="Segoe UI"/>
          <w:i/>
          <w:color w:val="555F6D"/>
          <w:sz w:val="18"/>
        </w:rPr>
        <w:t>Dependencies between the phases. Red arrows: the usual critical path</w:t>
      </w:r>
    </w:p>
    <w:p>
      <w:pPr>
        <w:pStyle w:val="Heading2"/>
        <w:rPr/>
      </w:pPr>
      <w:bookmarkStart w:id="18" w:name="__RefHeading___Toc7583_3133665205"/>
      <w:bookmarkEnd w:id="18"/>
      <w:r>
        <w:rPr>
          <w:rFonts w:eastAsia="Segoe UI" w:cs="Segoe UI"/>
          <w:b/>
          <w:color w:val="0F4761"/>
          <w:sz w:val="26"/>
        </w:rPr>
        <w:t>5.2  Mobilisation</w:t>
      </w:r>
    </w:p>
    <w:p>
      <w:pPr>
        <w:pStyle w:val="Normal"/>
        <w:numPr>
          <w:ilvl w:val="0"/>
          <w:numId w:val="1"/>
        </w:numPr>
        <w:spacing w:before="0" w:after="60"/>
        <w:rPr/>
      </w:pPr>
      <w:r>
        <w:rPr>
          <w:rFonts w:eastAsia="Segoe UI" w:cs="Segoe UI" w:ascii="Segoe UI" w:hAnsi="Segoe UI"/>
          <w:color w:val="101820"/>
          <w:sz w:val="21"/>
        </w:rPr>
        <w:t>Kick-off meeting with the sponsor, the broker's project manager, the key users, the compliance officer, the DPO and the iorta TechNXT team.</w:t>
      </w:r>
    </w:p>
    <w:p>
      <w:pPr>
        <w:pStyle w:val="Normal"/>
        <w:numPr>
          <w:ilvl w:val="0"/>
          <w:numId w:val="1"/>
        </w:numPr>
        <w:spacing w:before="0" w:after="60"/>
        <w:rPr/>
      </w:pPr>
      <w:r>
        <w:rPr>
          <w:rFonts w:eastAsia="Segoe UI" w:cs="Segoe UI" w:ascii="Segoe UI" w:hAnsi="Segoe UI"/>
          <w:color w:val="101820"/>
          <w:sz w:val="21"/>
        </w:rPr>
        <w:t>Confirm the size, the plan, the go-live date and the hypercare window; baseline the plan workbook with the kick-off date.</w:t>
      </w:r>
    </w:p>
    <w:p>
      <w:pPr>
        <w:pStyle w:val="Normal"/>
        <w:numPr>
          <w:ilvl w:val="0"/>
          <w:numId w:val="1"/>
        </w:numPr>
        <w:spacing w:before="0" w:after="60"/>
        <w:rPr/>
      </w:pPr>
      <w:r>
        <w:rPr>
          <w:rFonts w:eastAsia="Segoe UI" w:cs="Segoe UI" w:ascii="Segoe UI" w:hAnsi="Segoe UI"/>
          <w:color w:val="101820"/>
          <w:sz w:val="21"/>
        </w:rPr>
        <w:t>Set up the steering committee, the weekly status meeting and the RAID log, pre-filled from the template.</w:t>
      </w:r>
    </w:p>
    <w:p>
      <w:pPr>
        <w:pStyle w:val="Normal"/>
        <w:numPr>
          <w:ilvl w:val="0"/>
          <w:numId w:val="1"/>
        </w:numPr>
        <w:spacing w:before="0" w:after="60"/>
        <w:rPr/>
      </w:pPr>
      <w:r>
        <w:rPr>
          <w:rFonts w:eastAsia="Segoe UI" w:cs="Segoe UI" w:ascii="Segoe UI" w:hAnsi="Segoe UI"/>
          <w:color w:val="101820"/>
          <w:sz w:val="21"/>
        </w:rPr>
        <w:t>Issue the data request list and the blank kits (configuration workbook, migration workbook, upload templates).</w:t>
      </w:r>
    </w:p>
    <w:p>
      <w:pPr>
        <w:pStyle w:val="Normal"/>
        <w:numPr>
          <w:ilvl w:val="0"/>
          <w:numId w:val="1"/>
        </w:numPr>
        <w:spacing w:before="0" w:after="60"/>
        <w:rPr/>
      </w:pPr>
      <w:r>
        <w:rPr>
          <w:rFonts w:eastAsia="Segoe UI" w:cs="Segoe UI" w:ascii="Segoe UI" w:hAnsi="Segoe UI"/>
          <w:color w:val="101820"/>
          <w:sz w:val="21"/>
        </w:rPr>
        <w:t>Ask which registrations the broker already holds (ATP or CAS, AMLC registration, NPC registration, IC licences) and start the others the same day.</w:t>
      </w:r>
    </w:p>
    <w:p>
      <w:pPr>
        <w:pStyle w:val="Normal"/>
        <w:numPr>
          <w:ilvl w:val="0"/>
          <w:numId w:val="1"/>
        </w:numPr>
        <w:spacing w:before="0" w:after="60"/>
        <w:rPr/>
      </w:pPr>
      <w:r>
        <w:rPr>
          <w:rFonts w:eastAsia="Segoe UI" w:cs="Segoe UI" w:ascii="Segoe UI" w:hAnsi="Segoe UI"/>
          <w:color w:val="101820"/>
          <w:sz w:val="21"/>
        </w:rPr>
        <w:t>Decide the hosting option, the environment set and the data location, including any transfer of personal data outside the Philippines.</w:t>
      </w:r>
    </w:p>
    <w:p>
      <w:pPr>
        <w:pStyle w:val="Heading2"/>
        <w:rPr/>
      </w:pPr>
      <w:bookmarkStart w:id="19" w:name="__RefHeading___Toc7585_3133665205"/>
      <w:bookmarkEnd w:id="19"/>
      <w:r>
        <w:rPr>
          <w:rFonts w:eastAsia="Segoe UI" w:cs="Segoe UI"/>
          <w:b/>
          <w:color w:val="0F4761"/>
          <w:sz w:val="26"/>
        </w:rPr>
        <w:t>5.3  Environments and pipeline</w:t>
      </w:r>
    </w:p>
    <w:p>
      <w:pPr>
        <w:pStyle w:val="Normal"/>
        <w:numPr>
          <w:ilvl w:val="0"/>
          <w:numId w:val="1"/>
        </w:numPr>
        <w:spacing w:before="0" w:after="60"/>
        <w:rPr/>
      </w:pPr>
      <w:r>
        <w:rPr>
          <w:rFonts w:eastAsia="Segoe UI" w:cs="Segoe UI" w:ascii="Segoe UI" w:hAnsi="Segoe UI"/>
          <w:color w:val="101820"/>
          <w:sz w:val="21"/>
        </w:rPr>
        <w:t xml:space="preserve">iorta TechNXT provisions the environment set of the size following </w:t>
      </w:r>
      <w:r>
        <w:rPr>
          <w:rFonts w:eastAsia="Consolas" w:cs="Consolas" w:ascii="Consolas" w:hAnsi="Consolas"/>
          <w:color w:val="101820"/>
          <w:sz w:val="19"/>
        </w:rPr>
        <w:t>deploy/README.md</w:t>
      </w:r>
      <w:r>
        <w:rPr>
          <w:rFonts w:eastAsia="Segoe UI" w:cs="Segoe UI" w:ascii="Segoe UI" w:hAnsi="Segoe UI"/>
          <w:color w:val="101820"/>
          <w:sz w:val="21"/>
        </w:rPr>
        <w:t xml:space="preserve"> and the Environment Strategy and Production Rollout: database time zone Asia/Manila, daily snapshots kept at least 30 days, health checks wired to monitoring, a restore test before go-live.</w:t>
      </w:r>
    </w:p>
    <w:p>
      <w:pPr>
        <w:pStyle w:val="Normal"/>
        <w:numPr>
          <w:ilvl w:val="0"/>
          <w:numId w:val="1"/>
        </w:numPr>
        <w:spacing w:before="0" w:after="60"/>
        <w:rPr/>
      </w:pPr>
      <w:r>
        <w:rPr>
          <w:rFonts w:eastAsia="Segoe UI" w:cs="Segoe UI" w:ascii="Segoe UI" w:hAnsi="Segoe UI"/>
          <w:b/>
          <w:color w:val="101820"/>
          <w:sz w:val="21"/>
        </w:rPr>
        <w:t>GitHub Environments</w:t>
      </w:r>
      <w:r>
        <w:rPr>
          <w:rFonts w:eastAsia="Segoe UI" w:cs="Segoe UI" w:ascii="Segoe UI" w:hAnsi="Segoe UI"/>
          <w:color w:val="101820"/>
          <w:sz w:val="21"/>
        </w:rPr>
        <w:t xml:space="preserve"> </w:t>
      </w:r>
      <w:r>
        <w:rPr>
          <w:rFonts w:eastAsia="Consolas" w:cs="Consolas" w:ascii="Consolas" w:hAnsi="Consolas"/>
          <w:color w:val="101820"/>
          <w:sz w:val="19"/>
        </w:rPr>
        <w:t>dev</w:t>
      </w:r>
      <w:r>
        <w:rPr>
          <w:rFonts w:eastAsia="Segoe UI" w:cs="Segoe UI" w:ascii="Segoe UI" w:hAnsi="Segoe UI"/>
          <w:color w:val="101820"/>
          <w:sz w:val="21"/>
        </w:rPr>
        <w:t xml:space="preserve">, </w:t>
      </w:r>
      <w:r>
        <w:rPr>
          <w:rFonts w:eastAsia="Consolas" w:cs="Consolas" w:ascii="Consolas" w:hAnsi="Consolas"/>
          <w:color w:val="101820"/>
          <w:sz w:val="19"/>
        </w:rPr>
        <w:t>sit</w:t>
      </w:r>
      <w:r>
        <w:rPr>
          <w:rFonts w:eastAsia="Segoe UI" w:cs="Segoe UI" w:ascii="Segoe UI" w:hAnsi="Segoe UI"/>
          <w:color w:val="101820"/>
          <w:sz w:val="21"/>
        </w:rPr>
        <w:t xml:space="preserve">, </w:t>
      </w:r>
      <w:r>
        <w:rPr>
          <w:rFonts w:eastAsia="Consolas" w:cs="Consolas" w:ascii="Consolas" w:hAnsi="Consolas"/>
          <w:color w:val="101820"/>
          <w:sz w:val="19"/>
        </w:rPr>
        <w:t>uat</w:t>
      </w:r>
      <w:r>
        <w:rPr>
          <w:rFonts w:eastAsia="Segoe UI" w:cs="Segoe UI" w:ascii="Segoe UI" w:hAnsi="Segoe UI"/>
          <w:color w:val="101820"/>
          <w:sz w:val="21"/>
        </w:rPr>
        <w:t xml:space="preserve">, </w:t>
      </w:r>
      <w:r>
        <w:rPr>
          <w:rFonts w:eastAsia="Consolas" w:cs="Consolas" w:ascii="Consolas" w:hAnsi="Consolas"/>
          <w:color w:val="101820"/>
          <w:sz w:val="19"/>
        </w:rPr>
        <w:t>preprod</w:t>
      </w:r>
      <w:r>
        <w:rPr>
          <w:rFonts w:eastAsia="Segoe UI" w:cs="Segoe UI" w:ascii="Segoe UI" w:hAnsi="Segoe UI"/>
          <w:color w:val="101820"/>
          <w:sz w:val="21"/>
        </w:rPr>
        <w:t xml:space="preserve"> and </w:t>
      </w:r>
      <w:r>
        <w:rPr>
          <w:rFonts w:eastAsia="Consolas" w:cs="Consolas" w:ascii="Consolas" w:hAnsi="Consolas"/>
          <w:color w:val="101820"/>
          <w:sz w:val="19"/>
        </w:rPr>
        <w:t>production</w:t>
      </w:r>
      <w:r>
        <w:rPr>
          <w:rFonts w:eastAsia="Segoe UI" w:cs="Segoe UI" w:ascii="Segoe UI" w:hAnsi="Segoe UI"/>
          <w:color w:val="101820"/>
          <w:sz w:val="21"/>
        </w:rPr>
        <w:t xml:space="preserve"> are set once by the repository owner: required reviewers on </w:t>
      </w:r>
      <w:r>
        <w:rPr>
          <w:rFonts w:eastAsia="Consolas" w:cs="Consolas" w:ascii="Consolas" w:hAnsi="Consolas"/>
          <w:color w:val="101820"/>
          <w:sz w:val="19"/>
        </w:rPr>
        <w:t>uat</w:t>
      </w:r>
      <w:r>
        <w:rPr>
          <w:rFonts w:eastAsia="Segoe UI" w:cs="Segoe UI" w:ascii="Segoe UI" w:hAnsi="Segoe UI"/>
          <w:color w:val="101820"/>
          <w:sz w:val="21"/>
        </w:rPr>
        <w:t xml:space="preserve">, </w:t>
      </w:r>
      <w:r>
        <w:rPr>
          <w:rFonts w:eastAsia="Consolas" w:cs="Consolas" w:ascii="Consolas" w:hAnsi="Consolas"/>
          <w:color w:val="101820"/>
          <w:sz w:val="19"/>
        </w:rPr>
        <w:t>preprod</w:t>
      </w:r>
      <w:r>
        <w:rPr>
          <w:rFonts w:eastAsia="Segoe UI" w:cs="Segoe UI" w:ascii="Segoe UI" w:hAnsi="Segoe UI"/>
          <w:color w:val="101820"/>
          <w:sz w:val="21"/>
        </w:rPr>
        <w:t xml:space="preserve"> and </w:t>
      </w:r>
      <w:r>
        <w:rPr>
          <w:rFonts w:eastAsia="Consolas" w:cs="Consolas" w:ascii="Consolas" w:hAnsi="Consolas"/>
          <w:color w:val="101820"/>
          <w:sz w:val="19"/>
        </w:rPr>
        <w:t>production</w:t>
      </w:r>
      <w:r>
        <w:rPr>
          <w:rFonts w:eastAsia="Segoe UI" w:cs="Segoe UI" w:ascii="Segoe UI" w:hAnsi="Segoe UI"/>
          <w:color w:val="101820"/>
          <w:sz w:val="21"/>
        </w:rPr>
        <w:t xml:space="preserve"> (production: two, prevent self-review), tag rules, variables (</w:t>
      </w:r>
      <w:r>
        <w:rPr>
          <w:rFonts w:eastAsia="Consolas" w:cs="Consolas" w:ascii="Consolas" w:hAnsi="Consolas"/>
          <w:color w:val="101820"/>
          <w:sz w:val="19"/>
        </w:rPr>
        <w:t>DEPLOY_ENABLED</w:t>
      </w:r>
      <w:r>
        <w:rPr>
          <w:rFonts w:eastAsia="Segoe UI" w:cs="Segoe UI" w:ascii="Segoe UI" w:hAnsi="Segoe UI"/>
          <w:color w:val="101820"/>
          <w:sz w:val="21"/>
        </w:rPr>
        <w:t>, targets, addresses, environment name) and environment secrets (deploy keys, known hosts, bucket and distribution ids). Repository-level secrets of the same names are removed.</w:t>
      </w:r>
    </w:p>
    <w:p>
      <w:pPr>
        <w:pStyle w:val="Normal"/>
        <w:numPr>
          <w:ilvl w:val="0"/>
          <w:numId w:val="1"/>
        </w:numPr>
        <w:spacing w:before="0" w:after="60"/>
        <w:rPr/>
      </w:pPr>
      <w:r>
        <w:rPr>
          <w:rFonts w:eastAsia="Segoe UI" w:cs="Segoe UI" w:ascii="Segoe UI" w:hAnsi="Segoe UI"/>
          <w:b/>
          <w:color w:val="101820"/>
          <w:sz w:val="21"/>
        </w:rPr>
        <w:t>Application secrets</w:t>
      </w:r>
      <w:r>
        <w:rPr>
          <w:rFonts w:eastAsia="Segoe UI" w:cs="Segoe UI" w:ascii="Segoe UI" w:hAnsi="Segoe UI"/>
          <w:color w:val="101820"/>
          <w:sz w:val="21"/>
        </w:rPr>
        <w:t xml:space="preserve"> live in the secret store of each environment, never in GitHub or the repository: </w:t>
      </w:r>
      <w:r>
        <w:rPr>
          <w:rFonts w:eastAsia="Consolas" w:cs="Consolas" w:ascii="Consolas" w:hAnsi="Consolas"/>
          <w:color w:val="101820"/>
          <w:sz w:val="19"/>
        </w:rPr>
        <w:t>JWT_SECRET</w:t>
      </w:r>
      <w:r>
        <w:rPr>
          <w:rFonts w:eastAsia="Segoe UI" w:cs="Segoe UI" w:ascii="Segoe UI" w:hAnsi="Segoe UI"/>
          <w:color w:val="101820"/>
          <w:sz w:val="21"/>
        </w:rPr>
        <w:t xml:space="preserve">, </w:t>
      </w:r>
      <w:r>
        <w:rPr>
          <w:rFonts w:eastAsia="Consolas" w:cs="Consolas" w:ascii="Consolas" w:hAnsi="Consolas"/>
          <w:color w:val="101820"/>
          <w:sz w:val="19"/>
        </w:rPr>
        <w:t>DATA_ENCRYPTION_KEY</w:t>
      </w:r>
      <w:r>
        <w:rPr>
          <w:rFonts w:eastAsia="Segoe UI" w:cs="Segoe UI" w:ascii="Segoe UI" w:hAnsi="Segoe UI"/>
          <w:color w:val="101820"/>
          <w:sz w:val="21"/>
        </w:rPr>
        <w:t xml:space="preserve">, </w:t>
      </w:r>
      <w:r>
        <w:rPr>
          <w:rFonts w:eastAsia="Consolas" w:cs="Consolas" w:ascii="Consolas" w:hAnsi="Consolas"/>
          <w:color w:val="101820"/>
          <w:sz w:val="19"/>
        </w:rPr>
        <w:t>PII_ENCRYPTION_KEY</w:t>
      </w:r>
      <w:r>
        <w:rPr>
          <w:rFonts w:eastAsia="Segoe UI" w:cs="Segoe UI" w:ascii="Segoe UI" w:hAnsi="Segoe UI"/>
          <w:color w:val="101820"/>
          <w:sz w:val="21"/>
        </w:rPr>
        <w:t xml:space="preserve"> (each at least 32 characters and different from the others), </w:t>
      </w:r>
      <w:r>
        <w:rPr>
          <w:rFonts w:eastAsia="Consolas" w:cs="Consolas" w:ascii="Consolas" w:hAnsi="Consolas"/>
          <w:color w:val="101820"/>
          <w:sz w:val="19"/>
        </w:rPr>
        <w:t>DATABASE_URL</w:t>
      </w:r>
      <w:r>
        <w:rPr>
          <w:rFonts w:eastAsia="Segoe UI" w:cs="Segoe UI" w:ascii="Segoe UI" w:hAnsi="Segoe UI"/>
          <w:color w:val="101820"/>
          <w:sz w:val="21"/>
        </w:rPr>
        <w:t xml:space="preserve">, </w:t>
      </w:r>
      <w:r>
        <w:rPr>
          <w:rFonts w:eastAsia="Consolas" w:cs="Consolas" w:ascii="Consolas" w:hAnsi="Consolas"/>
          <w:color w:val="101820"/>
          <w:sz w:val="19"/>
        </w:rPr>
        <w:t>SMTP_URL</w:t>
      </w:r>
      <w:r>
        <w:rPr>
          <w:rFonts w:eastAsia="Segoe UI" w:cs="Segoe UI" w:ascii="Segoe UI" w:hAnsi="Segoe UI"/>
          <w:color w:val="101820"/>
          <w:sz w:val="21"/>
        </w:rPr>
        <w:t xml:space="preserve"> and the partner credentials. The API refuses to start in production without them.</w:t>
      </w:r>
    </w:p>
    <w:p>
      <w:pPr>
        <w:pStyle w:val="Normal"/>
        <w:numPr>
          <w:ilvl w:val="0"/>
          <w:numId w:val="1"/>
        </w:numPr>
        <w:spacing w:before="0" w:after="60"/>
        <w:rPr/>
      </w:pPr>
      <w:r>
        <w:rPr>
          <w:rFonts w:eastAsia="Segoe UI" w:cs="Segoe UI" w:ascii="Segoe UI" w:hAnsi="Segoe UI"/>
          <w:b/>
          <w:color w:val="101820"/>
          <w:sz w:val="21"/>
        </w:rPr>
        <w:t>Key custody.</w:t>
      </w:r>
      <w:r>
        <w:rPr>
          <w:rFonts w:eastAsia="Segoe UI" w:cs="Segoe UI" w:ascii="Segoe UI" w:hAnsi="Segoe UI"/>
          <w:color w:val="101820"/>
          <w:sz w:val="21"/>
        </w:rPr>
        <w:t xml:space="preserve"> </w:t>
      </w:r>
      <w:r>
        <w:rPr>
          <w:rFonts w:eastAsia="Consolas" w:cs="Consolas" w:ascii="Consolas" w:hAnsi="Consolas"/>
          <w:color w:val="101820"/>
          <w:sz w:val="19"/>
        </w:rPr>
        <w:t>PII_ENCRYPTION_KEY</w:t>
      </w:r>
      <w:r>
        <w:rPr>
          <w:rFonts w:eastAsia="Segoe UI" w:cs="Segoe UI" w:ascii="Segoe UI" w:hAnsi="Segoe UI"/>
          <w:color w:val="101820"/>
          <w:sz w:val="21"/>
        </w:rPr>
        <w:t xml:space="preserve"> encrypts TIN, government ID and bank account numbers; without it a backup cannot be read. The broker IT head and the iorta TechNXT DevOps lead sign a custody record: who holds the escrow copy under dual control, where it is kept with the backups, and the rotation procedure of </w:t>
      </w:r>
      <w:r>
        <w:rPr>
          <w:rFonts w:eastAsia="Consolas" w:cs="Consolas" w:ascii="Consolas" w:hAnsi="Consolas"/>
          <w:color w:val="101820"/>
          <w:sz w:val="19"/>
        </w:rPr>
        <w:t>deploy/REFERENCE.md</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Production starts with reference data only (</w:t>
      </w:r>
      <w:r>
        <w:rPr>
          <w:rFonts w:eastAsia="Consolas" w:cs="Consolas" w:ascii="Consolas" w:hAnsi="Consolas"/>
          <w:color w:val="101820"/>
          <w:sz w:val="19"/>
        </w:rPr>
        <w:t>SEED_SAMPLE_DATA=false</w:t>
      </w:r>
      <w:r>
        <w:rPr>
          <w:rFonts w:eastAsia="Segoe UI" w:cs="Segoe UI" w:ascii="Segoe UI" w:hAnsi="Segoe UI"/>
          <w:color w:val="101820"/>
          <w:sz w:val="21"/>
        </w:rPr>
        <w:t>). Dev may carry the delivered sample data; UAT holds the broker's data from the first mock load and is then protected as Production is.</w:t>
      </w:r>
    </w:p>
    <w:p>
      <w:pPr>
        <w:pStyle w:val="Heading2"/>
        <w:rPr/>
      </w:pPr>
      <w:bookmarkStart w:id="20" w:name="__RefHeading___Toc7587_3133665205"/>
      <w:bookmarkEnd w:id="20"/>
      <w:r>
        <w:rPr>
          <w:rFonts w:eastAsia="Segoe UI" w:cs="Segoe UI"/>
          <w:b/>
          <w:color w:val="0F4761"/>
          <w:sz w:val="26"/>
        </w:rPr>
        <w:t>5.4  Discovery and fit-gap</w:t>
      </w:r>
    </w:p>
    <w:p>
      <w:pPr>
        <w:pStyle w:val="Normal"/>
        <w:spacing w:lineRule="auto" w:line="276" w:before="0" w:after="120"/>
        <w:rPr/>
      </w:pPr>
      <w:r>
        <w:rPr>
          <w:rFonts w:eastAsia="Segoe UI" w:cs="Segoe UI" w:ascii="Segoe UI" w:hAnsi="Segoe UI"/>
          <w:color w:val="101820"/>
          <w:sz w:val="21"/>
        </w:rPr>
        <w:t>Discovery is limited to configuration. Each workshop shows the delivered screens with the broker's own examples and records the decisions in the configuration workbook.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42"/>
        <w:gridCol w:w="2642"/>
        <w:gridCol w:w="3730"/>
      </w:tblGrid>
      <w:tr>
        <w:trPr>
          <w:tblHeader w:val="true"/>
        </w:trPr>
        <w:tc>
          <w:tcPr>
            <w:tcW w:w="26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Workshop</w:t>
            </w:r>
          </w:p>
        </w:tc>
        <w:tc>
          <w:tcPr>
            <w:tcW w:w="26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Participants</w:t>
            </w:r>
          </w:p>
        </w:tc>
        <w:tc>
          <w:tcPr>
            <w:tcW w:w="3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Decisions recorded</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Organisation and access</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System Administrator</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Companies, branches, departments, reporting lines, users per role, two-step verification roles, security policy, </w:t>
            </w:r>
            <w:r>
              <w:rPr>
                <w:rFonts w:eastAsia="Consolas" w:cs="Consolas" w:ascii="Consolas" w:hAnsi="Consolas"/>
                <w:color w:val="101820"/>
                <w:kern w:val="0"/>
                <w:sz w:val="16"/>
                <w:szCs w:val="24"/>
                <w:lang w:val="en-US" w:eastAsia="ja-JP" w:bidi="ar-SA"/>
              </w:rPr>
              <w:t>view:pii</w:t>
            </w:r>
            <w:r>
              <w:rPr>
                <w:rFonts w:eastAsia="Segoe UI" w:cs="Segoe UI" w:ascii="Segoe UI" w:hAnsi="Segoe UI"/>
                <w:color w:val="101820"/>
                <w:kern w:val="0"/>
                <w:sz w:val="18"/>
                <w:szCs w:val="24"/>
                <w:lang w:val="en-US" w:eastAsia="ja-JP" w:bidi="ar-SA"/>
              </w:rPr>
              <w:t xml:space="preserve"> per role</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distribution and placement</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assignment rules, channels, dealer programmes, placement journey per line, quotation validity, maker-checker, product templates, acceptance rules and authority, document templates</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servicing and renewals</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Processing Team</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cover notes, cancellation method (pro-rata, short-period), renewal timetable, fleets and open covers</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controls, document checklist, repair shops and letters of authority, settlement maker-checker</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collection and remittance</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mode per insurer, instalments, post-dated cheques, premium payment warranty, remittance terms and approval levels, bank payment files</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and incentives</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Sales &amp; Marketing</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rules, rate matrix, referrer withholding, payout conditions, insurer overrides</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Ledger, close and tax</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tax adviser</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account determination, posting rules, payables, fixed assets, close checklist, tax codes and ATC, BIR forms, EOPT invoices, CAS books, EIS</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 DPO</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risk factors, thresholds, monitoring rules, screening lists and provider; licence register; insurer authority check (warn or block); complaints deadlines; breach procedure</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 Accounting, Operations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and their file layouts, SMS or Viber provider, CTPL authentication provider and LTO feed, insurer APIs, payment gateway, EIS, AMLC reporting</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marketing</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Theme, logo, sign-in picture, document and e-mail branding, signatories and their e-signatures, brand pack, permission for any client marks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Output: the configuration workbook and the fit-gap register. Each register line is classed as Fit (delivered), Configure (setting or master data), Procedure (the broker changes how it works) or Gap (needs a change request).</w:t>
      </w:r>
    </w:p>
    <w:p>
      <w:pPr>
        <w:pStyle w:val="Heading2"/>
        <w:rPr/>
      </w:pPr>
      <w:bookmarkStart w:id="21" w:name="__RefHeading___Toc7589_3133665205"/>
      <w:bookmarkEnd w:id="21"/>
      <w:r>
        <w:rPr>
          <w:rFonts w:eastAsia="Segoe UI" w:cs="Segoe UI"/>
          <w:b/>
          <w:color w:val="0F4761"/>
          <w:sz w:val="26"/>
        </w:rPr>
        <w:t>5.5  Client inputs and the configuration kit</w:t>
      </w:r>
    </w:p>
    <w:p>
      <w:pPr>
        <w:pStyle w:val="Normal"/>
        <w:spacing w:lineRule="auto" w:line="276" w:before="0" w:after="120"/>
        <w:rPr/>
      </w:pPr>
      <w:r>
        <w:rPr>
          <w:rFonts w:eastAsia="Segoe UI" w:cs="Segoe UI" w:ascii="Segoe UI" w:hAnsi="Segoe UI"/>
          <w:color w:val="101820"/>
          <w:sz w:val="21"/>
        </w:rPr>
        <w:t>The broker fills the configuration kit with the consultants: company, settings, PSGC regions, provinces, cities and barangays, branches, departments, hierarchy, designations, users, currencies, exchange rates, chart of accounts, banks, bank accounts, signatories, transaction codes, write-off reasons, insurers, lines of business, products, policy types, covers, vehicles, suppliers, asset classes, short-period rates, cancellation reasons, claim document checklist, repair shops, commission rates, premium taxes, LGU rates, authority limits, numbering, payee bank accounts and COC series. User passwords are never in the workbook: each new user receives a temporary password once, after the load.</w:t>
      </w:r>
    </w:p>
    <w:p>
      <w:pPr>
        <w:pStyle w:val="Heading2"/>
        <w:rPr/>
      </w:pPr>
      <w:bookmarkStart w:id="22" w:name="__RefHeading___Toc7591_3133665205"/>
      <w:bookmarkEnd w:id="22"/>
      <w:r>
        <w:rPr>
          <w:rFonts w:eastAsia="Segoe UI" w:cs="Segoe UI"/>
          <w:b/>
          <w:color w:val="0F4761"/>
          <w:sz w:val="26"/>
        </w:rPr>
        <w:t>5.6  Regulatory registrations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05"/>
        <w:gridCol w:w="2603"/>
        <w:gridCol w:w="3206"/>
      </w:tblGrid>
      <w:tr>
        <w:trPr>
          <w:tblHeader w:val="true"/>
        </w:trPr>
        <w:tc>
          <w:tcPr>
            <w:tcW w:w="32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Registration</w:t>
            </w:r>
          </w:p>
        </w:tc>
        <w:tc>
          <w:tcPr>
            <w:tcW w:w="2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c>
          <w:tcPr>
            <w:tcW w:w="32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unlocks</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Authority to Print or CAS registration; registered serial range; last numbers used</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with the tax adviser</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invoices (</w:t>
            </w:r>
            <w:r>
              <w:rPr>
                <w:rFonts w:eastAsia="Consolas" w:cs="Consolas" w:ascii="Consolas" w:hAnsi="Consolas"/>
                <w:color w:val="101820"/>
                <w:kern w:val="0"/>
                <w:sz w:val="16"/>
                <w:szCs w:val="24"/>
                <w:lang w:val="en-US" w:eastAsia="ja-JP" w:bidi="ar-SA"/>
              </w:rPr>
              <w:t>invoice.*</w:t>
            </w:r>
            <w:r>
              <w:rPr>
                <w:rFonts w:eastAsia="Segoe UI" w:cs="Segoe UI" w:ascii="Segoe UI" w:hAnsi="Segoe UI"/>
                <w:color w:val="101820"/>
                <w:kern w:val="0"/>
                <w:sz w:val="18"/>
                <w:szCs w:val="24"/>
                <w:lang w:val="en-US" w:eastAsia="ja-JP" w:bidi="ar-SA"/>
              </w:rPr>
              <w:t>), numbering, CAS books; release to Production</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EIS enrolment (when covered)</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EIS connector live; until then it stays off</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 registration, portal access, institution code</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CTR and STR filing; go/no-go</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licence data and insurer certificates of authority</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register, payout check, insurer authority check</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registration of the DPO and data processing systems</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DPO</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Go/no-go</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Screening lists (UN, AMLC; PEP list licence)</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Screening at onboarding, issue and payout; go/no-go</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adviser confirmation of codes, ATC, rates and wording</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adviser</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Lead times are assumptions; the Dependency Map and Critical Path gives them by size with their float.</w:t>
      </w:r>
    </w:p>
    <w:p>
      <w:pPr>
        <w:pStyle w:val="Heading2"/>
        <w:rPr/>
      </w:pPr>
      <w:bookmarkStart w:id="23" w:name="__RefHeading___Toc7593_3133665205"/>
      <w:bookmarkEnd w:id="23"/>
      <w:r>
        <w:rPr>
          <w:rFonts w:eastAsia="Segoe UI" w:cs="Segoe UI"/>
          <w:b/>
          <w:color w:val="0F4761"/>
          <w:sz w:val="26"/>
        </w:rPr>
        <w:t>5.7  Configuration</w:t>
      </w:r>
    </w:p>
    <w:p>
      <w:pPr>
        <w:pStyle w:val="Normal"/>
        <w:spacing w:lineRule="auto" w:line="276" w:before="0" w:after="120"/>
        <w:rPr/>
      </w:pPr>
      <w:r>
        <w:rPr>
          <w:rFonts w:eastAsia="Segoe UI" w:cs="Segoe UI" w:ascii="Segoe UI" w:hAnsi="Segoe UI"/>
          <w:color w:val="101820"/>
          <w:sz w:val="21"/>
        </w:rPr>
        <w:t xml:space="preserve">Configuration follows </w:t>
      </w:r>
      <w:r>
        <w:rPr>
          <w:rFonts w:eastAsia="Consolas" w:cs="Consolas" w:ascii="Consolas" w:hAnsi="Consolas"/>
          <w:color w:val="101820"/>
          <w:sz w:val="19"/>
        </w:rPr>
        <w:t>GO_LIVE_DATA_SETUP.md</w:t>
      </w:r>
      <w:r>
        <w:rPr>
          <w:rFonts w:eastAsia="Segoe UI" w:cs="Segoe UI" w:ascii="Segoe UI" w:hAnsi="Segoe UI"/>
          <w:color w:val="101820"/>
          <w:sz w:val="21"/>
        </w:rPr>
        <w:t xml:space="preserve"> steps 1 to 12. The configuration kit is uploaded on Master &gt; Go-Live and Data &gt; Go-Live Data Load, validated as a trial run, corrected with the errors workbook and loaded, first in Dev (small, medium) or SIT (large, enterprise). The items without a sheet are set on their screens: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Roles, permissions (including </w:t>
            </w:r>
            <w:r>
              <w:rPr>
                <w:rFonts w:eastAsia="Consolas" w:cs="Consolas" w:ascii="Consolas" w:hAnsi="Consolas"/>
                <w:color w:val="101820"/>
                <w:kern w:val="0"/>
                <w:sz w:val="16"/>
                <w:szCs w:val="24"/>
                <w:lang w:val="en-US" w:eastAsia="ja-JP" w:bidi="ar-SA"/>
              </w:rPr>
              <w:t>view:pii</w:t>
            </w:r>
            <w:r>
              <w:rPr>
                <w:rFonts w:eastAsia="Segoe UI" w:cs="Segoe UI" w:ascii="Segoe UI" w:hAnsi="Segoe UI"/>
                <w:color w:val="101820"/>
                <w:kern w:val="0"/>
                <w:sz w:val="18"/>
                <w:szCs w:val="24"/>
                <w:lang w:val="en-US" w:eastAsia="ja-JP" w:bidi="ar-SA"/>
              </w:rPr>
              <w:t>), segregation of duties, delegations, access reviews; approval of the loaded authority limits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User Management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templates, rating factors, acceptance rules with refer, decline and loading and the authority to override, document templates with merge fields, market and risk mapping, the governing template of each product, the motor tariff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and ATC; account determination and posting rules (approved by a second user)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Taxation, Account Determination, Posting Rules, Configuration Approvals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 formats, bank transaction types, insurer statement formats, close checklist, bank file layouts, payment gateways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 schedules, connectors, message templates, insurer mappings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System Configuration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years and periods (periods before the cutover date closed)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Period Management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masters, reinsurance treaties, incentive programmes, referrer accounts, petty cash funds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Their screens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The delivered data already holds the PSGC addresses, ZIP codes, banks, ID types, holidays, the IC insurer list, Philippine lines of business and products, the motor tariff, the tax codes (VAT 12%, DST PHP 0.50 on each PHP 4.00 or fraction, LGT and expanded withholding codes with ATC) and a Philippine broker chart of accounts. Configuration therefore reviews and adjusts more than it builds. When frozen, configuration moves to UAT and Production as a </w:t>
      </w:r>
      <w:r>
        <w:rPr>
          <w:rFonts w:eastAsia="Segoe UI" w:cs="Segoe UI" w:ascii="Segoe UI" w:hAnsi="Segoe UI"/>
          <w:b/>
          <w:color w:val="101820"/>
          <w:sz w:val="21"/>
        </w:rPr>
        <w:t>Current data</w:t>
      </w:r>
      <w:r>
        <w:rPr>
          <w:rFonts w:eastAsia="Segoe UI" w:cs="Segoe UI" w:ascii="Segoe UI" w:hAnsi="Segoe UI"/>
          <w:color w:val="101820"/>
          <w:sz w:val="21"/>
        </w:rPr>
        <w:t xml:space="preserve"> workbook of the source environment, and the comparison report shows the target mirrors the source.</w:t>
      </w:r>
    </w:p>
    <w:p>
      <w:pPr>
        <w:pStyle w:val="Heading2"/>
        <w:rPr/>
      </w:pPr>
      <w:bookmarkStart w:id="24" w:name="__RefHeading___Toc7595_3133665205"/>
      <w:bookmarkEnd w:id="24"/>
      <w:r>
        <w:rPr>
          <w:rFonts w:eastAsia="Segoe UI" w:cs="Segoe UI"/>
          <w:b/>
          <w:color w:val="0F4761"/>
          <w:sz w:val="26"/>
        </w:rPr>
        <w:t>5.8  Compliance set-up</w:t>
      </w:r>
    </w:p>
    <w:p>
      <w:pPr>
        <w:pStyle w:val="Normal"/>
        <w:numPr>
          <w:ilvl w:val="0"/>
          <w:numId w:val="1"/>
        </w:numPr>
        <w:spacing w:before="0" w:after="60"/>
        <w:rPr/>
      </w:pPr>
      <w:r>
        <w:rPr>
          <w:rFonts w:eastAsia="Segoe UI" w:cs="Segoe UI" w:ascii="Segoe UI" w:hAnsi="Segoe UI"/>
          <w:b/>
          <w:color w:val="101820"/>
          <w:sz w:val="21"/>
        </w:rPr>
        <w:t>AML/CFT:</w:t>
      </w:r>
      <w:r>
        <w:rPr>
          <w:rFonts w:eastAsia="Segoe UI" w:cs="Segoe UI" w:ascii="Segoe UI" w:hAnsi="Segoe UI"/>
          <w:color w:val="101820"/>
          <w:sz w:val="21"/>
        </w:rPr>
        <w:t xml:space="preserve"> AML Settings (covered transaction threshold, cash modes, CTR and STR working days, match threshold, risk score limits, KYC refresh months, beneficial owner threshold, retention, institution code), risk factors, monitoring rules, screening provider; the screening lists loaded and every client rescreened. The values delivered follow the AMLA and its rules as known at delivery: the compliance officer confirms them.</w:t>
      </w:r>
    </w:p>
    <w:p>
      <w:pPr>
        <w:pStyle w:val="Normal"/>
        <w:numPr>
          <w:ilvl w:val="0"/>
          <w:numId w:val="1"/>
        </w:numPr>
        <w:spacing w:before="0" w:after="60"/>
        <w:rPr/>
      </w:pPr>
      <w:r>
        <w:rPr>
          <w:rFonts w:eastAsia="Segoe UI" w:cs="Segoe UI" w:ascii="Segoe UI" w:hAnsi="Segoe UI"/>
          <w:b/>
          <w:color w:val="101820"/>
          <w:sz w:val="21"/>
        </w:rPr>
        <w:t>Insurance Commission:</w:t>
      </w:r>
      <w:r>
        <w:rPr>
          <w:rFonts w:eastAsia="Segoe UI" w:cs="Segoe UI" w:ascii="Segoe UI" w:hAnsi="Segoe UI"/>
          <w:color w:val="101820"/>
          <w:sz w:val="21"/>
        </w:rPr>
        <w:t xml:space="preserve"> licence register (firm, officers, licensed individuals, agents), fit and proper records, insurer certificates of authority; </w:t>
      </w:r>
      <w:r>
        <w:rPr>
          <w:rFonts w:eastAsia="Consolas" w:cs="Consolas" w:ascii="Consolas" w:hAnsi="Consolas"/>
          <w:color w:val="101820"/>
          <w:sz w:val="19"/>
        </w:rPr>
        <w:t>compliance.referrer_licence_check</w:t>
      </w:r>
      <w:r>
        <w:rPr>
          <w:rFonts w:eastAsia="Segoe UI" w:cs="Segoe UI" w:ascii="Segoe UI" w:hAnsi="Segoe UI"/>
          <w:color w:val="101820"/>
          <w:sz w:val="21"/>
        </w:rPr>
        <w:t xml:space="preserve"> (block delivered) and </w:t>
      </w:r>
      <w:r>
        <w:rPr>
          <w:rFonts w:eastAsia="Consolas" w:cs="Consolas" w:ascii="Consolas" w:hAnsi="Consolas"/>
          <w:color w:val="101820"/>
          <w:sz w:val="19"/>
        </w:rPr>
        <w:t>compliance.insurer_authority_check</w:t>
      </w:r>
      <w:r>
        <w:rPr>
          <w:rFonts w:eastAsia="Segoe UI" w:cs="Segoe UI" w:ascii="Segoe UI" w:hAnsi="Segoe UI"/>
          <w:color w:val="101820"/>
          <w:sz w:val="21"/>
        </w:rPr>
        <w:t xml:space="preserve"> (warn delivered, block once every certificate is entered); IC line mapping for the production report and account mapping for the annual statement.</w:t>
      </w:r>
    </w:p>
    <w:p>
      <w:pPr>
        <w:pStyle w:val="Normal"/>
        <w:numPr>
          <w:ilvl w:val="0"/>
          <w:numId w:val="1"/>
        </w:numPr>
        <w:spacing w:before="0" w:after="60"/>
        <w:rPr/>
      </w:pPr>
      <w:r>
        <w:rPr>
          <w:rFonts w:eastAsia="Segoe UI" w:cs="Segoe UI" w:ascii="Segoe UI" w:hAnsi="Segoe UI"/>
          <w:b/>
          <w:color w:val="101820"/>
          <w:sz w:val="21"/>
        </w:rPr>
        <w:t>Complaints:</w:t>
      </w:r>
      <w:r>
        <w:rPr>
          <w:rFonts w:eastAsia="Segoe UI" w:cs="Segoe UI" w:ascii="Segoe UI" w:hAnsi="Segoe UI"/>
          <w:color w:val="101820"/>
          <w:sz w:val="21"/>
        </w:rPr>
        <w:t xml:space="preserve"> channels, categories, deadlines (</w:t>
      </w:r>
      <w:r>
        <w:rPr>
          <w:rFonts w:eastAsia="Consolas" w:cs="Consolas" w:ascii="Consolas" w:hAnsi="Consolas"/>
          <w:color w:val="101820"/>
          <w:sz w:val="19"/>
        </w:rPr>
        <w:t>complaints.*</w:t>
      </w:r>
      <w:r>
        <w:rPr>
          <w:rFonts w:eastAsia="Segoe UI" w:cs="Segoe UI" w:ascii="Segoe UI" w:hAnsi="Segoe UI"/>
          <w:color w:val="101820"/>
          <w:sz w:val="21"/>
        </w:rPr>
        <w:t>), letter texts; confirmed against the IC rules in force.</w:t>
      </w:r>
    </w:p>
    <w:p>
      <w:pPr>
        <w:pStyle w:val="Normal"/>
        <w:numPr>
          <w:ilvl w:val="0"/>
          <w:numId w:val="1"/>
        </w:numPr>
        <w:spacing w:before="0" w:after="60"/>
        <w:rPr/>
      </w:pPr>
      <w:r>
        <w:rPr>
          <w:rFonts w:eastAsia="Segoe UI" w:cs="Segoe UI" w:ascii="Segoe UI" w:hAnsi="Segoe UI"/>
          <w:b/>
          <w:color w:val="101820"/>
          <w:sz w:val="21"/>
        </w:rPr>
        <w:t>Data privacy:</w:t>
      </w:r>
      <w:r>
        <w:rPr>
          <w:rFonts w:eastAsia="Segoe UI" w:cs="Segoe UI" w:ascii="Segoe UI" w:hAnsi="Segoe UI"/>
          <w:color w:val="101820"/>
          <w:sz w:val="21"/>
        </w:rPr>
        <w:t xml:space="preserve"> breach register owner and the 72-hour deadline settings, privacy notice version, masking of personal identifiers by role, consent rules for messages.</w:t>
      </w:r>
    </w:p>
    <w:p>
      <w:pPr>
        <w:pStyle w:val="Heading2"/>
        <w:rPr/>
      </w:pPr>
      <w:bookmarkStart w:id="25" w:name="__RefHeading___Toc7597_3133665205"/>
      <w:bookmarkEnd w:id="25"/>
      <w:r>
        <w:rPr>
          <w:rFonts w:eastAsia="Segoe UI" w:cs="Segoe UI"/>
          <w:b/>
          <w:color w:val="0F4761"/>
          <w:sz w:val="26"/>
        </w:rPr>
        <w:t>5.9  Branding and brand pack</w:t>
      </w:r>
    </w:p>
    <w:p>
      <w:pPr>
        <w:pStyle w:val="Normal"/>
        <w:spacing w:lineRule="auto" w:line="276" w:before="0" w:after="120"/>
        <w:rPr/>
      </w:pPr>
      <w:r>
        <w:rPr>
          <w:rFonts w:eastAsia="Segoe UI" w:cs="Segoe UI" w:ascii="Segoe UI" w:hAnsi="Segoe UI"/>
          <w:color w:val="101820"/>
          <w:sz w:val="21"/>
        </w:rPr>
        <w:t>The System Administrator brands UAT on Theme and Branding (theme, sign-in page, documents and reports, e-mail, name and images), captures the signatories' e-signatures with their consent and maps signatures to documents. The brand pack is exported and imported in Production with the configuration kit. A client brand pack that carries a third party's marks (for example the Toyota Insurance Services pack) is applied only in that client's environments and only with its written permission on file.</w:t>
      </w:r>
    </w:p>
    <w:p>
      <w:pPr>
        <w:pStyle w:val="Heading2"/>
        <w:rPr/>
      </w:pPr>
      <w:bookmarkStart w:id="26" w:name="__RefHeading___Toc7599_3133665205"/>
      <w:bookmarkEnd w:id="26"/>
      <w:r>
        <w:rPr>
          <w:rFonts w:eastAsia="Segoe UI" w:cs="Segoe UI"/>
          <w:b/>
          <w:color w:val="0F4761"/>
          <w:sz w:val="26"/>
        </w:rPr>
        <w:t>5.10  Data migration</w:t>
      </w:r>
    </w:p>
    <w:p>
      <w:pPr>
        <w:pStyle w:val="Normal"/>
        <w:spacing w:lineRule="auto" w:line="276" w:before="0" w:after="120"/>
        <w:rPr/>
      </w:pPr>
      <w:r>
        <w:rPr>
          <w:rFonts w:eastAsia="Segoe UI" w:cs="Segoe UI" w:ascii="Segoe UI" w:hAnsi="Segoe UI"/>
          <w:color w:val="101820"/>
          <w:sz w:val="21"/>
        </w:rPr>
        <w:t>The detail is in the Data Migration and Cutover Plan. In outline:</w:t>
      </w:r>
    </w:p>
    <w:p>
      <w:pPr>
        <w:pStyle w:val="Normal"/>
        <w:numPr>
          <w:ilvl w:val="0"/>
          <w:numId w:val="1"/>
        </w:numPr>
        <w:spacing w:before="0" w:after="60"/>
        <w:rPr/>
      </w:pPr>
      <w:r>
        <w:rPr>
          <w:rFonts w:eastAsia="Segoe UI" w:cs="Segoe UI" w:ascii="Segoe UI" w:hAnsi="Segoe UI"/>
          <w:color w:val="101820"/>
          <w:sz w:val="21"/>
        </w:rPr>
        <w:t>The migration kit holds clients, in-force policies, open items, open claims and the GL opening balances as at the cutover date (</w:t>
      </w:r>
      <w:r>
        <w:rPr>
          <w:rFonts w:eastAsia="Consolas" w:cs="Consolas" w:ascii="Consolas" w:hAnsi="Consolas"/>
          <w:color w:val="101820"/>
          <w:sz w:val="19"/>
        </w:rPr>
        <w:t>golive.cutover_date</w:t>
      </w:r>
      <w:r>
        <w:rPr>
          <w:rFonts w:eastAsia="Segoe UI" w:cs="Segoe UI" w:ascii="Segoe UI" w:hAnsi="Segoe UI"/>
          <w:color w:val="101820"/>
          <w:sz w:val="21"/>
        </w:rPr>
        <w:t>). Migrated records keep their old numbers and post nothing; every validation shows a reconciliation of rows and totals.</w:t>
      </w:r>
    </w:p>
    <w:p>
      <w:pPr>
        <w:pStyle w:val="Normal"/>
        <w:numPr>
          <w:ilvl w:val="0"/>
          <w:numId w:val="1"/>
        </w:numPr>
        <w:spacing w:before="0" w:after="60"/>
        <w:rPr/>
      </w:pPr>
      <w:r>
        <w:rPr>
          <w:rFonts w:eastAsia="Segoe UI" w:cs="Segoe UI" w:ascii="Segoe UI" w:hAnsi="Segoe UI"/>
          <w:color w:val="101820"/>
          <w:sz w:val="21"/>
        </w:rPr>
        <w:t>The broker extracts and cleanses the data; iorta TechNXT maps it with the broker, runs the loads with the broker and checks the reconciliation.</w:t>
      </w:r>
    </w:p>
    <w:p>
      <w:pPr>
        <w:pStyle w:val="Normal"/>
        <w:numPr>
          <w:ilvl w:val="0"/>
          <w:numId w:val="1"/>
        </w:numPr>
        <w:spacing w:before="0" w:after="60"/>
        <w:rPr/>
      </w:pPr>
      <w:r>
        <w:rPr>
          <w:rFonts w:eastAsia="Segoe UI" w:cs="Segoe UI" w:ascii="Segoe UI" w:hAnsi="Segoe UI"/>
          <w:color w:val="101820"/>
          <w:sz w:val="21"/>
        </w:rPr>
        <w:t>Mock loads: small and medium, two in UAT; large, two in SIT and one in UAT; enterprise, two in SIT and two in UAT. Each runs on a fresh extract after a transaction reset. The cutover rehearsal in Pre-Prod is the last load before cutover for every size.</w:t>
      </w:r>
    </w:p>
    <w:p>
      <w:pPr>
        <w:pStyle w:val="Heading2"/>
        <w:rPr/>
      </w:pPr>
      <w:bookmarkStart w:id="27" w:name="__RefHeading___Toc7601_3133665205"/>
      <w:bookmarkEnd w:id="27"/>
      <w:r>
        <w:rPr>
          <w:rFonts w:eastAsia="Segoe UI" w:cs="Segoe UI"/>
          <w:b/>
          <w:color w:val="0F4761"/>
          <w:sz w:val="26"/>
        </w:rPr>
        <w:t>5.11  Integrations with partners</w:t>
      </w:r>
    </w:p>
    <w:p>
      <w:pPr>
        <w:pStyle w:val="Normal"/>
        <w:spacing w:lineRule="auto" w:line="276" w:before="0" w:after="120"/>
        <w:rPr/>
      </w:pPr>
      <w:r>
        <w:rPr>
          <w:rFonts w:eastAsia="Segoe UI" w:cs="Segoe UI" w:ascii="Segoe UI" w:hAnsi="Segoe UI"/>
          <w:color w:val="101820"/>
          <w:sz w:val="21"/>
        </w:rPr>
        <w:t>Every connector is delivered in test mode, so the process can be tested before the partner contract is signed. What is certified with each partner is done during onboarding with that partner.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2571"/>
        <w:gridCol w:w="2576"/>
        <w:gridCol w:w="2348"/>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Integration</w:t>
            </w:r>
          </w:p>
        </w:tc>
        <w:tc>
          <w:tcPr>
            <w:tcW w:w="25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Delivered</w:t>
            </w:r>
          </w:p>
        </w:tc>
        <w:tc>
          <w:tcPr>
            <w:tcW w:w="2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Implementation work</w:t>
            </w:r>
          </w:p>
        </w:tc>
        <w:tc>
          <w:tcPr>
            <w:tcW w:w="23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If the partner is late</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Outgoing mail through the broker's SMTP mailbox, queued in the E-mail Outbox; branded layout</w:t>
            </w:r>
          </w:p>
        </w:tc>
        <w:tc>
          <w:tcPr>
            <w:tcW w:w="2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Mailbox and credentials, sender, texts; password reset and approval link tested</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Holds the go-live</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statements</w:t>
            </w:r>
          </w:p>
        </w:tc>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 import with delivered formats; remittance bank transactions import</w:t>
            </w:r>
          </w:p>
        </w:tc>
        <w:tc>
          <w:tcPr>
            <w:tcW w:w="2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statement per account imported with a balancing preview</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Manual bank items</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 files</w:t>
            </w:r>
          </w:p>
        </w:tc>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Starter layouts for BDO, BPI, Metrobank, Landbank, UnionBank and a generic CSV; status file import</w:t>
            </w:r>
          </w:p>
        </w:tc>
        <w:tc>
          <w:tcPr>
            <w:tcW w:w="2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layout validated against the bank's current specification and a test file accepted by the bank</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Cheques and manual transfers</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SMS or Viber</w:t>
            </w:r>
          </w:p>
        </w:tc>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Connectors SMS_SEMAPHORE, SMS_GLOBE_LABS, SMS_GENERIC, VIBER_BUSINESS; message templates with consent check</w:t>
            </w:r>
          </w:p>
        </w:tc>
        <w:tc>
          <w:tcPr>
            <w:tcW w:w="2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Provider account, sender name, credentials in the secret store, live test</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notices; SMS jobs stay off</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 authentication and LTO</w:t>
            </w:r>
          </w:p>
        </w:tc>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CTPL_AUTH and LTO_FEED connectors; COC series; authentication at issue</w:t>
            </w:r>
          </w:p>
        </w:tc>
        <w:tc>
          <w:tcPr>
            <w:tcW w:w="2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Accreditation with the IC-accredited provider, COC series loaded, one COC authenticated live</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 code from the provider portal</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systems</w:t>
            </w:r>
          </w:p>
        </w:tc>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INSURER_API connector with a mapping per insurer; claim status file</w:t>
            </w:r>
          </w:p>
        </w:tc>
        <w:tc>
          <w:tcPr>
            <w:tcW w:w="2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preview, test issuance and claim status with each insurer</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Issued Policy; claim status file</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w:t>
            </w:r>
          </w:p>
        </w:tc>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PayMongo and Dragonpay, and a sandbox provider</w:t>
            </w:r>
          </w:p>
        </w:tc>
        <w:tc>
          <w:tcPr>
            <w:tcW w:w="2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Merchant account, credentials, notification address; sandbox then live test payment</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transfer, cheque, cash</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EIS</w:t>
            </w:r>
          </w:p>
        </w:tc>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EIS connector (off by default), test mode with a built-in fake provider</w:t>
            </w:r>
          </w:p>
        </w:tc>
        <w:tc>
          <w:tcPr>
            <w:tcW w:w="2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submissions; live after the BIR enrolment</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 off; earlier invoices queued later</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 reporting</w:t>
            </w:r>
          </w:p>
        </w:tc>
        <w:tc>
          <w:tcPr>
            <w:tcW w:w="2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CTR and STR report files (BV-AMLC-TXN 1.0)</w:t>
            </w:r>
          </w:p>
        </w:tc>
        <w:tc>
          <w:tcPr>
            <w:tcW w:w="2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Portal access; test file checked against the portal requirements</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Holds the go-live</w:t>
            </w:r>
          </w:p>
        </w:tc>
      </w:tr>
    </w:tbl>
    <w:p>
      <w:pPr>
        <w:pStyle w:val="Normal"/>
        <w:spacing w:before="0" w:after="80"/>
        <w:rPr/>
      </w:pPr>
      <w:r>
        <w:rPr/>
      </w:r>
    </w:p>
    <w:p>
      <w:pPr>
        <w:pStyle w:val="Heading2"/>
        <w:rPr/>
      </w:pPr>
      <w:bookmarkStart w:id="28" w:name="__RefHeading___Toc7603_3133665205"/>
      <w:bookmarkEnd w:id="28"/>
      <w:r>
        <w:rPr>
          <w:rFonts w:eastAsia="Segoe UI" w:cs="Segoe UI"/>
          <w:b/>
          <w:color w:val="0F4761"/>
          <w:sz w:val="26"/>
        </w:rPr>
        <w:t>5.12  Training</w:t>
      </w:r>
    </w:p>
    <w:p>
      <w:pPr>
        <w:pStyle w:val="Normal"/>
        <w:spacing w:lineRule="auto" w:line="276" w:before="0" w:after="120"/>
        <w:rPr/>
      </w:pPr>
      <w:r>
        <w:rPr>
          <w:rFonts w:eastAsia="Segoe UI" w:cs="Segoe UI" w:ascii="Segoe UI" w:hAnsi="Segoe UI"/>
          <w:color w:val="101820"/>
          <w:sz w:val="21"/>
        </w:rPr>
        <w:t>Train-the-trainer for the key users first, then end-user training per role, delivered by the key users with iorta TechNXT present. The compliance officer, the DPO and the System Administrator are trained by iorta TechNXT on the compliance and privacy screens. The Training Plan gives the curriculum and durations.</w:t>
      </w:r>
    </w:p>
    <w:p>
      <w:pPr>
        <w:pStyle w:val="Heading2"/>
        <w:rPr/>
      </w:pPr>
      <w:bookmarkStart w:id="29" w:name="__RefHeading___Toc7605_3133665205"/>
      <w:bookmarkEnd w:id="29"/>
      <w:r>
        <w:rPr>
          <w:rFonts w:eastAsia="Segoe UI" w:cs="Segoe UI"/>
          <w:b/>
          <w:color w:val="0F4761"/>
          <w:sz w:val="26"/>
        </w:rPr>
        <w:t>5.13  System integration test</w:t>
      </w:r>
    </w:p>
    <w:p>
      <w:pPr>
        <w:pStyle w:val="Normal"/>
        <w:spacing w:lineRule="auto" w:line="276" w:before="0" w:after="120"/>
        <w:rPr/>
      </w:pPr>
      <w:r>
        <w:rPr>
          <w:rFonts w:eastAsia="Segoe UI" w:cs="Segoe UI" w:ascii="Segoe UI" w:hAnsi="Segoe UI"/>
          <w:color w:val="101820"/>
          <w:sz w:val="21"/>
        </w:rPr>
        <w:t>iorta TechNXT runs the end-to-end flows across all roles with the configured masters: in Dev with synthetic data for a small or medium broker, in SIT with the migrated data of the latest mock load for a large or enterprise broker. The test follows the end-to-end plan (</w:t>
      </w:r>
      <w:r>
        <w:rPr>
          <w:rFonts w:eastAsia="Consolas" w:cs="Consolas" w:ascii="Consolas" w:hAnsi="Consolas"/>
          <w:color w:val="101820"/>
          <w:sz w:val="19"/>
        </w:rPr>
        <w:t>docs/e2e/E2E_TEST_PLAN.md</w:t>
      </w:r>
      <w:r>
        <w:rPr>
          <w:rFonts w:eastAsia="Segoe UI" w:cs="Segoe UI" w:ascii="Segoe UI" w:hAnsi="Segoe UI"/>
          <w:color w:val="101820"/>
          <w:sz w:val="21"/>
        </w:rPr>
        <w:t xml:space="preserve">), the scripted scenario </w:t>
      </w:r>
      <w:r>
        <w:rPr>
          <w:rFonts w:eastAsia="Consolas" w:cs="Consolas" w:ascii="Consolas" w:hAnsi="Consolas"/>
          <w:color w:val="101820"/>
          <w:sz w:val="19"/>
        </w:rPr>
        <w:t>backend/scripts/uat-scenario.js</w:t>
      </w:r>
      <w:r>
        <w:rPr>
          <w:rFonts w:eastAsia="Segoe UI" w:cs="Segoe UI" w:ascii="Segoe UI" w:hAnsi="Segoe UI"/>
          <w:color w:val="101820"/>
          <w:sz w:val="21"/>
        </w:rPr>
        <w:t xml:space="preserve"> and the release test cases for the compliance, BIR and integration features, with every connector in test mode. Defects are logged with the request ID shown in error messages.</w:t>
      </w:r>
    </w:p>
    <w:p>
      <w:pPr>
        <w:pStyle w:val="Heading2"/>
        <w:rPr/>
      </w:pPr>
      <w:bookmarkStart w:id="30" w:name="__RefHeading___Toc7607_3133665205"/>
      <w:bookmarkEnd w:id="30"/>
      <w:r>
        <w:rPr>
          <w:rFonts w:eastAsia="Segoe UI" w:cs="Segoe UI"/>
          <w:b/>
          <w:color w:val="0F4761"/>
          <w:sz w:val="26"/>
        </w:rPr>
        <w:t>5.14  User acceptance test</w:t>
      </w:r>
    </w:p>
    <w:p>
      <w:pPr>
        <w:pStyle w:val="Normal"/>
        <w:spacing w:lineRule="auto" w:line="276" w:before="0" w:after="120"/>
        <w:rPr/>
      </w:pPr>
      <w:r>
        <w:rPr>
          <w:rFonts w:eastAsia="Segoe UI" w:cs="Segoe UI" w:ascii="Segoe UI" w:hAnsi="Segoe UI"/>
          <w:color w:val="101820"/>
          <w:sz w:val="21"/>
        </w:rPr>
        <w:t xml:space="preserve">Key users run </w:t>
      </w:r>
      <w:r>
        <w:rPr>
          <w:rFonts w:eastAsia="Consolas" w:cs="Consolas" w:ascii="Consolas" w:hAnsi="Consolas"/>
          <w:color w:val="101820"/>
          <w:sz w:val="19"/>
        </w:rPr>
        <w:t>docs/onboarding/UAT_SCRIPTS.md</w:t>
      </w:r>
      <w:r>
        <w:rPr>
          <w:rFonts w:eastAsia="Segoe UI" w:cs="Segoe UI" w:ascii="Segoe UI" w:hAnsi="Segoe UI"/>
          <w:color w:val="101820"/>
          <w:sz w:val="21"/>
        </w:rPr>
        <w:t xml:space="preserve"> with the broker's own products, insurers and data, plus the scenarios agreed in discovery for the features the broker uses: client onboarding with screening and EDD, transaction alerts and a CTR file, licence and insurer authority checks, a complaint and a breach record, BIR forms and a sales invoice, bank payment files, CTPL authentication and the branded documents. Each scenario is marked Pass or Fail with date, name and, for a failure, the record number and request ID.</w:t>
      </w:r>
    </w:p>
    <w:p>
      <w:pPr>
        <w:pStyle w:val="Heading2"/>
        <w:rPr/>
      </w:pPr>
      <w:bookmarkStart w:id="31" w:name="__RefHeading___Toc7609_3133665205"/>
      <w:bookmarkEnd w:id="31"/>
      <w:r>
        <w:rPr>
          <w:rFonts w:eastAsia="Segoe UI" w:cs="Segoe UI"/>
          <w:b/>
          <w:color w:val="0F4761"/>
          <w:sz w:val="26"/>
        </w:rPr>
        <w:t>5.15  Rehearsal, cutover and go-live</w:t>
      </w:r>
    </w:p>
    <w:p>
      <w:pPr>
        <w:pStyle w:val="Normal"/>
        <w:numPr>
          <w:ilvl w:val="0"/>
          <w:numId w:val="1"/>
        </w:numPr>
        <w:spacing w:before="0" w:after="60"/>
        <w:rPr/>
      </w:pPr>
      <w:r>
        <w:rPr>
          <w:rFonts w:eastAsia="Segoe UI" w:cs="Segoe UI" w:ascii="Segoe UI" w:hAnsi="Segoe UI"/>
          <w:color w:val="101820"/>
          <w:sz w:val="21"/>
        </w:rPr>
        <w:t>The release tag and the frozen configuration go to Production before the rehearsal; the production smoke test is followed by a transaction reset.</w:t>
      </w:r>
    </w:p>
    <w:p>
      <w:pPr>
        <w:pStyle w:val="Normal"/>
        <w:numPr>
          <w:ilvl w:val="0"/>
          <w:numId w:val="1"/>
        </w:numPr>
        <w:spacing w:before="0" w:after="60"/>
        <w:rPr/>
      </w:pPr>
      <w:r>
        <w:rPr>
          <w:rFonts w:eastAsia="Segoe UI" w:cs="Segoe UI" w:ascii="Segoe UI" w:hAnsi="Segoe UI"/>
          <w:color w:val="101820"/>
          <w:sz w:val="21"/>
        </w:rPr>
        <w:t xml:space="preserve">Pre-Prod is restored from a production backup with its own secrets, e-mail off and the scheduler stopped; it is masked with </w:t>
      </w:r>
      <w:r>
        <w:rPr>
          <w:rFonts w:eastAsia="Consolas" w:cs="Consolas" w:ascii="Consolas" w:hAnsi="Consolas"/>
          <w:color w:val="101820"/>
          <w:sz w:val="19"/>
        </w:rPr>
        <w:t>mask:data --remark-copy</w:t>
      </w:r>
      <w:r>
        <w:rPr>
          <w:rFonts w:eastAsia="Segoe UI" w:cs="Segoe UI" w:ascii="Segoe UI" w:hAnsi="Segoe UI"/>
          <w:color w:val="101820"/>
          <w:sz w:val="21"/>
        </w:rPr>
        <w:t xml:space="preserve"> first when people without production access take part.</w:t>
      </w:r>
    </w:p>
    <w:p>
      <w:pPr>
        <w:pStyle w:val="Normal"/>
        <w:numPr>
          <w:ilvl w:val="0"/>
          <w:numId w:val="1"/>
        </w:numPr>
        <w:spacing w:before="0" w:after="60"/>
        <w:rPr/>
      </w:pPr>
      <w:r>
        <w:rPr>
          <w:rFonts w:eastAsia="Segoe UI" w:cs="Segoe UI" w:ascii="Segoe UI" w:hAnsi="Segoe UI"/>
          <w:color w:val="101820"/>
          <w:sz w:val="21"/>
        </w:rPr>
        <w:t>The rehearsal runs the transaction reset, the migration load of a fresh extract, the reconciliation, the go-live lock on and off, and the comparison against Production, each step timed.</w:t>
      </w:r>
    </w:p>
    <w:p>
      <w:pPr>
        <w:pStyle w:val="Normal"/>
        <w:numPr>
          <w:ilvl w:val="0"/>
          <w:numId w:val="1"/>
        </w:numPr>
        <w:spacing w:before="0" w:after="60"/>
        <w:rPr/>
      </w:pPr>
      <w:r>
        <w:rPr>
          <w:rFonts w:eastAsia="Segoe UI" w:cs="Segoe UI" w:ascii="Segoe UI" w:hAnsi="Segoe UI"/>
          <w:color w:val="101820"/>
          <w:sz w:val="21"/>
        </w:rPr>
        <w:t xml:space="preserve">Cutover follows the Data Migration and Cutover Plan: freeze of the old system, final extract and load, reconciliation signed by Accounting and the Accounting Manager, go/no-go 2, then </w:t>
      </w:r>
      <w:r>
        <w:rPr>
          <w:rFonts w:eastAsia="Consolas" w:cs="Consolas" w:ascii="Consolas" w:hAnsi="Consolas"/>
          <w:color w:val="101820"/>
          <w:sz w:val="19"/>
        </w:rPr>
        <w:t>golive.locked</w:t>
      </w:r>
      <w:r>
        <w:rPr>
          <w:rFonts w:eastAsia="Segoe UI" w:cs="Segoe UI" w:ascii="Segoe UI" w:hAnsi="Segoe UI"/>
          <w:color w:val="101820"/>
          <w:sz w:val="21"/>
        </w:rPr>
        <w:t xml:space="preserve"> and </w:t>
      </w:r>
      <w:r>
        <w:rPr>
          <w:rFonts w:eastAsia="Consolas" w:cs="Consolas" w:ascii="Consolas" w:hAnsi="Consolas"/>
          <w:color w:val="101820"/>
          <w:sz w:val="19"/>
        </w:rPr>
        <w:t>npm run mask:data -- --register-production</w:t>
      </w:r>
      <w:r>
        <w:rPr>
          <w:rFonts w:eastAsia="Segoe UI" w:cs="Segoe UI" w:ascii="Segoe UI" w:hAnsi="Segoe UI"/>
          <w:color w:val="101820"/>
          <w:sz w:val="21"/>
        </w:rPr>
        <w:t xml:space="preserve"> in Production.</w:t>
      </w:r>
    </w:p>
    <w:p>
      <w:pPr>
        <w:pStyle w:val="Heading2"/>
        <w:rPr/>
      </w:pPr>
      <w:bookmarkStart w:id="32" w:name="__RefHeading___Toc7611_3133665205"/>
      <w:bookmarkEnd w:id="32"/>
      <w:r>
        <w:rPr>
          <w:rFonts w:eastAsia="Segoe UI" w:cs="Segoe UI"/>
          <w:b/>
          <w:color w:val="0F4761"/>
          <w:sz w:val="26"/>
        </w:rPr>
        <w:t>5.16  Hypercare</w:t>
      </w:r>
    </w:p>
    <w:p>
      <w:pPr>
        <w:pStyle w:val="Normal"/>
        <w:spacing w:lineRule="auto" w:line="276" w:before="0" w:after="120"/>
        <w:rPr/>
      </w:pPr>
      <w:r>
        <w:rPr>
          <w:rFonts w:eastAsia="Segoe UI" w:cs="Segoe UI" w:ascii="Segoe UI" w:hAnsi="Segoe UI"/>
          <w:color w:val="101820"/>
          <w:sz w:val="21"/>
        </w:rPr>
        <w:t>The project team stays with the broker after go-live: daily check-in in the first week, then weekly. Hypercare covers the first receipts, remittances, bank imports and payment files, the first month-end close and the first BIR and AMLC filings that fall in the window. It ends with the handover to production support. Default length: 2 weeks (small), 3 weeks (medium), 6 weeks (large and enterprise); if the first month-end close falls after that window, hypercare extends to cover it. Pre-Prod is removed after hypercare exit.</w:t>
      </w:r>
      <w:r>
        <w:br w:type="page"/>
      </w:r>
    </w:p>
    <w:p>
      <w:pPr>
        <w:pStyle w:val="Heading1"/>
        <w:rPr/>
      </w:pPr>
      <w:bookmarkStart w:id="33" w:name="__RefHeading___Toc7613_3133665205"/>
      <w:bookmarkEnd w:id="33"/>
      <w:r>
        <w:rPr>
          <w:rFonts w:eastAsia="Segoe UI" w:cs="Segoe UI" w:ascii="Segoe UI" w:hAnsi="Segoe UI"/>
          <w:b/>
          <w:color w:val="0F4761"/>
          <w:sz w:val="32"/>
        </w:rPr>
        <w:t>6.  Timelines by size</w:t>
      </w:r>
    </w:p>
    <w:p>
      <w:pPr>
        <w:pStyle w:val="Heading2"/>
        <w:rPr/>
      </w:pPr>
      <w:bookmarkStart w:id="34" w:name="__RefHeading___Toc7615_3133665205"/>
      <w:bookmarkEnd w:id="34"/>
      <w:r>
        <w:rPr>
          <w:rFonts w:eastAsia="Segoe UI" w:cs="Segoe UI"/>
          <w:b/>
          <w:color w:val="0F4761"/>
          <w:sz w:val="26"/>
        </w:rPr>
        <w:t>6.1  Phases and milestones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87"/>
        <w:gridCol w:w="912"/>
        <w:gridCol w:w="1127"/>
        <w:gridCol w:w="1126"/>
        <w:gridCol w:w="1362"/>
      </w:tblGrid>
      <w:tr>
        <w:trPr>
          <w:tblHeader w:val="true"/>
        </w:trPr>
        <w:tc>
          <w:tcPr>
            <w:tcW w:w="44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Phase</w:t>
            </w:r>
          </w:p>
        </w:tc>
        <w:tc>
          <w:tcPr>
            <w:tcW w:w="9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11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11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w:t>
            </w:r>
          </w:p>
        </w:tc>
        <w:tc>
          <w:tcPr>
            <w:tcW w:w="1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Enterprise</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Mobilisation</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Environments and pipeline</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W2</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W3</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W4</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W5</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Discovery and fit-gap</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W2</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W3</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W4</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W6</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inputs</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W2</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W3</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W4</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W6</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Regulatory registrations</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W6</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W6</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W9</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W12</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(go-live configuration kit)</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 to W4</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 to W6</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W3 to W10</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W4 to W13</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set-up</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W3 to W4</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W4 to W6</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W6 to W8</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W8 to W10</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Branding and brand pack</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W3 to W4</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W4 to W5</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W6 to W7</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W8 to W9</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Integrations with partners</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 to W7</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 to W10</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W3 to W15</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W3 to W21</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migration (go-live migration kit)</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W5</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W7</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W13</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W18</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Training</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W4 to W6</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W6 to W9</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W8 to W14</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W10 to W19</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and UAT</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W4 to W6</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W6 to W9</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W10 to W14</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W13 to W20</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Rehearsal and cutover</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W5 to W7</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W8 to W10</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W12 to W15</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W16 to W21</w:t>
            </w:r>
          </w:p>
        </w:tc>
      </w:tr>
      <w:tr>
        <w:trPr/>
        <w:tc>
          <w:tcPr>
            <w:tcW w:w="44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W7 to W8</w:t>
            </w:r>
          </w:p>
        </w:tc>
        <w:tc>
          <w:tcPr>
            <w:tcW w:w="1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W10 to W12</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W15 to W20</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W21 to W26</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41"/>
        <w:gridCol w:w="1106"/>
        <w:gridCol w:w="1203"/>
        <w:gridCol w:w="1202"/>
        <w:gridCol w:w="1362"/>
      </w:tblGrid>
      <w:tr>
        <w:trPr>
          <w:tblHeader w:val="true"/>
        </w:trPr>
        <w:tc>
          <w:tcPr>
            <w:tcW w:w="41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Milestone</w:t>
            </w:r>
          </w:p>
        </w:tc>
        <w:tc>
          <w:tcPr>
            <w:tcW w:w="11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12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12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w:t>
            </w:r>
          </w:p>
        </w:tc>
        <w:tc>
          <w:tcPr>
            <w:tcW w:w="1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Enterprise</w:t>
            </w:r>
          </w:p>
        </w:tc>
      </w:tr>
      <w:tr>
        <w:trPr/>
        <w:tc>
          <w:tcPr>
            <w:tcW w:w="4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Kick-off</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W1</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W1</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W1</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W1</w:t>
            </w:r>
          </w:p>
        </w:tc>
      </w:tr>
      <w:tr>
        <w:trPr/>
        <w:tc>
          <w:tcPr>
            <w:tcW w:w="4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decisions and fit-gap signed</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W2</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W3</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W4</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W6</w:t>
            </w:r>
          </w:p>
        </w:tc>
      </w:tr>
      <w:tr>
        <w:trPr/>
        <w:tc>
          <w:tcPr>
            <w:tcW w:w="4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complete</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W4</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W6</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W10</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W13</w:t>
            </w:r>
          </w:p>
        </w:tc>
      </w:tr>
      <w:tr>
        <w:trPr/>
        <w:tc>
          <w:tcPr>
            <w:tcW w:w="4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exit</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W4</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W7</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W12</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W16</w:t>
            </w:r>
          </w:p>
        </w:tc>
      </w:tr>
      <w:tr>
        <w:trPr/>
        <w:tc>
          <w:tcPr>
            <w:tcW w:w="4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sign-off</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W6</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W9</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W14</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W20</w:t>
            </w:r>
          </w:p>
        </w:tc>
      </w:tr>
      <w:tr>
        <w:trPr/>
        <w:tc>
          <w:tcPr>
            <w:tcW w:w="4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W6</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W9</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W14</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W20</w:t>
            </w:r>
          </w:p>
        </w:tc>
      </w:tr>
      <w:tr>
        <w:trPr/>
        <w:tc>
          <w:tcPr>
            <w:tcW w:w="4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W7</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W10</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W15</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W21</w:t>
            </w:r>
          </w:p>
        </w:tc>
      </w:tr>
      <w:tr>
        <w:trPr/>
        <w:tc>
          <w:tcPr>
            <w:tcW w:w="4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 and handover</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W8</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W12</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W20</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 of W26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Integrations run to the go-live week because the EIS connector is switched on after the BIR enrolment; every other partner certification is planned before go-live.</w:t>
      </w:r>
    </w:p>
    <w:p>
      <w:pPr>
        <w:pStyle w:val="Heading2"/>
        <w:rPr/>
      </w:pPr>
      <w:bookmarkStart w:id="35" w:name="__RefHeading___Toc7617_3133665205"/>
      <w:bookmarkEnd w:id="35"/>
      <w:r>
        <w:rPr>
          <w:rFonts w:eastAsia="Segoe UI" w:cs="Segoe UI"/>
          <w:b/>
          <w:color w:val="0F4761"/>
          <w:sz w:val="26"/>
        </w:rPr>
        <w:t>6.2  Small broker (8 weeks)</w:t>
      </w:r>
    </w:p>
    <w:p>
      <w:pPr>
        <w:pStyle w:val="Normal"/>
        <w:jc w:val="center"/>
        <w:rPr/>
      </w:pPr>
      <w:r>
        <w:rPr/>
        <w:drawing>
          <wp:inline distT="0" distB="0" distL="0" distR="0">
            <wp:extent cx="5760085" cy="2292350"/>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2292350"/>
                    </a:xfrm>
                    <a:prstGeom prst="rect">
                      <a:avLst/>
                    </a:prstGeom>
                  </pic:spPr>
                </pic:pic>
              </a:graphicData>
            </a:graphic>
          </wp:inline>
        </w:drawing>
      </w:r>
    </w:p>
    <w:p>
      <w:pPr>
        <w:pStyle w:val="Normal"/>
        <w:jc w:val="center"/>
        <w:rPr/>
      </w:pPr>
      <w:r>
        <w:rPr>
          <w:rFonts w:eastAsia="Segoe UI" w:cs="Segoe UI" w:ascii="Segoe UI" w:hAnsi="Segoe UI"/>
          <w:i/>
          <w:color w:val="555F6D"/>
          <w:sz w:val="18"/>
        </w:rPr>
        <w:t>Small broker: phases by week. Red: tasks on the critical path to go-live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68"/>
        <w:gridCol w:w="404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Week</w:t>
            </w:r>
          </w:p>
        </w:tc>
        <w:tc>
          <w:tcPr>
            <w:tcW w:w="40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Activities</w:t>
            </w:r>
          </w:p>
        </w:tc>
        <w:tc>
          <w:tcPr>
            <w:tcW w:w="4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Milestones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charter and RAID log; data request and kits issued; team named; hosting decided; Dev and UAT provisioned; GitHub Environments, secrets and keys; all workshops start; insurers, rates, products, chart of accounts and user list provided; registrations confirmed or started (ATP or CAS, EIS, AMLC, IC licences, NPC); extraction starts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held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Workshops completed; configuration kit filled; first pipeline deployment; e-mail tested; Production provisioned; partner contracts and COC series; screening lists sourced</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Fit-gap register signed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loaded in Dev; on-screen configuration; configuration promoted to UAT; mock load 1 in UAT starts; compliance set-up; branding and brand pack; bank statement imports; partner certifications start (bank files, SMS, CTPL, insurers, gateway)</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 configuration completed; SIT in Dev; screening lists loaded; AMLC report file test; compliance officer and DPO training; tax adviser confirmation; EIS in test mode; ATP or CAS in place; train-the-trainer</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 configuration complete; SIT exit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candidate and frozen configuration to UAT; UAT starts; release to Production and smoke test; Pre-Prod from a production backup; mock load 2; end-user training; bank files and insurer APIs certified</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2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completed; end-user training completed; cutover rehearsal in Pre-Prod; go/no-go; cutover at the close of the week</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go decision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daily hypercare; first receipts, remittances and bank imports watched; EIS live once enrolled</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first month-end close where it falls; knowledge transfer; handover; Pre-Prod removed</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w:t>
            </w:r>
          </w:p>
        </w:tc>
      </w:tr>
    </w:tbl>
    <w:p>
      <w:pPr>
        <w:pStyle w:val="Normal"/>
        <w:spacing w:before="0" w:after="80"/>
        <w:rPr/>
      </w:pPr>
      <w:r>
        <w:rPr/>
      </w:r>
    </w:p>
    <w:p>
      <w:pPr>
        <w:pStyle w:val="Heading2"/>
        <w:rPr/>
      </w:pPr>
      <w:bookmarkStart w:id="36" w:name="__RefHeading___Toc7619_3133665205"/>
      <w:bookmarkEnd w:id="36"/>
      <w:r>
        <w:rPr>
          <w:rFonts w:eastAsia="Segoe UI" w:cs="Segoe UI"/>
          <w:b/>
          <w:color w:val="0F4761"/>
          <w:sz w:val="26"/>
        </w:rPr>
        <w:t>6.3  Medium broker (12 weeks)</w:t>
      </w:r>
    </w:p>
    <w:p>
      <w:pPr>
        <w:pStyle w:val="Normal"/>
        <w:jc w:val="center"/>
        <w:rPr/>
      </w:pPr>
      <w:r>
        <w:rPr/>
        <w:drawing>
          <wp:inline distT="0" distB="0" distL="0" distR="0">
            <wp:extent cx="5760085" cy="2287905"/>
            <wp:effectExtent l="0" t="0" r="0" b="0"/>
            <wp:docPr id="10" name="Picture 2121288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21288190" descr=""/>
                    <pic:cNvPicPr>
                      <a:picLocks noChangeAspect="1" noChangeArrowheads="1"/>
                    </pic:cNvPicPr>
                  </pic:nvPicPr>
                  <pic:blipFill>
                    <a:blip r:embed="rId6"/>
                    <a:stretch>
                      <a:fillRect/>
                    </a:stretch>
                  </pic:blipFill>
                  <pic:spPr bwMode="auto">
                    <a:xfrm>
                      <a:off x="0" y="0"/>
                      <a:ext cx="5760085" cy="2287905"/>
                    </a:xfrm>
                    <a:prstGeom prst="rect">
                      <a:avLst/>
                    </a:prstGeom>
                  </pic:spPr>
                </pic:pic>
              </a:graphicData>
            </a:graphic>
          </wp:inline>
        </w:drawing>
      </w:r>
    </w:p>
    <w:p>
      <w:pPr>
        <w:pStyle w:val="Normal"/>
        <w:jc w:val="center"/>
        <w:rPr/>
      </w:pPr>
      <w:r>
        <w:rPr>
          <w:rFonts w:eastAsia="Segoe UI" w:cs="Segoe UI" w:ascii="Segoe UI" w:hAnsi="Segoe UI"/>
          <w:i/>
          <w:color w:val="555F6D"/>
          <w:sz w:val="18"/>
        </w:rPr>
        <w:t>Medium broker: phases by week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850"/>
        <w:gridCol w:w="325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Week</w:t>
            </w:r>
          </w:p>
        </w:tc>
        <w:tc>
          <w:tcPr>
            <w:tcW w:w="4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Activities</w:t>
            </w:r>
          </w:p>
        </w:tc>
        <w:tc>
          <w:tcPr>
            <w:tcW w:w="32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Milestones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governance; data request and kits; team named; hosting decided; Dev and UAT provisioned; workshops start; registrations confirmed or started; extraction starts</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held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GitHub Environments, secrets and keys; first pipeline deployment; e-mail tested; insurers, rates, products and chart of accounts provided; configuration kit filling starts; Production provisioned</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Workshops completed; mapping to the migration kit; partner contracts</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Fit-gap register signed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loaded in Dev; on-screen configuration starts; configuration promoted to UAT; compliance set-up; branding; partner certifications start</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in UAT; bank statement imports; payment gateway; ATP or CAS in place</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completed; SIT cycle 1; screening lists loaded; AMLC report file test; compliance officer and DPO training; tax adviser confirmation</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cycle 2 and exit; promotion to UAT; mock load 2; train-the-trainer; EIS in test mode; bank payment files certified</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mock load 2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1; end-user training; release to Production; Pre-Prod; insurer APIs certified</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1 results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2; end-user training completed; cutover rehearsal in Pre-Prod; go/no-go; cutover</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go decision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daily hypercare; EIS live once enrolled</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first remittance run and bank reconciliations</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hypercare review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first month-end close supported; knowledge transfer; handover; Pre-Prod removed</w:t>
            </w:r>
          </w:p>
        </w:tc>
        <w:tc>
          <w:tcPr>
            <w:tcW w:w="3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w:t>
            </w:r>
          </w:p>
        </w:tc>
      </w:tr>
    </w:tbl>
    <w:p>
      <w:pPr>
        <w:pStyle w:val="Normal"/>
        <w:spacing w:before="0" w:after="80"/>
        <w:rPr/>
      </w:pPr>
      <w:r>
        <w:rPr/>
      </w:r>
    </w:p>
    <w:p>
      <w:pPr>
        <w:pStyle w:val="Heading2"/>
        <w:rPr/>
      </w:pPr>
      <w:bookmarkStart w:id="37" w:name="__RefHeading___Toc7621_3133665205"/>
      <w:bookmarkEnd w:id="37"/>
      <w:r>
        <w:rPr>
          <w:rFonts w:eastAsia="Segoe UI" w:cs="Segoe UI"/>
          <w:b/>
          <w:color w:val="0F4761"/>
          <w:sz w:val="26"/>
        </w:rPr>
        <w:t>6.4  Large broker (20 weeks)</w:t>
      </w:r>
    </w:p>
    <w:p>
      <w:pPr>
        <w:pStyle w:val="Normal"/>
        <w:jc w:val="center"/>
        <w:rPr/>
      </w:pPr>
      <w:r>
        <w:rPr/>
        <w:drawing>
          <wp:inline distT="0" distB="0" distL="0" distR="0">
            <wp:extent cx="5760085" cy="2287905"/>
            <wp:effectExtent l="0" t="0" r="0" b="0"/>
            <wp:docPr id="11" name="Picture 2121288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21288191" descr=""/>
                    <pic:cNvPicPr>
                      <a:picLocks noChangeAspect="1" noChangeArrowheads="1"/>
                    </pic:cNvPicPr>
                  </pic:nvPicPr>
                  <pic:blipFill>
                    <a:blip r:embed="rId7"/>
                    <a:stretch>
                      <a:fillRect/>
                    </a:stretch>
                  </pic:blipFill>
                  <pic:spPr bwMode="auto">
                    <a:xfrm>
                      <a:off x="0" y="0"/>
                      <a:ext cx="5760085" cy="2287905"/>
                    </a:xfrm>
                    <a:prstGeom prst="rect">
                      <a:avLst/>
                    </a:prstGeom>
                  </pic:spPr>
                </pic:pic>
              </a:graphicData>
            </a:graphic>
          </wp:inline>
        </w:drawing>
      </w:r>
    </w:p>
    <w:p>
      <w:pPr>
        <w:pStyle w:val="Normal"/>
        <w:jc w:val="center"/>
        <w:rPr/>
      </w:pPr>
      <w:r>
        <w:rPr>
          <w:rFonts w:eastAsia="Segoe UI" w:cs="Segoe UI" w:ascii="Segoe UI" w:hAnsi="Segoe UI"/>
          <w:i/>
          <w:color w:val="555F6D"/>
          <w:sz w:val="18"/>
        </w:rPr>
        <w:t>Large broker: phases by week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186"/>
        <w:gridCol w:w="292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Week</w:t>
            </w:r>
          </w:p>
        </w:tc>
        <w:tc>
          <w:tcPr>
            <w:tcW w:w="51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Activities</w:t>
            </w:r>
          </w:p>
        </w:tc>
        <w:tc>
          <w:tcPr>
            <w:tcW w:w="29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Milestones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governance; data request and kits; team named; hosting decided; workshops start; registrations confirmed or started; extraction starts</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held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SIT and UAT provisioned; GitHub Environments, secrets and keys; Production provisioning starts; partner contracts</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pipeline deployment to Dev, SIT and UAT; e-mail tested; insurers, rates, products and chart of accounts provided; configuration kit filling starts</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ready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Workshops completed; mapping</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Fit-gap register signed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filled</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loaded in SIT; on-screen configuration; compliance set-up; branding; bank statement imports; mock load 1 in SIT; partner certifications start</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 branding and brand pack completed</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set-up completed; screening lists loaded; AMLC report file test; compliance officer and DPO training; tax adviser review</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continues; CTPL authentication certified</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completed; SIT starts; mock load 2 in SIT; train-the-trainer; EIS in test mode; bank payment files certified</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mock load 2 reconciled; insurer APIs certified</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2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promotion to UAT; UAT starts; mock load 3 in UAT; end-user training (head office); release to Production</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Pre-Prod from a production backup; end-user training (branches)</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3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completed; cutover rehearsal in Pre-Prod; go/no-go; cutover</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go decision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for all branches; daily hypercare at head office; floor walkers in the branches</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 to 17</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first remittance runs, bank reconciliations, payment files, collection, commission payout and renewal cycles</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hypercare review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 to 19</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 and BIR working papers of the first month (timing depends on the go-live date); settings review</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close completed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5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Knowledge transfer; handover; Pre-Prod removed</w:t>
            </w:r>
          </w:p>
        </w:tc>
        <w:tc>
          <w:tcPr>
            <w:tcW w:w="29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All branches go live on one date, because the ledger, the receivables and the amounts due to insurers move to BrokerVerse at a single cutover. A large broker with one office cluster and a simple product mix can follow a 16-week variant: discovery ends in week 4, configuration in week 8, three mock loads (the last as the rehearsal in Pre-Prod), go-live at the start of week 13 and hypercare in weeks 13 to 16 (extended to the first month-end close if needed).</w:t>
      </w:r>
    </w:p>
    <w:p>
      <w:pPr>
        <w:pStyle w:val="Heading2"/>
        <w:rPr/>
      </w:pPr>
      <w:bookmarkStart w:id="38" w:name="__RefHeading___Toc7623_3133665205"/>
      <w:bookmarkEnd w:id="38"/>
      <w:r>
        <w:rPr>
          <w:rFonts w:eastAsia="Segoe UI" w:cs="Segoe UI"/>
          <w:b/>
          <w:color w:val="0F4761"/>
          <w:sz w:val="26"/>
        </w:rPr>
        <w:t>6.5  Enterprise broker (26 weeks)</w:t>
      </w:r>
    </w:p>
    <w:p>
      <w:pPr>
        <w:pStyle w:val="Normal"/>
        <w:jc w:val="center"/>
        <w:rPr/>
      </w:pPr>
      <w:r>
        <w:rPr/>
        <w:drawing>
          <wp:inline distT="0" distB="0" distL="0" distR="0">
            <wp:extent cx="5760085" cy="2306955"/>
            <wp:effectExtent l="0" t="0" r="0" b="0"/>
            <wp:docPr id="12" name="Picture 2121288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21288192" descr=""/>
                    <pic:cNvPicPr>
                      <a:picLocks noChangeAspect="1" noChangeArrowheads="1"/>
                    </pic:cNvPicPr>
                  </pic:nvPicPr>
                  <pic:blipFill>
                    <a:blip r:embed="rId8"/>
                    <a:stretch>
                      <a:fillRect/>
                    </a:stretch>
                  </pic:blipFill>
                  <pic:spPr bwMode="auto">
                    <a:xfrm>
                      <a:off x="0" y="0"/>
                      <a:ext cx="5760085" cy="2306955"/>
                    </a:xfrm>
                    <a:prstGeom prst="rect">
                      <a:avLst/>
                    </a:prstGeom>
                  </pic:spPr>
                </pic:pic>
              </a:graphicData>
            </a:graphic>
          </wp:inline>
        </w:drawing>
      </w:r>
    </w:p>
    <w:p>
      <w:pPr>
        <w:pStyle w:val="Normal"/>
        <w:jc w:val="center"/>
        <w:rPr/>
      </w:pPr>
      <w:r>
        <w:rPr>
          <w:rFonts w:eastAsia="Segoe UI" w:cs="Segoe UI" w:ascii="Segoe UI" w:hAnsi="Segoe UI"/>
          <w:i/>
          <w:color w:val="555F6D"/>
          <w:sz w:val="18"/>
        </w:rPr>
        <w:t>Enterprise broker: phases by week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052"/>
        <w:gridCol w:w="305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Week</w:t>
            </w:r>
          </w:p>
        </w:tc>
        <w:tc>
          <w:tcPr>
            <w:tcW w:w="50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Activities</w:t>
            </w:r>
          </w:p>
        </w:tc>
        <w:tc>
          <w:tcPr>
            <w:tcW w:w="30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Milestones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governance; data request and kits; team named; hosting decided; Dev, SIT and UAT provisioned; GitHub Environments, secrets and keys; workshops start; registrations confirmed or started; extraction starts</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held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to 5</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pipeline deployment; e-mail tested; Production provisioned (high availability, cross-region backup copy); insurers, rates, products and chart of accounts provided; configuration kit filling starts; mapping</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ready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Workshops completed; partner contracts completed</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Fit-gap register signed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to 8</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filled and loaded in SIT; on-screen configuration starts; compliance set-up; branding; mock load 1 in SIT starts; partner certifications start</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 to 12</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 on-screen configuration; screening lists loaded; AMLC report file test; compliance officer and DPO training; CTPL authentication certified; tax adviser confirmation</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completed; SIT starts; mock load 2 in SIT; train-the-trainer starts; EIS in test mode; bank payment files and insurer APIs certified</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 to 15</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mock load 2 reconciled; train-the-trainer completed</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2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promotion to UAT; UAT starts; mock load 3 in UAT; end-user training starts; release to Production</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 to 18</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Pre-Prod; mock load 4 in UAT</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3 and 4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 to 20</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completed; end-user training completed; cutover rehearsal in Pre-Prod; go/no-go; cutover</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go decision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for every branch and channel; daily hypercare; EIS live once enrolled</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 to 23</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remittance, bank, payment file, commission and renewal cycles</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hypercare review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to 25</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 and the first BIR and AMLC filings</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close completed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c>
          <w:tcPr>
            <w:tcW w:w="5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Knowledge transfer; handover; Pre-Prod removed</w:t>
            </w:r>
          </w:p>
        </w:tc>
        <w:tc>
          <w:tcPr>
            <w:tcW w:w="3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enterprise plan is the reference; the actual plan is set at mobilisation with the number of lines of business, insurers, branches and channels.</w:t>
      </w:r>
    </w:p>
    <w:p>
      <w:pPr>
        <w:pStyle w:val="Heading2"/>
        <w:rPr/>
      </w:pPr>
      <w:bookmarkStart w:id="39" w:name="__RefHeading___Toc7625_3133665205"/>
      <w:bookmarkEnd w:id="39"/>
      <w:r>
        <w:rPr>
          <w:rFonts w:eastAsia="Segoe UI" w:cs="Segoe UI"/>
          <w:b/>
          <w:color w:val="0F4761"/>
          <w:sz w:val="26"/>
        </w:rPr>
        <w:t>6.6  Task-level plan</w:t>
      </w:r>
    </w:p>
    <w:p>
      <w:pPr>
        <w:pStyle w:val="Normal"/>
        <w:spacing w:lineRule="auto" w:line="276" w:before="0" w:after="120"/>
        <w:rPr/>
      </w:pPr>
      <w:r>
        <w:rPr>
          <w:rFonts w:eastAsia="Segoe UI" w:cs="Segoe UI" w:ascii="Segoe UI" w:hAnsi="Segoe UI"/>
          <w:color w:val="101820"/>
          <w:sz w:val="21"/>
        </w:rPr>
        <w:t>The workbook holds the task-level plan of each size: 77 tasks in 14 phases (fewer for small and medium, which have no SIT environment and fewer mock loads), each with its duration in working days, owner party, owner role, deliverable or evidence, predecessors, start and finish dates from the kick-off date typed on the sheet, float to go-live and whether it is on the critical path. The table below lists the tasks, their owner and what each holds back.</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365"/>
        <w:gridCol w:w="1106"/>
        <w:gridCol w:w="2338"/>
        <w:gridCol w:w="229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23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Task</w:t>
            </w:r>
          </w:p>
        </w:tc>
        <w:tc>
          <w:tcPr>
            <w:tcW w:w="11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Party</w:t>
            </w:r>
          </w:p>
        </w:tc>
        <w:tc>
          <w:tcPr>
            <w:tcW w:w="23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 role</w:t>
            </w:r>
          </w:p>
        </w:tc>
        <w:tc>
          <w:tcPr>
            <w:tcW w:w="22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Holds back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M1 to M5</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Kick-off; charter, plan, governance, RAID log; data request and kits; broker team named; hosting and environment set</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broker</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PM; broker sponsor</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E1 to E7</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SIT, UAT provisioned; GitHub Environments; secrets and keys with custody; first pipeline deployment; Production with backups and restore test</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DevOps lead</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D1 to D5</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Process, compliance, integration and branding workshops; fit-gap signed</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broker</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process owners</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I1 to I10</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Insurers and rates; chart of accounts; user list; SMTP; banks; partner contracts; COC series; images and signatories; training rooms; UAT testers</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Accounting Manager, System Administrator, IT head, PM</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except partner contracts and COC series (feature only)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 to R8</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ATP or CAS; EIS enrolment; AMLC registration; IC licence data; NPC registration; tax adviser confirmation; screening lists; permission for client marks</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Manager, compliance officer, DPO, tax adviser, sponsor</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except EIS and client marks (feature only)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C1 to C5</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kit filled and loaded; on-screen configuration; promotion to UAT for mock 1; configuration complete</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iorta TechNXT</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consultants</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(critical path)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K1 to K3</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set-up; screening lists loaded; AMLC report file test</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broker</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 compliance officer</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B1, B2</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Branding, e-signatures and brand pack; client brand pack with permission</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client pack feature only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N1 to N9</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bank statements; bank payment files; SMS; CTPL and LTO; insurer APIs; payment gateway; EIS test and live</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partner</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DevOps lead, consultants; banks, providers, insurers</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and statements: go-live; the others feature only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G1 to G6</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Extraction and cleansing; mapping; mock loads 1 to 4</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iorta TechNXT</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owners; migration lead</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L1 to L3</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Train-the-trainer; compliance officer and DPO training; end-user training</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broker</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key users</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T1 to T5</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SIT exit; promotion to UAT; UAT; UAT sign-off</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broker</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Test lead; key users; sponsor</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(critical path)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X1 to X6</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to Production; Pre-Prod; rehearsal; go/no-go 1; cutover; go-live</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broker</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DevOps lead, migration lead; steering committee</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(critical path)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H1 to H3</w:t>
            </w:r>
          </w:p>
        </w:tc>
        <w:tc>
          <w:tcPr>
            <w:tcW w:w="23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first month-end close; handover</w:t>
            </w:r>
          </w:p>
        </w:tc>
        <w:tc>
          <w:tcPr>
            <w:tcW w:w="1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broker</w:t>
            </w:r>
          </w:p>
        </w:tc>
        <w:tc>
          <w:tcPr>
            <w:tcW w:w="23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Accounting Manager; support manager</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critical path is the same for every size: client data for the configuration kit, configuration, SIT, UAT, rehearsal, go/no-go, cutover. The Dependency Map and Critical Path shows it per size with the near-critical tasks and the effect of each late dependency.</w:t>
      </w:r>
      <w:r>
        <w:br w:type="page"/>
      </w:r>
    </w:p>
    <w:p>
      <w:pPr>
        <w:pStyle w:val="Heading1"/>
        <w:rPr/>
      </w:pPr>
      <w:bookmarkStart w:id="40" w:name="__RefHeading___Toc7627_3133665205"/>
      <w:bookmarkEnd w:id="40"/>
      <w:r>
        <w:rPr>
          <w:rFonts w:eastAsia="Segoe UI" w:cs="Segoe UI" w:ascii="Segoe UI" w:hAnsi="Segoe UI"/>
          <w:b/>
          <w:color w:val="0F4761"/>
          <w:sz w:val="32"/>
        </w:rPr>
        <w:t>7.  Roles and responsibilities</w:t>
      </w:r>
    </w:p>
    <w:p>
      <w:pPr>
        <w:pStyle w:val="Heading2"/>
        <w:rPr/>
      </w:pPr>
      <w:bookmarkStart w:id="41" w:name="__RefHeading___Toc7629_3133665205"/>
      <w:bookmarkEnd w:id="41"/>
      <w:r>
        <w:rPr>
          <w:rFonts w:eastAsia="Segoe UI" w:cs="Segoe UI"/>
          <w:b/>
          <w:color w:val="0F4761"/>
          <w:sz w:val="26"/>
        </w:rPr>
        <w:t>7.1  Project roles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3489"/>
        <w:gridCol w:w="3489"/>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Party</w:t>
            </w:r>
          </w:p>
        </w:tc>
        <w:tc>
          <w:tcPr>
            <w:tcW w:w="3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Responsibilities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sponsor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Chairs the steering committee; approves scope, change requests, go/no-go; permission for any client marks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Plans the broker's work, obtains data, decisions and registrations, runs UAT and training logistics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owners and key users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per team; take part in discovery, fill the configuration kit, test, train their team</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roles, masters, settings, branding and loads after go-live; second line of support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posting rules, tax set-up, ATP or CAS, EIS enrolment, opening balances, close; signs off the financial reconciliation</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programme and settings, screening lists, AMLC registration and filings, IC licences, complaints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protection officer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registration, privacy notice, masking approvals, breach register, privacy impact assessment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decision, partner credentials in the secret store, key custody with iorta TechNXT, network and devices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adviser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Confirms tax codes, ATC, rates, invoice and receipt wording</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Partners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SMS provider, CTPL authentication provider, insurers, payment gateway</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Certify their interface with the broker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quality and resources; steering committee member when cost or the go-live date is at stake</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RAID log, dependencies, status reports, steering committee papers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Functional consultants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configuration, compliance set-up, branding, SIT, training of key users, UAT support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mock loads, reconciliation, rehearsal, cutover loads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and DevOps lead</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pipeline, GitHub Environments, secrets and keys, connectors, backups, monitoring, Pre-Prod, cutover execution</w:t>
            </w:r>
          </w:p>
        </w:tc>
      </w:tr>
    </w:tbl>
    <w:p>
      <w:pPr>
        <w:pStyle w:val="Normal"/>
        <w:spacing w:before="0" w:after="80"/>
        <w:rPr/>
      </w:pPr>
      <w:r>
        <w:rPr/>
      </w:r>
    </w:p>
    <w:p>
      <w:pPr>
        <w:pStyle w:val="Heading2"/>
        <w:rPr/>
      </w:pPr>
      <w:bookmarkStart w:id="42" w:name="__RefHeading___Toc7631_3133665205"/>
      <w:bookmarkEnd w:id="42"/>
      <w:r>
        <w:rPr>
          <w:rFonts w:eastAsia="Segoe UI" w:cs="Segoe UI"/>
          <w:b/>
          <w:color w:val="0F4761"/>
          <w:sz w:val="26"/>
        </w:rPr>
        <w:t>7.2  RACI</w:t>
      </w:r>
    </w:p>
    <w:p>
      <w:pPr>
        <w:pStyle w:val="Normal"/>
        <w:spacing w:lineRule="auto" w:line="276" w:before="0" w:after="120"/>
        <w:rPr/>
      </w:pPr>
      <w:r>
        <w:rPr>
          <w:rFonts w:eastAsia="Segoe UI" w:cs="Segoe UI" w:ascii="Segoe UI" w:hAnsi="Segoe UI"/>
          <w:color w:val="101820"/>
          <w:sz w:val="21"/>
        </w:rPr>
        <w:t>R = Responsible, A = Accountable, C = Consulted, I = Informed. The full matrix, with the broker compliance officer and DPO and the partners as separate columns, is in the workbook.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71"/>
        <w:gridCol w:w="1094"/>
        <w:gridCol w:w="1229"/>
        <w:gridCol w:w="1435"/>
        <w:gridCol w:w="2185"/>
      </w:tblGrid>
      <w:tr>
        <w:trPr>
          <w:tblHeader w:val="true"/>
        </w:trPr>
        <w:tc>
          <w:tcPr>
            <w:tcW w:w="30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Activity</w:t>
            </w:r>
          </w:p>
        </w:tc>
        <w:tc>
          <w:tcPr>
            <w:tcW w:w="10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iorta TechNXT PM</w:t>
            </w:r>
          </w:p>
        </w:tc>
        <w:tc>
          <w:tcPr>
            <w:tcW w:w="1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iorta TechNXT team</w:t>
            </w:r>
          </w:p>
        </w:tc>
        <w:tc>
          <w:tcPr>
            <w:tcW w:w="14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 sponsor and PM</w:t>
            </w:r>
          </w:p>
        </w:tc>
        <w:tc>
          <w:tcPr>
            <w:tcW w:w="21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 key users, IT, compliance</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plan and governance</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C</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I</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I</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request, kits and extraction</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Discovery workshops</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C</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decisions</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kit and on-screen configuration</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C</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Environments, pipeline, backups, monitoring</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Encryption keys and their custody</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A</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Regulatory registrations</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Manager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R</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set-up</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A</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Branding, e-signatures, brand pack</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loads and reconciliation</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Manager R</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Partner integrations</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Partners R</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integration test</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C</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execution and sign-off</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R</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Training</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(TTT)</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 (end users)</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execution</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 decision</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C</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C</w:t>
            </w:r>
          </w:p>
        </w:tc>
      </w:tr>
      <w:tr>
        <w:trPr/>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and handover</w:t>
            </w:r>
          </w:p>
        </w:tc>
        <w:tc>
          <w:tcPr>
            <w:tcW w:w="1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2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bl>
    <w:p>
      <w:pPr>
        <w:pStyle w:val="Heading1"/>
        <w:rPr/>
      </w:pPr>
      <w:r>
        <w:br w:type="page"/>
      </w:r>
      <w:bookmarkStart w:id="43" w:name="__RefHeading___Toc7633_3133665205"/>
      <w:bookmarkEnd w:id="43"/>
      <w:r>
        <w:rPr>
          <w:rFonts w:eastAsia="Segoe UI" w:cs="Segoe UI" w:ascii="Segoe UI" w:hAnsi="Segoe UI"/>
          <w:b/>
          <w:color w:val="0F4761"/>
          <w:sz w:val="32"/>
        </w:rPr>
        <w:t>8.  Governance</w:t>
      </w:r>
    </w:p>
    <w:p>
      <w:pPr>
        <w:pStyle w:val="Heading2"/>
        <w:rPr/>
      </w:pPr>
      <w:bookmarkStart w:id="44" w:name="__RefHeading___Toc7635_3133665205"/>
      <w:bookmarkEnd w:id="44"/>
      <w:r>
        <w:rPr>
          <w:rFonts w:eastAsia="Segoe UI" w:cs="Segoe UI"/>
          <w:b/>
          <w:color w:val="0F4761"/>
          <w:sz w:val="26"/>
        </w:rPr>
        <w:t>8.1  Steering committee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23"/>
        <w:gridCol w:w="7590"/>
      </w:tblGrid>
      <w:tr>
        <w:trPr>
          <w:tblHeader w:val="true"/>
        </w:trPr>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5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Members</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 (chair), broker project manager, Accounting Manager, compliance officer, a business head; iorta TechNXT account manager and project manager, with the head of delivery when cost or the go-live date is at stake</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Frequency</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two weeks, plus a meeting for each go/no-go</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Inputs</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report, milestone tracker, RAID log extract, dependencies due and late, change requests for decision</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Decisions</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 change requests, plan changes, phase acceptance, go/no-go, hypercare exit</w:t>
            </w:r>
          </w:p>
        </w:tc>
      </w:tr>
    </w:tbl>
    <w:p>
      <w:pPr>
        <w:pStyle w:val="Normal"/>
        <w:spacing w:before="0" w:after="80"/>
        <w:rPr/>
      </w:pPr>
      <w:r>
        <w:rPr/>
      </w:r>
    </w:p>
    <w:p>
      <w:pPr>
        <w:pStyle w:val="Heading2"/>
        <w:rPr/>
      </w:pPr>
      <w:bookmarkStart w:id="45" w:name="__RefHeading___Toc7637_3133665205"/>
      <w:bookmarkEnd w:id="45"/>
      <w:r>
        <w:rPr>
          <w:rFonts w:eastAsia="Segoe UI" w:cs="Segoe UI"/>
          <w:b/>
          <w:color w:val="0F4761"/>
          <w:sz w:val="26"/>
        </w:rPr>
        <w:t>8.2  Weekly status</w:t>
      </w:r>
    </w:p>
    <w:p>
      <w:pPr>
        <w:pStyle w:val="Normal"/>
        <w:spacing w:lineRule="auto" w:line="276" w:before="0" w:after="120"/>
        <w:rPr/>
      </w:pPr>
      <w:r>
        <w:rPr>
          <w:rFonts w:eastAsia="Segoe UI" w:cs="Segoe UI" w:ascii="Segoe UI" w:hAnsi="Segoe UI"/>
          <w:color w:val="101820"/>
          <w:sz w:val="21"/>
        </w:rPr>
        <w:t>A weekly meeting of both project managers and the leads, with a written status report: progress against the plan, milestones due and done, decisions needed, top risks and issues, dependencies due in the next two weeks (data, registrations, partner certifications), next week's activities. Status uses green, amber and red against the baselined plan.</w:t>
      </w:r>
    </w:p>
    <w:p>
      <w:pPr>
        <w:pStyle w:val="Heading2"/>
        <w:rPr/>
      </w:pPr>
      <w:bookmarkStart w:id="46" w:name="__RefHeading___Toc7639_3133665205"/>
      <w:bookmarkEnd w:id="46"/>
      <w:r>
        <w:rPr>
          <w:rFonts w:eastAsia="Segoe UI" w:cs="Segoe UI"/>
          <w:b/>
          <w:color w:val="0F4761"/>
          <w:sz w:val="26"/>
        </w:rPr>
        <w:t>8.3  RAID log</w:t>
      </w:r>
    </w:p>
    <w:p>
      <w:pPr>
        <w:pStyle w:val="Normal"/>
        <w:spacing w:lineRule="auto" w:line="276" w:before="0" w:after="120"/>
        <w:rPr/>
      </w:pPr>
      <w:r>
        <w:rPr>
          <w:rFonts w:eastAsia="Segoe UI" w:cs="Segoe UI" w:ascii="Segoe UI" w:hAnsi="Segoe UI"/>
          <w:color w:val="101820"/>
          <w:sz w:val="21"/>
        </w:rPr>
        <w:t>One shared log of risks, assumptions, issues and dependencies, kept by the iorta TechNXT project manager and reviewed in every weekly status meeting. The template is pre-filled with the risks, assumptions and dependencies typical of an implementation, including partner certification, list licences for screening, tax adviser confirmations, regulatory registrations, key custody and data quality of the migration.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 type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 A, I or D with a running number</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Description</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it is and its effect on scope, time or quality</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Owner</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named person</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Rating</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Probability and impact for risks (score and High, Medium, Low); impact for issues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Action and due date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Mitigation or resolution and when</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in progress, closed; closure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High items go to the steering committee. A dependency on the critical path late by 3 working days, or any dependency late by more than its float, is escalated with its effect on the go-live.</w:t>
      </w:r>
      <w:r>
        <w:br w:type="page"/>
      </w:r>
    </w:p>
    <w:p>
      <w:pPr>
        <w:pStyle w:val="Heading1"/>
        <w:rPr/>
      </w:pPr>
      <w:bookmarkStart w:id="47" w:name="__RefHeading___Toc7641_3133665205"/>
      <w:bookmarkEnd w:id="47"/>
      <w:r>
        <w:rPr>
          <w:rFonts w:eastAsia="Segoe UI" w:cs="Segoe UI" w:ascii="Segoe UI" w:hAnsi="Segoe UI"/>
          <w:b/>
          <w:color w:val="0F4761"/>
          <w:sz w:val="32"/>
        </w:rPr>
        <w:t>9.  Deliverables and acceptance criteria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2"/>
        <w:gridCol w:w="3576"/>
        <w:gridCol w:w="3576"/>
      </w:tblGrid>
      <w:tr>
        <w:trPr>
          <w:tblHeader w:val="true"/>
        </w:trPr>
        <w:tc>
          <w:tcPr>
            <w:tcW w:w="18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Phase</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Deliverables</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Acceptance criteria</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charter, baselined plan workbook, RAID log, data request list, blank kits, governance calendar</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Charter and plan signed by both project managers and the sponsor</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and pipeline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 of the size, environment sheet (addresses, backups, monitoring, GitHub Environments), key custody record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Smoke test passed on each; restore test done once; key custody record signed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fit-gap register</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process walked through; every register line classed and owned; signed by the process owners</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loaded in Dev or SIT and promoted to UAT; configuration workbook updated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Batches Loaded without errors; each item of </w:t>
            </w:r>
            <w:r>
              <w:rPr>
                <w:rFonts w:eastAsia="Consolas" w:cs="Consolas" w:ascii="Consolas" w:hAnsi="Consolas"/>
                <w:color w:val="101820"/>
                <w:kern w:val="0"/>
                <w:sz w:val="16"/>
                <w:szCs w:val="24"/>
                <w:lang w:val="en-US" w:eastAsia="ja-JP" w:bidi="ar-SA"/>
              </w:rPr>
              <w:t>GO_LIVE_DATA_SETUP.md</w:t>
            </w:r>
            <w:r>
              <w:rPr>
                <w:rFonts w:eastAsia="Segoe UI" w:cs="Segoe UI" w:ascii="Segoe UI" w:hAnsi="Segoe UI"/>
                <w:color w:val="101820"/>
                <w:kern w:val="0"/>
                <w:sz w:val="18"/>
                <w:szCs w:val="24"/>
                <w:lang w:val="en-US" w:eastAsia="ja-JP" w:bidi="ar-SA"/>
              </w:rPr>
              <w:t xml:space="preserve"> set; test quotation premiums and taxes agree with manual calculations; comparison report shows UAT mirrors the source</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set-up</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 settings, risk factors, rules, screening lists; licence register, fit and proper, insurer authority; complaints and breach settings; role masking</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 and DPO confirm the settings in writing; every client screened; CTR test file generated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Theme, documents, e-mails, e-signatures, brand pack</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Sample documents and e-mails approved by the sponsor; permission on file for any client marks</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sheets, filled migration kits, load history, reconciliation workbooks of each mock load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Counts and totals agree within the agreed tolerance (default: exact); trial balance as at the cutover date agrees with the old system</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bank statement formats, and each partner integration in scope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reset e-mail received; one statement per account imported; for each partner in scope, the certification of the Dependency Map passed or its fallback agreed at go/no-go</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schedule, attendance lists, assessment results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user trained in the role before go-live; key users pass at 90%</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plan, results, defect log, SIT exit report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end-to-end flows passed; no open severity 1 or 2 defect</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results per script, defect log, UAT Sign-off Certificate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scripts passed or accepted with a workaround; sign-off by each process owner and the sponsor</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 and cutover</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 log with timings, cutover checklist, final reconciliation, go/no-go minutes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Go/no-go criteria of the Data Migration and Cutover Plan met; registrations of the Dependency Map in place</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in use; go-live communication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signed in and transacting; first receipts, remittances and bank imports processed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 first month-end close support, configuration baseline, handover pack</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severity 1 or 2 issue; first close completed; handover accepted by production support and the System Administrator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deliverable is deemed accepted when the broker has not raised a written objection within 5 business days of submission, as the Statement of Work provides.</w:t>
      </w:r>
      <w:r>
        <w:br w:type="page"/>
      </w:r>
    </w:p>
    <w:p>
      <w:pPr>
        <w:pStyle w:val="Heading1"/>
        <w:rPr/>
      </w:pPr>
      <w:bookmarkStart w:id="48" w:name="__RefHeading___Toc7643_3133665205"/>
      <w:bookmarkEnd w:id="48"/>
      <w:r>
        <w:rPr>
          <w:rFonts w:eastAsia="Segoe UI" w:cs="Segoe UI" w:ascii="Segoe UI" w:hAnsi="Segoe UI"/>
          <w:b/>
          <w:color w:val="0F4761"/>
          <w:sz w:val="32"/>
        </w:rPr>
        <w:t>10.  Assumptions</w:t>
      </w:r>
    </w:p>
    <w:p>
      <w:pPr>
        <w:pStyle w:val="Normal"/>
        <w:numPr>
          <w:ilvl w:val="0"/>
          <w:numId w:val="1"/>
        </w:numPr>
        <w:spacing w:before="0" w:after="60"/>
        <w:rPr/>
      </w:pPr>
      <w:r>
        <w:rPr>
          <w:rFonts w:eastAsia="Segoe UI" w:cs="Segoe UI" w:ascii="Segoe UI" w:hAnsi="Segoe UI"/>
          <w:color w:val="101820"/>
          <w:sz w:val="21"/>
        </w:rPr>
        <w:t>The implementation is OOTB: the broker uses the delivered screens, workflows, reports and printed documents.</w:t>
      </w:r>
    </w:p>
    <w:p>
      <w:pPr>
        <w:pStyle w:val="Normal"/>
        <w:numPr>
          <w:ilvl w:val="0"/>
          <w:numId w:val="1"/>
        </w:numPr>
        <w:spacing w:before="0" w:after="60"/>
        <w:rPr/>
      </w:pPr>
      <w:r>
        <w:rPr>
          <w:rFonts w:eastAsia="Segoe UI" w:cs="Segoe UI" w:ascii="Segoe UI" w:hAnsi="Segoe UI"/>
          <w:color w:val="101820"/>
          <w:sz w:val="21"/>
        </w:rPr>
        <w:t>The broker names a project manager and one key user per team, available at least 50% of their time during discovery, UAT and cutover, an Accounting Manager, a compliance officer and a DPO.</w:t>
      </w:r>
    </w:p>
    <w:p>
      <w:pPr>
        <w:pStyle w:val="Normal"/>
        <w:numPr>
          <w:ilvl w:val="0"/>
          <w:numId w:val="1"/>
        </w:numPr>
        <w:spacing w:before="0" w:after="60"/>
        <w:rPr/>
      </w:pPr>
      <w:r>
        <w:rPr>
          <w:rFonts w:eastAsia="Segoe UI" w:cs="Segoe UI" w:ascii="Segoe UI" w:hAnsi="Segoe UI"/>
          <w:color w:val="101820"/>
          <w:sz w:val="21"/>
        </w:rPr>
        <w:t>The broker provides complete and cleansed data in the delivered kits by the dates in the plan.</w:t>
      </w:r>
    </w:p>
    <w:p>
      <w:pPr>
        <w:pStyle w:val="Normal"/>
        <w:numPr>
          <w:ilvl w:val="0"/>
          <w:numId w:val="1"/>
        </w:numPr>
        <w:spacing w:before="0" w:after="60"/>
        <w:rPr/>
      </w:pPr>
      <w:r>
        <w:rPr>
          <w:rFonts w:eastAsia="Segoe UI" w:cs="Segoe UI" w:ascii="Segoe UI" w:hAnsi="Segoe UI"/>
          <w:color w:val="101820"/>
          <w:sz w:val="21"/>
        </w:rPr>
        <w:t>Decisions in discovery are made within 3 business days of each workshop.</w:t>
      </w:r>
    </w:p>
    <w:p>
      <w:pPr>
        <w:pStyle w:val="Normal"/>
        <w:numPr>
          <w:ilvl w:val="0"/>
          <w:numId w:val="1"/>
        </w:numPr>
        <w:spacing w:before="0" w:after="60"/>
        <w:rPr/>
      </w:pPr>
      <w:r>
        <w:rPr>
          <w:rFonts w:eastAsia="Segoe UI" w:cs="Segoe UI" w:ascii="Segoe UI" w:hAnsi="Segoe UI"/>
          <w:color w:val="101820"/>
          <w:sz w:val="21"/>
        </w:rPr>
        <w:t>The broker holds, or obtains in the lead times of the Dependency Map, its BIR ATP or CAS registration, its AMLC registration, its NPC registration and the IC licences of the firm, officers and agents.</w:t>
      </w:r>
    </w:p>
    <w:p>
      <w:pPr>
        <w:pStyle w:val="Normal"/>
        <w:numPr>
          <w:ilvl w:val="0"/>
          <w:numId w:val="1"/>
        </w:numPr>
        <w:spacing w:before="0" w:after="60"/>
        <w:rPr/>
      </w:pPr>
      <w:r>
        <w:rPr>
          <w:rFonts w:eastAsia="Segoe UI" w:cs="Segoe UI" w:ascii="Segoe UI" w:hAnsi="Segoe UI"/>
          <w:color w:val="101820"/>
          <w:sz w:val="21"/>
        </w:rPr>
        <w:t>The broker contracts its partners (banks for payment files, SMS provider, CTPL authentication provider, insurers for APIs, payment gateway) and obtains the screening lists and any PEP list licence.</w:t>
      </w:r>
    </w:p>
    <w:p>
      <w:pPr>
        <w:pStyle w:val="Normal"/>
        <w:numPr>
          <w:ilvl w:val="0"/>
          <w:numId w:val="1"/>
        </w:numPr>
        <w:spacing w:before="0" w:after="60"/>
        <w:rPr/>
      </w:pPr>
      <w:r>
        <w:rPr>
          <w:rFonts w:eastAsia="Segoe UI" w:cs="Segoe UI" w:ascii="Segoe UI" w:hAnsi="Segoe UI"/>
          <w:color w:val="101820"/>
          <w:sz w:val="21"/>
        </w:rPr>
        <w:t>iorta TechNXT hosts the environment set of the size and the temporary Pre-Prod on AWS (region ap-southeast-1), priced per environment. Other hosting is priced separately and provides the same set.</w:t>
      </w:r>
    </w:p>
    <w:p>
      <w:pPr>
        <w:pStyle w:val="Normal"/>
        <w:numPr>
          <w:ilvl w:val="0"/>
          <w:numId w:val="1"/>
        </w:numPr>
        <w:spacing w:before="0" w:after="60"/>
        <w:rPr/>
      </w:pPr>
      <w:r>
        <w:rPr>
          <w:rFonts w:eastAsia="Segoe UI" w:cs="Segoe UI" w:ascii="Segoe UI" w:hAnsi="Segoe UI"/>
          <w:color w:val="101820"/>
          <w:sz w:val="21"/>
        </w:rPr>
        <w:t>Workshops and training are delivered on site in Metro Manila or online, in English, during Philippine business hours.</w:t>
      </w:r>
    </w:p>
    <w:p>
      <w:pPr>
        <w:pStyle w:val="Normal"/>
        <w:numPr>
          <w:ilvl w:val="0"/>
          <w:numId w:val="1"/>
        </w:numPr>
        <w:spacing w:before="0" w:after="60"/>
        <w:rPr/>
      </w:pPr>
      <w:r>
        <w:rPr>
          <w:rFonts w:eastAsia="Segoe UI" w:cs="Segoe UI" w:ascii="Segoe UI" w:hAnsi="Segoe UI"/>
          <w:color w:val="101820"/>
          <w:sz w:val="21"/>
        </w:rPr>
        <w:t>One legal entity and one fiscal year are migrated; opening balances are taken at a single cutover date.</w:t>
      </w:r>
    </w:p>
    <w:p>
      <w:pPr>
        <w:pStyle w:val="Normal"/>
        <w:numPr>
          <w:ilvl w:val="0"/>
          <w:numId w:val="1"/>
        </w:numPr>
        <w:spacing w:before="0" w:after="60"/>
        <w:rPr/>
      </w:pPr>
      <w:r>
        <w:rPr>
          <w:rFonts w:eastAsia="Segoe UI" w:cs="Segoe UI" w:ascii="Segoe UI" w:hAnsi="Segoe UI"/>
          <w:color w:val="101820"/>
          <w:sz w:val="21"/>
        </w:rPr>
        <w:t>The broker uses the delivered roles: System Administrator, Sales &amp; Marketing, Processing Team, Operations, Claims, Accounting, Accounting Manager and Compliance Officer (AML/CFT).</w:t>
      </w:r>
    </w:p>
    <w:p>
      <w:pPr>
        <w:pStyle w:val="Normal"/>
        <w:numPr>
          <w:ilvl w:val="0"/>
          <w:numId w:val="1"/>
        </w:numPr>
        <w:spacing w:before="0" w:after="60"/>
        <w:rPr/>
      </w:pPr>
      <w:r>
        <w:rPr>
          <w:rFonts w:eastAsia="Segoe UI" w:cs="Segoe UI" w:ascii="Segoe UI" w:hAnsi="Segoe UI"/>
          <w:color w:val="101820"/>
          <w:sz w:val="21"/>
        </w:rPr>
        <w:t>The delivered tax codes, rates, BIR forms and AML values are confirmed by the broker's tax adviser and compliance officer before go-live.</w:t>
      </w:r>
      <w:r>
        <w:br w:type="page"/>
      </w:r>
    </w:p>
    <w:p>
      <w:pPr>
        <w:pStyle w:val="Heading1"/>
        <w:rPr/>
      </w:pPr>
      <w:bookmarkStart w:id="49" w:name="__RefHeading___Toc7645_3133665205"/>
      <w:bookmarkEnd w:id="49"/>
      <w:r>
        <w:rPr>
          <w:rFonts w:eastAsia="Segoe UI" w:cs="Segoe UI" w:ascii="Segoe UI" w:hAnsi="Segoe UI"/>
          <w:b/>
          <w:color w:val="0F4761"/>
          <w:sz w:val="32"/>
        </w:rPr>
        <w:t>11.  Exclusions</w:t>
      </w:r>
    </w:p>
    <w:p>
      <w:pPr>
        <w:pStyle w:val="Normal"/>
        <w:spacing w:lineRule="auto" w:line="276" w:before="0" w:after="120"/>
        <w:rPr/>
      </w:pPr>
      <w:r>
        <w:rPr>
          <w:rFonts w:eastAsia="Segoe UI" w:cs="Segoe UI" w:ascii="Segoe UI" w:hAnsi="Segoe UI"/>
          <w:color w:val="101820"/>
          <w:sz w:val="21"/>
        </w:rPr>
        <w:t>The following are outside the OOTB implementation. Any of them can be quoted separately through a change request.</w:t>
      </w:r>
    </w:p>
    <w:p>
      <w:pPr>
        <w:pStyle w:val="Normal"/>
        <w:numPr>
          <w:ilvl w:val="0"/>
          <w:numId w:val="1"/>
        </w:numPr>
        <w:spacing w:before="0" w:after="60"/>
        <w:rPr/>
      </w:pPr>
      <w:r>
        <w:rPr>
          <w:rFonts w:eastAsia="Segoe UI" w:cs="Segoe UI" w:ascii="Segoe UI" w:hAnsi="Segoe UI"/>
          <w:color w:val="101820"/>
          <w:sz w:val="21"/>
        </w:rPr>
        <w:t>Customisation of screens, workflows, reports, printed documents or the database, and new reports beyond the Report Builder.</w:t>
      </w:r>
    </w:p>
    <w:p>
      <w:pPr>
        <w:pStyle w:val="Normal"/>
        <w:numPr>
          <w:ilvl w:val="0"/>
          <w:numId w:val="1"/>
        </w:numPr>
        <w:spacing w:before="0" w:after="60"/>
        <w:rPr/>
      </w:pPr>
      <w:r>
        <w:rPr>
          <w:rFonts w:eastAsia="Segoe UI" w:cs="Segoe UI" w:ascii="Segoe UI" w:hAnsi="Segoe UI"/>
          <w:color w:val="101820"/>
          <w:sz w:val="21"/>
        </w:rPr>
        <w:t>Connectors other than those delivered (SMS, Viber, CTPL authentication, LTO feed, insurer API, bank files, payment gateways PayMongo and Dragonpay, BIR EIS), for example core banking, accounting packages, BIR eFPS or eBIRForms filing, or an IC system.</w:t>
      </w:r>
    </w:p>
    <w:p>
      <w:pPr>
        <w:pStyle w:val="Normal"/>
        <w:numPr>
          <w:ilvl w:val="0"/>
          <w:numId w:val="1"/>
        </w:numPr>
        <w:spacing w:before="0" w:after="60"/>
        <w:rPr/>
      </w:pPr>
      <w:r>
        <w:rPr>
          <w:rFonts w:eastAsia="Segoe UI" w:cs="Segoe UI" w:ascii="Segoe UI" w:hAnsi="Segoe UI"/>
          <w:color w:val="101820"/>
          <w:sz w:val="21"/>
        </w:rPr>
        <w:t>The partner's own work and fees: bank file certification fees, SMS and gateway fees, CTPL authentication fees, insurer API access.</w:t>
      </w:r>
    </w:p>
    <w:p>
      <w:pPr>
        <w:pStyle w:val="Normal"/>
        <w:numPr>
          <w:ilvl w:val="0"/>
          <w:numId w:val="1"/>
        </w:numPr>
        <w:spacing w:before="0" w:after="60"/>
        <w:rPr/>
      </w:pPr>
      <w:r>
        <w:rPr>
          <w:rFonts w:eastAsia="Segoe UI" w:cs="Segoe UI" w:ascii="Segoe UI" w:hAnsi="Segoe UI"/>
          <w:color w:val="101820"/>
          <w:sz w:val="21"/>
        </w:rPr>
        <w:t>Data cleansing, de-duplication and enrichment of the broker's data, and extraction from the old system.</w:t>
      </w:r>
    </w:p>
    <w:p>
      <w:pPr>
        <w:pStyle w:val="Normal"/>
        <w:numPr>
          <w:ilvl w:val="0"/>
          <w:numId w:val="1"/>
        </w:numPr>
        <w:spacing w:before="0" w:after="60"/>
        <w:rPr/>
      </w:pPr>
      <w:r>
        <w:rPr>
          <w:rFonts w:eastAsia="Segoe UI" w:cs="Segoe UI" w:ascii="Segoe UI" w:hAnsi="Segoe UI"/>
          <w:color w:val="101820"/>
          <w:sz w:val="21"/>
        </w:rPr>
        <w:t>Migration of closed or expired policies, settled claims, paid receivables, transaction history and documents, and more than one fiscal year of balances.</w:t>
      </w:r>
    </w:p>
    <w:p>
      <w:pPr>
        <w:pStyle w:val="Normal"/>
        <w:numPr>
          <w:ilvl w:val="0"/>
          <w:numId w:val="1"/>
        </w:numPr>
        <w:spacing w:before="0" w:after="60"/>
        <w:rPr/>
      </w:pPr>
      <w:r>
        <w:rPr>
          <w:rFonts w:eastAsia="Segoe UI" w:cs="Segoe UI" w:ascii="Segoe UI" w:hAnsi="Segoe UI"/>
          <w:color w:val="101820"/>
          <w:sz w:val="21"/>
        </w:rPr>
        <w:t>Screening list content and PEP list licences; no list content is delivered with BrokerVerse.</w:t>
      </w:r>
    </w:p>
    <w:p>
      <w:pPr>
        <w:pStyle w:val="Normal"/>
        <w:numPr>
          <w:ilvl w:val="0"/>
          <w:numId w:val="1"/>
        </w:numPr>
        <w:spacing w:before="0" w:after="60"/>
        <w:rPr/>
      </w:pPr>
      <w:r>
        <w:rPr>
          <w:rFonts w:eastAsia="Segoe UI" w:cs="Segoe UI" w:ascii="Segoe UI" w:hAnsi="Segoe UI"/>
          <w:color w:val="101820"/>
          <w:sz w:val="21"/>
        </w:rPr>
        <w:t>Hardware, end-user devices, networks, browsers and office software.</w:t>
      </w:r>
    </w:p>
    <w:p>
      <w:pPr>
        <w:pStyle w:val="Normal"/>
        <w:numPr>
          <w:ilvl w:val="0"/>
          <w:numId w:val="1"/>
        </w:numPr>
        <w:spacing w:before="0" w:after="60"/>
        <w:rPr/>
      </w:pPr>
      <w:r>
        <w:rPr>
          <w:rFonts w:eastAsia="Segoe UI" w:cs="Segoe UI" w:ascii="Segoe UI" w:hAnsi="Segoe UI"/>
          <w:color w:val="101820"/>
          <w:sz w:val="21"/>
        </w:rPr>
        <w:t>Regulatory filings and registrations: BIR returns, alphalists and DAT files, CAS registration, ATP, EIS enrolment, IC reports and licences, NPC registration and breach notifications, AMLC registration and reports. The system prepares them; filing remains with the broker.</w:t>
      </w:r>
    </w:p>
    <w:p>
      <w:pPr>
        <w:pStyle w:val="Normal"/>
        <w:numPr>
          <w:ilvl w:val="0"/>
          <w:numId w:val="1"/>
        </w:numPr>
        <w:spacing w:before="0" w:after="60"/>
        <w:rPr/>
      </w:pPr>
      <w:r>
        <w:rPr>
          <w:rFonts w:eastAsia="Segoe UI" w:cs="Segoe UI" w:ascii="Segoe UI" w:hAnsi="Segoe UI"/>
          <w:color w:val="101820"/>
          <w:sz w:val="21"/>
        </w:rPr>
        <w:t>Tax, legal, actuarial, AML or audit advice.</w:t>
      </w:r>
    </w:p>
    <w:p>
      <w:pPr>
        <w:pStyle w:val="Normal"/>
        <w:numPr>
          <w:ilvl w:val="0"/>
          <w:numId w:val="1"/>
        </w:numPr>
        <w:spacing w:before="0" w:after="60"/>
        <w:rPr/>
      </w:pPr>
      <w:r>
        <w:rPr>
          <w:rFonts w:eastAsia="Segoe UI" w:cs="Segoe UI" w:ascii="Segoe UI" w:hAnsi="Segoe UI"/>
          <w:color w:val="101820"/>
          <w:sz w:val="21"/>
        </w:rPr>
        <w:t>Translation of the screens.</w:t>
      </w:r>
    </w:p>
    <w:p>
      <w:pPr>
        <w:pStyle w:val="Normal"/>
        <w:numPr>
          <w:ilvl w:val="0"/>
          <w:numId w:val="1"/>
        </w:numPr>
        <w:spacing w:before="0" w:after="60"/>
        <w:rPr/>
      </w:pPr>
      <w:r>
        <w:rPr>
          <w:rFonts w:eastAsia="Segoe UI" w:cs="Segoe UI" w:ascii="Segoe UI" w:hAnsi="Segoe UI"/>
          <w:color w:val="101820"/>
          <w:sz w:val="21"/>
        </w:rPr>
        <w:t>Training beyond the curriculum of the Training Plan and training of users added after go-live.</w:t>
      </w:r>
    </w:p>
    <w:p>
      <w:pPr>
        <w:pStyle w:val="Normal"/>
        <w:numPr>
          <w:ilvl w:val="0"/>
          <w:numId w:val="1"/>
        </w:numPr>
        <w:spacing w:before="0" w:after="60"/>
        <w:rPr/>
      </w:pPr>
      <w:r>
        <w:rPr>
          <w:rFonts w:eastAsia="Segoe UI" w:cs="Segoe UI" w:ascii="Segoe UI" w:hAnsi="Segoe UI"/>
          <w:color w:val="101820"/>
          <w:sz w:val="21"/>
        </w:rPr>
        <w:t>Support after hypercare, which is covered by the production support agreement.</w:t>
      </w:r>
      <w:r>
        <w:br w:type="page"/>
      </w:r>
    </w:p>
    <w:p>
      <w:pPr>
        <w:pStyle w:val="Heading1"/>
        <w:rPr/>
      </w:pPr>
      <w:bookmarkStart w:id="50" w:name="__RefHeading___Toc7647_3133665205"/>
      <w:bookmarkEnd w:id="50"/>
      <w:r>
        <w:rPr>
          <w:rFonts w:eastAsia="Segoe UI" w:cs="Segoe UI" w:ascii="Segoe UI" w:hAnsi="Segoe UI"/>
          <w:b/>
          <w:color w:val="0F4761"/>
          <w:sz w:val="32"/>
        </w:rPr>
        <w:t>12.  Dependencies on the broker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55"/>
        <w:gridCol w:w="4459"/>
      </w:tblGrid>
      <w:tr>
        <w:trPr>
          <w:tblHeader w:val="true"/>
        </w:trPr>
        <w:tc>
          <w:tcPr>
            <w:tcW w:w="4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Dependency</w:t>
            </w:r>
          </w:p>
        </w:tc>
        <w:tc>
          <w:tcPr>
            <w:tcW w:w="44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Needed by (Small / Medium / Large / Enterprise)</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project manager, key users, Accounting Manager, System Administrator, compliance officer and DPO</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W1 for every size</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option, environment set and data location decision</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W1</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list and agreements, commission and referrer rates, product list; chart of accounts and mapping</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W1 / W2 / W3 / W4 (critical path)</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list with roles, branches and reporting lines</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W1 / W2 / W3 / W3</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mailbox; bank accounts, statement samples, payee accounts</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W1 to W2 / W2 / W2 to W3 / W2 to W3</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Partner contracts and credentials; COC series</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W2 / W3 / W4 / W6</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ATP or CAS and the invoice serial range; last numbers used</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W4 / W5 / W6 / W6</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 registration and portal access; screening lists and PEP licence</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W3 / W4 / W4 / W5</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licence data and insurer certificates; NPC registration</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W2 to W4 / W2 to W5 / W3 to W6 / W3 to W6</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adviser confirmation</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W4 / W6 / W9 / W12</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extracts in the kit</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each mock load and at cutover</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rooms, devices and attendance; UAT testers and sign-off authority</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training and UAT</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Freeze of the old system and final extract</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Decisions on the fit-gap register and change requests</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3 business days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Dependency Map and Critical Path gives the float of each dependency and what moves when it is late.</w:t>
      </w:r>
      <w:r>
        <w:br w:type="page"/>
      </w:r>
    </w:p>
    <w:p>
      <w:pPr>
        <w:pStyle w:val="Heading1"/>
        <w:rPr/>
      </w:pPr>
      <w:bookmarkStart w:id="51" w:name="__RefHeading___Toc7649_3133665205"/>
      <w:bookmarkEnd w:id="51"/>
      <w:r>
        <w:rPr>
          <w:rFonts w:eastAsia="Segoe UI" w:cs="Segoe UI" w:ascii="Segoe UI" w:hAnsi="Segoe UI"/>
          <w:b/>
          <w:color w:val="0F4761"/>
          <w:sz w:val="32"/>
        </w:rPr>
        <w:t>13.  Risks and mitigations</w:t>
      </w:r>
    </w:p>
    <w:p>
      <w:pPr>
        <w:pStyle w:val="Normal"/>
        <w:spacing w:lineRule="auto" w:line="276" w:before="0" w:after="120"/>
        <w:rPr/>
      </w:pPr>
      <w:r>
        <w:rPr>
          <w:rFonts w:eastAsia="Segoe UI" w:cs="Segoe UI" w:ascii="Segoe UI" w:hAnsi="Segoe UI"/>
          <w:color w:val="101820"/>
          <w:sz w:val="21"/>
        </w:rPr>
        <w:t>The RAID log template is pre-filled with these risks and with their scoring; the list below is the summary.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Risk</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Mitigation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product, commission or chart of accounts data late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every later phase slip day for day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requests in week 1; kits handed out at kick-off; data readiness tracked weekly; escalation after 3 days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Poor data quality in the old system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Rejected rows; balances do not reconcile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on fresh extracts; errors workbook; the broker cleanses at source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Partner certification late (bank files, CTPL authentication, insurer APIs, SMS, gateway)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Feature not live at go-live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Contracts in week 1 to 2; connectors in test mode; fallbacks agreed at go/no-go</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Registration late (ATP or CAS, AMLC, NPC)</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moves; invoices or filings not possible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or start on the kick-off day; tracked as dependencies with the broker owner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Screening list licence not obtained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Screening incomplete at go-live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 and AMLC lists loaded first; PEP list licence started after the compliance workshop</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adviser confirmation late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withholding or invoice wording wrong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booked in the configuration phase; UAT sign-off depends on it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Encryption key lost or not escrowed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 unreadable; personal identifiers lost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custody record before Production is provisioned; key kept with the backups; rotation procedure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marks used without permission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Trademark exposure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brand pack applied only with written permission on file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for customisation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 and timeline grow</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Configure-first; fit-gap classes; change request process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users unavailable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Decisions late; weak UAT and training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key users with committed time; backups named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balances and open items do not agree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Ledger wrong from day one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in every load; Accounting Manager signs off</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 outside hypercare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issues found late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extends to the first close</w:t>
            </w:r>
          </w:p>
        </w:tc>
      </w:tr>
    </w:tbl>
    <w:p>
      <w:pPr>
        <w:pStyle w:val="Heading1"/>
        <w:rPr/>
      </w:pPr>
      <w:r>
        <w:br w:type="page"/>
      </w:r>
      <w:bookmarkStart w:id="52" w:name="__RefHeading___Toc7651_3133665205"/>
      <w:bookmarkEnd w:id="52"/>
      <w:r>
        <w:rPr>
          <w:rFonts w:eastAsia="Segoe UI" w:cs="Segoe UI" w:ascii="Segoe UI" w:hAnsi="Segoe UI"/>
          <w:b/>
          <w:color w:val="0F4761"/>
          <w:sz w:val="32"/>
        </w:rPr>
        <w:t>14.  Change request process</w:t>
      </w:r>
    </w:p>
    <w:p>
      <w:pPr>
        <w:pStyle w:val="Normal"/>
        <w:spacing w:lineRule="auto" w:line="276" w:before="0" w:after="120"/>
        <w:rPr/>
      </w:pPr>
      <w:r>
        <w:rPr>
          <w:rFonts w:eastAsia="Segoe UI" w:cs="Segoe UI" w:ascii="Segoe UI" w:hAnsi="Segoe UI"/>
          <w:color w:val="101820"/>
          <w:sz w:val="21"/>
        </w:rPr>
        <w:t>A change request covers any change to the agreed scope, plan or deliverables, including any gap from the fit-gap register.</w:t>
      </w:r>
    </w:p>
    <w:p>
      <w:pPr>
        <w:pStyle w:val="Normal"/>
        <w:numPr>
          <w:ilvl w:val="0"/>
          <w:numId w:val="4"/>
        </w:numPr>
        <w:spacing w:before="0" w:after="60"/>
        <w:rPr/>
      </w:pPr>
      <w:r>
        <w:rPr>
          <w:rFonts w:eastAsia="Segoe UI" w:cs="Segoe UI" w:ascii="Segoe UI" w:hAnsi="Segoe UI"/>
          <w:color w:val="101820"/>
          <w:sz w:val="21"/>
        </w:rPr>
        <w:t>The requester writes the change request: description, reason, business impact, priority.</w:t>
      </w:r>
    </w:p>
    <w:p>
      <w:pPr>
        <w:pStyle w:val="Normal"/>
        <w:numPr>
          <w:ilvl w:val="0"/>
          <w:numId w:val="2"/>
        </w:numPr>
        <w:spacing w:before="0" w:after="60"/>
        <w:rPr/>
      </w:pPr>
      <w:r>
        <w:rPr>
          <w:rFonts w:eastAsia="Segoe UI" w:cs="Segoe UI" w:ascii="Segoe UI" w:hAnsi="Segoe UI"/>
          <w:color w:val="101820"/>
          <w:sz w:val="21"/>
        </w:rPr>
        <w:t>The iorta TechNXT project manager logs it and, within 5 business days, returns an impact assessment: effort, cost, effect on the timeline and on other deliverables, and whether it can be met by configuration instead.</w:t>
      </w:r>
    </w:p>
    <w:p>
      <w:pPr>
        <w:pStyle w:val="Normal"/>
        <w:numPr>
          <w:ilvl w:val="0"/>
          <w:numId w:val="2"/>
        </w:numPr>
        <w:spacing w:before="0" w:after="60"/>
        <w:rPr/>
      </w:pPr>
      <w:r>
        <w:rPr>
          <w:rFonts w:eastAsia="Segoe UI" w:cs="Segoe UI" w:ascii="Segoe UI" w:hAnsi="Segoe UI"/>
          <w:color w:val="101820"/>
          <w:sz w:val="21"/>
        </w:rPr>
        <w:t>The broker project manager reviews the assessment with the process owner.</w:t>
      </w:r>
    </w:p>
    <w:p>
      <w:pPr>
        <w:pStyle w:val="Normal"/>
        <w:numPr>
          <w:ilvl w:val="0"/>
          <w:numId w:val="2"/>
        </w:numPr>
        <w:spacing w:before="0" w:after="60"/>
        <w:rPr/>
      </w:pPr>
      <w:r>
        <w:rPr>
          <w:rFonts w:eastAsia="Segoe UI" w:cs="Segoe UI" w:ascii="Segoe UI" w:hAnsi="Segoe UI"/>
          <w:color w:val="101820"/>
          <w:sz w:val="21"/>
        </w:rPr>
        <w:t>The steering committee approves, rejects or defers it. Changes that affect cost or the go-live date need the sponsor's written approval.</w:t>
      </w:r>
    </w:p>
    <w:p>
      <w:pPr>
        <w:pStyle w:val="Normal"/>
        <w:numPr>
          <w:ilvl w:val="0"/>
          <w:numId w:val="2"/>
        </w:numPr>
        <w:spacing w:before="0" w:after="60"/>
        <w:rPr/>
      </w:pPr>
      <w:r>
        <w:rPr>
          <w:rFonts w:eastAsia="Segoe UI" w:cs="Segoe UI" w:ascii="Segoe UI" w:hAnsi="Segoe UI"/>
          <w:color w:val="101820"/>
          <w:sz w:val="21"/>
        </w:rPr>
        <w:t>An approved change request is added to the plan and the RAID log and is tracked to closure.</w:t>
      </w:r>
    </w:p>
    <w:p>
      <w:pPr>
        <w:pStyle w:val="Normal"/>
        <w:numPr>
          <w:ilvl w:val="0"/>
          <w:numId w:val="2"/>
        </w:numPr>
        <w:spacing w:before="0" w:after="60"/>
        <w:rPr/>
      </w:pPr>
      <w:r>
        <w:rPr>
          <w:rFonts w:eastAsia="Segoe UI" w:cs="Segoe UI" w:ascii="Segoe UI" w:hAnsi="Segoe UI"/>
          <w:color w:val="101820"/>
          <w:sz w:val="21"/>
        </w:rPr>
        <w:t>A rejected or deferred change request stays in the log with the reason.</w:t>
      </w:r>
    </w:p>
    <w:p>
      <w:pPr>
        <w:pStyle w:val="Normal"/>
        <w:spacing w:lineRule="auto" w:line="276" w:before="0" w:after="120"/>
        <w:rPr/>
      </w:pPr>
      <w:r>
        <w:rPr>
          <w:rFonts w:eastAsia="Segoe UI" w:cs="Segoe UI" w:ascii="Segoe UI" w:hAnsi="Segoe UI"/>
          <w:color w:val="101820"/>
          <w:sz w:val="21"/>
        </w:rPr>
        <w:t>Customisation approved through a change request is built, tested and released under the release process of the Production Support Approach and Standards, and may be scheduled after go-live so the OOTB go-live date holds.</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53" w:name="__RefHeading___Toc7653_3133665205"/>
      <w:bookmarkStart w:id="54" w:name="_Toc233203395"/>
      <w:bookmarkEnd w:id="53"/>
      <w:r>
        <w:rPr>
          <w:rStyle w:val="BookTitle"/>
          <w:bCs w:val="false"/>
          <w:i w:val="false"/>
          <w:iCs w:val="false"/>
          <w:spacing w:val="0"/>
        </w:rPr>
        <w:t>15.  Document Sign-Off</w:t>
      </w:r>
      <w:bookmarkEnd w:id="5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42">
            <wp:simplePos x="0" y="0"/>
            <wp:positionH relativeFrom="margin">
              <wp:align>center</wp:align>
            </wp:positionH>
            <wp:positionV relativeFrom="margin">
              <wp:align>center</wp:align>
            </wp:positionV>
            <wp:extent cx="7548245" cy="10677525"/>
            <wp:effectExtent l="0" t="0" r="0" b="0"/>
            <wp:wrapNone/>
            <wp:docPr id="1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
                    <pic:cNvPicPr>
                      <a:picLocks noChangeAspect="1" noChangeArrowheads="1"/>
                    </pic:cNvPicPr>
                  </pic:nvPicPr>
                  <pic:blipFill>
                    <a:blip r:embed="rId9"/>
                    <a:stretch>
                      <a:fillRect/>
                    </a:stretch>
                  </pic:blipFill>
                  <pic:spPr bwMode="auto">
                    <a:xfrm>
                      <a:off x="0" y="0"/>
                      <a:ext cx="7548245" cy="10677525"/>
                    </a:xfrm>
                    <a:prstGeom prst="rect">
                      <a:avLst/>
                    </a:prstGeom>
                  </pic:spPr>
                </pic:pic>
              </a:graphicData>
            </a:graphic>
          </wp:anchor>
        </w:drawing>
      </w:r>
    </w:p>
    <w:sectPr>
      <w:footerReference w:type="default" r:id="rId10"/>
      <w:footerReference w:type="first" r:id="rId11"/>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0">
          <wp:simplePos x="0" y="0"/>
          <wp:positionH relativeFrom="page">
            <wp:align>left</wp:align>
          </wp:positionH>
          <wp:positionV relativeFrom="paragraph">
            <wp:posOffset>-708025</wp:posOffset>
          </wp:positionV>
          <wp:extent cx="8778240" cy="885190"/>
          <wp:effectExtent l="0" t="0" r="0" b="0"/>
          <wp:wrapNone/>
          <wp:docPr id="14"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0">
          <wp:simplePos x="0" y="0"/>
          <wp:positionH relativeFrom="page">
            <wp:align>left</wp:align>
          </wp:positionH>
          <wp:positionV relativeFrom="paragraph">
            <wp:posOffset>-708025</wp:posOffset>
          </wp:positionV>
          <wp:extent cx="8778240" cy="885190"/>
          <wp:effectExtent l="0" t="0" r="0" b="0"/>
          <wp:wrapNone/>
          <wp:docPr id="15"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9.png"/>
</Relationships>
</file>

<file path=word/_rels/footer2.xml.rels><?xml version="1.0" encoding="UTF-8"?>
<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2026-10-04T09:11:58Z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