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215_313366520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4217_313366520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4219_3133665205">
            <w:r>
              <w:rPr>
                <w:webHidden/>
                <w:rStyle w:val="IndexLink"/>
              </w:rPr>
              <w:t>3. Purpose and audience</w:t>
              <w:tab/>
              <w:t>4</w:t>
            </w:r>
          </w:hyperlink>
        </w:p>
        <w:p>
          <w:pPr>
            <w:pStyle w:val="TOC2"/>
            <w:tabs>
              <w:tab w:val="clear" w:pos="900"/>
              <w:tab w:val="clear" w:pos="9350"/>
              <w:tab w:val="right" w:pos="9025" w:leader="dot"/>
            </w:tabs>
            <w:rPr/>
          </w:pPr>
          <w:hyperlink w:anchor="__RefHeading___Toc24221_3133665205">
            <w:r>
              <w:rPr>
                <w:webHidden/>
                <w:rStyle w:val="IndexLink"/>
              </w:rPr>
              <w:t>3.1 Version history</w:t>
              <w:tab/>
              <w:t>5</w:t>
            </w:r>
          </w:hyperlink>
        </w:p>
        <w:p>
          <w:pPr>
            <w:pStyle w:val="TOC1"/>
            <w:tabs>
              <w:tab w:val="clear" w:pos="900"/>
              <w:tab w:val="clear" w:pos="9350"/>
              <w:tab w:val="right" w:pos="9025" w:leader="dot"/>
            </w:tabs>
            <w:rPr/>
          </w:pPr>
          <w:hyperlink w:anchor="__RefHeading___Toc24223_3133665205">
            <w:r>
              <w:rPr>
                <w:webHidden/>
                <w:rStyle w:val="IndexLink"/>
              </w:rPr>
              <w:t>4. Recommendation</w:t>
              <w:tab/>
              <w:t>6</w:t>
            </w:r>
          </w:hyperlink>
        </w:p>
        <w:p>
          <w:pPr>
            <w:pStyle w:val="TOC1"/>
            <w:tabs>
              <w:tab w:val="clear" w:pos="900"/>
              <w:tab w:val="clear" w:pos="9350"/>
              <w:tab w:val="right" w:pos="9025" w:leader="dot"/>
            </w:tabs>
            <w:rPr/>
          </w:pPr>
          <w:hyperlink w:anchor="__RefHeading___Toc24225_3133665205">
            <w:r>
              <w:rPr>
                <w:webHidden/>
                <w:rStyle w:val="IndexLink"/>
              </w:rPr>
              <w:t>5. Evidence</w:t>
              <w:tab/>
              <w:t>8</w:t>
            </w:r>
          </w:hyperlink>
        </w:p>
        <w:p>
          <w:pPr>
            <w:pStyle w:val="TOC1"/>
            <w:tabs>
              <w:tab w:val="clear" w:pos="900"/>
              <w:tab w:val="clear" w:pos="9350"/>
              <w:tab w:val="right" w:pos="9025" w:leader="dot"/>
            </w:tabs>
            <w:rPr/>
          </w:pPr>
          <w:hyperlink w:anchor="__RefHeading___Toc24227_3133665205">
            <w:r>
              <w:rPr>
                <w:webHidden/>
                <w:rStyle w:val="IndexLink"/>
              </w:rPr>
              <w:t>6. Changes since the release test</w:t>
              <w:tab/>
              <w:t>9</w:t>
            </w:r>
          </w:hyperlink>
        </w:p>
        <w:p>
          <w:pPr>
            <w:pStyle w:val="TOC1"/>
            <w:tabs>
              <w:tab w:val="clear" w:pos="900"/>
              <w:tab w:val="clear" w:pos="9350"/>
              <w:tab w:val="right" w:pos="9025" w:leader="dot"/>
            </w:tabs>
            <w:rPr/>
          </w:pPr>
          <w:hyperlink w:anchor="__RefHeading___Toc24229_3133665205">
            <w:r>
              <w:rPr>
                <w:webHidden/>
                <w:rStyle w:val="IndexLink"/>
              </w:rPr>
              <w:t>7. To take note of</w:t>
              <w:tab/>
              <w:t>11</w:t>
            </w:r>
          </w:hyperlink>
        </w:p>
        <w:p>
          <w:pPr>
            <w:pStyle w:val="TOC1"/>
            <w:tabs>
              <w:tab w:val="clear" w:pos="900"/>
              <w:tab w:val="clear" w:pos="9350"/>
              <w:tab w:val="right" w:pos="9025" w:leader="dot"/>
            </w:tabs>
            <w:rPr/>
          </w:pPr>
          <w:hyperlink w:anchor="__RefHeading___Toc24231_3133665205">
            <w:r>
              <w:rPr>
                <w:webHidden/>
                <w:rStyle w:val="IndexLink"/>
              </w:rPr>
              <w:t>8. To address before the first go-live</w:t>
              <w:tab/>
              <w:t>13</w:t>
            </w:r>
          </w:hyperlink>
        </w:p>
        <w:p>
          <w:pPr>
            <w:pStyle w:val="TOC1"/>
            <w:tabs>
              <w:tab w:val="clear" w:pos="900"/>
              <w:tab w:val="clear" w:pos="9350"/>
              <w:tab w:val="right" w:pos="9025" w:leader="dot"/>
            </w:tabs>
            <w:rPr/>
          </w:pPr>
          <w:hyperlink w:anchor="__RefHeading___Toc24233_3133665205">
            <w:r>
              <w:rPr>
                <w:webHidden/>
                <w:rStyle w:val="IndexLink"/>
              </w:rPr>
              <w:t>9. To plan</w:t>
              <w:tab/>
              <w:t>14</w:t>
            </w:r>
          </w:hyperlink>
        </w:p>
        <w:p>
          <w:pPr>
            <w:pStyle w:val="TOC2"/>
            <w:tabs>
              <w:tab w:val="clear" w:pos="900"/>
              <w:tab w:val="clear" w:pos="9350"/>
              <w:tab w:val="right" w:pos="9025" w:leader="dot"/>
            </w:tabs>
            <w:rPr/>
          </w:pPr>
          <w:hyperlink w:anchor="__RefHeading___Toc24235_3133665205">
            <w:r>
              <w:rPr>
                <w:webHidden/>
                <w:rStyle w:val="IndexLink"/>
              </w:rPr>
              <w:t>9.1 Delivered since the release test</w:t>
              <w:tab/>
              <w:t>14</w:t>
            </w:r>
          </w:hyperlink>
        </w:p>
        <w:p>
          <w:pPr>
            <w:pStyle w:val="TOC1"/>
            <w:tabs>
              <w:tab w:val="clear" w:pos="900"/>
              <w:tab w:val="clear" w:pos="9350"/>
              <w:tab w:val="right" w:pos="9025" w:leader="dot"/>
            </w:tabs>
            <w:rPr/>
          </w:pPr>
          <w:hyperlink w:anchor="__RefHeading___Toc24237_3133665205">
            <w:r>
              <w:rPr>
                <w:webHidden/>
                <w:rStyle w:val="IndexLink"/>
              </w:rPr>
              <w:t>10. Risks foreseen</w:t>
              <w:tab/>
              <w:t>16</w:t>
            </w:r>
          </w:hyperlink>
        </w:p>
        <w:p>
          <w:pPr>
            <w:pStyle w:val="TOC1"/>
            <w:tabs>
              <w:tab w:val="clear" w:pos="900"/>
              <w:tab w:val="clear" w:pos="9350"/>
              <w:tab w:val="right" w:pos="9025" w:leader="dot"/>
            </w:tabs>
            <w:rPr/>
          </w:pPr>
          <w:hyperlink w:anchor="__RefHeading___Toc24239_3133665205">
            <w:r>
              <w:rPr>
                <w:webHidden/>
                <w:rStyle w:val="IndexLink"/>
              </w:rPr>
              <w:t>11. Decisions needed</w:t>
              <w:tab/>
              <w:t>18</w:t>
            </w:r>
          </w:hyperlink>
        </w:p>
        <w:p>
          <w:pPr>
            <w:pStyle w:val="TOC1"/>
            <w:tabs>
              <w:tab w:val="clear" w:pos="900"/>
              <w:tab w:val="clear" w:pos="9350"/>
              <w:tab w:val="right" w:pos="9025" w:leader="dot"/>
            </w:tabs>
            <w:rPr/>
          </w:pPr>
          <w:hyperlink w:anchor="__RefHeading___Toc24241_3133665205">
            <w:r>
              <w:rPr>
                <w:webHidden/>
                <w:rStyle w:val="IndexLink"/>
              </w:rPr>
              <w:t>12. Sign-off</w:t>
              <w:tab/>
              <w:t>19</w:t>
            </w:r>
          </w:hyperlink>
        </w:p>
        <w:p>
          <w:pPr>
            <w:pStyle w:val="TOC1"/>
            <w:tabs>
              <w:tab w:val="clear" w:pos="900"/>
              <w:tab w:val="clear" w:pos="9350"/>
              <w:tab w:val="right" w:pos="9025" w:leader="dot"/>
            </w:tabs>
            <w:rPr/>
          </w:pPr>
          <w:hyperlink w:anchor="__RefHeading___Toc24243_3133665205">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215_313366520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notes, plans, risks and decisions for the modules merged since the release test (AML/CFT, BIR, IC and NPC registers, integrations, branding, distribution, operations and accounting, go-live tools and release pipeline)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217_313366520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219_3133665205"/>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p>
    <w:p>
      <w:pPr>
        <w:pStyle w:val="Heading2"/>
        <w:rPr/>
      </w:pPr>
      <w:bookmarkStart w:id="7" w:name="__RefHeading___Toc24221_3133665205"/>
      <w:bookmarkEnd w:id="7"/>
      <w:r>
        <w:rPr>
          <w:rFonts w:eastAsia="Segoe UI" w:cs="Segoe UI"/>
          <w:b/>
          <w:color w:val="0F4761"/>
          <w:sz w:val="26"/>
        </w:rPr>
        <w:t>3.1  Version history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2"/>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Recommendation for Release 1.0 after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C9 to C14, notes N12 to N20, actions A6 to A11, plans P13 to P20, risks R13 to R20 and decisions D15 to D20 for the modules merged since the release test; C1 restated for the release pipeline; P2 and P9 to P12 moved to the chapter Delivered since the release test</w:t>
            </w:r>
          </w:p>
        </w:tc>
      </w:tr>
    </w:tbl>
    <w:p>
      <w:pPr>
        <w:pStyle w:val="Heading1"/>
        <w:rPr/>
      </w:pPr>
      <w:r>
        <w:br w:type="page"/>
      </w:r>
      <w:bookmarkStart w:id="8" w:name="__RefHeading___Toc24223_3133665205"/>
      <w:bookmarkEnd w:id="8"/>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73"/>
        <w:gridCol w:w="4040"/>
      </w:tblGrid>
      <w:tr>
        <w:trPr>
          <w:tblHeader w:val="true"/>
        </w:trPr>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C14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regulatory and environment items that must be closed before a client runs its business on the system. Conditions C9 to C14 cover the modules merged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388"/>
        <w:gridCol w:w="37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3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GitHub Environments of the release pipeline (reviewers, tag rules, variables, environment secrets) and make each server reachable from the pipeline (the dev deployment to the EC2 host timed out over SSH); or confirm the chosen production hosting with its own tested deployment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C9</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release taken to the first client includes the IC and NPC compliance package (licence register, fit and proper, insurer authority, complaints, breach register, masking by role, field encryption) after its merge and a green regression run;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set in every environment and its custody record signed with the client before Production is provisioned</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C10</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compliance officer confirms the delivered AML/CFT values against the AMLC's current issuances, loads the screening lists (no list content is delivered) and validates a CTR test file in the AMLC portal; the BV-AMLC-TXN 1.0 layout is checked against the AMLC's current reporting format; complaints deadlines and fit and proper declarations are confirmed against the IC rules in force</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compliance officer;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tax adviser confirms the tax codes, ATC, EOPT invoice and receipt wording and the ATP or CAS details; the DAT files of the first filing are validated with the current BIR validation module; the EIS connector stays off until the client's enrolment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 and tax adviser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connector used live at go-live is certified by its partner (bank payment file layouts, which are delivered as examples; CTPL authentication provider; insurer APIs; SMS provider), or its fallback is recorded in the go/no-go minutes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client IT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brand pack carrying third-party marks (the Toyota Insurance Services pack) is applied only in that client's environments with its written permission on file, and is not used in demonstrations to other prospects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 -- --register-production</w:t>
            </w:r>
            <w:r>
              <w:rPr>
                <w:rFonts w:eastAsia="Segoe UI" w:cs="Segoe UI" w:ascii="Segoe UI" w:hAnsi="Segoe UI"/>
                <w:color w:val="101820"/>
                <w:kern w:val="0"/>
                <w:sz w:val="18"/>
                <w:szCs w:val="24"/>
                <w:lang w:val="en-US" w:eastAsia="ja-JP" w:bidi="ar-SA"/>
              </w:rPr>
              <w:t xml:space="preserve"> is run once in the client's Production at go-live; every copy of production data used outside production is masked first and approved by the client's DPO</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client DPO</w:t>
            </w:r>
          </w:p>
        </w:tc>
      </w:tr>
    </w:tbl>
    <w:p>
      <w:pPr>
        <w:pStyle w:val="Heading1"/>
        <w:rPr/>
      </w:pPr>
      <w:r>
        <w:br w:type="page"/>
      </w:r>
      <w:bookmarkStart w:id="9" w:name="__RefHeading___Toc24225_3133665205"/>
      <w:bookmarkEnd w:id="9"/>
      <w:r>
        <w:rPr>
          <w:rFonts w:eastAsia="Segoe UI" w:cs="Segoe UI" w:ascii="Segoe UI" w:hAnsi="Segoe UI"/>
          <w:b/>
          <w:color w:val="0F4761"/>
          <w:sz w:val="32"/>
        </w:rPr>
        <w:t>5.  Evidence</w:t>
      </w:r>
    </w:p>
    <w:p>
      <w:pPr>
        <w:pStyle w:val="Normal"/>
        <w:spacing w:lineRule="auto" w:line="276" w:before="0" w:after="120"/>
        <w:rPr/>
      </w:pPr>
      <w:r>
        <w:rPr>
          <w:rFonts w:eastAsia="Segoe UI" w:cs="Segoe UI" w:ascii="Segoe UI" w:hAnsi="Segoe UI"/>
          <w:color w:val="101820"/>
          <w:sz w:val="21"/>
        </w:rPr>
        <w:t>The figures below are those of the release test of 03 October 2026. The Test Summary Report gives the results after the merges of 04 October 2026; condition C9 requires a green regression run on the release taken to the first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on a fresh database: set-up, go-live migration, retail and corporate business, billing and collection, servicing, remittance, reconciliation, month-end close, reports and dashboards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cases; see the Test Summary Report version 1.1 for the status after re-test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10" w:name="__RefHeading___Toc24227_3133665205"/>
      <w:bookmarkEnd w:id="10"/>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p>
    <w:p>
      <w:pPr>
        <w:pStyle w:val="Normal"/>
        <w:spacing w:lineRule="auto" w:line="276" w:before="0" w:after="120"/>
        <w:rPr/>
      </w:pPr>
      <w:r>
        <w:rPr>
          <w:rFonts w:eastAsia="Segoe UI" w:cs="Segoe UI" w:ascii="Segoe UI" w:hAnsi="Segoe UI"/>
          <w:color w:val="101820"/>
          <w:sz w:val="21"/>
        </w:rPr>
        <w:t>Merged on 04 October 2026, after the release test:</w:t>
      </w:r>
    </w:p>
    <w:p>
      <w:pPr>
        <w:pStyle w:val="Normal"/>
        <w:numPr>
          <w:ilvl w:val="0"/>
          <w:numId w:val="1"/>
        </w:numPr>
        <w:spacing w:before="0" w:after="60"/>
        <w:rPr/>
      </w:pPr>
      <w:r>
        <w:rPr>
          <w:rFonts w:eastAsia="Segoe UI" w:cs="Segoe UI" w:ascii="Segoe UI" w:hAnsi="Segoe UI"/>
          <w:color w:val="101820"/>
          <w:sz w:val="21"/>
        </w:rPr>
        <w:t>Philippine masters from the PSGC (regions, provinces, cities and municipalities, barangays), ZIP codes, banks, ID types, salutations, holidays and the IC insurer list.</w:t>
      </w:r>
    </w:p>
    <w:p>
      <w:pPr>
        <w:pStyle w:val="Normal"/>
        <w:numPr>
          <w:ilvl w:val="0"/>
          <w:numId w:val="1"/>
        </w:numPr>
        <w:spacing w:before="0" w:after="60"/>
        <w:rPr/>
      </w:pPr>
      <w:r>
        <w:rPr>
          <w:rFonts w:eastAsia="Segoe UI" w:cs="Segoe UI" w:ascii="Segoe UI" w:hAnsi="Segoe UI"/>
          <w:color w:val="101820"/>
          <w:sz w:val="21"/>
        </w:rPr>
        <w:t>Side menu in sections, skeleton loading, Help panel (F1); My Work (My Items, My Team, My Tasks, Calendar).</w:t>
      </w:r>
    </w:p>
    <w:p>
      <w:pPr>
        <w:pStyle w:val="Normal"/>
        <w:numPr>
          <w:ilvl w:val="0"/>
          <w:numId w:val="1"/>
        </w:numPr>
        <w:spacing w:before="0" w:after="60"/>
        <w:rPr/>
      </w:pPr>
      <w:r>
        <w:rPr>
          <w:rFonts w:eastAsia="Segoe UI" w:cs="Segoe UI" w:ascii="Segoe UI" w:hAnsi="Segoe UI"/>
          <w:color w:val="101820"/>
          <w:sz w:val="21"/>
        </w:rPr>
        <w:t>Product Configurator connected to the quotation flow: acceptance rules with refer, decline and loading and the authority to override, rating factors, document templates with merge fields, market mapping, governing template.</w:t>
      </w:r>
    </w:p>
    <w:p>
      <w:pPr>
        <w:pStyle w:val="Normal"/>
        <w:numPr>
          <w:ilvl w:val="0"/>
          <w:numId w:val="1"/>
        </w:numPr>
        <w:spacing w:before="0" w:after="60"/>
        <w:rPr/>
      </w:pPr>
      <w:r>
        <w:rPr>
          <w:rFonts w:eastAsia="Segoe UI" w:cs="Segoe UI" w:ascii="Segoe UI" w:hAnsi="Segoe UI"/>
          <w:color w:val="101820"/>
          <w:sz w:val="21"/>
        </w:rPr>
        <w:t>Audit Trail screen; go-live data workbench (configuration and migration kits, errors workbook, reconciliation); environment comparison report; transaction reset; data masking tool; release pipeline (ci, deploy, rollback) for Dev, SIT, UAT, Pre-Prod and Production.</w:t>
      </w:r>
    </w:p>
    <w:p>
      <w:pPr>
        <w:pStyle w:val="Normal"/>
        <w:numPr>
          <w:ilvl w:val="0"/>
          <w:numId w:val="1"/>
        </w:numPr>
        <w:spacing w:before="0" w:after="60"/>
        <w:rPr/>
      </w:pPr>
      <w:r>
        <w:rPr>
          <w:rFonts w:eastAsia="Segoe UI" w:cs="Segoe UI" w:ascii="Segoe UI" w:hAnsi="Segoe UI"/>
          <w:color w:val="101820"/>
          <w:sz w:val="21"/>
        </w:rPr>
        <w:t>AML/CFT: client onboarding before the first policy, juridical clients, signatories and beneficial owners, risk rating and EDD, screening lists and hits, covered and suspicious transaction alerts, cases and AMLC report files; Compliance Officer role.</w:t>
      </w:r>
    </w:p>
    <w:p>
      <w:pPr>
        <w:pStyle w:val="Normal"/>
        <w:numPr>
          <w:ilvl w:val="0"/>
          <w:numId w:val="1"/>
        </w:numPr>
        <w:spacing w:before="0" w:after="60"/>
        <w:rPr/>
      </w:pPr>
      <w:r>
        <w:rPr>
          <w:rFonts w:eastAsia="Segoe UI" w:cs="Segoe UI" w:ascii="Segoe UI" w:hAnsi="Segoe UI"/>
          <w:color w:val="101820"/>
          <w:sz w:val="21"/>
        </w:rPr>
        <w:t>BIR: 0619-E, 1601-EQ, 1604-E, 2551Q, DAT files, EOPT sales invoices, CAS books pack, EIS connector; insurer overriding and contingent commission.</w:t>
      </w:r>
    </w:p>
    <w:p>
      <w:pPr>
        <w:pStyle w:val="Normal"/>
        <w:numPr>
          <w:ilvl w:val="0"/>
          <w:numId w:val="1"/>
        </w:numPr>
        <w:spacing w:before="0" w:after="60"/>
        <w:rPr/>
      </w:pPr>
      <w:r>
        <w:rPr>
          <w:rFonts w:eastAsia="Segoe UI" w:cs="Segoe UI" w:ascii="Segoe UI" w:hAnsi="Segoe UI"/>
          <w:color w:val="101820"/>
          <w:sz w:val="21"/>
        </w:rPr>
        <w:t>Operations and accounting: cover notes, computed cancellations, post-dated cheques, instalment invoices, claim document checklist, claims settlements in Accounting, motor repairs and letters of authority, accounts payable, fixed assets and depreciation.</w:t>
      </w:r>
    </w:p>
    <w:p>
      <w:pPr>
        <w:pStyle w:val="Normal"/>
        <w:numPr>
          <w:ilvl w:val="0"/>
          <w:numId w:val="1"/>
        </w:numPr>
        <w:spacing w:before="0" w:after="60"/>
        <w:rPr/>
      </w:pPr>
      <w:r>
        <w:rPr>
          <w:rFonts w:eastAsia="Segoe UI" w:cs="Segoe UI" w:ascii="Segoe UI" w:hAnsi="Segoe UI"/>
          <w:color w:val="101820"/>
          <w:sz w:val="21"/>
        </w:rPr>
        <w:t>Distribution: lead assignment, distribution channels, dealer programmes, fleet schedules, marine open covers, facultative reinsurance, comparison reports, campaigns, Report Builder and BI extract.</w:t>
      </w:r>
    </w:p>
    <w:p>
      <w:pPr>
        <w:pStyle w:val="Normal"/>
        <w:numPr>
          <w:ilvl w:val="0"/>
          <w:numId w:val="1"/>
        </w:numPr>
        <w:spacing w:before="0" w:after="60"/>
        <w:rPr/>
      </w:pPr>
      <w:r>
        <w:rPr>
          <w:rFonts w:eastAsia="Segoe UI" w:cs="Segoe UI" w:ascii="Segoe UI" w:hAnsi="Segoe UI"/>
          <w:color w:val="101820"/>
          <w:sz w:val="21"/>
        </w:rPr>
        <w:t>Integration framework: bank payment files, SMS and Viber, CTPL authentication and COC series, insurer API connectors.</w:t>
      </w:r>
    </w:p>
    <w:p>
      <w:pPr>
        <w:pStyle w:val="Normal"/>
        <w:numPr>
          <w:ilvl w:val="0"/>
          <w:numId w:val="1"/>
        </w:numPr>
        <w:spacing w:before="0" w:after="60"/>
        <w:rPr/>
      </w:pPr>
      <w:r>
        <w:rPr>
          <w:rFonts w:eastAsia="Segoe UI" w:cs="Segoe UI" w:ascii="Segoe UI" w:hAnsi="Segoe UI"/>
          <w:color w:val="101820"/>
          <w:sz w:val="21"/>
        </w:rPr>
        <w:t>Branding: Theme and Branding, brand packs, branded documents, reports and e-mails, e-signatures mapped to documents.</w:t>
      </w:r>
    </w:p>
    <w:p>
      <w:pPr>
        <w:pStyle w:val="Normal"/>
        <w:numPr>
          <w:ilvl w:val="0"/>
          <w:numId w:val="1"/>
        </w:numPr>
        <w:spacing w:before="0" w:after="60"/>
        <w:rPr/>
      </w:pPr>
      <w:r>
        <w:rPr>
          <w:rFonts w:eastAsia="Segoe UI" w:cs="Segoe UI" w:ascii="Segoe UI" w:hAnsi="Segoe UI"/>
          <w:color w:val="101820"/>
          <w:sz w:val="21"/>
        </w:rPr>
        <w:t>Being merged: IC and NPC compliance (licence register and payout block, fit and proper, insurer authority, IC annual statement and production report, complaints register, breach register, masking by role, field encryption). In progress: sales activity log, quotation covers and risk fields from the Product Configurator, supplier Form 2307, fixed asset disposal.</w:t>
      </w:r>
      <w:r>
        <w:br w:type="page"/>
      </w:r>
    </w:p>
    <w:p>
      <w:pPr>
        <w:pStyle w:val="Heading1"/>
        <w:rPr/>
      </w:pPr>
      <w:bookmarkStart w:id="11" w:name="__RefHeading___Toc24229_3133665205"/>
      <w:bookmarkEnd w:id="11"/>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55"/>
        <w:gridCol w:w="32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8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model decided by the product owner (04 October 2026): small and medium brokers have Dev, UAT and Production, with integration in Dev; large brokers have Dev, SIT, UAT and Production, with SIT and UAT separate; Pre-Prod is temporary for every size, created from a production backup for the go-live rehearsal and each major release, then removed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is priced per environment set, with Pre-Prod per month of use (Rate Card, pricing workbook, Hosting Agreement Annex A). On AWS the standing set is PHP 43,000.00 (Small), 69,000.00 (Medium), 143,000.00 (Large) and 256,000.00 (Enterprise) a month; hosting fees do not increase yearly</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connector is delivered in test mode (SMS, CTPL authentication, insurer API) or off (Viber, LTO feed, EIS); the bank file layouts are starter layouts to validate with each bank. Nothing leaves the system until a connector is switched to live with its credentials in the secret store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checks are delivered as: referrer licence check </w:t>
            </w:r>
            <w:r>
              <w:rPr>
                <w:rFonts w:eastAsia="Segoe UI" w:cs="Segoe UI" w:ascii="Segoe UI" w:hAnsi="Segoe UI"/>
                <w:b/>
                <w:color w:val="101820"/>
                <w:kern w:val="0"/>
                <w:sz w:val="18"/>
                <w:szCs w:val="24"/>
                <w:lang w:val="en-US" w:eastAsia="ja-JP" w:bidi="ar-SA"/>
              </w:rPr>
              <w:t>block</w:t>
            </w:r>
            <w:r>
              <w:rPr>
                <w:rFonts w:eastAsia="Segoe UI" w:cs="Segoe UI" w:ascii="Segoe UI" w:hAnsi="Segoe UI"/>
                <w:color w:val="101820"/>
                <w:kern w:val="0"/>
                <w:sz w:val="18"/>
                <w:szCs w:val="24"/>
                <w:lang w:val="en-US" w:eastAsia="ja-JP" w:bidi="ar-SA"/>
              </w:rPr>
              <w:t xml:space="preserve">, insurer authority check </w:t>
            </w:r>
            <w:r>
              <w:rPr>
                <w:rFonts w:eastAsia="Segoe UI" w:cs="Segoe UI" w:ascii="Segoe UI" w:hAnsi="Segoe UI"/>
                <w:b/>
                <w:color w:val="101820"/>
                <w:kern w:val="0"/>
                <w:sz w:val="18"/>
                <w:szCs w:val="24"/>
                <w:lang w:val="en-US" w:eastAsia="ja-JP" w:bidi="ar-SA"/>
              </w:rPr>
              <w:t>warn</w:t>
            </w:r>
            <w:r>
              <w:rPr>
                <w:rFonts w:eastAsia="Segoe UI" w:cs="Segoe UI" w:ascii="Segoe UI" w:hAnsi="Segoe UI"/>
                <w:color w:val="101820"/>
                <w:kern w:val="0"/>
                <w:sz w:val="18"/>
                <w:szCs w:val="24"/>
                <w:lang w:val="en-US" w:eastAsia="ja-JP" w:bidi="ar-SA"/>
              </w:rPr>
              <w:t>, AML screening blocks issue, refunds and claim payments on an open hit, EDD required before issue to a High-risk client. Switch the insurer authority check to block only once the certificates are entered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screening list content is delivered; the client loads the lists it is entitled to use (UN and AMLC public lists; a PEP list under licence)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plans now cover four sizes: Small 8 weeks, Medium 12, Large 20 (16-week variant), Enterprise 26; the critical path runs through the client data for the configuration kit, configuration, SIT, UAT and the rehearsal (Dependency Map and Critical Path)</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Toyota Insurance Services brand pack is a client pack: not the default, not in the generic seed, applied only with the client's written permission (C13)</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masking tool refuses to run on the registered production database and on a database with the go-live lock unless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re-marks a copy after its own checks; run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once at each go-live (C14)</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a third application secret, different from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a backup cannot be read without the key it was written with. Rotation keeps the previous key until the dry run reports nothing left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There is no role deck for the Compliance Officer yet; training uses the user manual chapters (Training Plan 1.1)</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layout BV-AMLC-TXN 1.0 is a BrokerVerse layout; it is checked against the AMLC's current format with each client (C10)</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Product manager</w:t>
            </w:r>
          </w:p>
        </w:tc>
      </w:tr>
    </w:tbl>
    <w:p>
      <w:pPr>
        <w:pStyle w:val="Heading1"/>
        <w:rPr/>
      </w:pPr>
      <w:r>
        <w:br w:type="page"/>
      </w:r>
      <w:bookmarkStart w:id="12" w:name="__RefHeading___Toc24231_3133665205"/>
      <w:bookmarkEnd w:id="12"/>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C14:</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25"/>
        <w:gridCol w:w="1299"/>
        <w:gridCol w:w="33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3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A6</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with the first client which registrations it holds (ATP or CAS, AMLC, NPC, IC licences) and record the others as dependencies with dates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A7</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bank file specifications from the first client's banks and validate the starter layouts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A8</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UAT scripts for the merged modules (onboarding and screening, AML alerts and CTR file, licence and authority checks, complaints, breach register, BIR returns and sales invoices, bank payment files, CTPL authentication, branded documents) to </w:t>
            </w:r>
            <w:r>
              <w:rPr>
                <w:rFonts w:eastAsia="Consolas" w:cs="Consolas" w:ascii="Consolas" w:hAnsi="Consolas"/>
                <w:color w:val="101820"/>
                <w:kern w:val="0"/>
                <w:sz w:val="16"/>
                <w:szCs w:val="24"/>
                <w:lang w:val="en-US" w:eastAsia="ja-JP" w:bidi="ar-SA"/>
              </w:rPr>
              <w:t>UAT_SCRIPTS.md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A9</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key custody record template and the procedure for the escrow copy of production keys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go/no-go checklist items for registrations, partner certifications and their fallbacks (Dependency Map and Critical Path)</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the training environment with masked or sample data only, with the connectors in test mode</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training wave</w:t>
            </w:r>
          </w:p>
        </w:tc>
      </w:tr>
    </w:tbl>
    <w:p>
      <w:pPr>
        <w:pStyle w:val="Heading1"/>
        <w:rPr/>
      </w:pPr>
      <w:r>
        <w:br w:type="page"/>
      </w:r>
      <w:bookmarkStart w:id="13" w:name="__RefHeading___Toc24233_3133665205"/>
      <w:bookmarkEnd w:id="13"/>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436"/>
        <w:gridCol w:w="367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in-progress package: sales activity log, quotation covers and risk fields from the Product Configurator, supplier Form 2307, fixed asset disposal</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 for the Compliance Officer (AML/CFT)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P13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Certified bank file layouts kept as a library once validated with banks at client sites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Ongoing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 in the AMLC's current electronic format, once confirmed with the first clients (N20)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client's AMLC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set confirmed for the reporting year (</w:t>
            </w:r>
            <w:r>
              <w:rPr>
                <w:rFonts w:eastAsia="Consolas" w:cs="Consolas" w:ascii="Consolas" w:hAnsi="Consolas"/>
                <w:color w:val="101820"/>
                <w:kern w:val="0"/>
                <w:sz w:val="16"/>
                <w:szCs w:val="24"/>
                <w:lang w:val="en-US" w:eastAsia="ja-JP" w:bidi="ar-SA"/>
              </w:rPr>
              <w:t>compliance.ic_statement_form</w:t>
            </w:r>
            <w:r>
              <w:rPr>
                <w:rFonts w:eastAsia="Segoe UI" w:cs="Segoe UI" w:ascii="Segoe UI" w:hAnsi="Segoe UI"/>
                <w:color w:val="101820"/>
                <w:kern w:val="0"/>
                <w:sz w:val="18"/>
                <w:szCs w:val="24"/>
                <w:lang w:val="en-US" w:eastAsia="ja-JP" w:bidi="ar-SA"/>
              </w:rPr>
              <w: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annual statement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connector certification with the BIR when the first client enrols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enrolled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P19</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 list provider options to offer to clients (commercial screening provider through the provider API)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P20</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of a key rotation and a masked refresh in a non-production environment, recorded as evidence for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go-live</w:t>
            </w:r>
          </w:p>
        </w:tc>
      </w:tr>
    </w:tbl>
    <w:p>
      <w:pPr>
        <w:pStyle w:val="Normal"/>
        <w:spacing w:before="0" w:after="80"/>
        <w:rPr/>
      </w:pPr>
      <w:r>
        <w:rPr/>
      </w:r>
    </w:p>
    <w:p>
      <w:pPr>
        <w:pStyle w:val="Heading2"/>
        <w:rPr/>
      </w:pPr>
      <w:bookmarkStart w:id="14" w:name="__RefHeading___Toc24235_3133665205"/>
      <w:bookmarkEnd w:id="14"/>
      <w:r>
        <w:rPr>
          <w:rFonts w:eastAsia="Segoe UI" w:cs="Segoe UI"/>
          <w:b/>
          <w:color w:val="0F4761"/>
          <w:sz w:val="26"/>
        </w:rPr>
        <w:t>9.1  Delivered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Former ID</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on 04 October 2026</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bank account numbers) (BV-DEF-003)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IC and NPC compliance package, being merged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condition C9)</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tool for production copies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P10</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with tests before any deployment and an approval gate per environment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 GitHub settings to complete (C1)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 between two environments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compare-environments.js</w:t>
            </w:r>
            <w:r>
              <w:rPr>
                <w:rFonts w:eastAsia="Segoe UI" w:cs="Segoe UI" w:ascii="Segoe UI" w:hAnsi="Segoe UI"/>
                <w:color w:val="101820"/>
                <w:kern w:val="0"/>
                <w:sz w:val="18"/>
                <w:szCs w:val="24"/>
                <w:lang w:val="en-US" w:eastAsia="ja-JP" w:bidi="ar-SA"/>
              </w:rPr>
              <w:t xml:space="preserve"> and Compare environments on the go-live data workbench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front-end build promoted through all environments, with runtime configuration</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xml:space="preserve"> per environment</w:t>
            </w:r>
          </w:p>
        </w:tc>
      </w:tr>
    </w:tbl>
    <w:p>
      <w:pPr>
        <w:pStyle w:val="Heading1"/>
        <w:rPr/>
      </w:pPr>
      <w:r>
        <w:br w:type="page"/>
      </w:r>
      <w:bookmarkStart w:id="15" w:name="__RefHeading___Toc24237_3133665205"/>
      <w:bookmarkEnd w:id="15"/>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5"/>
        <w:gridCol w:w="1361"/>
        <w:gridCol w:w="907"/>
        <w:gridCol w:w="2243"/>
        <w:gridCol w:w="135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partner (bank, CTPL authentication provider, insurer) certifies its interface after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Connectors in test mode from configuration; fallbacks recorded at go/no-go (C12)</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regulatory registration of the client (ATP or CAS, AMLC, NPC) is late and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or started on the kick-off day; tracked as dependencies with their float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incomplete at go-live because list licences are missing</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 and AMLC lists first; PEP licence started after the compliance workshop (C10)</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compliance officer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Loss of an encryption key makes backups unreadable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Custody record, escrow copy under dual control, rotation procedure (C9)</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exposed in a non-production copy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before use, DPO approval, Pre-Prod removed after hypercare (C14)</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 of third-party marks without permission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packs only with written permission (C13)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or AMLC formats change or differ from the delivered layouts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with the current BIR module and the AMLC portal at each client; formats are configuration or a minor release (C10, C11)</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Small-broker plans have little float: an input late by a week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Kits at kick-off; weekly dependency review; escalation after 3 days (Dependency Map)</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bl>
    <w:p>
      <w:pPr>
        <w:pStyle w:val="Heading1"/>
        <w:rPr/>
      </w:pPr>
      <w:r>
        <w:br w:type="page"/>
      </w:r>
      <w:bookmarkStart w:id="16" w:name="__RefHeading___Toc24239_3133665205"/>
      <w:bookmarkEnd w:id="16"/>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75"/>
        <w:gridCol w:w="3295"/>
        <w:gridCol w:w="15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2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Custody model of the production encryption keys (escrow copy under dual control with the client, or held by the hosting partner)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Dual control with the client, stated in the SOW</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connector switch-on after go-live (partner certified late) is included without a change request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when the effort stays within the delivered connector (SOW, Special conditions)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to resell or recommend a PEP list provider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 do not resell, until P19</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of the insurer authority check at go-live (warn or block)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Warn, block once every certificate is entered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plan length: 26 weeks as the reference in proposals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process for client brand packs carrying third-party marks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permission on the engagement file before any use (C13)</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7" w:name="__RefHeading___Toc24241_3133665205"/>
      <w:bookmarkEnd w:id="17"/>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8" w:name="__RefHeading___Toc24243_3133665205"/>
      <w:bookmarkStart w:id="19" w:name="_Toc233203395"/>
      <w:bookmarkEnd w:id="18"/>
      <w:r>
        <w:rPr>
          <w:rStyle w:val="BookTitle"/>
          <w:bCs w:val="false"/>
          <w:i w:val="false"/>
          <w:iCs w:val="false"/>
          <w:spacing w:val="0"/>
        </w:rPr>
        <w:t>13.  Document Sign-Off</w:t>
      </w:r>
      <w:bookmarkEnd w:id="1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C14 of the chapter Recommendation; decisions D1 to D20</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2026-10-04T09:12:10Z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