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1" distT="0" distB="0" distL="0" distR="0" simplePos="0" locked="0" layoutInCell="0" allowOverlap="1" relativeHeight="19">
            <wp:simplePos x="0" y="0"/>
            <wp:positionH relativeFrom="margin">
              <wp:posOffset>-914400</wp:posOffset>
            </wp:positionH>
            <wp:positionV relativeFrom="margin">
              <wp:posOffset>-914400</wp:posOffset>
            </wp:positionV>
            <wp:extent cx="7553960" cy="10685145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960" cy="10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0">
            <wp:simplePos x="0" y="0"/>
            <wp:positionH relativeFrom="margin">
              <wp:align>center</wp:align>
            </wp:positionH>
            <wp:positionV relativeFrom="margin">
              <wp:posOffset>244475</wp:posOffset>
            </wp:positionV>
            <wp:extent cx="2000250" cy="568325"/>
            <wp:effectExtent l="0" t="0" r="0" b="0"/>
            <wp:wrapNone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45720" distB="45720" distL="114300" distR="114300" simplePos="0" locked="0" layoutInCell="0" allowOverlap="1" relativeHeight="20" wp14:anchorId="3D43415C">
                <wp:simplePos x="0" y="0"/>
                <wp:positionH relativeFrom="page">
                  <wp:posOffset>194310</wp:posOffset>
                </wp:positionH>
                <wp:positionV relativeFrom="paragraph">
                  <wp:posOffset>4124960</wp:posOffset>
                </wp:positionV>
                <wp:extent cx="2599690" cy="266700"/>
                <wp:effectExtent l="0" t="0" r="0" b="0"/>
                <wp:wrapSquare wrapText="bothSides"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956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Prepared by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iorta TechNXT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15.3pt;margin-top:324.8pt;width:204.65pt;height:20.95pt;mso-wrap-style:square;v-text-anchor:top;mso-position-horizontal-relative:page" wp14:anchorId="3D43415C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Prepared by – </w:t>
                      </w:r>
                      <w:r>
                        <w:rPr>
                          <w:b/>
                          <w:bCs/>
                          <w:color w:val="1D74BA"/>
                        </w:rPr>
                        <w:t>iorta TechNXT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5720" distL="113030" distR="114935" simplePos="0" locked="0" layoutInCell="0" allowOverlap="1" relativeHeight="22" wp14:anchorId="58C23128">
                <wp:simplePos x="0" y="0"/>
                <wp:positionH relativeFrom="page">
                  <wp:posOffset>3094990</wp:posOffset>
                </wp:positionH>
                <wp:positionV relativeFrom="paragraph">
                  <wp:posOffset>4124960</wp:posOffset>
                </wp:positionV>
                <wp:extent cx="1599565" cy="266700"/>
                <wp:effectExtent l="0" t="0" r="0" b="0"/>
                <wp:wrapSquare wrapText="bothSides"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48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Version -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1.0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243.7pt;margin-top:324.8pt;width:125.9pt;height:20.95pt;mso-wrap-style:square;v-text-anchor:top;mso-position-horizontal-relative:page" wp14:anchorId="58C23128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Version - </w:t>
                      </w:r>
                      <w:r>
                        <w:rPr>
                          <w:b/>
                          <w:bCs/>
                          <w:color w:val="1D74BA"/>
                        </w:rPr>
                        <w:t>1.0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5720" distL="114300" distR="113665" simplePos="0" locked="0" layoutInCell="0" allowOverlap="1" relativeHeight="24" wp14:anchorId="1BF25123">
                <wp:simplePos x="0" y="0"/>
                <wp:positionH relativeFrom="page">
                  <wp:posOffset>4992370</wp:posOffset>
                </wp:positionH>
                <wp:positionV relativeFrom="paragraph">
                  <wp:posOffset>4124960</wp:posOffset>
                </wp:positionV>
                <wp:extent cx="2400300" cy="266700"/>
                <wp:effectExtent l="0" t="0" r="0" b="0"/>
                <wp:wrapSquare wrapText="bothSides"/>
                <wp:docPr id="5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480" cy="26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Date -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>03 October 2026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393.1pt;margin-top:324.8pt;width:188.95pt;height:20.95pt;mso-wrap-style:square;v-text-anchor:top;mso-position-horizontal-relative:page" wp14:anchorId="1BF25123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</w:rPr>
                      </w:pPr>
                      <w:r>
                        <w:rPr>
                          <w:color w:val="1D74BA"/>
                        </w:rPr>
                        <w:t xml:space="preserve">Date - </w:t>
                      </w:r>
                      <w:r>
                        <w:rPr>
                          <w:b/>
                          <w:bCs/>
                          <w:color w:val="1D74BA"/>
                        </w:rPr>
                        <w:t>03 October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6355" distL="114300" distR="114300" simplePos="0" locked="0" layoutInCell="0" allowOverlap="1" relativeHeight="26" wp14:anchorId="01DE2BF4">
                <wp:simplePos x="0" y="0"/>
                <wp:positionH relativeFrom="margin">
                  <wp:align>center</wp:align>
                </wp:positionH>
                <wp:positionV relativeFrom="paragraph">
                  <wp:posOffset>1291590</wp:posOffset>
                </wp:positionV>
                <wp:extent cx="4528820" cy="1249680"/>
                <wp:effectExtent l="0" t="0" r="0" b="0"/>
                <wp:wrapSquare wrapText="bothSides"/>
                <wp:docPr id="6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00" cy="124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  <w:t>Release Notes and Product Roadmap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1D74BA"/>
                                <w:sz w:val="56"/>
                                <w:szCs w:val="56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47.35pt;margin-top:101.7pt;width:356.55pt;height:98.35pt;mso-wrap-style:square;v-text-anchor:top;mso-position-horizontal:center;mso-position-horizontal-relative:margin" wp14:anchorId="01DE2BF4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</w:pPr>
                      <w:r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  <w:t>Release Notes and Product Roadmap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1D74BA"/>
                          <w:sz w:val="56"/>
                          <w:szCs w:val="56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50800" distL="114300" distR="114300" simplePos="0" locked="0" layoutInCell="0" allowOverlap="1" relativeHeight="28" wp14:anchorId="204C02CC">
                <wp:simplePos x="0" y="0"/>
                <wp:positionH relativeFrom="margin">
                  <wp:align>center</wp:align>
                </wp:positionH>
                <wp:positionV relativeFrom="paragraph">
                  <wp:posOffset>1979295</wp:posOffset>
                </wp:positionV>
                <wp:extent cx="4528820" cy="337820"/>
                <wp:effectExtent l="0" t="0" r="0" b="5080"/>
                <wp:wrapSquare wrapText="bothSides"/>
                <wp:docPr id="7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00" cy="33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  <w:t>BrokerVerse OOTB Release 1.0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47.35pt;margin-top:155.85pt;width:356.55pt;height:26.55pt;mso-wrap-style:square;v-text-anchor:top;mso-position-horizontal:center;mso-position-horizontal-relative:margin" wp14:anchorId="204C02CC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  <w:t>BrokerVerse OOTB Release 1.0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br w:type="page"/>
      </w:r>
    </w:p>
    <w:p>
      <w:pPr>
        <w:pStyle w:val="TOCHeading"/>
        <w:tabs>
          <w:tab w:val="clear" w:pos="720"/>
          <w:tab w:val="left" w:pos="1991" w:leader="none"/>
          <w:tab w:val="center" w:pos="4725" w:leader="none"/>
          <w:tab w:val="right" w:pos="9450" w:leader="none"/>
        </w:tabs>
        <w:spacing w:before="0" w:after="0"/>
        <w:rPr>
          <w:rFonts w:ascii="Segoe UI" w:hAnsi="Segoe UI" w:cs="Segoe UI"/>
          <w:b/>
          <w:color w:val="003399"/>
        </w:rPr>
      </w:pPr>
      <w:r>
        <w:rPr>
          <w:rFonts w:eastAsia="Arial" w:cs="Segoe UI" w:ascii="Segoe UI" w:hAnsi="Segoe UI"/>
          <w:b/>
          <w:color w:val="003399"/>
        </w:rPr>
        <w:t>TABLE OF CONTENTS</w:t>
      </w:r>
    </w:p>
    <w:p>
      <w:pPr>
        <w:pStyle w:val="Normal"/>
        <w:rPr>
          <w:rFonts w:ascii="Segoe UI" w:hAnsi="Segoe UI" w:cs="Segoe UI"/>
          <w:color w:val="101820"/>
        </w:rPr>
      </w:pPr>
      <w:r>
        <w:rPr>
          <w:rFonts w:cs="Segoe UI" w:ascii="Segoe UI" w:hAnsi="Segoe UI"/>
          <w:color w:val="10182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061_2815676159">
            <w:r>
              <w:rPr>
                <w:webHidden/>
                <w:rStyle w:val="IndexLink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>1. Document Control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63_2815676159">
            <w:r>
              <w:rPr>
                <w:webHidden/>
                <w:rStyle w:val="IndexLink"/>
                <w:i w:val="false"/>
                <w:iCs w:val="false"/>
              </w:rPr>
              <w:t>2. Acronyms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65_2815676159">
            <w:r>
              <w:rPr>
                <w:webHidden/>
                <w:rStyle w:val="IndexLink"/>
              </w:rPr>
              <w:t>3. About this release</w:t>
              <w:tab/>
              <w:t>4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67_2815676159">
            <w:r>
              <w:rPr>
                <w:webHidden/>
                <w:rStyle w:val="IndexLink"/>
              </w:rPr>
              <w:t>3.1 Release identification</w:t>
              <w:tab/>
              <w:t>4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69_2815676159">
            <w:r>
              <w:rPr>
                <w:webHidden/>
                <w:rStyle w:val="IndexLink"/>
              </w:rPr>
              <w:t>3.2 Release in figures</w:t>
              <w:tab/>
              <w:t>5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71_2815676159">
            <w:r>
              <w:rPr>
                <w:webHidden/>
                <w:rStyle w:val="IndexLink"/>
              </w:rPr>
              <w:t>4. What is delivered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73_2815676159">
            <w:r>
              <w:rPr>
                <w:webHidden/>
                <w:rStyle w:val="IndexLink"/>
              </w:rPr>
              <w:t>4.1 Sales and placement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75_2815676159">
            <w:r>
              <w:rPr>
                <w:webHidden/>
                <w:rStyle w:val="IndexLink"/>
              </w:rPr>
              <w:t>4.2 Policy, servicing, claims and renewals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77_2815676159">
            <w:r>
              <w:rPr>
                <w:webHidden/>
                <w:rStyle w:val="IndexLink"/>
              </w:rPr>
              <w:t>4.3 Money and accounting</w:t>
              <w:tab/>
              <w:t>6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79_2815676159">
            <w:r>
              <w:rPr>
                <w:webHidden/>
                <w:rStyle w:val="IndexLink"/>
              </w:rPr>
              <w:t>4.4 Configuration, controls and reporting</w:t>
              <w:tab/>
              <w:t>7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81_2815676159">
            <w:r>
              <w:rPr>
                <w:webHidden/>
                <w:rStyle w:val="IndexLink"/>
              </w:rPr>
              <w:t>4.5 Philippine rules built in</w:t>
              <w:tab/>
              <w:t>7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83_2815676159">
            <w:r>
              <w:rPr>
                <w:webHidden/>
                <w:rStyle w:val="IndexLink"/>
              </w:rPr>
              <w:t>4.6 Changes after the release test</w:t>
              <w:tab/>
              <w:t>8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85_2815676159">
            <w:r>
              <w:rPr>
                <w:webHidden/>
                <w:rStyle w:val="IndexLink"/>
              </w:rPr>
              <w:t>5. Known limitations and open items</w:t>
              <w:tab/>
              <w:t>10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87_2815676159">
            <w:r>
              <w:rPr>
                <w:webHidden/>
                <w:rStyle w:val="IndexLink"/>
              </w:rPr>
              <w:t>5.1 Defects and observations from the release test</w:t>
              <w:tab/>
              <w:t>10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89_2815676159">
            <w:r>
              <w:rPr>
                <w:webHidden/>
                <w:rStyle w:val="IndexLink"/>
              </w:rPr>
              <w:t>5.2 Limits of the OOTB scope</w:t>
              <w:tab/>
              <w:t>10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91_2815676159">
            <w:r>
              <w:rPr>
                <w:webHidden/>
                <w:rStyle w:val="IndexLink"/>
              </w:rPr>
              <w:t>5.3 Before go-live at a broker</w:t>
              <w:tab/>
              <w:t>11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93_2815676159">
            <w:r>
              <w:rPr>
                <w:webHidden/>
                <w:rStyle w:val="IndexLink"/>
              </w:rPr>
              <w:t>6. Upgrade and versioning policy</w:t>
              <w:tab/>
              <w:t>12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95_2815676159">
            <w:r>
              <w:rPr>
                <w:webHidden/>
                <w:rStyle w:val="IndexLink"/>
              </w:rPr>
              <w:t>6.1 Version numbers</w:t>
              <w:tab/>
              <w:t>12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97_2815676159">
            <w:r>
              <w:rPr>
                <w:webHidden/>
                <w:rStyle w:val="IndexLink"/>
              </w:rPr>
              <w:t>6.2 Rules for every release</w:t>
              <w:tab/>
              <w:t>12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099_2815676159">
            <w:r>
              <w:rPr>
                <w:webHidden/>
                <w:rStyle w:val="IndexLink"/>
              </w:rPr>
              <w:t>6.3 Entitlement and support of versions</w:t>
              <w:tab/>
              <w:t>12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01_2815676159">
            <w:r>
              <w:rPr>
                <w:webHidden/>
                <w:rStyle w:val="IndexLink"/>
              </w:rPr>
              <w:t>7. Product roadmap</w:t>
              <w:tab/>
              <w:t>13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03_2815676159">
            <w:r>
              <w:rPr>
                <w:webHidden/>
                <w:rStyle w:val="IndexLink"/>
              </w:rPr>
              <w:t>7.1 Near term: next patch and minor release (indicative: within 3 months)</w:t>
              <w:tab/>
              <w:t>13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05_2815676159">
            <w:r>
              <w:rPr>
                <w:webHidden/>
                <w:rStyle w:val="IndexLink"/>
              </w:rPr>
              <w:t>7.2 Mid term (indicative: 3 to 9 months)</w:t>
              <w:tab/>
              <w:t>13</w:t>
            </w:r>
          </w:hyperlink>
        </w:p>
        <w:p>
          <w:pPr>
            <w:pStyle w:val="TOC2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07_2815676159">
            <w:r>
              <w:rPr>
                <w:webHidden/>
                <w:rStyle w:val="IndexLink"/>
              </w:rPr>
              <w:t>7.3 Later (indicative: beyond 9 months)</w:t>
              <w:tab/>
              <w:t>13</w:t>
            </w:r>
          </w:hyperlink>
        </w:p>
        <w:p>
          <w:pPr>
            <w:pStyle w:val="TOC1"/>
            <w:tabs>
              <w:tab w:val="clear" w:pos="900"/>
              <w:tab w:val="clear" w:pos="9350"/>
              <w:tab w:val="right" w:pos="9025" w:leader="dot"/>
            </w:tabs>
            <w:rPr/>
          </w:pPr>
          <w:hyperlink w:anchor="__RefHeading___Toc3109_2815676159">
            <w:r>
              <w:rPr>
                <w:webHidden/>
                <w:rStyle w:val="IndexLink"/>
                <w:i w:val="false"/>
                <w:iCs w:val="false"/>
              </w:rPr>
              <w:t>8. Document Sign-Off</w:t>
            </w:r>
            <w:r>
              <w:rPr>
                <w:rStyle w:val="IndexLink"/>
              </w:rPr>
              <w:tab/>
              <w:t>15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tabs>
          <w:tab w:val="clear" w:pos="720"/>
          <w:tab w:val="left" w:pos="360" w:leader="none"/>
        </w:tabs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r>
        <w:br w:type="page"/>
      </w:r>
      <w:bookmarkStart w:id="0" w:name="__RefHeading___Toc3061_2815676159"/>
      <w:bookmarkStart w:id="1" w:name="_Toc48319687"/>
      <w:bookmarkStart w:id="2" w:name="_Toc11824118"/>
      <w:bookmarkEnd w:id="0"/>
      <w:r>
        <w:rPr>
          <w:rStyle w:val="BookTitle"/>
          <w:b w:val="false"/>
        </w:rPr>
        <w:t xml:space="preserve"> </w:t>
      </w:r>
      <w:bookmarkStart w:id="3" w:name="_Toc233203387"/>
      <w:r>
        <w:rPr>
          <w:rStyle w:val="BookTitle"/>
          <w:bCs w:val="false"/>
          <w:i w:val="false"/>
          <w:iCs w:val="false"/>
          <w:spacing w:val="0"/>
        </w:rPr>
        <w:t>1.  Document Control</w:t>
      </w:r>
      <w:bookmarkEnd w:id="1"/>
      <w:bookmarkEnd w:id="2"/>
      <w:bookmarkEnd w:id="3"/>
    </w:p>
    <w:p>
      <w:pPr>
        <w:pStyle w:val="Normal"/>
        <w:ind w:right="-180"/>
        <w:rPr>
          <w:rFonts w:ascii="Segoe UI" w:hAnsi="Segoe UI" w:eastAsia="Arial" w:cs="Segoe UI"/>
          <w:color w:val="FF5100"/>
          <w:sz w:val="18"/>
          <w:szCs w:val="18"/>
        </w:rPr>
      </w:pPr>
      <w:r>
        <w:rPr>
          <w:rFonts w:eastAsia="Arial" w:cs="Segoe UI" w:ascii="Segoe UI" w:hAnsi="Segoe UI"/>
          <w:color w:val="FF5100"/>
          <w:sz w:val="18"/>
          <w:szCs w:val="18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785"/>
        <w:gridCol w:w="1608"/>
        <w:gridCol w:w="1692"/>
        <w:gridCol w:w="1696"/>
        <w:gridCol w:w="1690"/>
      </w:tblGrid>
      <w:tr>
        <w:trPr>
          <w:trHeight w:val="440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Date</w:t>
            </w:r>
          </w:p>
        </w:tc>
        <w:tc>
          <w:tcPr>
            <w:tcW w:w="7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Version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Author &amp; Business Unit Info</w:t>
            </w:r>
          </w:p>
        </w:tc>
        <w:tc>
          <w:tcPr>
            <w:tcW w:w="16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Reviewed By &amp; Business Unit Info</w:t>
            </w:r>
          </w:p>
        </w:tc>
        <w:tc>
          <w:tcPr>
            <w:tcW w:w="16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Approved By &amp; Business Unit Info</w:t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Change History</w:t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03 October 2026</w:t>
            </w:r>
          </w:p>
        </w:tc>
        <w:tc>
          <w:tcPr>
            <w:tcW w:w="7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1.0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iorta TechNXT</w:t>
            </w:r>
          </w:p>
        </w:tc>
        <w:tc>
          <w:tcPr>
            <w:tcW w:w="16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6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6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Initial issue</w:t>
            </w:r>
          </w:p>
        </w:tc>
      </w:tr>
    </w:tbl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ind w:right="9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Normal"/>
        <w:spacing w:before="60" w:after="16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Normal"/>
        <w:ind w:right="90"/>
        <w:rPr>
          <w:rFonts w:ascii="Segoe UI" w:hAnsi="Segoe UI" w:eastAsia="Arial" w:cs="Segoe UI"/>
          <w:b/>
          <w:color w:val="D74E0F"/>
          <w:sz w:val="28"/>
        </w:rPr>
      </w:pPr>
      <w:r>
        <w:rPr>
          <w:rFonts w:eastAsia="Arial" w:cs="Segoe UI" w:ascii="Segoe UI" w:hAnsi="Segoe UI"/>
          <w:b/>
          <w:color w:val="D74E0F"/>
          <w:sz w:val="28"/>
        </w:rPr>
      </w:r>
    </w:p>
    <w:p>
      <w:pPr>
        <w:pStyle w:val="Heading1"/>
        <w:tabs>
          <w:tab w:val="clear" w:pos="720"/>
          <w:tab w:val="left" w:pos="360" w:leader="none"/>
        </w:tabs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bookmarkStart w:id="4" w:name="__RefHeading___Toc3063_2815676159"/>
      <w:bookmarkStart w:id="5" w:name="_Toc233203388"/>
      <w:bookmarkEnd w:id="4"/>
      <w:r>
        <w:rPr>
          <w:rStyle w:val="BookTitle"/>
          <w:bCs w:val="false"/>
          <w:i w:val="false"/>
          <w:iCs w:val="false"/>
          <w:spacing w:val="0"/>
        </w:rPr>
        <w:t>2.  Acronyms</w:t>
      </w:r>
      <w:bookmarkEnd w:id="5"/>
    </w:p>
    <w:p>
      <w:pPr>
        <w:pStyle w:val="Normal"/>
        <w:ind w:right="-180"/>
        <w:rPr>
          <w:rFonts w:ascii="Segoe UI" w:hAnsi="Segoe UI" w:eastAsia="Arial" w:cs="Segoe UI"/>
          <w:color w:val="FF5100"/>
          <w:sz w:val="18"/>
          <w:szCs w:val="18"/>
        </w:rPr>
      </w:pPr>
      <w:r>
        <w:rPr>
          <w:rFonts w:eastAsia="Arial" w:cs="Segoe UI" w:ascii="Segoe UI" w:hAnsi="Segoe UI"/>
          <w:color w:val="FF5100"/>
          <w:sz w:val="18"/>
          <w:szCs w:val="18"/>
        </w:rPr>
      </w:r>
    </w:p>
    <w:tbl>
      <w:tblPr>
        <w:tblStyle w:val="TableGrid"/>
        <w:tblW w:w="345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4"/>
        <w:gridCol w:w="3712"/>
      </w:tblGrid>
      <w:tr>
        <w:trPr>
          <w:trHeight w:val="440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Acronym / Symbol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Definition / Meaning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OOTB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Out of the box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IC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Insurance Commission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BIR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Bureau of Internal Revenue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NPC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National Privacy Commission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DPA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Data Privacy Act of 2012 (RA 10173)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EOPT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Ease of Paying Taxes Act (RA 11976)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CTPL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Compulsory Third Party Liability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LTO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Land Transportation Office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DST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Documentary stamp tax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LGT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Local government tax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FST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Fire service tax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LGU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Local government unit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VAT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Value-added tax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EWT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Expanded withholding tax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CWT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Creditable withholding tax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ATC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Alphanumeric tax code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SAWT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Summary Alphalist of Withholding Taxes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QAP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Quarterly Alphalist of Payees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SLSP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Summary List of Sales and Purchases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KYC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Know your customer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RFQ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Request for quotation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OR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Official receipt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PV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Payment voucher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JV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Journal voucher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GL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General ledger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SoD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Segregation of duties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TOTP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Time-based one-time password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API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Application programming interface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AMC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Annual Maintenance Contract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CR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Change request</w:t>
            </w:r>
          </w:p>
        </w:tc>
      </w:tr>
      <w:tr>
        <w:trPr>
          <w:trHeight w:val="449" w:hRule="atLeast"/>
        </w:trPr>
        <w:tc>
          <w:tcPr>
            <w:tcW w:w="2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UAT</w:t>
            </w:r>
          </w:p>
        </w:tc>
        <w:tc>
          <w:tcPr>
            <w:tcW w:w="37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User acceptance test</w:t>
            </w:r>
          </w:p>
        </w:tc>
      </w:tr>
    </w:tbl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Normal"/>
        <w:rPr>
          <w:rFonts w:ascii="Segoe UI" w:hAnsi="Segoe UI" w:cs="Segoe UI"/>
          <w:sz w:val="18"/>
          <w:szCs w:val="16"/>
          <w:lang w:bidi="en-US"/>
        </w:rPr>
      </w:pPr>
      <w:r>
        <w:rPr>
          <w:rFonts w:cs="Segoe UI" w:ascii="Segoe UI" w:hAnsi="Segoe UI"/>
          <w:sz w:val="18"/>
          <w:szCs w:val="16"/>
          <w:lang w:bidi="en-US"/>
        </w:rPr>
      </w:r>
    </w:p>
    <w:p>
      <w:pPr>
        <w:pStyle w:val="Heading1"/>
        <w:pageBreakBefore w:val="false"/>
        <w:rPr/>
      </w:pPr>
      <w:bookmarkStart w:id="6" w:name="__RefHeading___Toc3065_2815676159"/>
      <w:bookmarkEnd w:id="6"/>
      <w:r>
        <w:rPr>
          <w:rFonts w:eastAsia="Segoe UI" w:cs="Segoe UI" w:ascii="Segoe UI" w:hAnsi="Segoe UI"/>
          <w:b/>
          <w:color w:val="0F4761"/>
          <w:sz w:val="32"/>
        </w:rPr>
        <w:t>3.  About this release</w:t>
      </w:r>
    </w:p>
    <w:p>
      <w:pPr>
        <w:pStyle w:val="Heading2"/>
        <w:rPr/>
      </w:pPr>
      <w:bookmarkStart w:id="7" w:name="__RefHeading___Toc3067_2815676159"/>
      <w:bookmarkEnd w:id="7"/>
      <w:r>
        <w:rPr>
          <w:rFonts w:eastAsia="Segoe UI" w:cs="Segoe UI"/>
          <w:b/>
          <w:color w:val="0F4761"/>
          <w:sz w:val="26"/>
        </w:rPr>
        <w:t>3.1  Release identification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02"/>
        <w:gridCol w:w="7211"/>
      </w:tblGrid>
      <w:tr>
        <w:trPr>
          <w:tblHeader w:val="true"/>
        </w:trPr>
        <w:tc>
          <w:tcPr>
            <w:tcW w:w="180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Item</w:t>
            </w:r>
          </w:p>
        </w:tc>
        <w:tc>
          <w:tcPr>
            <w:tcW w:w="72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Value</w:t>
            </w:r>
          </w:p>
        </w:tc>
      </w:tr>
      <w:tr>
        <w:trPr/>
        <w:tc>
          <w:tcPr>
            <w:tcW w:w="180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Product</w:t>
            </w:r>
          </w:p>
        </w:tc>
        <w:tc>
          <w:tcPr>
            <w:tcW w:w="72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iNXT BrokerVerse OOTB, insurance broking platform for Philippine non-life brokers</w:t>
            </w:r>
          </w:p>
        </w:tc>
      </w:tr>
      <w:tr>
        <w:trPr/>
        <w:tc>
          <w:tcPr>
            <w:tcW w:w="180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Release</w:t>
            </w:r>
          </w:p>
        </w:tc>
        <w:tc>
          <w:tcPr>
            <w:tcW w:w="72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1.0</w:t>
            </w:r>
          </w:p>
        </w:tc>
      </w:tr>
      <w:tr>
        <w:trPr/>
        <w:tc>
          <w:tcPr>
            <w:tcW w:w="180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Build</w:t>
            </w:r>
          </w:p>
        </w:tc>
        <w:tc>
          <w:tcPr>
            <w:tcW w:w="72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 xml:space="preserve">Branch </w:t>
            </w: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brokerverse-platform</w:t>
            </w: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 xml:space="preserve"> of 03 October 2026; backend package version 1.0.0. The repository carries tag </w:t>
            </w: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v1.0.0</w:t>
            </w: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 xml:space="preserve"> (29 September 2026); the tag of the final 1.0 build is [to confirm]</w:t>
            </w:r>
          </w:p>
        </w:tc>
      </w:tr>
      <w:tr>
        <w:trPr/>
        <w:tc>
          <w:tcPr>
            <w:tcW w:w="180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Technology</w:t>
            </w:r>
          </w:p>
        </w:tc>
        <w:tc>
          <w:tcPr>
            <w:tcW w:w="72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React 18 web application, Node.js 22 API, PostgreSQL 16 database</w:t>
            </w:r>
          </w:p>
        </w:tc>
      </w:tr>
      <w:tr>
        <w:trPr/>
        <w:tc>
          <w:tcPr>
            <w:tcW w:w="180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Release test</w:t>
            </w:r>
          </w:p>
        </w:tc>
        <w:tc>
          <w:tcPr>
            <w:tcW w:w="72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03 to 04 October 2026; see the Test Summary Report</w:t>
            </w:r>
          </w:p>
        </w:tc>
      </w:tr>
      <w:tr>
        <w:trPr/>
        <w:tc>
          <w:tcPr>
            <w:tcW w:w="180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Audience</w:t>
            </w:r>
          </w:p>
        </w:tc>
        <w:tc>
          <w:tcPr>
            <w:tcW w:w="72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Broker management, key users, System Administrator, auditors, and the iorta TechNXT support team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8" w:name="__RefHeading___Toc3069_2815676159"/>
      <w:bookmarkEnd w:id="8"/>
      <w:r>
        <w:rPr>
          <w:rFonts w:eastAsia="Segoe UI" w:cs="Segoe UI"/>
          <w:b/>
          <w:color w:val="0F4761"/>
          <w:sz w:val="26"/>
        </w:rPr>
        <w:t>3.2  Release in figures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7"/>
        <w:gridCol w:w="4506"/>
      </w:tblGrid>
      <w:tr>
        <w:trPr>
          <w:tblHeader w:val="true"/>
        </w:trPr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Item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Count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Delivered roles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7 (System Administrator, Sales &amp; Marketing, Processing Team, Operations, Claims, Accounting, Accounting Manager)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Menu screens checked per role in the release test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173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Catalogue reports in Excel, CSV and PDF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39, plus dashboards and printed documents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Registered API routes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868, documented in OpenAPI, Postman and an Excel touchpoint list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Scheduled jobs (Asia/Manila time)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18, of which 7 are delivered switched off (including the remittance schedules and the overdue data subject request reminder)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Document number series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61, counters that only move forward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Upload templates for go-live data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About 40, each verified against its importer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Test cases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497 prepared: 486 passed, 2 failed, 3 blocked, 6 not run after the re-test of 03 October 2026 (first run: 480 passed, 8 failed)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Automated business-rule tests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634, all passed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End-to-end UAT cycle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371 business steps, 0 failed</w:t>
            </w:r>
          </w:p>
        </w:tc>
      </w:tr>
    </w:tbl>
    <w:p>
      <w:pPr>
        <w:pStyle w:val="Heading1"/>
        <w:rPr/>
      </w:pPr>
      <w:r>
        <w:br w:type="page"/>
      </w:r>
      <w:bookmarkStart w:id="9" w:name="__RefHeading___Toc3071_2815676159"/>
      <w:bookmarkEnd w:id="9"/>
      <w:r>
        <w:rPr>
          <w:rFonts w:eastAsia="Segoe UI" w:cs="Segoe UI" w:ascii="Segoe UI" w:hAnsi="Segoe UI"/>
          <w:b/>
          <w:color w:val="0F4761"/>
          <w:sz w:val="32"/>
        </w:rPr>
        <w:t>4.  What is delivered</w:t>
      </w:r>
    </w:p>
    <w:p>
      <w:pPr>
        <w:pStyle w:val="Heading2"/>
        <w:rPr/>
      </w:pPr>
      <w:bookmarkStart w:id="10" w:name="__RefHeading___Toc3073_2815676159"/>
      <w:bookmarkEnd w:id="10"/>
      <w:r>
        <w:rPr>
          <w:rFonts w:eastAsia="Segoe UI" w:cs="Segoe UI"/>
          <w:b/>
          <w:color w:val="0F4761"/>
          <w:sz w:val="26"/>
        </w:rPr>
        <w:t>4.1  Sales and placement</w:t>
      </w:r>
    </w:p>
    <w:tbl>
      <w:tblPr>
        <w:tblStyle w:val="TableGrid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07"/>
        <w:gridCol w:w="4207"/>
      </w:tblGrid>
      <w:tr>
        <w:trPr>
          <w:tblHeader w:val="true"/>
        </w:trPr>
        <w:tc>
          <w:tcPr>
            <w:tcW w:w="48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Capability</w:t>
            </w:r>
          </w:p>
        </w:tc>
        <w:tc>
          <w:tcPr>
            <w:tcW w:w="42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Main screens</w:t>
            </w:r>
          </w:p>
        </w:tc>
      </w:tr>
      <w:tr>
        <w:trPr/>
        <w:tc>
          <w:tcPr>
            <w:tcW w:w="48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Prospects with contact details, address and status, bulk upload</w:t>
            </w:r>
          </w:p>
        </w:tc>
        <w:tc>
          <w:tcPr>
            <w:tcW w:w="42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Operations &gt; Sales &amp; Marketing &gt; Prospects</w:t>
            </w:r>
          </w:p>
        </w:tc>
      </w:tr>
      <w:tr>
        <w:trPr/>
        <w:tc>
          <w:tcPr>
            <w:tcW w:w="48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Quick Quote of packaged products from insurer rate tables; Compare Insurers</w:t>
            </w:r>
          </w:p>
        </w:tc>
        <w:tc>
          <w:tcPr>
            <w:tcW w:w="42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Quick Quote; Compare Insurers</w:t>
            </w:r>
          </w:p>
        </w:tc>
      </w:tr>
      <w:tr>
        <w:trPr/>
        <w:tc>
          <w:tcPr>
            <w:tcW w:w="48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Request for Quotation to several insurers on a broker slip; insurer offers and declines</w:t>
            </w:r>
          </w:p>
        </w:tc>
        <w:tc>
          <w:tcPr>
            <w:tcW w:w="42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Request for Quotation</w:t>
            </w:r>
          </w:p>
        </w:tc>
      </w:tr>
      <w:tr>
        <w:trPr/>
        <w:tc>
          <w:tcPr>
            <w:tcW w:w="48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Quotations with premium taxes and commission; customer response recorded on screen or through an approval link; maker-checker on quotations</w:t>
            </w:r>
          </w:p>
        </w:tc>
        <w:tc>
          <w:tcPr>
            <w:tcW w:w="42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Quotations</w:t>
            </w:r>
          </w:p>
        </w:tc>
      </w:tr>
      <w:tr>
        <w:trPr/>
        <w:tc>
          <w:tcPr>
            <w:tcW w:w="48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Placement Slips with lead insurer and co-insurers, shares totalling 100%</w:t>
            </w:r>
          </w:p>
        </w:tc>
        <w:tc>
          <w:tcPr>
            <w:tcW w:w="42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Placement Slips</w:t>
            </w:r>
          </w:p>
        </w:tc>
      </w:tr>
      <w:tr>
        <w:trPr/>
        <w:tc>
          <w:tcPr>
            <w:tcW w:w="48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Placement journey per line of business (</w:t>
            </w: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placement.journey</w:t>
            </w: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), shown as a progress bar</w:t>
            </w:r>
          </w:p>
        </w:tc>
        <w:tc>
          <w:tcPr>
            <w:tcW w:w="42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Master &gt; Configuration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1" w:name="__RefHeading___Toc3075_2815676159"/>
      <w:bookmarkEnd w:id="11"/>
      <w:r>
        <w:rPr>
          <w:rFonts w:eastAsia="Segoe UI" w:cs="Segoe UI"/>
          <w:b/>
          <w:color w:val="0F4761"/>
          <w:sz w:val="26"/>
        </w:rPr>
        <w:t>4.2  Policy, servicing, claims and renewals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271"/>
        <w:gridCol w:w="2742"/>
      </w:tblGrid>
      <w:tr>
        <w:trPr>
          <w:tblHeader w:val="true"/>
        </w:trPr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Capability</w:t>
            </w:r>
          </w:p>
        </w:tc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Main screens</w:t>
            </w:r>
          </w:p>
        </w:tc>
      </w:tr>
      <w:tr>
        <w:trPr/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Policy issue for package and non-package business, motor with CTPL and Auto Passenger PA, KYC checks before motor issue, co-insurance</w:t>
            </w:r>
          </w:p>
        </w:tc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Operations &gt; Policy</w:t>
            </w:r>
          </w:p>
        </w:tc>
      </w:tr>
      <w:tr>
        <w:trPr/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Endorsements (additional premium, return premium, changes of details, extension) and cancellations, with taxes following the premium</w:t>
            </w:r>
          </w:p>
        </w:tc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Operations &gt; Policy</w:t>
            </w:r>
          </w:p>
        </w:tc>
      </w:tr>
      <w:tr>
        <w:trPr/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Claims from notification to settlement and closure, preliminary loss advice, claim letters, settlement maker-checker, SLA ageing</w:t>
            </w:r>
          </w:p>
        </w:tc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Operations &gt; Claims</w:t>
            </w:r>
          </w:p>
        </w:tc>
      </w:tr>
      <w:tr>
        <w:trPr/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Renewals: pipeline 90 days before expiry, notices at 60, 30 and 15 days, renewal batch and queue, at-risk policies, retention analytics, lapse management, win-back campaigns</w:t>
            </w:r>
          </w:p>
        </w:tc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Operations &gt; Renewals</w:t>
            </w:r>
          </w:p>
        </w:tc>
      </w:tr>
      <w:tr>
        <w:trPr/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Clients with their policies and accounting position</w:t>
            </w:r>
          </w:p>
        </w:tc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Operations &gt; Clients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2" w:name="__RefHeading___Toc3077_2815676159"/>
      <w:bookmarkEnd w:id="12"/>
      <w:r>
        <w:rPr>
          <w:rFonts w:eastAsia="Segoe UI" w:cs="Segoe UI"/>
          <w:b/>
          <w:color w:val="0F4761"/>
          <w:sz w:val="26"/>
        </w:rPr>
        <w:t>4.3  Money and accounting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30"/>
        <w:gridCol w:w="3983"/>
      </w:tblGrid>
      <w:tr>
        <w:trPr>
          <w:tblHeader w:val="true"/>
        </w:trPr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Capability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Main screens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Open items, payment capture by sales and operations, acknowledgement receipts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Operations &gt; Open Items; Payments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Billing, official receipts, receipt and invoice e-mails with PDF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Accounts &gt; Receipts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Collections, reminders, credit control: instalment plans, premium warranty monitor, client credit limits, remittance ageing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Accounts &gt; Collections; Credit Control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Disbursement and payment vouchers, petty cash from request to replenishment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Accounts &gt; Disbursement; Petty Cash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 xml:space="preserve">Remittance to insurers by share, with tracking, statements, settlement, approval within the Authority Matrix limits, schedules run by the </w:t>
            </w: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remittance-schedules</w:t>
            </w: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 xml:space="preserve"> job, exceptions, electronic transfer records, agency bill and direct bill processing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Accounts &gt; Remittance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Commission: referrer and sub-agent accounts, commission rate matrix, payout after collection with withholding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Commission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Incentive programmes, calculations, approvals and statements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Accounts &gt; Incentive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General ledger from posting rules; Journal Voucher, Correction JV, Reversal JV; open entry matching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Accounts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Period End: period management, month-end close with checklist and sub-ledger tie-out, year-end close, recurring journals, financial statements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Accounts &gt; Period End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Bank reconciliation with statement import (BDO, BPI, Metrobank and generic formats) and matching rules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Accounts &gt; Bank Reconciliation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Insurer statement reconciliation with column mapping per insurer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Accounts &gt; Insurer Reconciliation</w:t>
            </w:r>
          </w:p>
        </w:tc>
      </w:tr>
      <w:tr>
        <w:trPr/>
        <w:tc>
          <w:tcPr>
            <w:tcW w:w="503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Reinsurance: treaties, cessions, recoveries, bordereaux, reconciliation</w:t>
            </w:r>
          </w:p>
        </w:tc>
        <w:tc>
          <w:tcPr>
            <w:tcW w:w="398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Reinsurance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3" w:name="__RefHeading___Toc3079_2815676159"/>
      <w:bookmarkEnd w:id="13"/>
      <w:r>
        <w:rPr>
          <w:rFonts w:eastAsia="Segoe UI" w:cs="Segoe UI"/>
          <w:b/>
          <w:color w:val="0F4761"/>
          <w:sz w:val="26"/>
        </w:rPr>
        <w:t>4.4  Configuration, controls and reporting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212"/>
        <w:gridCol w:w="3801"/>
      </w:tblGrid>
      <w:tr>
        <w:trPr>
          <w:tblHeader w:val="true"/>
        </w:trPr>
        <w:tc>
          <w:tcPr>
            <w:tcW w:w="5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Capability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Main screens</w:t>
            </w:r>
          </w:p>
        </w:tc>
      </w:tr>
      <w:tr>
        <w:trPr/>
        <w:tc>
          <w:tcPr>
            <w:tcW w:w="5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Product Configurator: product templates, coverage builder, rating engine, acceptance rules, document manager, market and risk mapping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Product Configurator</w:t>
            </w:r>
          </w:p>
        </w:tc>
      </w:tr>
      <w:tr>
        <w:trPr/>
        <w:tc>
          <w:tcPr>
            <w:tcW w:w="5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Masters for organisation, insurers, lines of business, products, covers, vehicles, locations, designations and hierarchy, finance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Master &gt; Generals; Master &gt; Finance</w:t>
            </w:r>
          </w:p>
        </w:tc>
      </w:tr>
      <w:tr>
        <w:trPr/>
        <w:tc>
          <w:tcPr>
            <w:tcW w:w="5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System Settings, Configuration by business area, Document Numbering, Schedules, E-mail Outbox, Audit Trail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Master</w:t>
            </w:r>
          </w:p>
        </w:tc>
      </w:tr>
      <w:tr>
        <w:trPr/>
        <w:tc>
          <w:tcPr>
            <w:tcW w:w="5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User management: users, roles, User Access Matrix, Role Permissions, Authority Matrix, Delegations, Segregation of Duties, Access Reviews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Master &gt; Generals &gt; User Management</w:t>
            </w:r>
          </w:p>
        </w:tc>
      </w:tr>
      <w:tr>
        <w:trPr/>
        <w:tc>
          <w:tcPr>
            <w:tcW w:w="5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Security: password policy, lockout, TOTP two-step verification by role, session rotation and idle sign-out, permission check on every API route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Master &gt; Configuration</w:t>
            </w:r>
          </w:p>
        </w:tc>
      </w:tr>
      <w:tr>
        <w:trPr/>
        <w:tc>
          <w:tcPr>
            <w:tcW w:w="5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Data privacy: Consent Register, Data Subject Requests, personal data export, anonymisation with dry run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Master &gt; Data Privacy</w:t>
            </w:r>
          </w:p>
        </w:tc>
      </w:tr>
      <w:tr>
        <w:trPr/>
        <w:tc>
          <w:tcPr>
            <w:tcW w:w="5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Approval notifications in every maker-checker flow: the request to the approvers and the decision to the maker (</w:t>
            </w: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notification.approval_requests</w:t>
            </w: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)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Notifications (bell)</w:t>
            </w:r>
          </w:p>
        </w:tc>
      </w:tr>
      <w:tr>
        <w:trPr/>
        <w:tc>
          <w:tcPr>
            <w:tcW w:w="5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Reports: operational and financial reports, co-insurance register, due to insurers by co-insurer; dashboards for executives, claims, processing, sales and commission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Reports; Dashboard</w:t>
            </w:r>
          </w:p>
        </w:tc>
      </w:tr>
      <w:tr>
        <w:trPr/>
        <w:tc>
          <w:tcPr>
            <w:tcW w:w="52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Payment links through PayMongo and Dragonpay (sandbox provider for testing); a confirmed payment posts the official receipt</w:t>
            </w:r>
          </w:p>
        </w:tc>
        <w:tc>
          <w:tcPr>
            <w:tcW w:w="38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Master &gt; Finance &gt; Payment Gateways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4" w:name="__RefHeading___Toc3081_2815676159"/>
      <w:bookmarkEnd w:id="14"/>
      <w:r>
        <w:rPr>
          <w:rFonts w:eastAsia="Segoe UI" w:cs="Segoe UI"/>
          <w:b/>
          <w:color w:val="0F4761"/>
          <w:sz w:val="26"/>
        </w:rPr>
        <w:t>4.5  Philippine rules built in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42"/>
        <w:gridCol w:w="6271"/>
      </w:tblGrid>
      <w:tr>
        <w:trPr>
          <w:tblHeader w:val="true"/>
        </w:trPr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Area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Rule as delivered</w:t>
            </w:r>
          </w:p>
        </w:tc>
      </w:tr>
      <w:tr>
        <w:trPr/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Premium taxes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DST of PHP 0.50 on each PHP 4.00 of premium, a fraction counting as a whole unit (NIRC section 184), VAT 12% for products under the VAT regime, LGT by the client's city or municipality (0.75% delivered default), FST 2% on fire lines; set in Master &gt; Finance &gt; Premium Taxes &amp; LGU Rates</w:t>
            </w:r>
          </w:p>
        </w:tc>
      </w:tr>
      <w:tr>
        <w:trPr/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CTPL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1-year and 3-year CTPL per vehicle class from the motor template MOT-003-2025; inclusive of taxes and fees, never discounted; certificate number and authentication code on the policy</w:t>
            </w:r>
          </w:p>
        </w:tc>
      </w:tr>
      <w:tr>
        <w:trPr/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KYC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Government ID type, number and image, chassis, motor and plate or MV file number required before motor issue; accepted IDs include PhilSys ID, UMID, passport and driver's licence</w:t>
            </w:r>
          </w:p>
        </w:tc>
      </w:tr>
      <w:tr>
        <w:trPr/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Commission tax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Output VAT on commission (VAT12-OUT); EWT on referrer commission by payee type (WI515 5% for agents and sub-agents, WC515 10% for external referrers, delivered); insurer EWT on direct-bill commission (WC139 10%) to Creditable Withholding Tax</w:t>
            </w:r>
          </w:p>
        </w:tc>
      </w:tr>
      <w:tr>
        <w:trPr/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BIR working papers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BIR Form 2307 issued and received, VAT Summary, SAWT, QAP, SLSP Sales and SLSP Purchases, in the BIR column order</w:t>
            </w:r>
          </w:p>
        </w:tc>
      </w:tr>
      <w:tr>
        <w:trPr/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Invoices and receipts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Number series for invoices, official receipts, debit notes and Form 2307; next numbers can continue the old system's numbering; cancelled documents kept with a reason</w:t>
            </w:r>
          </w:p>
        </w:tc>
      </w:tr>
      <w:tr>
        <w:trPr/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Local formats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Asia/Manila time zone, PHP base currency, +63 mobile numbers, Philippine provinces and cities with all NCR LGUs, Philippine banks</w:t>
            </w:r>
          </w:p>
        </w:tc>
      </w:tr>
      <w:tr>
        <w:trPr/>
        <w:tc>
          <w:tcPr>
            <w:tcW w:w="27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Data privacy</w:t>
            </w:r>
          </w:p>
        </w:tc>
        <w:tc>
          <w:tcPr>
            <w:tcW w:w="627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Consent per purpose with notice version; data subject requests due in 15 calendar days; anonymisation refused within 10 years of the last policy expiry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5" w:name="__RefHeading___Toc3083_2815676159"/>
      <w:bookmarkEnd w:id="15"/>
      <w:r>
        <w:rPr>
          <w:rFonts w:eastAsia="Segoe UI" w:cs="Segoe UI"/>
          <w:b/>
          <w:color w:val="0F4761"/>
          <w:sz w:val="26"/>
        </w:rPr>
        <w:t>4.6  Changes after the release test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These changes were made on the release branch after the release test of 03 and 04 October 2026. The cases they touch are re-run in the next manual cycle.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7"/>
        <w:gridCol w:w="4506"/>
      </w:tblGrid>
      <w:tr>
        <w:trPr>
          <w:tblHeader w:val="true"/>
        </w:trPr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Change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Effect for users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Data privacy module (Master &gt; Data Privacy)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Consents, data subject requests, export and anonymisation in the system instead of outside it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E-mail attachments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Official receipt, premium invoice, policy schedule and commission debit note e-mailed with the PDF attached; attachments listed in the E-mail Outbox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Approval notifications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Every maker-checker request and decision notified under the bell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Remittance approvals in the Authority Matrix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 xml:space="preserve">Transaction types Remittance approval and Remittance settlement; delivered limits Accounting PHP 1,000,000.00, Accounting Manager without limit; </w:t>
            </w: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remittance.approval_levels</w:t>
            </w: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 xml:space="preserve"> only as a fallback; cover through User Management &gt; Delegations (the separate remittance delegation tab is removed)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Remittance schedules job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 xml:space="preserve">The schedules of Accounts &gt; Remittance &gt; Scheduling run daily through </w:t>
            </w:r>
            <w:r>
              <w:rPr>
                <w:rFonts w:eastAsia="Consolas" w:cs="Consolas" w:ascii="Consolas" w:hAnsi="Consolas"/>
                <w:color w:val="101820"/>
                <w:kern w:val="0"/>
                <w:sz w:val="16"/>
                <w:szCs w:val="24"/>
                <w:lang w:val="en-US" w:eastAsia="ja-JP" w:bidi="ar-SA"/>
              </w:rPr>
              <w:t>remittance-schedules</w:t>
            </w: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 xml:space="preserve"> on Master &gt; Schedules (delivered switched off)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Duplicate masters retired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Remittance Master keeps automated remittance, statement templates, settlement parameters, bulk processing, exceptions, agency bill, adjustments and notifications; the tabs Reconciliation Rule, Electronic Transfer, History, Analytics, Direct Bill and Report Template are removed (their values are in Master &gt; Configuration). The Commission, Employee and Petty Cash masters are removed from the menu: commission rates are in Master &gt; Finance &gt; Commission Rate Matrix, staff details on the user form (branch, designation, reporting to), petty cash fund size and limits on Accounts &gt; Petty Cash &gt; Initiate. Product Configurator &gt; Approval Workflows is removed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One source for currency, exchange rates and premium taxes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One base currency in the Currency master; dated rates only from the Exchange Rate master; premium taxes only from Premium Taxes &amp; LGU Rates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Screen stability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Lists paged by the server (20, 50 or 100 rows), Prospects shown as a table, description paragraphs removed from working screens, steadier loading</w:t>
            </w:r>
          </w:p>
        </w:tc>
      </w:tr>
    </w:tbl>
    <w:p>
      <w:pPr>
        <w:pStyle w:val="Heading1"/>
        <w:rPr/>
      </w:pPr>
      <w:r>
        <w:br w:type="page"/>
      </w:r>
      <w:bookmarkStart w:id="16" w:name="__RefHeading___Toc3085_2815676159"/>
      <w:bookmarkEnd w:id="16"/>
      <w:r>
        <w:rPr>
          <w:rFonts w:eastAsia="Segoe UI" w:cs="Segoe UI" w:ascii="Segoe UI" w:hAnsi="Segoe UI"/>
          <w:b/>
          <w:color w:val="0F4761"/>
          <w:sz w:val="32"/>
        </w:rPr>
        <w:t>5.  Known limitations and open items</w:t>
      </w:r>
    </w:p>
    <w:p>
      <w:pPr>
        <w:pStyle w:val="Heading2"/>
        <w:rPr/>
      </w:pPr>
      <w:bookmarkStart w:id="17" w:name="__RefHeading___Toc3087_2815676159"/>
      <w:bookmarkEnd w:id="17"/>
      <w:r>
        <w:rPr>
          <w:rFonts w:eastAsia="Segoe UI" w:cs="Segoe UI"/>
          <w:b/>
          <w:color w:val="0F4761"/>
          <w:sz w:val="26"/>
        </w:rPr>
        <w:t>5.1  Defects and observations from the release test</w:t>
      </w:r>
    </w:p>
    <w:tbl>
      <w:tblPr>
        <w:tblStyle w:val="TableGrid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34"/>
        <w:gridCol w:w="2847"/>
        <w:gridCol w:w="1124"/>
        <w:gridCol w:w="2768"/>
        <w:gridCol w:w="1142"/>
      </w:tblGrid>
      <w:tr>
        <w:trPr>
          <w:tblHeader w:val="true"/>
        </w:trPr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ID</w:t>
            </w:r>
          </w:p>
        </w:tc>
        <w:tc>
          <w:tcPr>
            <w:tcW w:w="28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Item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Severity</w:t>
            </w:r>
          </w:p>
        </w:tc>
        <w:tc>
          <w:tcPr>
            <w:tcW w:w="27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Workaround</w:t>
            </w:r>
          </w:p>
        </w:tc>
        <w:tc>
          <w:tcPr>
            <w:tcW w:w="11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6"/>
                <w:szCs w:val="24"/>
                <w:lang w:val="en-US" w:eastAsia="ja-JP" w:bidi="ar-SA"/>
              </w:rPr>
              <w:t>Target</w:t>
            </w:r>
          </w:p>
        </w:tc>
      </w:tr>
      <w:tr>
        <w:trPr/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BV-DEF-001</w:t>
            </w:r>
          </w:p>
        </w:tc>
        <w:tc>
          <w:tcPr>
            <w:tcW w:w="28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react-router carries a moderate security advisory (open redirect)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Medium</w:t>
            </w:r>
          </w:p>
        </w:tc>
        <w:tc>
          <w:tcPr>
            <w:tcW w:w="27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Navigation targets come from the application's own routes; web server allows only the application origin</w:t>
            </w:r>
          </w:p>
        </w:tc>
        <w:tc>
          <w:tcPr>
            <w:tcW w:w="11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Next minor release</w:t>
            </w:r>
          </w:p>
        </w:tc>
      </w:tr>
      <w:tr>
        <w:trPr/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BV-DEF-002</w:t>
            </w:r>
          </w:p>
        </w:tc>
        <w:tc>
          <w:tcPr>
            <w:tcW w:w="28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Data privacy features were not built at the release test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Medium</w:t>
            </w:r>
          </w:p>
        </w:tc>
        <w:tc>
          <w:tcPr>
            <w:tcW w:w="27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Closed: delivered (Master &gt; Data Privacy) and re-tested on 03 October 2026</w:t>
            </w:r>
          </w:p>
        </w:tc>
        <w:tc>
          <w:tcPr>
            <w:tcW w:w="11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Closed</w:t>
            </w:r>
          </w:p>
        </w:tc>
      </w:tr>
      <w:tr>
        <w:trPr/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BV-DEF-003</w:t>
            </w:r>
          </w:p>
        </w:tc>
        <w:tc>
          <w:tcPr>
            <w:tcW w:w="28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Application-level encryption covers only two-step verification secrets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Medium</w:t>
            </w:r>
          </w:p>
        </w:tc>
        <w:tc>
          <w:tcPr>
            <w:tcW w:w="27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Encrypted database storage and backups; restricted database access</w:t>
            </w:r>
          </w:p>
        </w:tc>
        <w:tc>
          <w:tcPr>
            <w:tcW w:w="11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Product backlog</w:t>
            </w:r>
          </w:p>
        </w:tc>
      </w:tr>
      <w:tr>
        <w:trPr/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BV-DEF-004</w:t>
            </w:r>
          </w:p>
        </w:tc>
        <w:tc>
          <w:tcPr>
            <w:tcW w:w="28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Product configurator component lists did not show the template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Low</w:t>
            </w:r>
          </w:p>
        </w:tc>
        <w:tc>
          <w:tcPr>
            <w:tcW w:w="27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Closed: Template column added and re-tested on 03 October 2026</w:t>
            </w:r>
          </w:p>
        </w:tc>
        <w:tc>
          <w:tcPr>
            <w:tcW w:w="11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Closed</w:t>
            </w:r>
          </w:p>
        </w:tc>
      </w:tr>
      <w:tr>
        <w:trPr/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BV-OBS-005</w:t>
            </w:r>
          </w:p>
        </w:tc>
        <w:tc>
          <w:tcPr>
            <w:tcW w:w="28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Renewal refused for a policy expired beyond grace plus lapsed-renewal days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Low</w:t>
            </w:r>
          </w:p>
        </w:tc>
        <w:tc>
          <w:tcPr>
            <w:tcW w:w="27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Closed as by design: quote as new business</w:t>
            </w:r>
          </w:p>
        </w:tc>
        <w:tc>
          <w:tcPr>
            <w:tcW w:w="11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Closed</w:t>
            </w:r>
          </w:p>
        </w:tc>
      </w:tr>
      <w:tr>
        <w:trPr/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BV-DEF-006</w:t>
            </w:r>
          </w:p>
        </w:tc>
        <w:tc>
          <w:tcPr>
            <w:tcW w:w="28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Premium Taxes &amp; LGU Rates: charges calculator product list empty for Accounting roles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Low</w:t>
            </w:r>
          </w:p>
        </w:tc>
        <w:tc>
          <w:tcPr>
            <w:tcW w:w="27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Closed: fixed and re-tested on 03 October 2026</w:t>
            </w:r>
          </w:p>
        </w:tc>
        <w:tc>
          <w:tcPr>
            <w:tcW w:w="11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Closed</w:t>
            </w:r>
          </w:p>
        </w:tc>
      </w:tr>
      <w:tr>
        <w:trPr/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BV-OBS-007</w:t>
            </w:r>
          </w:p>
        </w:tc>
        <w:tc>
          <w:tcPr>
            <w:tcW w:w="28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Address of the menu group Master &gt; Generals &gt; Organization opened "Page not found"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Low</w:t>
            </w:r>
          </w:p>
        </w:tc>
        <w:tc>
          <w:tcPr>
            <w:tcW w:w="27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Closed: menu groups carry no address</w:t>
            </w:r>
          </w:p>
        </w:tc>
        <w:tc>
          <w:tcPr>
            <w:tcW w:w="11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Closed</w:t>
            </w:r>
          </w:p>
        </w:tc>
      </w:tr>
      <w:tr>
        <w:trPr/>
        <w:tc>
          <w:tcPr>
            <w:tcW w:w="113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BV-OBS-008</w:t>
            </w:r>
          </w:p>
        </w:tc>
        <w:tc>
          <w:tcPr>
            <w:tcW w:w="28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Incentive &gt; My Programs: Achievement Overview card cut off at 1440 px</w:t>
            </w:r>
          </w:p>
        </w:tc>
        <w:tc>
          <w:tcPr>
            <w:tcW w:w="11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Low</w:t>
            </w:r>
          </w:p>
        </w:tc>
        <w:tc>
          <w:tcPr>
            <w:tcW w:w="276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Closed: fixed and re-tested on 03 October 2026</w:t>
            </w:r>
          </w:p>
        </w:tc>
        <w:tc>
          <w:tcPr>
            <w:tcW w:w="114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Closed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Cases not run or blocked in the release test (SMTP-dependent checks, idle sign-out timing, some screen-only negative checks) are listed in the Test Summary Report and are planned for the next manual cycle.</w:t>
      </w:r>
    </w:p>
    <w:p>
      <w:pPr>
        <w:pStyle w:val="Heading2"/>
        <w:rPr/>
      </w:pPr>
      <w:bookmarkStart w:id="18" w:name="__RefHeading___Toc3089_2815676159"/>
      <w:bookmarkEnd w:id="18"/>
      <w:r>
        <w:rPr>
          <w:rFonts w:eastAsia="Segoe UI" w:cs="Segoe UI"/>
          <w:b/>
          <w:color w:val="0F4761"/>
          <w:sz w:val="26"/>
        </w:rPr>
        <w:t>5.2  Limits of the OOTB scope</w:t>
      </w:r>
    </w:p>
    <w:tbl>
      <w:tblPr>
        <w:tblStyle w:val="TableGrid"/>
        <w:tblW w:w="90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91"/>
        <w:gridCol w:w="3461"/>
        <w:gridCol w:w="3461"/>
      </w:tblGrid>
      <w:tr>
        <w:trPr>
          <w:tblHeader w:val="true"/>
        </w:trPr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Topic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Release 1.0 behaviour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Route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Insurer systems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No insurer API; slips, statements and debit notes by file and e-mail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Change request per insurer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IC report formats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Figures from financial statements and production reports; no IC-format report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Change request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Percentage tax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No working paper for a non-VAT broker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Ledger by insurer; change request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Anti-money laundering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No transaction monitoring, sanctions or PEP screening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Outside OOTB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Report schedules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Scheduled e-mail of reports exists in the API; no screen to set it up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System Administrator through the API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Bank payments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Transfers approved and recorded; no bank payment file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Change request per bank format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Two-step enrolment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Shows the key and a link, not a QR code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Users type the key into the authenticator app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Session tokens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Kept in browser local storage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Move to httpOnly cookie on the roadmap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Masters without Upload button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Templates loaded by the System Administrator through the API route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Upload buttons on the roadmap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Claim settlement cash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Settlement cash panel is on the claim screens; the System Administrator records funds on Accounting's instruction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Accounting menu extension on the roadmap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Mobile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Web application for desktop and laptop browsers (current Chrome, Edge or Firefox)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See roadmap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Language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English screens; no Filipino translation file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Change request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Load test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Not run; single-server timings only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Run on the production-sized environment before go-live</w:t>
            </w:r>
          </w:p>
        </w:tc>
      </w:tr>
      <w:tr>
        <w:trPr/>
        <w:tc>
          <w:tcPr>
            <w:tcW w:w="209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External penetration test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Not run</w:t>
            </w:r>
          </w:p>
        </w:tc>
        <w:tc>
          <w:tcPr>
            <w:tcW w:w="34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Commission before go-live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9" w:name="__RefHeading___Toc3091_2815676159"/>
      <w:bookmarkEnd w:id="19"/>
      <w:r>
        <w:rPr>
          <w:rFonts w:eastAsia="Segoe UI" w:cs="Segoe UI"/>
          <w:b/>
          <w:color w:val="0F4761"/>
          <w:sz w:val="26"/>
        </w:rPr>
        <w:t>5.3  Before go-live at a broker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 xml:space="preserve">Set </w:t>
      </w:r>
      <w:r>
        <w:rPr>
          <w:rFonts w:eastAsia="Consolas" w:cs="Consolas" w:ascii="Consolas" w:hAnsi="Consolas"/>
          <w:color w:val="101820"/>
          <w:sz w:val="19"/>
        </w:rPr>
        <w:t>security.require_2fa_roles</w:t>
      </w:r>
      <w:r>
        <w:rPr>
          <w:rFonts w:eastAsia="Segoe UI" w:cs="Segoe UI" w:ascii="Segoe UI" w:hAnsi="Segoe UI"/>
          <w:color w:val="101820"/>
          <w:sz w:val="21"/>
        </w:rPr>
        <w:t xml:space="preserve"> to at least System Administrator, Accounting and Accounting Manager.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Replace the default authority limits with the board-approved signing authority.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Fill the BIR settings (registered name, address, TIN of the withholding agent).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Confirm premium tax rules, LGU rates, ATC and GL accounts with the broker's tax adviser.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Switch off the Sandbox payment gateway in production; enter live gateway keys in the secret store.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Switch on "Send e-mails" only after the SMTP mailbox is tested.</w:t>
      </w:r>
      <w:r>
        <w:br w:type="page"/>
      </w:r>
    </w:p>
    <w:p>
      <w:pPr>
        <w:pStyle w:val="Heading1"/>
        <w:rPr/>
      </w:pPr>
      <w:bookmarkStart w:id="20" w:name="__RefHeading___Toc3093_2815676159"/>
      <w:bookmarkEnd w:id="20"/>
      <w:r>
        <w:rPr>
          <w:rFonts w:eastAsia="Segoe UI" w:cs="Segoe UI" w:ascii="Segoe UI" w:hAnsi="Segoe UI"/>
          <w:b/>
          <w:color w:val="0F4761"/>
          <w:sz w:val="32"/>
        </w:rPr>
        <w:t>6.  Upgrade and versioning policy</w:t>
      </w:r>
    </w:p>
    <w:p>
      <w:pPr>
        <w:pStyle w:val="Heading2"/>
        <w:rPr/>
      </w:pPr>
      <w:bookmarkStart w:id="21" w:name="__RefHeading___Toc3095_2815676159"/>
      <w:bookmarkEnd w:id="21"/>
      <w:r>
        <w:rPr>
          <w:rFonts w:eastAsia="Segoe UI" w:cs="Segoe UI"/>
          <w:b/>
          <w:color w:val="0F4761"/>
          <w:sz w:val="26"/>
        </w:rPr>
        <w:t>6.1  Version numbers</w:t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 xml:space="preserve">Releases are numbered MAJOR.MINOR.PATCH and tagged in the repository (for example </w:t>
      </w:r>
      <w:r>
        <w:rPr>
          <w:rFonts w:eastAsia="Consolas" w:cs="Consolas" w:ascii="Consolas" w:hAnsi="Consolas"/>
          <w:color w:val="101820"/>
          <w:sz w:val="19"/>
        </w:rPr>
        <w:t>v1.0.0</w:t>
      </w:r>
      <w:r>
        <w:rPr>
          <w:rFonts w:eastAsia="Segoe UI" w:cs="Segoe UI" w:ascii="Segoe UI" w:hAnsi="Segoe UI"/>
          <w:color w:val="101820"/>
          <w:sz w:val="21"/>
        </w:rPr>
        <w:t xml:space="preserve">); </w:t>
      </w:r>
      <w:r>
        <w:rPr>
          <w:rFonts w:eastAsia="Consolas" w:cs="Consolas" w:ascii="Consolas" w:hAnsi="Consolas"/>
          <w:color w:val="101820"/>
          <w:sz w:val="19"/>
        </w:rPr>
        <w:t>GET /api/version</w:t>
      </w:r>
      <w:r>
        <w:rPr>
          <w:rFonts w:eastAsia="Segoe UI" w:cs="Segoe UI" w:ascii="Segoe UI" w:hAnsi="Segoe UI"/>
          <w:color w:val="101820"/>
          <w:sz w:val="21"/>
        </w:rPr>
        <w:t xml:space="preserve"> shows the commit that is running.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"/>
        <w:gridCol w:w="1004"/>
        <w:gridCol w:w="3540"/>
        <w:gridCol w:w="3563"/>
      </w:tblGrid>
      <w:tr>
        <w:trPr>
          <w:tblHeader w:val="true"/>
        </w:trPr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Type</w:t>
            </w:r>
          </w:p>
        </w:tc>
        <w:tc>
          <w:tcPr>
            <w:tcW w:w="100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Example</w:t>
            </w:r>
          </w:p>
        </w:tc>
        <w:tc>
          <w:tcPr>
            <w:tcW w:w="35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Content</w:t>
            </w:r>
          </w:p>
        </w:tc>
        <w:tc>
          <w:tcPr>
            <w:tcW w:w="356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Frequency (standard)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Patch</w:t>
            </w:r>
          </w:p>
        </w:tc>
        <w:tc>
          <w:tcPr>
            <w:tcW w:w="100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1.0.1</w:t>
            </w:r>
          </w:p>
        </w:tc>
        <w:tc>
          <w:tcPr>
            <w:tcW w:w="35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Defect fixes and security fixes; no change to how users work</w:t>
            </w:r>
          </w:p>
        </w:tc>
        <w:tc>
          <w:tcPr>
            <w:tcW w:w="356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As needed; emergency release for P1 or security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Minor</w:t>
            </w:r>
          </w:p>
        </w:tc>
        <w:tc>
          <w:tcPr>
            <w:tcW w:w="100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1.1.0</w:t>
            </w:r>
          </w:p>
        </w:tc>
        <w:tc>
          <w:tcPr>
            <w:tcW w:w="35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New functions, new reports, regulatory form updates, upgrades of components; existing data and settings kept</w:t>
            </w:r>
          </w:p>
        </w:tc>
        <w:tc>
          <w:tcPr>
            <w:tcW w:w="356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Planned releases, monthly when there are fixes or changes</w:t>
            </w:r>
          </w:p>
        </w:tc>
      </w:tr>
      <w:tr>
        <w:trPr/>
        <w:tc>
          <w:tcPr>
            <w:tcW w:w="9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Major</w:t>
            </w:r>
          </w:p>
        </w:tc>
        <w:tc>
          <w:tcPr>
            <w:tcW w:w="100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2.0.0</w:t>
            </w:r>
          </w:p>
        </w:tc>
        <w:tc>
          <w:tcPr>
            <w:tcW w:w="354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Changes that need a migration project, retraining or a change of hosting components</w:t>
            </w:r>
          </w:p>
        </w:tc>
        <w:tc>
          <w:tcPr>
            <w:tcW w:w="356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Announced at least 6 months ahead [to confirm]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2" w:name="__RefHeading___Toc3097_2815676159"/>
      <w:bookmarkEnd w:id="22"/>
      <w:r>
        <w:rPr>
          <w:rFonts w:eastAsia="Segoe UI" w:cs="Segoe UI"/>
          <w:b/>
          <w:color w:val="0F4761"/>
          <w:sz w:val="26"/>
        </w:rPr>
        <w:t>6.2  Rules for every release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Database changes only add to the schema; they are applied automatically when the API starts, under a lock, and recorded. The previous release runs on the newer schema, so a release can be rolled back by redeploying the previous image.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Settings and master data changed by the broker are kept: the seed inserts only what is missing.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Every release has release notes: fixes, changes, migrations and anything the System Administrator must do by hand.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Each release is installed in the test environment first; the broker runs the UAT scripts for the changed areas; iorta TechNXT runs the regression; the CAB approves.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A database snapshot is taken before deployment; deployment happens in the agreed maintenance window, announced at least 5 business days ahead.</w:t>
      </w:r>
    </w:p>
    <w:p>
      <w:pPr>
        <w:pStyle w:val="Heading2"/>
        <w:rPr/>
      </w:pPr>
      <w:bookmarkStart w:id="23" w:name="__RefHeading___Toc3099_2815676159"/>
      <w:bookmarkEnd w:id="23"/>
      <w:r>
        <w:rPr>
          <w:rFonts w:eastAsia="Segoe UI" w:cs="Segoe UI"/>
          <w:b/>
          <w:color w:val="0F4761"/>
          <w:sz w:val="26"/>
        </w:rPr>
        <w:t>6.3  Entitlement and support of versions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Updates of the OOTB version and regulatory form updates released for all customers are included while the subscription or the AMC is in force.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Support covers the current release and the two planned releases before it (assumption in the Production Support Approach). A broker that stays further behind is asked to upgrade before a defect is fixed.</w:t>
      </w:r>
    </w:p>
    <w:p>
      <w:pPr>
        <w:pStyle w:val="Normal"/>
        <w:numPr>
          <w:ilvl w:val="0"/>
          <w:numId w:val="1"/>
        </w:numPr>
        <w:spacing w:before="0" w:after="60"/>
        <w:rPr/>
      </w:pPr>
      <w:r>
        <w:rPr>
          <w:rFonts w:eastAsia="Segoe UI" w:cs="Segoe UI" w:ascii="Segoe UI" w:hAnsi="Segoe UI"/>
          <w:color w:val="101820"/>
          <w:sz w:val="21"/>
        </w:rPr>
        <w:t>Broker-specific changes made under a change request are carried forward into later releases only where the change request says so [to confirm the standard clause].</w:t>
      </w:r>
      <w:r>
        <w:br w:type="page"/>
      </w:r>
    </w:p>
    <w:p>
      <w:pPr>
        <w:pStyle w:val="Heading1"/>
        <w:rPr/>
      </w:pPr>
      <w:bookmarkStart w:id="24" w:name="__RefHeading___Toc3101_2815676159"/>
      <w:bookmarkEnd w:id="24"/>
      <w:r>
        <w:rPr>
          <w:rFonts w:eastAsia="Segoe UI" w:cs="Segoe UI" w:ascii="Segoe UI" w:hAnsi="Segoe UI"/>
          <w:b/>
          <w:color w:val="0F4761"/>
          <w:sz w:val="32"/>
        </w:rPr>
        <w:t>7.  Product roadmap</w:t>
      </w:r>
    </w:p>
    <w:p>
      <w:pPr>
        <w:pStyle w:val="Normal"/>
        <w:shd w:val="clear" w:color="auto" w:fill="EAF2FB"/>
        <w:spacing w:before="0" w:after="160"/>
        <w:ind w:left="170"/>
        <w:rPr/>
      </w:pPr>
      <w:r>
        <w:rPr>
          <w:rFonts w:eastAsia="Segoe UI" w:cs="Segoe UI" w:ascii="Segoe UI" w:hAnsi="Segoe UI"/>
          <w:b/>
          <w:color w:val="101820"/>
          <w:sz w:val="20"/>
        </w:rPr>
        <w:t>Indicative and not contractual.</w:t>
      </w:r>
      <w:r>
        <w:rPr>
          <w:rFonts w:eastAsia="Segoe UI" w:cs="Segoe UI" w:ascii="Segoe UI" w:hAnsi="Segoe UI"/>
          <w:color w:val="101820"/>
          <w:sz w:val="20"/>
        </w:rPr>
        <w:t xml:space="preserve"> The roadmap shows iorta TechNXT's current intentions. Content, order and timing may change. It is not a commitment to deliver any function, it is not part of any licence, subscription or support agreement, and a purchase decision should be based on the functions in the release delivered. Items a broker needs by a date are agreed as change requests.</w:t>
      </w:r>
    </w:p>
    <w:p>
      <w:pPr>
        <w:pStyle w:val="Heading2"/>
        <w:rPr/>
      </w:pPr>
      <w:bookmarkStart w:id="25" w:name="__RefHeading___Toc3103_2815676159"/>
      <w:bookmarkEnd w:id="25"/>
      <w:r>
        <w:rPr>
          <w:rFonts w:eastAsia="Segoe UI" w:cs="Segoe UI"/>
          <w:b/>
          <w:color w:val="0F4761"/>
          <w:sz w:val="26"/>
        </w:rPr>
        <w:t>7.1  Near term: next patch and minor release (indicative: within 3 months)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7"/>
        <w:gridCol w:w="4506"/>
      </w:tblGrid>
      <w:tr>
        <w:trPr>
          <w:tblHeader w:val="true"/>
        </w:trPr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Item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Why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Upgrade react-router to the fixed major version (BV-DEF-001)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Close the moderate advisory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Re-run of the blocked SMTP cases and the cases not run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Close the release test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QR code for two-step enrolment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Easier enrolment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Upload buttons on the masters that only have an API route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Self-service go-live loads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Automated dependency and image scanning in the pipeline; tests restored in the deployment workflow; branch protection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Secure development lifecycle gaps of the architecture review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6" w:name="__RefHeading___Toc3105_2815676159"/>
      <w:bookmarkEnd w:id="26"/>
      <w:r>
        <w:rPr>
          <w:rFonts w:eastAsia="Segoe UI" w:cs="Segoe UI"/>
          <w:b/>
          <w:color w:val="0F4761"/>
          <w:sz w:val="26"/>
        </w:rPr>
        <w:t>7.2  Mid term (indicative: 3 to 9 months)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7"/>
        <w:gridCol w:w="4506"/>
      </w:tblGrid>
      <w:tr>
        <w:trPr>
          <w:tblHeader w:val="true"/>
        </w:trPr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Item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Why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Session refresh in an httpOnly cookie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Remove tokens from browser local storage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Field-level encryption of personal identifiers (TIN, ID numbers) (BV-DEF-003)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Defence in depth for sensitive personal information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Move of the front-end build from Create React App to Vite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Maintained build tooling; clears build-time advisories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Screen to set up scheduled report e-mails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Today only through the API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Claim settlement cash on the Accounting menu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Accounting records claim funds directly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Rate limits shared across API instances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Consistent limits with several instances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Load test results and sizing confirmation on a production-sized environment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Evidence for larger brokers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7" w:name="__RefHeading___Toc3107_2815676159"/>
      <w:bookmarkEnd w:id="27"/>
      <w:r>
        <w:rPr>
          <w:rFonts w:eastAsia="Segoe UI" w:cs="Segoe UI"/>
          <w:b/>
          <w:color w:val="0F4761"/>
          <w:sz w:val="26"/>
        </w:rPr>
        <w:t>7.3  Later (indicative: beyond 9 months)</w:t>
      </w:r>
    </w:p>
    <w:tbl>
      <w:tblPr>
        <w:tblStyle w:val="TableGrid"/>
        <w:tblW w:w="901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7"/>
        <w:gridCol w:w="4506"/>
      </w:tblGrid>
      <w:tr>
        <w:trPr>
          <w:tblHeader w:val="true"/>
        </w:trPr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Item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color="auto" w:fill="DCE9F7" w:val="clear"/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b/>
                <w:color w:val="0F4761"/>
                <w:kern w:val="0"/>
                <w:sz w:val="18"/>
                <w:szCs w:val="24"/>
                <w:lang w:val="en-US" w:eastAsia="ja-JP" w:bidi="ar-SA"/>
              </w:rPr>
              <w:t>Why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IC report formats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Reduce manual preparation of IC reports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Percentage tax working paper for non-VAT brokers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Complete the BIR working papers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Bank payment files for the main Philippine banks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Remittance and payouts without re-keying in bank portals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Insurer API connectors, starting with insurers that publish an API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Fewer files and e-mails with insurers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Mobile-friendly screens for sales and claims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Field use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Filipino screen translation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Users who prefer Filipino</w:t>
            </w:r>
          </w:p>
        </w:tc>
      </w:tr>
      <w:tr>
        <w:trPr/>
        <w:tc>
          <w:tcPr>
            <w:tcW w:w="450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Screening support for anti-money laundering checks</w:t>
            </w:r>
          </w:p>
        </w:tc>
        <w:tc>
          <w:tcPr>
            <w:tcW w:w="45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</w:tcPr>
          <w:p>
            <w:pPr>
              <w:pStyle w:val="Normal"/>
              <w:widowControl/>
              <w:spacing w:lineRule="auto" w:line="240" w:before="0" w:after="20"/>
              <w:jc w:val="left"/>
              <w:rPr>
                <w:rFonts w:ascii="Aptos" w:hAnsi="Aptos" w:eastAsia="ＭＳ 明朝" w:cs="Arial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8"/>
                <w:szCs w:val="24"/>
                <w:lang w:val="en-US" w:eastAsia="ja-JP" w:bidi="ar-SA"/>
              </w:rPr>
              <w:t>Brokers covered by the AMLA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76" w:before="0" w:after="120"/>
        <w:rPr/>
      </w:pPr>
      <w:r>
        <w:rPr>
          <w:rFonts w:eastAsia="Segoe UI" w:cs="Segoe UI" w:ascii="Segoe UI" w:hAnsi="Segoe UI"/>
          <w:color w:val="101820"/>
          <w:sz w:val="21"/>
        </w:rPr>
        <w:t>Brokers can propose roadmap items through their account manager. iorta TechNXT reviews the roadmap with customers at least once a year [to confirm the forum, for example a customer advisory meeting].</w:t>
      </w:r>
      <w:r>
        <w:br w:type="page"/>
      </w:r>
    </w:p>
    <w:p>
      <w:pPr>
        <w:pStyle w:val="Heading1"/>
        <w:tabs>
          <w:tab w:val="clear" w:pos="720"/>
          <w:tab w:val="left" w:pos="360" w:leader="none"/>
        </w:tabs>
        <w:spacing w:lineRule="auto" w:line="360"/>
        <w:ind w:hanging="0" w:left="0"/>
        <w:rPr>
          <w:rStyle w:val="BookTitle"/>
          <w:b w:val="false"/>
          <w:bCs w:val="false"/>
          <w:i w:val="false"/>
          <w:i w:val="false"/>
          <w:iCs w:val="false"/>
          <w:spacing w:val="0"/>
        </w:rPr>
      </w:pPr>
      <w:bookmarkStart w:id="28" w:name="__RefHeading___Toc3109_2815676159"/>
      <w:bookmarkStart w:id="29" w:name="_Toc233203395"/>
      <w:bookmarkEnd w:id="28"/>
      <w:r>
        <w:rPr>
          <w:rStyle w:val="BookTitle"/>
          <w:bCs w:val="false"/>
          <w:i w:val="false"/>
          <w:iCs w:val="false"/>
          <w:spacing w:val="0"/>
        </w:rPr>
        <w:t>8.  Document Sign-Off</w:t>
      </w:r>
      <w:bookmarkEnd w:id="29"/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57"/>
        <w:gridCol w:w="3859"/>
        <w:gridCol w:w="1727"/>
        <w:gridCol w:w="1982"/>
      </w:tblGrid>
      <w:tr>
        <w:trPr>
          <w:trHeight w:val="440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Serial Number</w:t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Description</w:t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Owner</w:t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Status</w:t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1</w:t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Release tag of the final 1.0 build to be confirmed; re-test of the data privacy cases after the release test; roadmap dates indicative</w:t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iorta TechNXT</w:t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Segoe UI" w:cs="Segoe UI" w:ascii="Segoe UI" w:hAnsi="Segoe UI"/>
                <w:color w:val="101820"/>
                <w:kern w:val="0"/>
                <w:sz w:val="16"/>
                <w:szCs w:val="24"/>
                <w:lang w:val="en-US" w:eastAsia="ja-JP" w:bidi="ar-SA"/>
              </w:rPr>
              <w:t>Open</w:t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8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both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7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19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</w:tbl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p>
      <w:pPr>
        <w:pStyle w:val="Normal"/>
        <w:jc w:val="both"/>
        <w:rPr>
          <w:rFonts w:ascii="Segoe UI" w:hAnsi="Segoe UI" w:eastAsia="Arial" w:cs="Segoe UI"/>
          <w:color w:val="101820"/>
          <w:sz w:val="22"/>
        </w:rPr>
      </w:pPr>
      <w:r>
        <w:rPr>
          <w:rFonts w:eastAsia="Arial" w:cs="Segoe UI" w:ascii="Segoe UI" w:hAnsi="Segoe UI"/>
          <w:color w:val="101820"/>
          <w:sz w:val="22"/>
        </w:rPr>
      </w:r>
    </w:p>
    <w:tbl>
      <w:tblPr>
        <w:tblStyle w:val="TableGrid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3294"/>
        <w:gridCol w:w="1828"/>
        <w:gridCol w:w="2349"/>
      </w:tblGrid>
      <w:tr>
        <w:trPr>
          <w:trHeight w:val="440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Sign Off Date</w:t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Signature</w:t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Approved By</w:t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center"/>
              <w:rPr>
                <w:rFonts w:ascii="Segoe UI" w:hAnsi="Segoe UI" w:eastAsia="Arial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b/>
                <w:bCs/>
                <w:color w:val="101820"/>
                <w:kern w:val="0"/>
                <w:sz w:val="16"/>
                <w:szCs w:val="16"/>
                <w:lang w:val="en-US" w:eastAsia="ja-JP" w:bidi="ar-SA"/>
              </w:rPr>
              <w:t>Department &amp; Project Role</w:t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  <w:tr>
        <w:trPr>
          <w:trHeight w:val="449" w:hRule="atLeast"/>
        </w:trPr>
        <w:tc>
          <w:tcPr>
            <w:tcW w:w="15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32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  <w:tc>
          <w:tcPr>
            <w:tcW w:w="1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  <w:lang w:bidi="ar-LB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LB"/>
              </w:rPr>
            </w:r>
          </w:p>
        </w:tc>
        <w:tc>
          <w:tcPr>
            <w:tcW w:w="23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pStyle w:val="Normal"/>
              <w:widowControl/>
              <w:spacing w:lineRule="auto" w:line="240" w:before="60" w:after="0"/>
              <w:jc w:val="left"/>
              <w:rPr>
                <w:rFonts w:ascii="Segoe UI" w:hAnsi="Segoe UI" w:eastAsia="Arial" w:cs="Segoe UI"/>
                <w:color w:val="101820"/>
                <w:sz w:val="16"/>
                <w:szCs w:val="16"/>
              </w:rPr>
            </w:pPr>
            <w:r>
              <w:rPr>
                <w:rFonts w:eastAsia="Arial" w:cs="Segoe UI" w:ascii="Segoe UI" w:hAnsi="Segoe UI"/>
                <w:color w:val="101820"/>
                <w:kern w:val="0"/>
                <w:sz w:val="16"/>
                <w:szCs w:val="16"/>
                <w:lang w:val="en-US" w:eastAsia="ja-JP" w:bidi="ar-SA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  <w:drawing>
          <wp:anchor behindDoc="1" distT="0" distB="0" distL="0" distR="0" simplePos="0" locked="0" layoutInCell="0" allowOverlap="1" relativeHeight="1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48245" cy="10677525"/>
            <wp:effectExtent l="0" t="0" r="0" b="0"/>
            <wp:wrapNone/>
            <wp:docPr id="8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24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"/>
      <w:footerReference w:type="first" r:id="rId6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7">
          <wp:simplePos x="0" y="0"/>
          <wp:positionH relativeFrom="page">
            <wp:align>left</wp:align>
          </wp:positionH>
          <wp:positionV relativeFrom="paragraph">
            <wp:posOffset>-708025</wp:posOffset>
          </wp:positionV>
          <wp:extent cx="8778240" cy="885190"/>
          <wp:effectExtent l="0" t="0" r="0" b="0"/>
          <wp:wrapNone/>
          <wp:docPr id="9" name="Picture 118066957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18066957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78240" cy="885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behindDoc="1" distT="0" distB="0" distL="0" distR="0" simplePos="0" locked="0" layoutInCell="0" allowOverlap="1" relativeHeight="17">
          <wp:simplePos x="0" y="0"/>
          <wp:positionH relativeFrom="page">
            <wp:align>left</wp:align>
          </wp:positionH>
          <wp:positionV relativeFrom="paragraph">
            <wp:posOffset>-708025</wp:posOffset>
          </wp:positionV>
          <wp:extent cx="8778240" cy="885190"/>
          <wp:effectExtent l="0" t="0" r="0" b="0"/>
          <wp:wrapNone/>
          <wp:docPr id="10" name="Picture 118066957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18066957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78240" cy="8851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0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80" w:hanging="300"/>
      </w:pPr>
      <w:rPr>
        <w:rFonts w:ascii="Symbol" w:hAnsi="Symbol" w:cs="Symbol" w:hint="default"/>
      </w:rPr>
    </w:lvl>
    <w:lvl w:ilvl="2">
      <w:start w:val="1"/>
      <w:numFmt w:val="bullet"/>
      <w:lvlText w:val="◦"/>
      <w:lvlJc w:val="left"/>
      <w:pPr>
        <w:tabs>
          <w:tab w:val="num" w:pos="0"/>
        </w:tabs>
        <w:ind w:left="1440" w:hanging="30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ＭＳ 明朝" w:cs="Ari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ＭＳ 明朝" w:cs="Ari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83a"/>
    <w:pPr>
      <w:keepNext w:val="true"/>
      <w:keepLines/>
      <w:spacing w:before="240" w:after="0"/>
      <w:outlineLvl w:val="0"/>
    </w:pPr>
    <w:rPr>
      <w:rFonts w:ascii="Aptos Display" w:hAnsi="Aptos Display" w:eastAsia="ＭＳ ゴシック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2" w:customStyle="1">
    <w:name w:val="Heading 2"/>
    <w:basedOn w:val="Normal"/>
    <w:qFormat/>
    <w:pPr>
      <w:keepNext w:val="true"/>
      <w:spacing w:before="240" w:after="80"/>
      <w:outlineLvl w:val="1"/>
    </w:pPr>
    <w:rPr>
      <w:rFonts w:ascii="Segoe UI" w:hAnsi="Segoe UI"/>
      <w:b/>
      <w:color w:val="0F4761"/>
      <w:sz w:val="26"/>
    </w:rPr>
  </w:style>
  <w:style w:type="paragraph" w:styleId="Heading3" w:customStyle="1">
    <w:name w:val="Heading 3"/>
    <w:basedOn w:val="Normal"/>
    <w:qFormat/>
    <w:pPr>
      <w:keepNext w:val="true"/>
      <w:spacing w:before="240" w:after="80"/>
      <w:outlineLvl w:val="2"/>
    </w:pPr>
    <w:rPr>
      <w:rFonts w:ascii="Segoe UI" w:hAnsi="Segoe UI"/>
      <w:b/>
      <w:color w:val="0F4761"/>
      <w:sz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526c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a4a03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b183a"/>
    <w:rPr>
      <w:rFonts w:ascii="Aptos Display" w:hAnsi="Aptos Display" w:eastAsia="ＭＳ ゴシック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yperlink">
    <w:name w:val="Hyperlink"/>
    <w:uiPriority w:val="99"/>
    <w:unhideWhenUsed/>
    <w:rsid w:val="002b183a"/>
    <w:rPr>
      <w:color w:val="0000FF"/>
      <w:u w:val="single"/>
    </w:rPr>
  </w:style>
  <w:style w:type="character" w:styleId="BookTitle">
    <w:name w:val="Book Title"/>
    <w:uiPriority w:val="33"/>
    <w:qFormat/>
    <w:rsid w:val="002b183a"/>
    <w:rPr>
      <w:b/>
      <w:bCs/>
      <w:i/>
      <w:iCs/>
      <w:spacing w:val="5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1b9ac1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1b9ac10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b183a"/>
    <w:pPr>
      <w:spacing w:lineRule="auto" w:line="276" w:before="480" w:after="0"/>
      <w:outlineLvl w:val="9"/>
    </w:pPr>
    <w:rPr>
      <w:rFonts w:ascii="Arial" w:hAnsi="Arial" w:eastAsia="Times New Roman" w:cs="Arial"/>
      <w:bCs/>
      <w:color w:themeColor="accent1" w:themeShade="bf"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b183a"/>
    <w:pPr>
      <w:tabs>
        <w:tab w:val="clear" w:pos="720"/>
        <w:tab w:val="left" w:pos="900" w:leader="none"/>
        <w:tab w:val="right" w:pos="9350" w:leader="dot"/>
      </w:tabs>
      <w:spacing w:lineRule="auto" w:line="276" w:before="0" w:after="100"/>
      <w:jc w:val="both"/>
    </w:pPr>
    <w:rPr>
      <w:rFonts w:ascii="Segoe UI" w:hAnsi="Segoe UI" w:eastAsia="Times New Roman" w:cs="Times New Roman"/>
      <w:b/>
      <w:color w:val="101820"/>
      <w:sz w:val="20"/>
      <w:szCs w:val="22"/>
      <w:lang w:eastAsia="en-US"/>
    </w:rPr>
  </w:style>
  <w:style w:type="paragraph" w:styleId="TOC2" w:customStyle="1">
    <w:name w:val="TOC 2"/>
    <w:basedOn w:val="TOC1"/>
    <w:pPr>
      <w:ind w:left="340"/>
    </w:pPr>
    <w:rPr/>
  </w:style>
  <w:style w:type="paragraph" w:styleId="TOC3" w:customStyle="1">
    <w:name w:val="TOC 3"/>
    <w:basedOn w:val="TOC1"/>
    <w:pPr>
      <w:ind w:left="68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B5F57171CF124DA305F5F2F2C90404" ma:contentTypeVersion="10" ma:contentTypeDescription="Create a new document." ma:contentTypeScope="" ma:versionID="5fc2ae173fd82ea9f4710d62b9055a3a">
  <xsd:schema xmlns:xsd="http://www.w3.org/2001/XMLSchema" xmlns:xs="http://www.w3.org/2001/XMLSchema" xmlns:p="http://schemas.microsoft.com/office/2006/metadata/properties" xmlns:ns3="fcd4fbc6-d149-41e6-b5a3-0f2dc7078962" targetNamespace="http://schemas.microsoft.com/office/2006/metadata/properties" ma:root="true" ma:fieldsID="47065ddf53e9fb8c6afaae7654624852" ns3:_="">
    <xsd:import namespace="fcd4fbc6-d149-41e6-b5a3-0f2dc70789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4fbc6-d149-41e6-b5a3-0f2dc70789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d4fbc6-d149-41e6-b5a3-0f2dc7078962" xsi:nil="true"/>
  </documentManagement>
</p:properties>
</file>

<file path=customXml/itemProps1.xml><?xml version="1.0" encoding="utf-8"?>
<ds:datastoreItem xmlns:ds="http://schemas.openxmlformats.org/officeDocument/2006/customXml" ds:itemID="{C0CA43DA-C851-4C9F-AA9A-3B73EDF752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d4fbc6-d149-41e6-b5a3-0f2dc7078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CE9AF4-17E0-496B-86F7-DDAE56028F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5506AB-341E-4DB7-9E6C-94E21EE122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AF19BD-2A20-432E-A6D3-31F36EF57940}">
  <ds:schemaRefs>
    <ds:schemaRef ds:uri="http://schemas.microsoft.com/office/2006/metadata/properties"/>
    <ds:schemaRef ds:uri="http://schemas.microsoft.com/office/infopath/2007/PartnerControls"/>
    <ds:schemaRef ds:uri="fcd4fbc6-d149-41e6-b5a3-0f2dc70789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8</Pages>
  <Words>812</Words>
  <Characters>4634</Characters>
  <CharactersWithSpaces>5436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2026-06-24T05:58:00Z</dcterms:created>
  <dc:creator>Andrew R</dc:creator>
  <dc:description/>
  <dc:language>en-US</dc:language>
  <cp:lastModifiedBy/>
  <dcterms:modified xsi:type="dcterms:W3CDTF">2026-10-03T21:00:51Z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0x01010010B5F57171CF124DA305F5F2F2C90404</vt:lpwstr>
  </property>
</Properties>
</file>