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4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15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4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14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1.2</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1.2</w:t>
                      </w:r>
                    </w:p>
                  </w:txbxContent>
                </v:textbox>
                <w10:wrap type="square"/>
              </v:rect>
            </w:pict>
          </mc:Fallback>
        </mc:AlternateContent>
        <mc:AlternateContent>
          <mc:Choice Requires="wps">
            <w:drawing>
              <wp:anchor behindDoc="0" distT="45720" distB="45720" distL="114300" distR="113665" simplePos="0" locked="0" layoutInCell="0" allowOverlap="1" relativeHeight="14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09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09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14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14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1525_17926050">
            <w:r>
              <w:rPr>
                <w:webHidden/>
                <w:rStyle w:val="IndexLink"/>
              </w:rPr>
              <w:t xml:space="preserve"> </w:t>
            </w:r>
            <w:r>
              <w:rPr>
                <w:rStyle w:val="IndexLink"/>
                <w:i w:val="false"/>
                <w:iCs w:val="false"/>
              </w:rPr>
              <w:t>1. Document Control</w:t>
            </w:r>
            <w:r>
              <w:rPr>
                <w:rStyle w:val="IndexLink"/>
              </w:rPr>
              <w:tab/>
              <w:t>7</w:t>
            </w:r>
          </w:hyperlink>
        </w:p>
        <w:p>
          <w:pPr>
            <w:pStyle w:val="TOC1"/>
            <w:tabs>
              <w:tab w:val="clear" w:pos="900"/>
              <w:tab w:val="clear" w:pos="9350"/>
              <w:tab w:val="right" w:pos="9025" w:leader="dot"/>
            </w:tabs>
            <w:rPr/>
          </w:pPr>
          <w:hyperlink w:anchor="__RefHeading___Toc21527_17926050">
            <w:r>
              <w:rPr>
                <w:webHidden/>
                <w:rStyle w:val="IndexLink"/>
                <w:i w:val="false"/>
                <w:iCs w:val="false"/>
              </w:rPr>
              <w:t>2. Acronyms</w:t>
            </w:r>
            <w:r>
              <w:rPr>
                <w:rStyle w:val="IndexLink"/>
              </w:rPr>
              <w:tab/>
              <w:t>8</w:t>
            </w:r>
          </w:hyperlink>
        </w:p>
        <w:p>
          <w:pPr>
            <w:pStyle w:val="TOC1"/>
            <w:tabs>
              <w:tab w:val="clear" w:pos="900"/>
              <w:tab w:val="clear" w:pos="9350"/>
              <w:tab w:val="right" w:pos="9025" w:leader="dot"/>
            </w:tabs>
            <w:rPr/>
          </w:pPr>
          <w:hyperlink w:anchor="__RefHeading___Toc21529_17926050">
            <w:r>
              <w:rPr>
                <w:webHidden/>
                <w:rStyle w:val="IndexLink"/>
              </w:rPr>
              <w:t>3. About this manual</w:t>
              <w:tab/>
              <w:t>9</w:t>
            </w:r>
          </w:hyperlink>
        </w:p>
        <w:p>
          <w:pPr>
            <w:pStyle w:val="TOC2"/>
            <w:tabs>
              <w:tab w:val="clear" w:pos="900"/>
              <w:tab w:val="clear" w:pos="9350"/>
              <w:tab w:val="right" w:pos="9025" w:leader="dot"/>
            </w:tabs>
            <w:rPr/>
          </w:pPr>
          <w:hyperlink w:anchor="__RefHeading___Toc21531_17926050">
            <w:r>
              <w:rPr>
                <w:webHidden/>
                <w:rStyle w:val="IndexLink"/>
              </w:rPr>
              <w:t>3.1 Purpose</w:t>
              <w:tab/>
              <w:t>9</w:t>
            </w:r>
          </w:hyperlink>
        </w:p>
        <w:p>
          <w:pPr>
            <w:pStyle w:val="TOC2"/>
            <w:tabs>
              <w:tab w:val="clear" w:pos="900"/>
              <w:tab w:val="clear" w:pos="9350"/>
              <w:tab w:val="right" w:pos="9025" w:leader="dot"/>
            </w:tabs>
            <w:rPr/>
          </w:pPr>
          <w:hyperlink w:anchor="__RefHeading___Toc21533_17926050">
            <w:r>
              <w:rPr>
                <w:webHidden/>
                <w:rStyle w:val="IndexLink"/>
              </w:rPr>
              <w:t>3.2 How the manual is organised</w:t>
              <w:tab/>
              <w:t>10</w:t>
            </w:r>
          </w:hyperlink>
        </w:p>
        <w:p>
          <w:pPr>
            <w:pStyle w:val="TOC2"/>
            <w:tabs>
              <w:tab w:val="clear" w:pos="900"/>
              <w:tab w:val="clear" w:pos="9350"/>
              <w:tab w:val="right" w:pos="9025" w:leader="dot"/>
            </w:tabs>
            <w:rPr/>
          </w:pPr>
          <w:hyperlink w:anchor="__RefHeading___Toc21535_17926050">
            <w:r>
              <w:rPr>
                <w:webHidden/>
                <w:rStyle w:val="IndexLink"/>
              </w:rPr>
              <w:t>3.3 Conventions</w:t>
              <w:tab/>
              <w:t>10</w:t>
            </w:r>
          </w:hyperlink>
        </w:p>
        <w:p>
          <w:pPr>
            <w:pStyle w:val="TOC1"/>
            <w:tabs>
              <w:tab w:val="clear" w:pos="900"/>
              <w:tab w:val="clear" w:pos="9350"/>
              <w:tab w:val="right" w:pos="9025" w:leader="dot"/>
            </w:tabs>
            <w:rPr/>
          </w:pPr>
          <w:hyperlink w:anchor="__RefHeading___Toc21537_17926050">
            <w:r>
              <w:rPr>
                <w:webHidden/>
                <w:rStyle w:val="IndexLink"/>
              </w:rPr>
              <w:t>4. Getting started</w:t>
              <w:tab/>
              <w:t>12</w:t>
            </w:r>
          </w:hyperlink>
        </w:p>
        <w:p>
          <w:pPr>
            <w:pStyle w:val="TOC2"/>
            <w:tabs>
              <w:tab w:val="clear" w:pos="900"/>
              <w:tab w:val="clear" w:pos="9350"/>
              <w:tab w:val="right" w:pos="9025" w:leader="dot"/>
            </w:tabs>
            <w:rPr/>
          </w:pPr>
          <w:hyperlink w:anchor="__RefHeading___Toc21539_17926050">
            <w:r>
              <w:rPr>
                <w:webHidden/>
                <w:rStyle w:val="IndexLink"/>
              </w:rPr>
              <w:t>4.1 Signing in</w:t>
              <w:tab/>
              <w:t>12</w:t>
            </w:r>
          </w:hyperlink>
        </w:p>
        <w:p>
          <w:pPr>
            <w:pStyle w:val="TOC2"/>
            <w:tabs>
              <w:tab w:val="clear" w:pos="900"/>
              <w:tab w:val="clear" w:pos="9350"/>
              <w:tab w:val="right" w:pos="9025" w:leader="dot"/>
            </w:tabs>
            <w:rPr/>
          </w:pPr>
          <w:hyperlink w:anchor="__RefHeading___Toc21541_17926050">
            <w:r>
              <w:rPr>
                <w:webHidden/>
                <w:rStyle w:val="IndexLink"/>
              </w:rPr>
              <w:t>4.2 The screen layout</w:t>
              <w:tab/>
              <w:t>14</w:t>
            </w:r>
          </w:hyperlink>
        </w:p>
        <w:p>
          <w:pPr>
            <w:pStyle w:val="TOC2"/>
            <w:tabs>
              <w:tab w:val="clear" w:pos="900"/>
              <w:tab w:val="clear" w:pos="9350"/>
              <w:tab w:val="right" w:pos="9025" w:leader="dot"/>
            </w:tabs>
            <w:rPr/>
          </w:pPr>
          <w:hyperlink w:anchor="__RefHeading___Toc21543_17926050">
            <w:r>
              <w:rPr>
                <w:webHidden/>
                <w:rStyle w:val="IndexLink"/>
              </w:rPr>
              <w:t>4.3 My Profile and account security</w:t>
              <w:tab/>
              <w:t>15</w:t>
            </w:r>
          </w:hyperlink>
        </w:p>
        <w:p>
          <w:pPr>
            <w:pStyle w:val="TOC2"/>
            <w:tabs>
              <w:tab w:val="clear" w:pos="900"/>
              <w:tab w:val="clear" w:pos="9350"/>
              <w:tab w:val="right" w:pos="9025" w:leader="dot"/>
            </w:tabs>
            <w:rPr/>
          </w:pPr>
          <w:hyperlink w:anchor="__RefHeading___Toc21545_17926050">
            <w:r>
              <w:rPr>
                <w:webHidden/>
                <w:rStyle w:val="IndexLink"/>
              </w:rPr>
              <w:t>4.4 Roles and menus</w:t>
              <w:tab/>
              <w:t>17</w:t>
            </w:r>
          </w:hyperlink>
        </w:p>
        <w:p>
          <w:pPr>
            <w:pStyle w:val="TOC2"/>
            <w:tabs>
              <w:tab w:val="clear" w:pos="900"/>
              <w:tab w:val="clear" w:pos="9350"/>
              <w:tab w:val="right" w:pos="9025" w:leader="dot"/>
            </w:tabs>
            <w:rPr/>
          </w:pPr>
          <w:hyperlink w:anchor="__RefHeading___Toc21547_17926050">
            <w:r>
              <w:rPr>
                <w:webHidden/>
                <w:rStyle w:val="IndexLink"/>
              </w:rPr>
              <w:t>4.5 Working with lists</w:t>
              <w:tab/>
              <w:t>18</w:t>
            </w:r>
          </w:hyperlink>
        </w:p>
        <w:p>
          <w:pPr>
            <w:pStyle w:val="TOC2"/>
            <w:tabs>
              <w:tab w:val="clear" w:pos="900"/>
              <w:tab w:val="clear" w:pos="9350"/>
              <w:tab w:val="right" w:pos="9025" w:leader="dot"/>
            </w:tabs>
            <w:rPr/>
          </w:pPr>
          <w:hyperlink w:anchor="__RefHeading___Toc21549_17926050">
            <w:r>
              <w:rPr>
                <w:webHidden/>
                <w:rStyle w:val="IndexLink"/>
              </w:rPr>
              <w:t>4.6 Working with forms</w:t>
              <w:tab/>
              <w:t>18</w:t>
            </w:r>
          </w:hyperlink>
        </w:p>
        <w:p>
          <w:pPr>
            <w:pStyle w:val="TOC2"/>
            <w:tabs>
              <w:tab w:val="clear" w:pos="900"/>
              <w:tab w:val="clear" w:pos="9350"/>
              <w:tab w:val="right" w:pos="9025" w:leader="dot"/>
            </w:tabs>
            <w:rPr/>
          </w:pPr>
          <w:hyperlink w:anchor="__RefHeading___Toc21551_17926050">
            <w:r>
              <w:rPr>
                <w:webHidden/>
                <w:rStyle w:val="IndexLink"/>
              </w:rPr>
              <w:t>4.7 Statuses, approvals and maker-checker</w:t>
              <w:tab/>
              <w:t>19</w:t>
            </w:r>
          </w:hyperlink>
        </w:p>
        <w:p>
          <w:pPr>
            <w:pStyle w:val="TOC2"/>
            <w:tabs>
              <w:tab w:val="clear" w:pos="900"/>
              <w:tab w:val="clear" w:pos="9350"/>
              <w:tab w:val="right" w:pos="9025" w:leader="dot"/>
            </w:tabs>
            <w:rPr/>
          </w:pPr>
          <w:hyperlink w:anchor="__RefHeading___Toc21553_17926050">
            <w:r>
              <w:rPr>
                <w:webHidden/>
                <w:rStyle w:val="IndexLink"/>
              </w:rPr>
              <w:t>4.8 Where the audit trail is</w:t>
              <w:tab/>
              <w:t>20</w:t>
            </w:r>
          </w:hyperlink>
        </w:p>
        <w:p>
          <w:pPr>
            <w:pStyle w:val="TOC1"/>
            <w:tabs>
              <w:tab w:val="clear" w:pos="900"/>
              <w:tab w:val="clear" w:pos="9350"/>
              <w:tab w:val="right" w:pos="9025" w:leader="dot"/>
            </w:tabs>
            <w:rPr/>
          </w:pPr>
          <w:hyperlink w:anchor="__RefHeading___Toc21555_17926050">
            <w:r>
              <w:rPr>
                <w:webHidden/>
                <w:rStyle w:val="IndexLink"/>
              </w:rPr>
              <w:t>5. The business process end to end</w:t>
              <w:tab/>
              <w:t>21</w:t>
            </w:r>
          </w:hyperlink>
        </w:p>
        <w:p>
          <w:pPr>
            <w:pStyle w:val="TOC2"/>
            <w:tabs>
              <w:tab w:val="clear" w:pos="900"/>
              <w:tab w:val="clear" w:pos="9350"/>
              <w:tab w:val="right" w:pos="9025" w:leader="dot"/>
            </w:tabs>
            <w:rPr/>
          </w:pPr>
          <w:hyperlink w:anchor="__RefHeading___Toc21557_17926050">
            <w:r>
              <w:rPr>
                <w:webHidden/>
                <w:rStyle w:val="IndexLink"/>
              </w:rPr>
              <w:t>5.1 The broking cycle</w:t>
              <w:tab/>
              <w:t>21</w:t>
            </w:r>
          </w:hyperlink>
        </w:p>
        <w:p>
          <w:pPr>
            <w:pStyle w:val="TOC2"/>
            <w:tabs>
              <w:tab w:val="clear" w:pos="900"/>
              <w:tab w:val="clear" w:pos="9350"/>
              <w:tab w:val="right" w:pos="9025" w:leader="dot"/>
            </w:tabs>
            <w:rPr/>
          </w:pPr>
          <w:hyperlink w:anchor="__RefHeading___Toc21559_17926050">
            <w:r>
              <w:rPr>
                <w:webHidden/>
                <w:rStyle w:val="IndexLink"/>
              </w:rPr>
              <w:t>5.2 Who does each step and where</w:t>
              <w:tab/>
              <w:t>22</w:t>
            </w:r>
          </w:hyperlink>
        </w:p>
        <w:p>
          <w:pPr>
            <w:pStyle w:val="TOC2"/>
            <w:tabs>
              <w:tab w:val="clear" w:pos="900"/>
              <w:tab w:val="clear" w:pos="9350"/>
              <w:tab w:val="right" w:pos="9025" w:leader="dot"/>
            </w:tabs>
            <w:rPr/>
          </w:pPr>
          <w:hyperlink w:anchor="__RefHeading___Toc21561_17926050">
            <w:r>
              <w:rPr>
                <w:webHidden/>
                <w:rStyle w:val="IndexLink"/>
              </w:rPr>
              <w:t>5.3 The placement journey by line</w:t>
              <w:tab/>
              <w:t>23</w:t>
            </w:r>
          </w:hyperlink>
        </w:p>
        <w:p>
          <w:pPr>
            <w:pStyle w:val="TOC2"/>
            <w:tabs>
              <w:tab w:val="clear" w:pos="900"/>
              <w:tab w:val="clear" w:pos="9350"/>
              <w:tab w:val="right" w:pos="9025" w:leader="dot"/>
            </w:tabs>
            <w:rPr/>
          </w:pPr>
          <w:hyperlink w:anchor="__RefHeading___Toc21563_17926050">
            <w:r>
              <w:rPr>
                <w:webHidden/>
                <w:rStyle w:val="IndexLink"/>
              </w:rPr>
              <w:t>5.4 What the system posts</w:t>
              <w:tab/>
              <w:t>23</w:t>
            </w:r>
          </w:hyperlink>
        </w:p>
        <w:p>
          <w:pPr>
            <w:pStyle w:val="TOC1"/>
            <w:tabs>
              <w:tab w:val="clear" w:pos="900"/>
              <w:tab w:val="clear" w:pos="9350"/>
              <w:tab w:val="right" w:pos="9025" w:leader="dot"/>
            </w:tabs>
            <w:rPr/>
          </w:pPr>
          <w:hyperlink w:anchor="__RefHeading___Toc21565_17926050">
            <w:r>
              <w:rPr>
                <w:webHidden/>
                <w:rStyle w:val="IndexLink"/>
              </w:rPr>
              <w:t>6. System Administrator</w:t>
              <w:tab/>
              <w:t>25</w:t>
            </w:r>
          </w:hyperlink>
        </w:p>
        <w:p>
          <w:pPr>
            <w:pStyle w:val="TOC2"/>
            <w:tabs>
              <w:tab w:val="clear" w:pos="900"/>
              <w:tab w:val="clear" w:pos="9350"/>
              <w:tab w:val="right" w:pos="9025" w:leader="dot"/>
            </w:tabs>
            <w:rPr/>
          </w:pPr>
          <w:hyperlink w:anchor="__RefHeading___Toc21567_17926050">
            <w:r>
              <w:rPr>
                <w:webHidden/>
                <w:rStyle w:val="IndexLink"/>
              </w:rPr>
              <w:t>6.1 Role summary</w:t>
              <w:tab/>
              <w:t>25</w:t>
            </w:r>
          </w:hyperlink>
        </w:p>
        <w:p>
          <w:pPr>
            <w:pStyle w:val="TOC2"/>
            <w:tabs>
              <w:tab w:val="clear" w:pos="900"/>
              <w:tab w:val="clear" w:pos="9350"/>
              <w:tab w:val="right" w:pos="9025" w:leader="dot"/>
            </w:tabs>
            <w:rPr/>
          </w:pPr>
          <w:hyperlink w:anchor="__RefHeading___Toc21569_17926050">
            <w:r>
              <w:rPr>
                <w:webHidden/>
                <w:rStyle w:val="IndexLink"/>
              </w:rPr>
              <w:t>6.2 Menus available</w:t>
              <w:tab/>
              <w:t>25</w:t>
            </w:r>
          </w:hyperlink>
        </w:p>
        <w:p>
          <w:pPr>
            <w:pStyle w:val="TOC2"/>
            <w:tabs>
              <w:tab w:val="clear" w:pos="900"/>
              <w:tab w:val="clear" w:pos="9350"/>
              <w:tab w:val="right" w:pos="9025" w:leader="dot"/>
            </w:tabs>
            <w:rPr/>
          </w:pPr>
          <w:hyperlink w:anchor="__RefHeading___Toc21571_17926050">
            <w:r>
              <w:rPr>
                <w:webHidden/>
                <w:rStyle w:val="IndexLink"/>
              </w:rPr>
              <w:t>6.3 Daily and periodic tasks</w:t>
              <w:tab/>
              <w:t>25</w:t>
            </w:r>
          </w:hyperlink>
        </w:p>
        <w:p>
          <w:pPr>
            <w:pStyle w:val="TOC2"/>
            <w:tabs>
              <w:tab w:val="clear" w:pos="900"/>
              <w:tab w:val="clear" w:pos="9350"/>
              <w:tab w:val="right" w:pos="9025" w:leader="dot"/>
            </w:tabs>
            <w:rPr/>
          </w:pPr>
          <w:hyperlink w:anchor="__RefHeading___Toc21573_17926050">
            <w:r>
              <w:rPr>
                <w:webHidden/>
                <w:rStyle w:val="IndexLink"/>
              </w:rPr>
              <w:t>6.4 Users</w:t>
              <w:tab/>
              <w:t>26</w:t>
            </w:r>
          </w:hyperlink>
        </w:p>
        <w:p>
          <w:pPr>
            <w:pStyle w:val="TOC2"/>
            <w:tabs>
              <w:tab w:val="clear" w:pos="900"/>
              <w:tab w:val="clear" w:pos="9350"/>
              <w:tab w:val="right" w:pos="9025" w:leader="dot"/>
            </w:tabs>
            <w:rPr/>
          </w:pPr>
          <w:hyperlink w:anchor="__RefHeading___Toc21575_17926050">
            <w:r>
              <w:rPr>
                <w:webHidden/>
                <w:rStyle w:val="IndexLink"/>
              </w:rPr>
              <w:t>6.5 Company, branches and the letterhead</w:t>
              <w:tab/>
              <w:t>28</w:t>
            </w:r>
          </w:hyperlink>
        </w:p>
        <w:p>
          <w:pPr>
            <w:pStyle w:val="TOC2"/>
            <w:tabs>
              <w:tab w:val="clear" w:pos="900"/>
              <w:tab w:val="clear" w:pos="9350"/>
              <w:tab w:val="right" w:pos="9025" w:leader="dot"/>
            </w:tabs>
            <w:rPr/>
          </w:pPr>
          <w:hyperlink w:anchor="__RefHeading___Toc21577_17926050">
            <w:r>
              <w:rPr>
                <w:webHidden/>
                <w:rStyle w:val="IndexLink"/>
              </w:rPr>
              <w:t>6.6 Insurers and the other masters</w:t>
              <w:tab/>
              <w:t>28</w:t>
            </w:r>
          </w:hyperlink>
        </w:p>
        <w:p>
          <w:pPr>
            <w:pStyle w:val="TOC2"/>
            <w:tabs>
              <w:tab w:val="clear" w:pos="900"/>
              <w:tab w:val="clear" w:pos="9350"/>
              <w:tab w:val="right" w:pos="9025" w:leader="dot"/>
            </w:tabs>
            <w:rPr/>
          </w:pPr>
          <w:hyperlink w:anchor="__RefHeading___Toc21579_17926050">
            <w:r>
              <w:rPr>
                <w:webHidden/>
                <w:rStyle w:val="IndexLink"/>
              </w:rPr>
              <w:t>6.7 Document Numbering</w:t>
              <w:tab/>
              <w:t>30</w:t>
            </w:r>
          </w:hyperlink>
        </w:p>
        <w:p>
          <w:pPr>
            <w:pStyle w:val="TOC2"/>
            <w:tabs>
              <w:tab w:val="clear" w:pos="900"/>
              <w:tab w:val="clear" w:pos="9350"/>
              <w:tab w:val="right" w:pos="9025" w:leader="dot"/>
            </w:tabs>
            <w:rPr/>
          </w:pPr>
          <w:hyperlink w:anchor="__RefHeading___Toc21581_17926050">
            <w:r>
              <w:rPr>
                <w:webHidden/>
                <w:rStyle w:val="IndexLink"/>
              </w:rPr>
              <w:t>6.8 Configuration</w:t>
              <w:tab/>
              <w:t>30</w:t>
            </w:r>
          </w:hyperlink>
        </w:p>
        <w:p>
          <w:pPr>
            <w:pStyle w:val="TOC2"/>
            <w:tabs>
              <w:tab w:val="clear" w:pos="900"/>
              <w:tab w:val="clear" w:pos="9350"/>
              <w:tab w:val="right" w:pos="9025" w:leader="dot"/>
            </w:tabs>
            <w:rPr/>
          </w:pPr>
          <w:hyperlink w:anchor="__RefHeading___Toc21583_17926050">
            <w:r>
              <w:rPr>
                <w:webHidden/>
                <w:rStyle w:val="IndexLink"/>
              </w:rPr>
              <w:t>6.9 Theme and Branding</w:t>
              <w:tab/>
              <w:t>31</w:t>
            </w:r>
          </w:hyperlink>
        </w:p>
        <w:p>
          <w:pPr>
            <w:pStyle w:val="TOC2"/>
            <w:tabs>
              <w:tab w:val="clear" w:pos="900"/>
              <w:tab w:val="clear" w:pos="9350"/>
              <w:tab w:val="right" w:pos="9025" w:leader="dot"/>
            </w:tabs>
            <w:rPr/>
          </w:pPr>
          <w:hyperlink w:anchor="__RefHeading___Toc21585_17926050">
            <w:r>
              <w:rPr>
                <w:webHidden/>
                <w:rStyle w:val="IndexLink"/>
              </w:rPr>
              <w:t>6.10 Schedules</w:t>
              <w:tab/>
              <w:t>35</w:t>
            </w:r>
          </w:hyperlink>
        </w:p>
        <w:p>
          <w:pPr>
            <w:pStyle w:val="TOC2"/>
            <w:tabs>
              <w:tab w:val="clear" w:pos="900"/>
              <w:tab w:val="clear" w:pos="9350"/>
              <w:tab w:val="right" w:pos="9025" w:leader="dot"/>
            </w:tabs>
            <w:rPr/>
          </w:pPr>
          <w:hyperlink w:anchor="__RefHeading___Toc21587_17926050">
            <w:r>
              <w:rPr>
                <w:webHidden/>
                <w:rStyle w:val="IndexLink"/>
              </w:rPr>
              <w:t>6.11 E-mail Outbox</w:t>
              <w:tab/>
              <w:t>36</w:t>
            </w:r>
          </w:hyperlink>
        </w:p>
        <w:p>
          <w:pPr>
            <w:pStyle w:val="TOC2"/>
            <w:tabs>
              <w:tab w:val="clear" w:pos="900"/>
              <w:tab w:val="clear" w:pos="9350"/>
              <w:tab w:val="right" w:pos="9025" w:leader="dot"/>
            </w:tabs>
            <w:rPr/>
          </w:pPr>
          <w:hyperlink w:anchor="__RefHeading___Toc21589_17926050">
            <w:r>
              <w:rPr>
                <w:webHidden/>
                <w:rStyle w:val="IndexLink"/>
              </w:rPr>
              <w:t>6.12 Integrations</w:t>
              <w:tab/>
              <w:t>36</w:t>
            </w:r>
          </w:hyperlink>
        </w:p>
        <w:p>
          <w:pPr>
            <w:pStyle w:val="TOC2"/>
            <w:tabs>
              <w:tab w:val="clear" w:pos="900"/>
              <w:tab w:val="clear" w:pos="9350"/>
              <w:tab w:val="right" w:pos="9025" w:leader="dot"/>
            </w:tabs>
            <w:rPr/>
          </w:pPr>
          <w:hyperlink w:anchor="__RefHeading___Toc21591_17926050">
            <w:r>
              <w:rPr>
                <w:webHidden/>
                <w:rStyle w:val="IndexLink"/>
              </w:rPr>
              <w:t>6.13 SMS and message templates</w:t>
              <w:tab/>
              <w:t>38</w:t>
            </w:r>
          </w:hyperlink>
        </w:p>
        <w:p>
          <w:pPr>
            <w:pStyle w:val="TOC2"/>
            <w:tabs>
              <w:tab w:val="clear" w:pos="900"/>
              <w:tab w:val="clear" w:pos="9350"/>
              <w:tab w:val="right" w:pos="9025" w:leader="dot"/>
            </w:tabs>
            <w:rPr/>
          </w:pPr>
          <w:hyperlink w:anchor="__RefHeading___Toc21593_17926050">
            <w:r>
              <w:rPr>
                <w:webHidden/>
                <w:rStyle w:val="IndexLink"/>
              </w:rPr>
              <w:t>6.14 Insurer integration</w:t>
              <w:tab/>
              <w:t>39</w:t>
            </w:r>
          </w:hyperlink>
        </w:p>
        <w:p>
          <w:pPr>
            <w:pStyle w:val="TOC2"/>
            <w:tabs>
              <w:tab w:val="clear" w:pos="900"/>
              <w:tab w:val="clear" w:pos="9350"/>
              <w:tab w:val="right" w:pos="9025" w:leader="dot"/>
            </w:tabs>
            <w:rPr/>
          </w:pPr>
          <w:hyperlink w:anchor="__RefHeading___Toc21595_17926050">
            <w:r>
              <w:rPr>
                <w:webHidden/>
                <w:rStyle w:val="IndexLink"/>
              </w:rPr>
              <w:t>6.15 Audit Trail</w:t>
              <w:tab/>
              <w:t>40</w:t>
            </w:r>
          </w:hyperlink>
        </w:p>
        <w:p>
          <w:pPr>
            <w:pStyle w:val="TOC2"/>
            <w:tabs>
              <w:tab w:val="clear" w:pos="900"/>
              <w:tab w:val="clear" w:pos="9350"/>
              <w:tab w:val="right" w:pos="9025" w:leader="dot"/>
            </w:tabs>
            <w:rPr/>
          </w:pPr>
          <w:hyperlink w:anchor="__RefHeading___Toc21597_17926050">
            <w:r>
              <w:rPr>
                <w:webHidden/>
                <w:rStyle w:val="IndexLink"/>
              </w:rPr>
              <w:t>6.16 Data privacy</w:t>
              <w:tab/>
              <w:t>40</w:t>
            </w:r>
          </w:hyperlink>
        </w:p>
        <w:p>
          <w:pPr>
            <w:pStyle w:val="TOC2"/>
            <w:tabs>
              <w:tab w:val="clear" w:pos="900"/>
              <w:tab w:val="clear" w:pos="9350"/>
              <w:tab w:val="right" w:pos="9025" w:leader="dot"/>
            </w:tabs>
            <w:rPr/>
          </w:pPr>
          <w:hyperlink w:anchor="__RefHeading___Toc21599_17926050">
            <w:r>
              <w:rPr>
                <w:webHidden/>
                <w:rStyle w:val="IndexLink"/>
              </w:rPr>
              <w:t>6.17 Finance set-up shared with the Accounting Manager</w:t>
              <w:tab/>
              <w:t>41</w:t>
            </w:r>
          </w:hyperlink>
        </w:p>
        <w:p>
          <w:pPr>
            <w:pStyle w:val="TOC2"/>
            <w:tabs>
              <w:tab w:val="clear" w:pos="900"/>
              <w:tab w:val="clear" w:pos="9350"/>
              <w:tab w:val="right" w:pos="9025" w:leader="dot"/>
            </w:tabs>
            <w:rPr/>
          </w:pPr>
          <w:hyperlink w:anchor="__RefHeading___Toc21601_17926050">
            <w:r>
              <w:rPr>
                <w:webHidden/>
                <w:rStyle w:val="IndexLink"/>
              </w:rPr>
              <w:t>6.18 Incentive programmes</w:t>
              <w:tab/>
              <w:t>42</w:t>
            </w:r>
          </w:hyperlink>
        </w:p>
        <w:p>
          <w:pPr>
            <w:pStyle w:val="TOC2"/>
            <w:tabs>
              <w:tab w:val="clear" w:pos="900"/>
              <w:tab w:val="clear" w:pos="9350"/>
              <w:tab w:val="right" w:pos="9025" w:leader="dot"/>
            </w:tabs>
            <w:rPr/>
          </w:pPr>
          <w:hyperlink w:anchor="__RefHeading___Toc21603_17926050">
            <w:r>
              <w:rPr>
                <w:webHidden/>
                <w:rStyle w:val="IndexLink"/>
              </w:rPr>
              <w:t>6.19 Approvals</w:t>
              <w:tab/>
              <w:t>42</w:t>
            </w:r>
          </w:hyperlink>
        </w:p>
        <w:p>
          <w:pPr>
            <w:pStyle w:val="TOC1"/>
            <w:tabs>
              <w:tab w:val="clear" w:pos="900"/>
              <w:tab w:val="clear" w:pos="9350"/>
              <w:tab w:val="right" w:pos="9025" w:leader="dot"/>
            </w:tabs>
            <w:rPr/>
          </w:pPr>
          <w:hyperlink w:anchor="__RefHeading___Toc21605_17926050">
            <w:r>
              <w:rPr>
                <w:webHidden/>
                <w:rStyle w:val="IndexLink"/>
              </w:rPr>
              <w:t>7. Go-Live Data Load</w:t>
              <w:tab/>
              <w:t>43</w:t>
            </w:r>
          </w:hyperlink>
        </w:p>
        <w:p>
          <w:pPr>
            <w:pStyle w:val="TOC2"/>
            <w:tabs>
              <w:tab w:val="clear" w:pos="900"/>
              <w:tab w:val="clear" w:pos="9350"/>
              <w:tab w:val="right" w:pos="9025" w:leader="dot"/>
            </w:tabs>
            <w:rPr/>
          </w:pPr>
          <w:hyperlink w:anchor="__RefHeading___Toc21607_17926050">
            <w:r>
              <w:rPr>
                <w:webHidden/>
                <w:rStyle w:val="IndexLink"/>
              </w:rPr>
              <w:t>7.1 The two workbooks</w:t>
              <w:tab/>
              <w:t>43</w:t>
            </w:r>
          </w:hyperlink>
        </w:p>
        <w:p>
          <w:pPr>
            <w:pStyle w:val="TOC2"/>
            <w:tabs>
              <w:tab w:val="clear" w:pos="900"/>
              <w:tab w:val="clear" w:pos="9350"/>
              <w:tab w:val="right" w:pos="9025" w:leader="dot"/>
            </w:tabs>
            <w:rPr/>
          </w:pPr>
          <w:hyperlink w:anchor="__RefHeading___Toc21609_17926050">
            <w:r>
              <w:rPr>
                <w:webHidden/>
                <w:rStyle w:val="IndexLink"/>
              </w:rPr>
              <w:t>7.2 Download the template</w:t>
              <w:tab/>
              <w:t>43</w:t>
            </w:r>
          </w:hyperlink>
        </w:p>
        <w:p>
          <w:pPr>
            <w:pStyle w:val="TOC2"/>
            <w:tabs>
              <w:tab w:val="clear" w:pos="900"/>
              <w:tab w:val="clear" w:pos="9350"/>
              <w:tab w:val="right" w:pos="9025" w:leader="dot"/>
            </w:tabs>
            <w:rPr/>
          </w:pPr>
          <w:hyperlink w:anchor="__RefHeading___Toc21611_17926050">
            <w:r>
              <w:rPr>
                <w:webHidden/>
                <w:rStyle w:val="IndexLink"/>
              </w:rPr>
              <w:t>7.3 Upload and validate</w:t>
              <w:tab/>
              <w:t>44</w:t>
            </w:r>
          </w:hyperlink>
        </w:p>
        <w:p>
          <w:pPr>
            <w:pStyle w:val="TOC2"/>
            <w:tabs>
              <w:tab w:val="clear" w:pos="900"/>
              <w:tab w:val="clear" w:pos="9350"/>
              <w:tab w:val="right" w:pos="9025" w:leader="dot"/>
            </w:tabs>
            <w:rPr/>
          </w:pPr>
          <w:hyperlink w:anchor="__RefHeading___Toc21613_17926050">
            <w:r>
              <w:rPr>
                <w:webHidden/>
                <w:rStyle w:val="IndexLink"/>
              </w:rPr>
              <w:t>7.4 Correct the errors</w:t>
              <w:tab/>
              <w:t>44</w:t>
            </w:r>
          </w:hyperlink>
        </w:p>
        <w:p>
          <w:pPr>
            <w:pStyle w:val="TOC2"/>
            <w:tabs>
              <w:tab w:val="clear" w:pos="900"/>
              <w:tab w:val="clear" w:pos="9350"/>
              <w:tab w:val="right" w:pos="9025" w:leader="dot"/>
            </w:tabs>
            <w:rPr/>
          </w:pPr>
          <w:hyperlink w:anchor="__RefHeading___Toc21615_17926050">
            <w:r>
              <w:rPr>
                <w:webHidden/>
                <w:rStyle w:val="IndexLink"/>
              </w:rPr>
              <w:t>7.5 Load</w:t>
              <w:tab/>
              <w:t>45</w:t>
            </w:r>
          </w:hyperlink>
        </w:p>
        <w:p>
          <w:pPr>
            <w:pStyle w:val="TOC2"/>
            <w:tabs>
              <w:tab w:val="clear" w:pos="900"/>
              <w:tab w:val="clear" w:pos="9350"/>
              <w:tab w:val="right" w:pos="9025" w:leader="dot"/>
            </w:tabs>
            <w:rPr/>
          </w:pPr>
          <w:hyperlink w:anchor="__RefHeading___Toc21617_17926050">
            <w:r>
              <w:rPr>
                <w:webHidden/>
                <w:rStyle w:val="IndexLink"/>
              </w:rPr>
              <w:t>7.6 History</w:t>
              <w:tab/>
              <w:t>45</w:t>
            </w:r>
          </w:hyperlink>
        </w:p>
        <w:p>
          <w:pPr>
            <w:pStyle w:val="TOC2"/>
            <w:tabs>
              <w:tab w:val="clear" w:pos="900"/>
              <w:tab w:val="clear" w:pos="9350"/>
              <w:tab w:val="right" w:pos="9025" w:leader="dot"/>
            </w:tabs>
            <w:rPr/>
          </w:pPr>
          <w:hyperlink w:anchor="__RefHeading___Toc21619_17926050">
            <w:r>
              <w:rPr>
                <w:webHidden/>
                <w:rStyle w:val="IndexLink"/>
              </w:rPr>
              <w:t>7.7 Migration rules and reconciliation</w:t>
              <w:tab/>
              <w:t>45</w:t>
            </w:r>
          </w:hyperlink>
        </w:p>
        <w:p>
          <w:pPr>
            <w:pStyle w:val="TOC2"/>
            <w:tabs>
              <w:tab w:val="clear" w:pos="900"/>
              <w:tab w:val="clear" w:pos="9350"/>
              <w:tab w:val="right" w:pos="9025" w:leader="dot"/>
            </w:tabs>
            <w:rPr/>
          </w:pPr>
          <w:hyperlink w:anchor="__RefHeading___Toc21621_17926050">
            <w:r>
              <w:rPr>
                <w:webHidden/>
                <w:rStyle w:val="IndexLink"/>
              </w:rPr>
              <w:t>7.8 Go-live lock</w:t>
              <w:tab/>
              <w:t>46</w:t>
            </w:r>
          </w:hyperlink>
        </w:p>
        <w:p>
          <w:pPr>
            <w:pStyle w:val="TOC1"/>
            <w:tabs>
              <w:tab w:val="clear" w:pos="900"/>
              <w:tab w:val="clear" w:pos="9350"/>
              <w:tab w:val="right" w:pos="9025" w:leader="dot"/>
            </w:tabs>
            <w:rPr/>
          </w:pPr>
          <w:hyperlink w:anchor="__RefHeading___Toc21623_17926050">
            <w:r>
              <w:rPr>
                <w:webHidden/>
                <w:rStyle w:val="IndexLink"/>
              </w:rPr>
              <w:t>8. Sales &amp; Marketing (Account Executive)</w:t>
              <w:tab/>
              <w:t>47</w:t>
            </w:r>
          </w:hyperlink>
        </w:p>
        <w:p>
          <w:pPr>
            <w:pStyle w:val="TOC2"/>
            <w:tabs>
              <w:tab w:val="clear" w:pos="900"/>
              <w:tab w:val="clear" w:pos="9350"/>
              <w:tab w:val="right" w:pos="9025" w:leader="dot"/>
            </w:tabs>
            <w:rPr/>
          </w:pPr>
          <w:hyperlink w:anchor="__RefHeading___Toc21625_17926050">
            <w:r>
              <w:rPr>
                <w:webHidden/>
                <w:rStyle w:val="IndexLink"/>
              </w:rPr>
              <w:t>8.1 Role summary</w:t>
              <w:tab/>
              <w:t>47</w:t>
            </w:r>
          </w:hyperlink>
        </w:p>
        <w:p>
          <w:pPr>
            <w:pStyle w:val="TOC2"/>
            <w:tabs>
              <w:tab w:val="clear" w:pos="900"/>
              <w:tab w:val="clear" w:pos="9350"/>
              <w:tab w:val="right" w:pos="9025" w:leader="dot"/>
            </w:tabs>
            <w:rPr/>
          </w:pPr>
          <w:hyperlink w:anchor="__RefHeading___Toc21627_17926050">
            <w:r>
              <w:rPr>
                <w:webHidden/>
                <w:rStyle w:val="IndexLink"/>
              </w:rPr>
              <w:t>8.2 Menus available</w:t>
              <w:tab/>
              <w:t>47</w:t>
            </w:r>
          </w:hyperlink>
        </w:p>
        <w:p>
          <w:pPr>
            <w:pStyle w:val="TOC2"/>
            <w:tabs>
              <w:tab w:val="clear" w:pos="900"/>
              <w:tab w:val="clear" w:pos="9350"/>
              <w:tab w:val="right" w:pos="9025" w:leader="dot"/>
            </w:tabs>
            <w:rPr/>
          </w:pPr>
          <w:hyperlink w:anchor="__RefHeading___Toc21629_17926050">
            <w:r>
              <w:rPr>
                <w:webHidden/>
                <w:rStyle w:val="IndexLink"/>
              </w:rPr>
              <w:t>8.3 Daily and periodic tasks</w:t>
              <w:tab/>
              <w:t>47</w:t>
            </w:r>
          </w:hyperlink>
        </w:p>
        <w:p>
          <w:pPr>
            <w:pStyle w:val="TOC2"/>
            <w:tabs>
              <w:tab w:val="clear" w:pos="900"/>
              <w:tab w:val="clear" w:pos="9350"/>
              <w:tab w:val="right" w:pos="9025" w:leader="dot"/>
            </w:tabs>
            <w:rPr/>
          </w:pPr>
          <w:hyperlink w:anchor="__RefHeading___Toc21631_17926050">
            <w:r>
              <w:rPr>
                <w:webHidden/>
                <w:rStyle w:val="IndexLink"/>
              </w:rPr>
              <w:t>8.4 Sales Dashboard</w:t>
              <w:tab/>
              <w:t>48</w:t>
            </w:r>
          </w:hyperlink>
        </w:p>
        <w:p>
          <w:pPr>
            <w:pStyle w:val="TOC2"/>
            <w:tabs>
              <w:tab w:val="clear" w:pos="900"/>
              <w:tab w:val="clear" w:pos="9350"/>
              <w:tab w:val="right" w:pos="9025" w:leader="dot"/>
            </w:tabs>
            <w:rPr/>
          </w:pPr>
          <w:hyperlink w:anchor="__RefHeading___Toc21633_17926050">
            <w:r>
              <w:rPr>
                <w:webHidden/>
                <w:rStyle w:val="IndexLink"/>
              </w:rPr>
              <w:t>8.5 Prospects</w:t>
              <w:tab/>
              <w:t>48</w:t>
            </w:r>
          </w:hyperlink>
        </w:p>
        <w:p>
          <w:pPr>
            <w:pStyle w:val="TOC2"/>
            <w:tabs>
              <w:tab w:val="clear" w:pos="900"/>
              <w:tab w:val="clear" w:pos="9350"/>
              <w:tab w:val="right" w:pos="9025" w:leader="dot"/>
            </w:tabs>
            <w:rPr/>
          </w:pPr>
          <w:hyperlink w:anchor="__RefHeading___Toc21635_17926050">
            <w:r>
              <w:rPr>
                <w:webHidden/>
                <w:rStyle w:val="IndexLink"/>
              </w:rPr>
              <w:t>8.6 Quick Quote and Compare Insurers</w:t>
              <w:tab/>
              <w:t>49</w:t>
            </w:r>
          </w:hyperlink>
        </w:p>
        <w:p>
          <w:pPr>
            <w:pStyle w:val="TOC2"/>
            <w:tabs>
              <w:tab w:val="clear" w:pos="900"/>
              <w:tab w:val="clear" w:pos="9350"/>
              <w:tab w:val="right" w:pos="9025" w:leader="dot"/>
            </w:tabs>
            <w:rPr/>
          </w:pPr>
          <w:hyperlink w:anchor="__RefHeading___Toc21637_17926050">
            <w:r>
              <w:rPr>
                <w:webHidden/>
                <w:rStyle w:val="IndexLink"/>
              </w:rPr>
              <w:t>8.7 Create a motor quotation</w:t>
              <w:tab/>
              <w:t>50</w:t>
            </w:r>
          </w:hyperlink>
        </w:p>
        <w:p>
          <w:pPr>
            <w:pStyle w:val="TOC2"/>
            <w:tabs>
              <w:tab w:val="clear" w:pos="900"/>
              <w:tab w:val="clear" w:pos="9350"/>
              <w:tab w:val="right" w:pos="9025" w:leader="dot"/>
            </w:tabs>
            <w:rPr/>
          </w:pPr>
          <w:hyperlink w:anchor="__RefHeading___Toc21639_17926050">
            <w:r>
              <w:rPr>
                <w:webHidden/>
                <w:rStyle w:val="IndexLink"/>
              </w:rPr>
              <w:t>8.8 Quotations</w:t>
              <w:tab/>
              <w:t>52</w:t>
            </w:r>
          </w:hyperlink>
        </w:p>
        <w:p>
          <w:pPr>
            <w:pStyle w:val="TOC2"/>
            <w:tabs>
              <w:tab w:val="clear" w:pos="900"/>
              <w:tab w:val="clear" w:pos="9350"/>
              <w:tab w:val="right" w:pos="9025" w:leader="dot"/>
            </w:tabs>
            <w:rPr/>
          </w:pPr>
          <w:hyperlink w:anchor="__RefHeading___Toc21641_17926050">
            <w:r>
              <w:rPr>
                <w:webHidden/>
                <w:rStyle w:val="IndexLink"/>
              </w:rPr>
              <w:t>8.9 Sales activities</w:t>
              <w:tab/>
              <w:t>54</w:t>
            </w:r>
          </w:hyperlink>
        </w:p>
        <w:p>
          <w:pPr>
            <w:pStyle w:val="TOC2"/>
            <w:tabs>
              <w:tab w:val="clear" w:pos="900"/>
              <w:tab w:val="clear" w:pos="9350"/>
              <w:tab w:val="right" w:pos="9025" w:leader="dot"/>
            </w:tabs>
            <w:rPr/>
          </w:pPr>
          <w:hyperlink w:anchor="__RefHeading___Toc21643_17926050">
            <w:r>
              <w:rPr>
                <w:webHidden/>
                <w:rStyle w:val="IndexLink"/>
              </w:rPr>
              <w:t>8.10 Request a quotation from the market</w:t>
              <w:tab/>
              <w:t>55</w:t>
            </w:r>
          </w:hyperlink>
        </w:p>
        <w:p>
          <w:pPr>
            <w:pStyle w:val="TOC2"/>
            <w:tabs>
              <w:tab w:val="clear" w:pos="900"/>
              <w:tab w:val="clear" w:pos="9350"/>
              <w:tab w:val="right" w:pos="9025" w:leader="dot"/>
            </w:tabs>
            <w:rPr/>
          </w:pPr>
          <w:hyperlink w:anchor="__RefHeading___Toc21645_17926050">
            <w:r>
              <w:rPr>
                <w:webHidden/>
                <w:rStyle w:val="IndexLink"/>
              </w:rPr>
              <w:t>8.11 Record the client's payment</w:t>
              <w:tab/>
              <w:t>55</w:t>
            </w:r>
          </w:hyperlink>
        </w:p>
        <w:p>
          <w:pPr>
            <w:pStyle w:val="TOC2"/>
            <w:tabs>
              <w:tab w:val="clear" w:pos="900"/>
              <w:tab w:val="clear" w:pos="9350"/>
              <w:tab w:val="right" w:pos="9025" w:leader="dot"/>
            </w:tabs>
            <w:rPr/>
          </w:pPr>
          <w:hyperlink w:anchor="__RefHeading___Toc21647_17926050">
            <w:r>
              <w:rPr>
                <w:webHidden/>
                <w:rStyle w:val="IndexLink"/>
              </w:rPr>
              <w:t>8.12 Policies</w:t>
              <w:tab/>
              <w:t>55</w:t>
            </w:r>
          </w:hyperlink>
        </w:p>
        <w:p>
          <w:pPr>
            <w:pStyle w:val="TOC2"/>
            <w:tabs>
              <w:tab w:val="clear" w:pos="900"/>
              <w:tab w:val="clear" w:pos="9350"/>
              <w:tab w:val="right" w:pos="9025" w:leader="dot"/>
            </w:tabs>
            <w:rPr/>
          </w:pPr>
          <w:hyperlink w:anchor="__RefHeading___Toc21649_17926050">
            <w:r>
              <w:rPr>
                <w:webHidden/>
                <w:rStyle w:val="IndexLink"/>
              </w:rPr>
              <w:t>8.13 Renewals, open items, payments and clients</w:t>
              <w:tab/>
              <w:t>56</w:t>
            </w:r>
          </w:hyperlink>
        </w:p>
        <w:p>
          <w:pPr>
            <w:pStyle w:val="TOC2"/>
            <w:tabs>
              <w:tab w:val="clear" w:pos="900"/>
              <w:tab w:val="clear" w:pos="9350"/>
              <w:tab w:val="right" w:pos="9025" w:leader="dot"/>
            </w:tabs>
            <w:rPr/>
          </w:pPr>
          <w:hyperlink w:anchor="__RefHeading___Toc21651_17926050">
            <w:r>
              <w:rPr>
                <w:webHidden/>
                <w:rStyle w:val="IndexLink"/>
              </w:rPr>
              <w:t>8.14 Commission and reports</w:t>
              <w:tab/>
              <w:t>56</w:t>
            </w:r>
          </w:hyperlink>
        </w:p>
        <w:p>
          <w:pPr>
            <w:pStyle w:val="TOC2"/>
            <w:tabs>
              <w:tab w:val="clear" w:pos="900"/>
              <w:tab w:val="clear" w:pos="9350"/>
              <w:tab w:val="right" w:pos="9025" w:leader="dot"/>
            </w:tabs>
            <w:rPr/>
          </w:pPr>
          <w:hyperlink w:anchor="__RefHeading___Toc21653_17926050">
            <w:r>
              <w:rPr>
                <w:webHidden/>
                <w:rStyle w:val="IndexLink"/>
              </w:rPr>
              <w:t>8.15 Approvals</w:t>
              <w:tab/>
              <w:t>57</w:t>
            </w:r>
          </w:hyperlink>
        </w:p>
        <w:p>
          <w:pPr>
            <w:pStyle w:val="TOC1"/>
            <w:tabs>
              <w:tab w:val="clear" w:pos="900"/>
              <w:tab w:val="clear" w:pos="9350"/>
              <w:tab w:val="right" w:pos="9025" w:leader="dot"/>
            </w:tabs>
            <w:rPr/>
          </w:pPr>
          <w:hyperlink w:anchor="__RefHeading___Toc21655_17926050">
            <w:r>
              <w:rPr>
                <w:webHidden/>
                <w:rStyle w:val="IndexLink"/>
              </w:rPr>
              <w:t>9. Processing Team</w:t>
              <w:tab/>
              <w:t>58</w:t>
            </w:r>
          </w:hyperlink>
        </w:p>
        <w:p>
          <w:pPr>
            <w:pStyle w:val="TOC2"/>
            <w:tabs>
              <w:tab w:val="clear" w:pos="900"/>
              <w:tab w:val="clear" w:pos="9350"/>
              <w:tab w:val="right" w:pos="9025" w:leader="dot"/>
            </w:tabs>
            <w:rPr/>
          </w:pPr>
          <w:hyperlink w:anchor="__RefHeading___Toc21657_17926050">
            <w:r>
              <w:rPr>
                <w:webHidden/>
                <w:rStyle w:val="IndexLink"/>
              </w:rPr>
              <w:t>9.1 Role summary</w:t>
              <w:tab/>
              <w:t>58</w:t>
            </w:r>
          </w:hyperlink>
        </w:p>
        <w:p>
          <w:pPr>
            <w:pStyle w:val="TOC2"/>
            <w:tabs>
              <w:tab w:val="clear" w:pos="900"/>
              <w:tab w:val="clear" w:pos="9350"/>
              <w:tab w:val="right" w:pos="9025" w:leader="dot"/>
            </w:tabs>
            <w:rPr/>
          </w:pPr>
          <w:hyperlink w:anchor="__RefHeading___Toc21659_17926050">
            <w:r>
              <w:rPr>
                <w:webHidden/>
                <w:rStyle w:val="IndexLink"/>
              </w:rPr>
              <w:t>9.2 Menus available</w:t>
              <w:tab/>
              <w:t>58</w:t>
            </w:r>
          </w:hyperlink>
        </w:p>
        <w:p>
          <w:pPr>
            <w:pStyle w:val="TOC2"/>
            <w:tabs>
              <w:tab w:val="clear" w:pos="900"/>
              <w:tab w:val="clear" w:pos="9350"/>
              <w:tab w:val="right" w:pos="9025" w:leader="dot"/>
            </w:tabs>
            <w:rPr/>
          </w:pPr>
          <w:hyperlink w:anchor="__RefHeading___Toc21661_17926050">
            <w:r>
              <w:rPr>
                <w:webHidden/>
                <w:rStyle w:val="IndexLink"/>
              </w:rPr>
              <w:t>9.3 Daily and periodic tasks</w:t>
              <w:tab/>
              <w:t>58</w:t>
            </w:r>
          </w:hyperlink>
        </w:p>
        <w:p>
          <w:pPr>
            <w:pStyle w:val="TOC2"/>
            <w:tabs>
              <w:tab w:val="clear" w:pos="900"/>
              <w:tab w:val="clear" w:pos="9350"/>
              <w:tab w:val="right" w:pos="9025" w:leader="dot"/>
            </w:tabs>
            <w:rPr/>
          </w:pPr>
          <w:hyperlink w:anchor="__RefHeading___Toc21663_17926050">
            <w:r>
              <w:rPr>
                <w:webHidden/>
                <w:rStyle w:val="IndexLink"/>
              </w:rPr>
              <w:t>9.4 Processing Dashboard</w:t>
              <w:tab/>
              <w:t>59</w:t>
            </w:r>
          </w:hyperlink>
        </w:p>
        <w:p>
          <w:pPr>
            <w:pStyle w:val="TOC2"/>
            <w:tabs>
              <w:tab w:val="clear" w:pos="900"/>
              <w:tab w:val="clear" w:pos="9350"/>
              <w:tab w:val="right" w:pos="9025" w:leader="dot"/>
            </w:tabs>
            <w:rPr/>
          </w:pPr>
          <w:hyperlink w:anchor="__RefHeading___Toc21665_17926050">
            <w:r>
              <w:rPr>
                <w:webHidden/>
                <w:rStyle w:val="IndexLink"/>
              </w:rPr>
              <w:t>9.5 Requests for quotation (broker slips)</w:t>
              <w:tab/>
              <w:t>59</w:t>
            </w:r>
          </w:hyperlink>
        </w:p>
        <w:p>
          <w:pPr>
            <w:pStyle w:val="TOC2"/>
            <w:tabs>
              <w:tab w:val="clear" w:pos="900"/>
              <w:tab w:val="clear" w:pos="9350"/>
              <w:tab w:val="right" w:pos="9025" w:leader="dot"/>
            </w:tabs>
            <w:rPr/>
          </w:pPr>
          <w:hyperlink w:anchor="__RefHeading___Toc21667_17926050">
            <w:r>
              <w:rPr>
                <w:webHidden/>
                <w:rStyle w:val="IndexLink"/>
              </w:rPr>
              <w:t>9.6 Quotation Slips</w:t>
              <w:tab/>
              <w:t>61</w:t>
            </w:r>
          </w:hyperlink>
        </w:p>
        <w:p>
          <w:pPr>
            <w:pStyle w:val="TOC2"/>
            <w:tabs>
              <w:tab w:val="clear" w:pos="900"/>
              <w:tab w:val="clear" w:pos="9350"/>
              <w:tab w:val="right" w:pos="9025" w:leader="dot"/>
            </w:tabs>
            <w:rPr/>
          </w:pPr>
          <w:hyperlink w:anchor="__RefHeading___Toc21669_17926050">
            <w:r>
              <w:rPr>
                <w:webHidden/>
                <w:rStyle w:val="IndexLink"/>
              </w:rPr>
              <w:t>9.7 Placement Slips</w:t>
              <w:tab/>
              <w:t>61</w:t>
            </w:r>
          </w:hyperlink>
        </w:p>
        <w:p>
          <w:pPr>
            <w:pStyle w:val="TOC2"/>
            <w:tabs>
              <w:tab w:val="clear" w:pos="900"/>
              <w:tab w:val="clear" w:pos="9350"/>
              <w:tab w:val="right" w:pos="9025" w:leader="dot"/>
            </w:tabs>
            <w:rPr/>
          </w:pPr>
          <w:hyperlink w:anchor="__RefHeading___Toc21671_17926050">
            <w:r>
              <w:rPr>
                <w:webHidden/>
                <w:rStyle w:val="IndexLink"/>
              </w:rPr>
              <w:t>9.8 Record Issued Policy</w:t>
              <w:tab/>
              <w:t>63</w:t>
            </w:r>
          </w:hyperlink>
        </w:p>
        <w:p>
          <w:pPr>
            <w:pStyle w:val="TOC2"/>
            <w:tabs>
              <w:tab w:val="clear" w:pos="900"/>
              <w:tab w:val="clear" w:pos="9350"/>
              <w:tab w:val="right" w:pos="9025" w:leader="dot"/>
            </w:tabs>
            <w:rPr/>
          </w:pPr>
          <w:hyperlink w:anchor="__RefHeading___Toc21673_17926050">
            <w:r>
              <w:rPr>
                <w:webHidden/>
                <w:rStyle w:val="IndexLink"/>
              </w:rPr>
              <w:t>9.9 Co-insured policies and premium accounting entries</w:t>
              <w:tab/>
              <w:t>63</w:t>
            </w:r>
          </w:hyperlink>
        </w:p>
        <w:p>
          <w:pPr>
            <w:pStyle w:val="TOC2"/>
            <w:tabs>
              <w:tab w:val="clear" w:pos="900"/>
              <w:tab w:val="clear" w:pos="9350"/>
              <w:tab w:val="right" w:pos="9025" w:leader="dot"/>
            </w:tabs>
            <w:rPr/>
          </w:pPr>
          <w:hyperlink w:anchor="__RefHeading___Toc21675_17926050">
            <w:r>
              <w:rPr>
                <w:webHidden/>
                <w:rStyle w:val="IndexLink"/>
              </w:rPr>
              <w:t>9.10 Complete an endorsement</w:t>
              <w:tab/>
              <w:t>63</w:t>
            </w:r>
          </w:hyperlink>
        </w:p>
        <w:p>
          <w:pPr>
            <w:pStyle w:val="TOC2"/>
            <w:tabs>
              <w:tab w:val="clear" w:pos="900"/>
              <w:tab w:val="clear" w:pos="9350"/>
              <w:tab w:val="right" w:pos="9025" w:leader="dot"/>
            </w:tabs>
            <w:rPr/>
          </w:pPr>
          <w:hyperlink w:anchor="__RefHeading___Toc21677_17926050">
            <w:r>
              <w:rPr>
                <w:webHidden/>
                <w:rStyle w:val="IndexLink"/>
              </w:rPr>
              <w:t>9.11 Approve renewal terms</w:t>
              <w:tab/>
              <w:t>64</w:t>
            </w:r>
          </w:hyperlink>
        </w:p>
        <w:p>
          <w:pPr>
            <w:pStyle w:val="TOC2"/>
            <w:tabs>
              <w:tab w:val="clear" w:pos="900"/>
              <w:tab w:val="clear" w:pos="9350"/>
              <w:tab w:val="right" w:pos="9025" w:leader="dot"/>
            </w:tabs>
            <w:rPr/>
          </w:pPr>
          <w:hyperlink w:anchor="__RefHeading___Toc21679_17926050">
            <w:r>
              <w:rPr>
                <w:webHidden/>
                <w:rStyle w:val="IndexLink"/>
              </w:rPr>
              <w:t>9.12 Product Configurator</w:t>
              <w:tab/>
              <w:t>64</w:t>
            </w:r>
          </w:hyperlink>
        </w:p>
        <w:p>
          <w:pPr>
            <w:pStyle w:val="TOC2"/>
            <w:tabs>
              <w:tab w:val="clear" w:pos="900"/>
              <w:tab w:val="clear" w:pos="9350"/>
              <w:tab w:val="right" w:pos="9025" w:leader="dot"/>
            </w:tabs>
            <w:rPr/>
          </w:pPr>
          <w:hyperlink w:anchor="__RefHeading___Toc21681_17926050">
            <w:r>
              <w:rPr>
                <w:webHidden/>
                <w:rStyle w:val="IndexLink"/>
              </w:rPr>
              <w:t>9.13 Approvals</w:t>
              <w:tab/>
              <w:t>64</w:t>
            </w:r>
          </w:hyperlink>
        </w:p>
        <w:p>
          <w:pPr>
            <w:pStyle w:val="TOC1"/>
            <w:tabs>
              <w:tab w:val="clear" w:pos="900"/>
              <w:tab w:val="clear" w:pos="9350"/>
              <w:tab w:val="right" w:pos="9025" w:leader="dot"/>
            </w:tabs>
            <w:rPr/>
          </w:pPr>
          <w:hyperlink w:anchor="__RefHeading___Toc21683_17926050">
            <w:r>
              <w:rPr>
                <w:webHidden/>
                <w:rStyle w:val="IndexLink"/>
              </w:rPr>
              <w:t>10. Operations (client servicing)</w:t>
              <w:tab/>
              <w:t>65</w:t>
            </w:r>
          </w:hyperlink>
        </w:p>
        <w:p>
          <w:pPr>
            <w:pStyle w:val="TOC2"/>
            <w:tabs>
              <w:tab w:val="clear" w:pos="900"/>
              <w:tab w:val="clear" w:pos="9350"/>
              <w:tab w:val="right" w:pos="9025" w:leader="dot"/>
            </w:tabs>
            <w:rPr/>
          </w:pPr>
          <w:hyperlink w:anchor="__RefHeading___Toc21685_17926050">
            <w:r>
              <w:rPr>
                <w:webHidden/>
                <w:rStyle w:val="IndexLink"/>
              </w:rPr>
              <w:t>10.1 Role summary</w:t>
              <w:tab/>
              <w:t>65</w:t>
            </w:r>
          </w:hyperlink>
        </w:p>
        <w:p>
          <w:pPr>
            <w:pStyle w:val="TOC2"/>
            <w:tabs>
              <w:tab w:val="clear" w:pos="900"/>
              <w:tab w:val="clear" w:pos="9350"/>
              <w:tab w:val="right" w:pos="9025" w:leader="dot"/>
            </w:tabs>
            <w:rPr/>
          </w:pPr>
          <w:hyperlink w:anchor="__RefHeading___Toc21687_17926050">
            <w:r>
              <w:rPr>
                <w:webHidden/>
                <w:rStyle w:val="IndexLink"/>
              </w:rPr>
              <w:t>10.2 Menus available</w:t>
              <w:tab/>
              <w:t>65</w:t>
            </w:r>
          </w:hyperlink>
        </w:p>
        <w:p>
          <w:pPr>
            <w:pStyle w:val="TOC2"/>
            <w:tabs>
              <w:tab w:val="clear" w:pos="900"/>
              <w:tab w:val="clear" w:pos="9350"/>
              <w:tab w:val="right" w:pos="9025" w:leader="dot"/>
            </w:tabs>
            <w:rPr/>
          </w:pPr>
          <w:hyperlink w:anchor="__RefHeading___Toc21689_17926050">
            <w:r>
              <w:rPr>
                <w:webHidden/>
                <w:rStyle w:val="IndexLink"/>
              </w:rPr>
              <w:t>10.3 Daily and periodic tasks</w:t>
              <w:tab/>
              <w:t>65</w:t>
            </w:r>
          </w:hyperlink>
        </w:p>
        <w:p>
          <w:pPr>
            <w:pStyle w:val="TOC2"/>
            <w:tabs>
              <w:tab w:val="clear" w:pos="900"/>
              <w:tab w:val="clear" w:pos="9350"/>
              <w:tab w:val="right" w:pos="9025" w:leader="dot"/>
            </w:tabs>
            <w:rPr/>
          </w:pPr>
          <w:hyperlink w:anchor="__RefHeading___Toc21691_17926050">
            <w:r>
              <w:rPr>
                <w:webHidden/>
                <w:rStyle w:val="IndexLink"/>
              </w:rPr>
              <w:t>10.4 Home</w:t>
              <w:tab/>
              <w:t>66</w:t>
            </w:r>
          </w:hyperlink>
        </w:p>
        <w:p>
          <w:pPr>
            <w:pStyle w:val="TOC2"/>
            <w:tabs>
              <w:tab w:val="clear" w:pos="900"/>
              <w:tab w:val="clear" w:pos="9350"/>
              <w:tab w:val="right" w:pos="9025" w:leader="dot"/>
            </w:tabs>
            <w:rPr/>
          </w:pPr>
          <w:hyperlink w:anchor="__RefHeading___Toc21693_17926050">
            <w:r>
              <w:rPr>
                <w:webHidden/>
                <w:rStyle w:val="IndexLink"/>
              </w:rPr>
              <w:t>10.5 My Work</w:t>
              <w:tab/>
              <w:t>67</w:t>
            </w:r>
          </w:hyperlink>
        </w:p>
        <w:p>
          <w:pPr>
            <w:pStyle w:val="TOC2"/>
            <w:tabs>
              <w:tab w:val="clear" w:pos="900"/>
              <w:tab w:val="clear" w:pos="9350"/>
              <w:tab w:val="right" w:pos="9025" w:leader="dot"/>
            </w:tabs>
            <w:rPr/>
          </w:pPr>
          <w:hyperlink w:anchor="__RefHeading___Toc21695_17926050">
            <w:r>
              <w:rPr>
                <w:webHidden/>
                <w:rStyle w:val="IndexLink"/>
              </w:rPr>
              <w:t>10.6 Clients</w:t>
              <w:tab/>
              <w:t>68</w:t>
            </w:r>
          </w:hyperlink>
        </w:p>
        <w:p>
          <w:pPr>
            <w:pStyle w:val="TOC2"/>
            <w:tabs>
              <w:tab w:val="clear" w:pos="900"/>
              <w:tab w:val="clear" w:pos="9350"/>
              <w:tab w:val="right" w:pos="9025" w:leader="dot"/>
            </w:tabs>
            <w:rPr/>
          </w:pPr>
          <w:hyperlink w:anchor="__RefHeading___Toc21697_17926050">
            <w:r>
              <w:rPr>
                <w:webHidden/>
                <w:rStyle w:val="IndexLink"/>
              </w:rPr>
              <w:t>10.7 Raise an endorsement request</w:t>
              <w:tab/>
              <w:t>69</w:t>
            </w:r>
          </w:hyperlink>
        </w:p>
        <w:p>
          <w:pPr>
            <w:pStyle w:val="TOC2"/>
            <w:tabs>
              <w:tab w:val="clear" w:pos="900"/>
              <w:tab w:val="clear" w:pos="9350"/>
              <w:tab w:val="right" w:pos="9025" w:leader="dot"/>
            </w:tabs>
            <w:rPr/>
          </w:pPr>
          <w:hyperlink w:anchor="__RefHeading___Toc21699_17926050">
            <w:r>
              <w:rPr>
                <w:webHidden/>
                <w:rStyle w:val="IndexLink"/>
              </w:rPr>
              <w:t>10.8 Cover notes (binders)</w:t>
              <w:tab/>
              <w:t>70</w:t>
            </w:r>
          </w:hyperlink>
        </w:p>
        <w:p>
          <w:pPr>
            <w:pStyle w:val="TOC2"/>
            <w:tabs>
              <w:tab w:val="clear" w:pos="900"/>
              <w:tab w:val="clear" w:pos="9350"/>
              <w:tab w:val="right" w:pos="9025" w:leader="dot"/>
            </w:tabs>
            <w:rPr/>
          </w:pPr>
          <w:hyperlink w:anchor="__RefHeading___Toc21701_17926050">
            <w:r>
              <w:rPr>
                <w:webHidden/>
                <w:rStyle w:val="IndexLink"/>
              </w:rPr>
              <w:t>10.9 Cancel a policy: computed return premium</w:t>
              <w:tab/>
              <w:t>71</w:t>
            </w:r>
          </w:hyperlink>
        </w:p>
        <w:p>
          <w:pPr>
            <w:pStyle w:val="TOC2"/>
            <w:tabs>
              <w:tab w:val="clear" w:pos="900"/>
              <w:tab w:val="clear" w:pos="9350"/>
              <w:tab w:val="right" w:pos="9025" w:leader="dot"/>
            </w:tabs>
            <w:rPr/>
          </w:pPr>
          <w:hyperlink w:anchor="__RefHeading___Toc21703_17926050">
            <w:r>
              <w:rPr>
                <w:webHidden/>
                <w:rStyle w:val="IndexLink"/>
              </w:rPr>
              <w:t>10.10 Record the client's payment</w:t>
              <w:tab/>
              <w:t>72</w:t>
            </w:r>
          </w:hyperlink>
        </w:p>
        <w:p>
          <w:pPr>
            <w:pStyle w:val="TOC2"/>
            <w:tabs>
              <w:tab w:val="clear" w:pos="900"/>
              <w:tab w:val="clear" w:pos="9350"/>
              <w:tab w:val="right" w:pos="9025" w:leader="dot"/>
            </w:tabs>
            <w:rPr/>
          </w:pPr>
          <w:hyperlink w:anchor="__RefHeading___Toc21705_17926050">
            <w:r>
              <w:rPr>
                <w:webHidden/>
                <w:rStyle w:val="IndexLink"/>
              </w:rPr>
              <w:t>10.11 Payments</w:t>
              <w:tab/>
              <w:t>72</w:t>
            </w:r>
          </w:hyperlink>
        </w:p>
        <w:p>
          <w:pPr>
            <w:pStyle w:val="TOC2"/>
            <w:tabs>
              <w:tab w:val="clear" w:pos="900"/>
              <w:tab w:val="clear" w:pos="9350"/>
              <w:tab w:val="right" w:pos="9025" w:leader="dot"/>
            </w:tabs>
            <w:rPr/>
          </w:pPr>
          <w:hyperlink w:anchor="__RefHeading___Toc21707_17926050">
            <w:r>
              <w:rPr>
                <w:webHidden/>
                <w:rStyle w:val="IndexLink"/>
              </w:rPr>
              <w:t>10.12 CTPL authentication</w:t>
              <w:tab/>
              <w:t>72</w:t>
            </w:r>
          </w:hyperlink>
        </w:p>
        <w:p>
          <w:pPr>
            <w:pStyle w:val="TOC2"/>
            <w:tabs>
              <w:tab w:val="clear" w:pos="900"/>
              <w:tab w:val="clear" w:pos="9350"/>
              <w:tab w:val="right" w:pos="9025" w:leader="dot"/>
            </w:tabs>
            <w:rPr/>
          </w:pPr>
          <w:hyperlink w:anchor="__RefHeading___Toc21709_17926050">
            <w:r>
              <w:rPr>
                <w:webHidden/>
                <w:rStyle w:val="IndexLink"/>
              </w:rPr>
              <w:t>10.13 Renewals</w:t>
              <w:tab/>
              <w:t>73</w:t>
            </w:r>
          </w:hyperlink>
        </w:p>
        <w:p>
          <w:pPr>
            <w:pStyle w:val="TOC2"/>
            <w:tabs>
              <w:tab w:val="clear" w:pos="900"/>
              <w:tab w:val="clear" w:pos="9350"/>
              <w:tab w:val="right" w:pos="9025" w:leader="dot"/>
            </w:tabs>
            <w:rPr/>
          </w:pPr>
          <w:hyperlink w:anchor="__RefHeading___Toc21711_17926050">
            <w:r>
              <w:rPr>
                <w:webHidden/>
                <w:rStyle w:val="IndexLink"/>
              </w:rPr>
              <w:t>10.14 Approvals</w:t>
              <w:tab/>
              <w:t>75</w:t>
            </w:r>
          </w:hyperlink>
        </w:p>
        <w:p>
          <w:pPr>
            <w:pStyle w:val="TOC1"/>
            <w:tabs>
              <w:tab w:val="clear" w:pos="900"/>
              <w:tab w:val="clear" w:pos="9350"/>
              <w:tab w:val="right" w:pos="9025" w:leader="dot"/>
            </w:tabs>
            <w:rPr/>
          </w:pPr>
          <w:hyperlink w:anchor="__RefHeading___Toc21713_17926050">
            <w:r>
              <w:rPr>
                <w:webHidden/>
                <w:rStyle w:val="IndexLink"/>
              </w:rPr>
              <w:t>11. Claims</w:t>
              <w:tab/>
              <w:t>76</w:t>
            </w:r>
          </w:hyperlink>
        </w:p>
        <w:p>
          <w:pPr>
            <w:pStyle w:val="TOC2"/>
            <w:tabs>
              <w:tab w:val="clear" w:pos="900"/>
              <w:tab w:val="clear" w:pos="9350"/>
              <w:tab w:val="right" w:pos="9025" w:leader="dot"/>
            </w:tabs>
            <w:rPr/>
          </w:pPr>
          <w:hyperlink w:anchor="__RefHeading___Toc21715_17926050">
            <w:r>
              <w:rPr>
                <w:webHidden/>
                <w:rStyle w:val="IndexLink"/>
              </w:rPr>
              <w:t>11.1 Role summary</w:t>
              <w:tab/>
              <w:t>76</w:t>
            </w:r>
          </w:hyperlink>
        </w:p>
        <w:p>
          <w:pPr>
            <w:pStyle w:val="TOC2"/>
            <w:tabs>
              <w:tab w:val="clear" w:pos="900"/>
              <w:tab w:val="clear" w:pos="9350"/>
              <w:tab w:val="right" w:pos="9025" w:leader="dot"/>
            </w:tabs>
            <w:rPr/>
          </w:pPr>
          <w:hyperlink w:anchor="__RefHeading___Toc21717_17926050">
            <w:r>
              <w:rPr>
                <w:webHidden/>
                <w:rStyle w:val="IndexLink"/>
              </w:rPr>
              <w:t>11.2 Menus available</w:t>
              <w:tab/>
              <w:t>76</w:t>
            </w:r>
          </w:hyperlink>
        </w:p>
        <w:p>
          <w:pPr>
            <w:pStyle w:val="TOC2"/>
            <w:tabs>
              <w:tab w:val="clear" w:pos="900"/>
              <w:tab w:val="clear" w:pos="9350"/>
              <w:tab w:val="right" w:pos="9025" w:leader="dot"/>
            </w:tabs>
            <w:rPr/>
          </w:pPr>
          <w:hyperlink w:anchor="__RefHeading___Toc21719_17926050">
            <w:r>
              <w:rPr>
                <w:webHidden/>
                <w:rStyle w:val="IndexLink"/>
              </w:rPr>
              <w:t>11.3 Daily and periodic tasks</w:t>
              <w:tab/>
              <w:t>76</w:t>
            </w:r>
          </w:hyperlink>
        </w:p>
        <w:p>
          <w:pPr>
            <w:pStyle w:val="TOC2"/>
            <w:tabs>
              <w:tab w:val="clear" w:pos="900"/>
              <w:tab w:val="clear" w:pos="9350"/>
              <w:tab w:val="right" w:pos="9025" w:leader="dot"/>
            </w:tabs>
            <w:rPr/>
          </w:pPr>
          <w:hyperlink w:anchor="__RefHeading___Toc21721_17926050">
            <w:r>
              <w:rPr>
                <w:webHidden/>
                <w:rStyle w:val="IndexLink"/>
              </w:rPr>
              <w:t>11.4 Claims Dashboard</w:t>
              <w:tab/>
              <w:t>76</w:t>
            </w:r>
          </w:hyperlink>
        </w:p>
        <w:p>
          <w:pPr>
            <w:pStyle w:val="TOC2"/>
            <w:tabs>
              <w:tab w:val="clear" w:pos="900"/>
              <w:tab w:val="clear" w:pos="9350"/>
              <w:tab w:val="right" w:pos="9025" w:leader="dot"/>
            </w:tabs>
            <w:rPr/>
          </w:pPr>
          <w:hyperlink w:anchor="__RefHeading___Toc21723_17926050">
            <w:r>
              <w:rPr>
                <w:webHidden/>
                <w:rStyle w:val="IndexLink"/>
              </w:rPr>
              <w:t>11.5 The claims list</w:t>
              <w:tab/>
              <w:t>76</w:t>
            </w:r>
          </w:hyperlink>
        </w:p>
        <w:p>
          <w:pPr>
            <w:pStyle w:val="TOC2"/>
            <w:tabs>
              <w:tab w:val="clear" w:pos="900"/>
              <w:tab w:val="clear" w:pos="9350"/>
              <w:tab w:val="right" w:pos="9025" w:leader="dot"/>
            </w:tabs>
            <w:rPr/>
          </w:pPr>
          <w:hyperlink w:anchor="__RefHeading___Toc21725_17926050">
            <w:r>
              <w:rPr>
                <w:webHidden/>
                <w:rStyle w:val="IndexLink"/>
              </w:rPr>
              <w:t>11.6 Register a claim</w:t>
              <w:tab/>
              <w:t>77</w:t>
            </w:r>
          </w:hyperlink>
        </w:p>
        <w:p>
          <w:pPr>
            <w:pStyle w:val="TOC2"/>
            <w:tabs>
              <w:tab w:val="clear" w:pos="900"/>
              <w:tab w:val="clear" w:pos="9350"/>
              <w:tab w:val="right" w:pos="9025" w:leader="dot"/>
            </w:tabs>
            <w:rPr/>
          </w:pPr>
          <w:hyperlink w:anchor="__RefHeading___Toc21727_17926050">
            <w:r>
              <w:rPr>
                <w:webHidden/>
                <w:rStyle w:val="IndexLink"/>
              </w:rPr>
              <w:t>11.7 Adjuster report</w:t>
              <w:tab/>
              <w:t>78</w:t>
            </w:r>
          </w:hyperlink>
        </w:p>
        <w:p>
          <w:pPr>
            <w:pStyle w:val="TOC2"/>
            <w:tabs>
              <w:tab w:val="clear" w:pos="900"/>
              <w:tab w:val="clear" w:pos="9350"/>
              <w:tab w:val="right" w:pos="9025" w:leader="dot"/>
            </w:tabs>
            <w:rPr/>
          </w:pPr>
          <w:hyperlink w:anchor="__RefHeading___Toc21729_17926050">
            <w:r>
              <w:rPr>
                <w:webHidden/>
                <w:rStyle w:val="IndexLink"/>
              </w:rPr>
              <w:t>11.8 Assessment and settlement (maker)</w:t>
              <w:tab/>
              <w:t>78</w:t>
            </w:r>
          </w:hyperlink>
        </w:p>
        <w:p>
          <w:pPr>
            <w:pStyle w:val="TOC2"/>
            <w:tabs>
              <w:tab w:val="clear" w:pos="900"/>
              <w:tab w:val="clear" w:pos="9350"/>
              <w:tab w:val="right" w:pos="9025" w:leader="dot"/>
            </w:tabs>
            <w:rPr/>
          </w:pPr>
          <w:hyperlink w:anchor="__RefHeading___Toc21731_17926050">
            <w:r>
              <w:rPr>
                <w:webHidden/>
                <w:rStyle w:val="IndexLink"/>
              </w:rPr>
              <w:t>11.9 Approve a settlement (checker)</w:t>
              <w:tab/>
              <w:t>78</w:t>
            </w:r>
          </w:hyperlink>
        </w:p>
        <w:p>
          <w:pPr>
            <w:pStyle w:val="TOC2"/>
            <w:tabs>
              <w:tab w:val="clear" w:pos="900"/>
              <w:tab w:val="clear" w:pos="9350"/>
              <w:tab w:val="right" w:pos="9025" w:leader="dot"/>
            </w:tabs>
            <w:rPr/>
          </w:pPr>
          <w:hyperlink w:anchor="__RefHeading___Toc21733_17926050">
            <w:r>
              <w:rPr>
                <w:webHidden/>
                <w:rStyle w:val="IndexLink"/>
              </w:rPr>
              <w:t>11.10 Claim details, documents and audit trail</w:t>
              <w:tab/>
              <w:t>79</w:t>
            </w:r>
          </w:hyperlink>
        </w:p>
        <w:p>
          <w:pPr>
            <w:pStyle w:val="TOC2"/>
            <w:tabs>
              <w:tab w:val="clear" w:pos="900"/>
              <w:tab w:val="clear" w:pos="9350"/>
              <w:tab w:val="right" w:pos="9025" w:leader="dot"/>
            </w:tabs>
            <w:rPr/>
          </w:pPr>
          <w:hyperlink w:anchor="__RefHeading___Toc21735_17926050">
            <w:r>
              <w:rPr>
                <w:webHidden/>
                <w:rStyle w:val="IndexLink"/>
              </w:rPr>
              <w:t>11.11 Claim document checklist</w:t>
              <w:tab/>
              <w:t>79</w:t>
            </w:r>
          </w:hyperlink>
        </w:p>
        <w:p>
          <w:pPr>
            <w:pStyle w:val="TOC2"/>
            <w:tabs>
              <w:tab w:val="clear" w:pos="900"/>
              <w:tab w:val="clear" w:pos="9350"/>
              <w:tab w:val="right" w:pos="9025" w:leader="dot"/>
            </w:tabs>
            <w:rPr/>
          </w:pPr>
          <w:hyperlink w:anchor="__RefHeading___Toc21737_17926050">
            <w:r>
              <w:rPr>
                <w:webHidden/>
                <w:rStyle w:val="IndexLink"/>
              </w:rPr>
              <w:t>11.12 Motor claim repairs and letters of authority</w:t>
              <w:tab/>
              <w:t>80</w:t>
            </w:r>
          </w:hyperlink>
        </w:p>
        <w:p>
          <w:pPr>
            <w:pStyle w:val="TOC2"/>
            <w:tabs>
              <w:tab w:val="clear" w:pos="900"/>
              <w:tab w:val="clear" w:pos="9350"/>
              <w:tab w:val="right" w:pos="9025" w:leader="dot"/>
            </w:tabs>
            <w:rPr/>
          </w:pPr>
          <w:hyperlink w:anchor="__RefHeading___Toc21739_17926050">
            <w:r>
              <w:rPr>
                <w:webHidden/>
                <w:rStyle w:val="IndexLink"/>
              </w:rPr>
              <w:t>11.13 Approvals</w:t>
              <w:tab/>
              <w:t>80</w:t>
            </w:r>
          </w:hyperlink>
        </w:p>
        <w:p>
          <w:pPr>
            <w:pStyle w:val="TOC1"/>
            <w:tabs>
              <w:tab w:val="clear" w:pos="900"/>
              <w:tab w:val="clear" w:pos="9350"/>
              <w:tab w:val="right" w:pos="9025" w:leader="dot"/>
            </w:tabs>
            <w:rPr/>
          </w:pPr>
          <w:hyperlink w:anchor="__RefHeading___Toc21741_17926050">
            <w:r>
              <w:rPr>
                <w:webHidden/>
                <w:rStyle w:val="IndexLink"/>
              </w:rPr>
              <w:t>12. Accounting</w:t>
              <w:tab/>
              <w:t>81</w:t>
            </w:r>
          </w:hyperlink>
        </w:p>
        <w:p>
          <w:pPr>
            <w:pStyle w:val="TOC2"/>
            <w:tabs>
              <w:tab w:val="clear" w:pos="900"/>
              <w:tab w:val="clear" w:pos="9350"/>
              <w:tab w:val="right" w:pos="9025" w:leader="dot"/>
            </w:tabs>
            <w:rPr/>
          </w:pPr>
          <w:hyperlink w:anchor="__RefHeading___Toc21743_17926050">
            <w:r>
              <w:rPr>
                <w:webHidden/>
                <w:rStyle w:val="IndexLink"/>
              </w:rPr>
              <w:t>12.1 Role summary</w:t>
              <w:tab/>
              <w:t>81</w:t>
            </w:r>
          </w:hyperlink>
        </w:p>
        <w:p>
          <w:pPr>
            <w:pStyle w:val="TOC2"/>
            <w:tabs>
              <w:tab w:val="clear" w:pos="900"/>
              <w:tab w:val="clear" w:pos="9350"/>
              <w:tab w:val="right" w:pos="9025" w:leader="dot"/>
            </w:tabs>
            <w:rPr/>
          </w:pPr>
          <w:hyperlink w:anchor="__RefHeading___Toc21745_17926050">
            <w:r>
              <w:rPr>
                <w:webHidden/>
                <w:rStyle w:val="IndexLink"/>
              </w:rPr>
              <w:t>12.2 Menus available</w:t>
              <w:tab/>
              <w:t>81</w:t>
            </w:r>
          </w:hyperlink>
        </w:p>
        <w:p>
          <w:pPr>
            <w:pStyle w:val="TOC2"/>
            <w:tabs>
              <w:tab w:val="clear" w:pos="900"/>
              <w:tab w:val="clear" w:pos="9350"/>
              <w:tab w:val="right" w:pos="9025" w:leader="dot"/>
            </w:tabs>
            <w:rPr/>
          </w:pPr>
          <w:hyperlink w:anchor="__RefHeading___Toc21747_17926050">
            <w:r>
              <w:rPr>
                <w:webHidden/>
                <w:rStyle w:val="IndexLink"/>
              </w:rPr>
              <w:t>12.3 Daily and periodic tasks</w:t>
              <w:tab/>
              <w:t>81</w:t>
            </w:r>
          </w:hyperlink>
        </w:p>
        <w:p>
          <w:pPr>
            <w:pStyle w:val="TOC2"/>
            <w:tabs>
              <w:tab w:val="clear" w:pos="900"/>
              <w:tab w:val="clear" w:pos="9350"/>
              <w:tab w:val="right" w:pos="9025" w:leader="dot"/>
            </w:tabs>
            <w:rPr/>
          </w:pPr>
          <w:hyperlink w:anchor="__RefHeading___Toc21749_17926050">
            <w:r>
              <w:rPr>
                <w:webHidden/>
                <w:rStyle w:val="IndexLink"/>
              </w:rPr>
              <w:t>12.4 Verify payments and post official receipts</w:t>
              <w:tab/>
              <w:t>82</w:t>
            </w:r>
          </w:hyperlink>
        </w:p>
        <w:p>
          <w:pPr>
            <w:pStyle w:val="TOC2"/>
            <w:tabs>
              <w:tab w:val="clear" w:pos="900"/>
              <w:tab w:val="clear" w:pos="9350"/>
              <w:tab w:val="right" w:pos="9025" w:leader="dot"/>
            </w:tabs>
            <w:rPr/>
          </w:pPr>
          <w:hyperlink w:anchor="__RefHeading___Toc21751_17926050">
            <w:r>
              <w:rPr>
                <w:webHidden/>
                <w:rStyle w:val="IndexLink"/>
              </w:rPr>
              <w:t>12.5 Collections</w:t>
              <w:tab/>
              <w:t>83</w:t>
            </w:r>
          </w:hyperlink>
        </w:p>
        <w:p>
          <w:pPr>
            <w:pStyle w:val="TOC2"/>
            <w:tabs>
              <w:tab w:val="clear" w:pos="900"/>
              <w:tab w:val="clear" w:pos="9350"/>
              <w:tab w:val="right" w:pos="9025" w:leader="dot"/>
            </w:tabs>
            <w:rPr/>
          </w:pPr>
          <w:hyperlink w:anchor="__RefHeading___Toc21753_17926050">
            <w:r>
              <w:rPr>
                <w:webHidden/>
                <w:rStyle w:val="IndexLink"/>
              </w:rPr>
              <w:t>12.6 Credit control</w:t>
              <w:tab/>
              <w:t>84</w:t>
            </w:r>
          </w:hyperlink>
        </w:p>
        <w:p>
          <w:pPr>
            <w:pStyle w:val="TOC2"/>
            <w:tabs>
              <w:tab w:val="clear" w:pos="900"/>
              <w:tab w:val="clear" w:pos="9350"/>
              <w:tab w:val="right" w:pos="9025" w:leader="dot"/>
            </w:tabs>
            <w:rPr/>
          </w:pPr>
          <w:hyperlink w:anchor="__RefHeading___Toc21755_17926050">
            <w:r>
              <w:rPr>
                <w:webHidden/>
                <w:rStyle w:val="IndexLink"/>
              </w:rPr>
              <w:t>12.7 Post-dated cheques</w:t>
              <w:tab/>
              <w:t>85</w:t>
            </w:r>
          </w:hyperlink>
        </w:p>
        <w:p>
          <w:pPr>
            <w:pStyle w:val="TOC2"/>
            <w:tabs>
              <w:tab w:val="clear" w:pos="900"/>
              <w:tab w:val="clear" w:pos="9350"/>
              <w:tab w:val="right" w:pos="9025" w:leader="dot"/>
            </w:tabs>
            <w:rPr/>
          </w:pPr>
          <w:hyperlink w:anchor="__RefHeading___Toc21757_17926050">
            <w:r>
              <w:rPr>
                <w:webHidden/>
                <w:rStyle w:val="IndexLink"/>
              </w:rPr>
              <w:t>12.8 Claims settlements paid through the broker</w:t>
              <w:tab/>
              <w:t>85</w:t>
            </w:r>
          </w:hyperlink>
        </w:p>
        <w:p>
          <w:pPr>
            <w:pStyle w:val="TOC2"/>
            <w:tabs>
              <w:tab w:val="clear" w:pos="900"/>
              <w:tab w:val="clear" w:pos="9350"/>
              <w:tab w:val="right" w:pos="9025" w:leader="dot"/>
            </w:tabs>
            <w:rPr/>
          </w:pPr>
          <w:hyperlink w:anchor="__RefHeading___Toc21759_17926050">
            <w:r>
              <w:rPr>
                <w:webHidden/>
                <w:rStyle w:val="IndexLink"/>
              </w:rPr>
              <w:t>12.9 Disbursement: payment vouchers and cheques</w:t>
              <w:tab/>
              <w:t>85</w:t>
            </w:r>
          </w:hyperlink>
        </w:p>
        <w:p>
          <w:pPr>
            <w:pStyle w:val="TOC2"/>
            <w:tabs>
              <w:tab w:val="clear" w:pos="900"/>
              <w:tab w:val="clear" w:pos="9350"/>
              <w:tab w:val="right" w:pos="9025" w:leader="dot"/>
            </w:tabs>
            <w:rPr/>
          </w:pPr>
          <w:hyperlink w:anchor="__RefHeading___Toc21761_17926050">
            <w:r>
              <w:rPr>
                <w:webHidden/>
                <w:rStyle w:val="IndexLink"/>
              </w:rPr>
              <w:t>12.10 Bank payment files</w:t>
              <w:tab/>
              <w:t>86</w:t>
            </w:r>
          </w:hyperlink>
        </w:p>
        <w:p>
          <w:pPr>
            <w:pStyle w:val="TOC2"/>
            <w:tabs>
              <w:tab w:val="clear" w:pos="900"/>
              <w:tab w:val="clear" w:pos="9350"/>
              <w:tab w:val="right" w:pos="9025" w:leader="dot"/>
            </w:tabs>
            <w:rPr/>
          </w:pPr>
          <w:hyperlink w:anchor="__RefHeading___Toc21763_17926050">
            <w:r>
              <w:rPr>
                <w:webHidden/>
                <w:rStyle w:val="IndexLink"/>
              </w:rPr>
              <w:t>12.11 Bank file layouts and payee bank accounts</w:t>
              <w:tab/>
              <w:t>87</w:t>
            </w:r>
          </w:hyperlink>
        </w:p>
        <w:p>
          <w:pPr>
            <w:pStyle w:val="TOC2"/>
            <w:tabs>
              <w:tab w:val="clear" w:pos="900"/>
              <w:tab w:val="clear" w:pos="9350"/>
              <w:tab w:val="right" w:pos="9025" w:leader="dot"/>
            </w:tabs>
            <w:rPr/>
          </w:pPr>
          <w:hyperlink w:anchor="__RefHeading___Toc21765_17926050">
            <w:r>
              <w:rPr>
                <w:webHidden/>
                <w:rStyle w:val="IndexLink"/>
              </w:rPr>
              <w:t>12.12 Remittance to insurers</w:t>
              <w:tab/>
              <w:t>87</w:t>
            </w:r>
          </w:hyperlink>
        </w:p>
        <w:p>
          <w:pPr>
            <w:pStyle w:val="TOC2"/>
            <w:tabs>
              <w:tab w:val="clear" w:pos="900"/>
              <w:tab w:val="clear" w:pos="9350"/>
              <w:tab w:val="right" w:pos="9025" w:leader="dot"/>
            </w:tabs>
            <w:rPr/>
          </w:pPr>
          <w:hyperlink w:anchor="__RefHeading___Toc21767_17926050">
            <w:r>
              <w:rPr>
                <w:webHidden/>
                <w:rStyle w:val="IndexLink"/>
              </w:rPr>
              <w:t>12.13 Direct bill: commission debit notes</w:t>
              <w:tab/>
              <w:t>88</w:t>
            </w:r>
          </w:hyperlink>
        </w:p>
        <w:p>
          <w:pPr>
            <w:pStyle w:val="TOC2"/>
            <w:tabs>
              <w:tab w:val="clear" w:pos="900"/>
              <w:tab w:val="clear" w:pos="9350"/>
              <w:tab w:val="right" w:pos="9025" w:leader="dot"/>
            </w:tabs>
            <w:rPr/>
          </w:pPr>
          <w:hyperlink w:anchor="__RefHeading___Toc21769_17926050">
            <w:r>
              <w:rPr>
                <w:webHidden/>
                <w:rStyle w:val="IndexLink"/>
              </w:rPr>
              <w:t>12.14 Commission to agents and referrers</w:t>
              <w:tab/>
              <w:t>89</w:t>
            </w:r>
          </w:hyperlink>
        </w:p>
        <w:p>
          <w:pPr>
            <w:pStyle w:val="TOC2"/>
            <w:tabs>
              <w:tab w:val="clear" w:pos="900"/>
              <w:tab w:val="clear" w:pos="9350"/>
              <w:tab w:val="right" w:pos="9025" w:leader="dot"/>
            </w:tabs>
            <w:rPr/>
          </w:pPr>
          <w:hyperlink w:anchor="__RefHeading___Toc21771_17926050">
            <w:r>
              <w:rPr>
                <w:webHidden/>
                <w:rStyle w:val="IndexLink"/>
              </w:rPr>
              <w:t>12.15 Journal vouchers</w:t>
              <w:tab/>
              <w:t>91</w:t>
            </w:r>
          </w:hyperlink>
        </w:p>
        <w:p>
          <w:pPr>
            <w:pStyle w:val="TOC2"/>
            <w:tabs>
              <w:tab w:val="clear" w:pos="900"/>
              <w:tab w:val="clear" w:pos="9350"/>
              <w:tab w:val="right" w:pos="9025" w:leader="dot"/>
            </w:tabs>
            <w:rPr/>
          </w:pPr>
          <w:hyperlink w:anchor="__RefHeading___Toc21773_17926050">
            <w:r>
              <w:rPr>
                <w:webHidden/>
                <w:rStyle w:val="IndexLink"/>
              </w:rPr>
              <w:t>12.16 Open entry matching and write-offs</w:t>
              <w:tab/>
              <w:t>91</w:t>
            </w:r>
          </w:hyperlink>
        </w:p>
        <w:p>
          <w:pPr>
            <w:pStyle w:val="TOC2"/>
            <w:tabs>
              <w:tab w:val="clear" w:pos="900"/>
              <w:tab w:val="clear" w:pos="9350"/>
              <w:tab w:val="right" w:pos="9025" w:leader="dot"/>
            </w:tabs>
            <w:rPr/>
          </w:pPr>
          <w:hyperlink w:anchor="__RefHeading___Toc21775_17926050">
            <w:r>
              <w:rPr>
                <w:webHidden/>
                <w:rStyle w:val="IndexLink"/>
              </w:rPr>
              <w:t>12.17 Accounting Query and All Clients Accounting</w:t>
              <w:tab/>
              <w:t>92</w:t>
            </w:r>
          </w:hyperlink>
        </w:p>
        <w:p>
          <w:pPr>
            <w:pStyle w:val="TOC2"/>
            <w:tabs>
              <w:tab w:val="clear" w:pos="900"/>
              <w:tab w:val="clear" w:pos="9350"/>
              <w:tab w:val="right" w:pos="9025" w:leader="dot"/>
            </w:tabs>
            <w:rPr/>
          </w:pPr>
          <w:hyperlink w:anchor="__RefHeading___Toc21777_17926050">
            <w:r>
              <w:rPr>
                <w:webHidden/>
                <w:rStyle w:val="IndexLink"/>
              </w:rPr>
              <w:t>12.18 Petty cash</w:t>
              <w:tab/>
              <w:t>92</w:t>
            </w:r>
          </w:hyperlink>
        </w:p>
        <w:p>
          <w:pPr>
            <w:pStyle w:val="TOC2"/>
            <w:tabs>
              <w:tab w:val="clear" w:pos="900"/>
              <w:tab w:val="clear" w:pos="9350"/>
              <w:tab w:val="right" w:pos="9025" w:leader="dot"/>
            </w:tabs>
            <w:rPr/>
          </w:pPr>
          <w:hyperlink w:anchor="__RefHeading___Toc21779_17926050">
            <w:r>
              <w:rPr>
                <w:webHidden/>
                <w:rStyle w:val="IndexLink"/>
              </w:rPr>
              <w:t>12.19 Bank reconciliation</w:t>
              <w:tab/>
              <w:t>92</w:t>
            </w:r>
          </w:hyperlink>
        </w:p>
        <w:p>
          <w:pPr>
            <w:pStyle w:val="TOC2"/>
            <w:tabs>
              <w:tab w:val="clear" w:pos="900"/>
              <w:tab w:val="clear" w:pos="9350"/>
              <w:tab w:val="right" w:pos="9025" w:leader="dot"/>
            </w:tabs>
            <w:rPr/>
          </w:pPr>
          <w:hyperlink w:anchor="__RefHeading___Toc21781_17926050">
            <w:r>
              <w:rPr>
                <w:webHidden/>
                <w:rStyle w:val="IndexLink"/>
              </w:rPr>
              <w:t>12.20 Insurer statement reconciliation</w:t>
              <w:tab/>
              <w:t>94</w:t>
            </w:r>
          </w:hyperlink>
        </w:p>
        <w:p>
          <w:pPr>
            <w:pStyle w:val="TOC2"/>
            <w:tabs>
              <w:tab w:val="clear" w:pos="900"/>
              <w:tab w:val="clear" w:pos="9350"/>
              <w:tab w:val="right" w:pos="9025" w:leader="dot"/>
            </w:tabs>
            <w:rPr/>
          </w:pPr>
          <w:hyperlink w:anchor="__RefHeading___Toc21783_17926050">
            <w:r>
              <w:rPr>
                <w:webHidden/>
                <w:rStyle w:val="IndexLink"/>
              </w:rPr>
              <w:t>12.21 Tax: BIR forms and returns</w:t>
              <w:tab/>
              <w:t>94</w:t>
            </w:r>
          </w:hyperlink>
        </w:p>
        <w:p>
          <w:pPr>
            <w:pStyle w:val="TOC2"/>
            <w:tabs>
              <w:tab w:val="clear" w:pos="900"/>
              <w:tab w:val="clear" w:pos="9350"/>
              <w:tab w:val="right" w:pos="9025" w:leader="dot"/>
            </w:tabs>
            <w:rPr/>
          </w:pPr>
          <w:hyperlink w:anchor="__RefHeading___Toc21785_17926050">
            <w:r>
              <w:rPr>
                <w:webHidden/>
                <w:rStyle w:val="IndexLink"/>
              </w:rPr>
              <w:t>12.22 Period end</w:t>
              <w:tab/>
              <w:t>99</w:t>
            </w:r>
          </w:hyperlink>
        </w:p>
        <w:p>
          <w:pPr>
            <w:pStyle w:val="TOC2"/>
            <w:tabs>
              <w:tab w:val="clear" w:pos="900"/>
              <w:tab w:val="clear" w:pos="9350"/>
              <w:tab w:val="right" w:pos="9025" w:leader="dot"/>
            </w:tabs>
            <w:rPr/>
          </w:pPr>
          <w:hyperlink w:anchor="__RefHeading___Toc21787_17926050">
            <w:r>
              <w:rPr>
                <w:webHidden/>
                <w:rStyle w:val="IndexLink"/>
              </w:rPr>
              <w:t>12.23 Accounts payable</w:t>
              <w:tab/>
              <w:t>100</w:t>
            </w:r>
          </w:hyperlink>
        </w:p>
        <w:p>
          <w:pPr>
            <w:pStyle w:val="TOC2"/>
            <w:tabs>
              <w:tab w:val="clear" w:pos="900"/>
              <w:tab w:val="clear" w:pos="9350"/>
              <w:tab w:val="right" w:pos="9025" w:leader="dot"/>
            </w:tabs>
            <w:rPr/>
          </w:pPr>
          <w:hyperlink w:anchor="__RefHeading___Toc21789_17926050">
            <w:r>
              <w:rPr>
                <w:webHidden/>
                <w:rStyle w:val="IndexLink"/>
              </w:rPr>
              <w:t>12.24 Fixed assets and depreciation</w:t>
              <w:tab/>
              <w:t>102</w:t>
            </w:r>
          </w:hyperlink>
        </w:p>
        <w:p>
          <w:pPr>
            <w:pStyle w:val="TOC2"/>
            <w:tabs>
              <w:tab w:val="clear" w:pos="900"/>
              <w:tab w:val="clear" w:pos="9350"/>
              <w:tab w:val="right" w:pos="9025" w:leader="dot"/>
            </w:tabs>
            <w:rPr/>
          </w:pPr>
          <w:hyperlink w:anchor="__RefHeading___Toc21791_17926050">
            <w:r>
              <w:rPr>
                <w:webHidden/>
                <w:rStyle w:val="IndexLink"/>
              </w:rPr>
              <w:t>12.25 Incentives</w:t>
              <w:tab/>
              <w:t>103</w:t>
            </w:r>
          </w:hyperlink>
        </w:p>
        <w:p>
          <w:pPr>
            <w:pStyle w:val="TOC2"/>
            <w:tabs>
              <w:tab w:val="clear" w:pos="900"/>
              <w:tab w:val="clear" w:pos="9350"/>
              <w:tab w:val="right" w:pos="9025" w:leader="dot"/>
            </w:tabs>
            <w:rPr/>
          </w:pPr>
          <w:hyperlink w:anchor="__RefHeading___Toc21793_17926050">
            <w:r>
              <w:rPr>
                <w:webHidden/>
                <w:rStyle w:val="IndexLink"/>
              </w:rPr>
              <w:t>12.26 Finance masters kept by Accounting</w:t>
              <w:tab/>
              <w:t>103</w:t>
            </w:r>
          </w:hyperlink>
        </w:p>
        <w:p>
          <w:pPr>
            <w:pStyle w:val="TOC2"/>
            <w:tabs>
              <w:tab w:val="clear" w:pos="900"/>
              <w:tab w:val="clear" w:pos="9350"/>
              <w:tab w:val="right" w:pos="9025" w:leader="dot"/>
            </w:tabs>
            <w:rPr/>
          </w:pPr>
          <w:hyperlink w:anchor="__RefHeading___Toc21795_17926050">
            <w:r>
              <w:rPr>
                <w:webHidden/>
                <w:rStyle w:val="IndexLink"/>
              </w:rPr>
              <w:t>12.27 Approvals</w:t>
              <w:tab/>
              <w:t>104</w:t>
            </w:r>
          </w:hyperlink>
        </w:p>
        <w:p>
          <w:pPr>
            <w:pStyle w:val="TOC1"/>
            <w:tabs>
              <w:tab w:val="clear" w:pos="900"/>
              <w:tab w:val="clear" w:pos="9350"/>
              <w:tab w:val="right" w:pos="9025" w:leader="dot"/>
            </w:tabs>
            <w:rPr/>
          </w:pPr>
          <w:hyperlink w:anchor="__RefHeading___Toc21797_17926050">
            <w:r>
              <w:rPr>
                <w:webHidden/>
                <w:rStyle w:val="IndexLink"/>
              </w:rPr>
              <w:t>13. Accounting Manager</w:t>
              <w:tab/>
              <w:t>105</w:t>
            </w:r>
          </w:hyperlink>
        </w:p>
        <w:p>
          <w:pPr>
            <w:pStyle w:val="TOC2"/>
            <w:tabs>
              <w:tab w:val="clear" w:pos="900"/>
              <w:tab w:val="clear" w:pos="9350"/>
              <w:tab w:val="right" w:pos="9025" w:leader="dot"/>
            </w:tabs>
            <w:rPr/>
          </w:pPr>
          <w:hyperlink w:anchor="__RefHeading___Toc21799_17926050">
            <w:r>
              <w:rPr>
                <w:webHidden/>
                <w:rStyle w:val="IndexLink"/>
              </w:rPr>
              <w:t>13.1 Role summary</w:t>
              <w:tab/>
              <w:t>105</w:t>
            </w:r>
          </w:hyperlink>
        </w:p>
        <w:p>
          <w:pPr>
            <w:pStyle w:val="TOC2"/>
            <w:tabs>
              <w:tab w:val="clear" w:pos="900"/>
              <w:tab w:val="clear" w:pos="9350"/>
              <w:tab w:val="right" w:pos="9025" w:leader="dot"/>
            </w:tabs>
            <w:rPr/>
          </w:pPr>
          <w:hyperlink w:anchor="__RefHeading___Toc21801_17926050">
            <w:r>
              <w:rPr>
                <w:webHidden/>
                <w:rStyle w:val="IndexLink"/>
              </w:rPr>
              <w:t>13.2 Menus available</w:t>
              <w:tab/>
              <w:t>105</w:t>
            </w:r>
          </w:hyperlink>
        </w:p>
        <w:p>
          <w:pPr>
            <w:pStyle w:val="TOC2"/>
            <w:tabs>
              <w:tab w:val="clear" w:pos="900"/>
              <w:tab w:val="clear" w:pos="9350"/>
              <w:tab w:val="right" w:pos="9025" w:leader="dot"/>
            </w:tabs>
            <w:rPr/>
          </w:pPr>
          <w:hyperlink w:anchor="__RefHeading___Toc21803_17926050">
            <w:r>
              <w:rPr>
                <w:webHidden/>
                <w:rStyle w:val="IndexLink"/>
              </w:rPr>
              <w:t>13.3 Daily and periodic tasks</w:t>
              <w:tab/>
              <w:t>105</w:t>
            </w:r>
          </w:hyperlink>
        </w:p>
        <w:p>
          <w:pPr>
            <w:pStyle w:val="TOC2"/>
            <w:tabs>
              <w:tab w:val="clear" w:pos="900"/>
              <w:tab w:val="clear" w:pos="9350"/>
              <w:tab w:val="right" w:pos="9025" w:leader="dot"/>
            </w:tabs>
            <w:rPr/>
          </w:pPr>
          <w:hyperlink w:anchor="__RefHeading___Toc21805_17926050">
            <w:r>
              <w:rPr>
                <w:webHidden/>
                <w:rStyle w:val="IndexLink"/>
              </w:rPr>
              <w:t>13.4 Approve the month-end close</w:t>
              <w:tab/>
              <w:t>105</w:t>
            </w:r>
          </w:hyperlink>
        </w:p>
        <w:p>
          <w:pPr>
            <w:pStyle w:val="TOC2"/>
            <w:tabs>
              <w:tab w:val="clear" w:pos="900"/>
              <w:tab w:val="clear" w:pos="9350"/>
              <w:tab w:val="right" w:pos="9025" w:leader="dot"/>
            </w:tabs>
            <w:rPr/>
          </w:pPr>
          <w:hyperlink w:anchor="__RefHeading___Toc21807_17926050">
            <w:r>
              <w:rPr>
                <w:webHidden/>
                <w:rStyle w:val="IndexLink"/>
              </w:rPr>
              <w:t>13.5 Period control</w:t>
              <w:tab/>
              <w:t>106</w:t>
            </w:r>
          </w:hyperlink>
        </w:p>
        <w:p>
          <w:pPr>
            <w:pStyle w:val="TOC2"/>
            <w:tabs>
              <w:tab w:val="clear" w:pos="900"/>
              <w:tab w:val="clear" w:pos="9350"/>
              <w:tab w:val="right" w:pos="9025" w:leader="dot"/>
            </w:tabs>
            <w:rPr/>
          </w:pPr>
          <w:hyperlink w:anchor="__RefHeading___Toc21809_17926050">
            <w:r>
              <w:rPr>
                <w:webHidden/>
                <w:rStyle w:val="IndexLink"/>
              </w:rPr>
              <w:t>13.6 Approve a bank reconciliation</w:t>
              <w:tab/>
              <w:t>106</w:t>
            </w:r>
          </w:hyperlink>
        </w:p>
        <w:p>
          <w:pPr>
            <w:pStyle w:val="TOC2"/>
            <w:tabs>
              <w:tab w:val="clear" w:pos="900"/>
              <w:tab w:val="clear" w:pos="9350"/>
              <w:tab w:val="right" w:pos="9025" w:leader="dot"/>
            </w:tabs>
            <w:rPr/>
          </w:pPr>
          <w:hyperlink w:anchor="__RefHeading___Toc21811_17926050">
            <w:r>
              <w:rPr>
                <w:webHidden/>
                <w:rStyle w:val="IndexLink"/>
              </w:rPr>
              <w:t>13.7 Approve an insurer statement reconciliation</w:t>
              <w:tab/>
              <w:t>106</w:t>
            </w:r>
          </w:hyperlink>
        </w:p>
        <w:p>
          <w:pPr>
            <w:pStyle w:val="TOC2"/>
            <w:tabs>
              <w:tab w:val="clear" w:pos="900"/>
              <w:tab w:val="clear" w:pos="9350"/>
              <w:tab w:val="right" w:pos="9025" w:leader="dot"/>
            </w:tabs>
            <w:rPr/>
          </w:pPr>
          <w:hyperlink w:anchor="__RefHeading___Toc21813_17926050">
            <w:r>
              <w:rPr>
                <w:webHidden/>
                <w:rStyle w:val="IndexLink"/>
              </w:rPr>
              <w:t>13.8 Credit control decisions</w:t>
              <w:tab/>
              <w:t>106</w:t>
            </w:r>
          </w:hyperlink>
        </w:p>
        <w:p>
          <w:pPr>
            <w:pStyle w:val="TOC2"/>
            <w:tabs>
              <w:tab w:val="clear" w:pos="900"/>
              <w:tab w:val="clear" w:pos="9350"/>
              <w:tab w:val="right" w:pos="9025" w:leader="dot"/>
            </w:tabs>
            <w:rPr/>
          </w:pPr>
          <w:hyperlink w:anchor="__RefHeading___Toc21815_17926050">
            <w:r>
              <w:rPr>
                <w:webHidden/>
                <w:rStyle w:val="IndexLink"/>
              </w:rPr>
              <w:t>13.9 Year-end close</w:t>
              <w:tab/>
              <w:t>106</w:t>
            </w:r>
          </w:hyperlink>
        </w:p>
        <w:p>
          <w:pPr>
            <w:pStyle w:val="TOC2"/>
            <w:tabs>
              <w:tab w:val="clear" w:pos="900"/>
              <w:tab w:val="clear" w:pos="9350"/>
              <w:tab w:val="right" w:pos="9025" w:leader="dot"/>
            </w:tabs>
            <w:rPr/>
          </w:pPr>
          <w:hyperlink w:anchor="__RefHeading___Toc21817_17926050">
            <w:r>
              <w:rPr>
                <w:webHidden/>
                <w:rStyle w:val="IndexLink"/>
              </w:rPr>
              <w:t>13.10 Posting configuration: Configuration Approvals, Posting Rules, Account Determination</w:t>
              <w:tab/>
              <w:t>107</w:t>
            </w:r>
          </w:hyperlink>
        </w:p>
        <w:p>
          <w:pPr>
            <w:pStyle w:val="TOC2"/>
            <w:tabs>
              <w:tab w:val="clear" w:pos="900"/>
              <w:tab w:val="clear" w:pos="9350"/>
              <w:tab w:val="right" w:pos="9025" w:leader="dot"/>
            </w:tabs>
            <w:rPr/>
          </w:pPr>
          <w:hyperlink w:anchor="__RefHeading___Toc21819_17926050">
            <w:r>
              <w:rPr>
                <w:webHidden/>
                <w:rStyle w:val="IndexLink"/>
              </w:rPr>
              <w:t>13.11 Commission Rate Matrix</w:t>
              <w:tab/>
              <w:t>107</w:t>
            </w:r>
          </w:hyperlink>
        </w:p>
        <w:p>
          <w:pPr>
            <w:pStyle w:val="TOC2"/>
            <w:tabs>
              <w:tab w:val="clear" w:pos="900"/>
              <w:tab w:val="clear" w:pos="9350"/>
              <w:tab w:val="right" w:pos="9025" w:leader="dot"/>
            </w:tabs>
            <w:rPr/>
          </w:pPr>
          <w:hyperlink w:anchor="__RefHeading___Toc21821_17926050">
            <w:r>
              <w:rPr>
                <w:webHidden/>
                <w:rStyle w:val="IndexLink"/>
              </w:rPr>
              <w:t>13.12 Approve supplier invoices</w:t>
              <w:tab/>
              <w:t>108</w:t>
            </w:r>
          </w:hyperlink>
        </w:p>
        <w:p>
          <w:pPr>
            <w:pStyle w:val="TOC2"/>
            <w:tabs>
              <w:tab w:val="clear" w:pos="900"/>
              <w:tab w:val="clear" w:pos="9350"/>
              <w:tab w:val="right" w:pos="9025" w:leader="dot"/>
            </w:tabs>
            <w:rPr/>
          </w:pPr>
          <w:hyperlink w:anchor="__RefHeading___Toc21823_17926050">
            <w:r>
              <w:rPr>
                <w:webHidden/>
                <w:rStyle w:val="IndexLink"/>
              </w:rPr>
              <w:t>13.13 Approvals summary</w:t>
              <w:tab/>
              <w:t>108</w:t>
            </w:r>
          </w:hyperlink>
        </w:p>
        <w:p>
          <w:pPr>
            <w:pStyle w:val="TOC1"/>
            <w:tabs>
              <w:tab w:val="clear" w:pos="900"/>
              <w:tab w:val="clear" w:pos="9350"/>
              <w:tab w:val="right" w:pos="9025" w:leader="dot"/>
            </w:tabs>
            <w:rPr/>
          </w:pPr>
          <w:hyperlink w:anchor="__RefHeading___Toc21825_17926050">
            <w:r>
              <w:rPr>
                <w:webHidden/>
                <w:rStyle w:val="IndexLink"/>
              </w:rPr>
              <w:t>14. Distribution, programmes and products</w:t>
              <w:tab/>
              <w:t>109</w:t>
            </w:r>
          </w:hyperlink>
        </w:p>
        <w:p>
          <w:pPr>
            <w:pStyle w:val="TOC2"/>
            <w:tabs>
              <w:tab w:val="clear" w:pos="900"/>
              <w:tab w:val="clear" w:pos="9350"/>
              <w:tab w:val="right" w:pos="9025" w:leader="dot"/>
            </w:tabs>
            <w:rPr/>
          </w:pPr>
          <w:hyperlink w:anchor="__RefHeading___Toc21827_17926050">
            <w:r>
              <w:rPr>
                <w:webHidden/>
                <w:rStyle w:val="IndexLink"/>
              </w:rPr>
              <w:t>14.1 Lead Assignment</w:t>
              <w:tab/>
              <w:t>109</w:t>
            </w:r>
          </w:hyperlink>
        </w:p>
        <w:p>
          <w:pPr>
            <w:pStyle w:val="TOC2"/>
            <w:tabs>
              <w:tab w:val="clear" w:pos="900"/>
              <w:tab w:val="clear" w:pos="9350"/>
              <w:tab w:val="right" w:pos="9025" w:leader="dot"/>
            </w:tabs>
            <w:rPr/>
          </w:pPr>
          <w:hyperlink w:anchor="__RefHeading___Toc21829_17926050">
            <w:r>
              <w:rPr>
                <w:webHidden/>
                <w:rStyle w:val="IndexLink"/>
              </w:rPr>
              <w:t>14.2 Distribution Channels</w:t>
              <w:tab/>
              <w:t>110</w:t>
            </w:r>
          </w:hyperlink>
        </w:p>
        <w:p>
          <w:pPr>
            <w:pStyle w:val="TOC2"/>
            <w:tabs>
              <w:tab w:val="clear" w:pos="900"/>
              <w:tab w:val="clear" w:pos="9350"/>
              <w:tab w:val="right" w:pos="9025" w:leader="dot"/>
            </w:tabs>
            <w:rPr/>
          </w:pPr>
          <w:hyperlink w:anchor="__RefHeading___Toc21831_17926050">
            <w:r>
              <w:rPr>
                <w:webHidden/>
                <w:rStyle w:val="IndexLink"/>
              </w:rPr>
              <w:t>14.3 Dealer Programmes</w:t>
              <w:tab/>
              <w:t>111</w:t>
            </w:r>
          </w:hyperlink>
        </w:p>
        <w:p>
          <w:pPr>
            <w:pStyle w:val="TOC2"/>
            <w:tabs>
              <w:tab w:val="clear" w:pos="900"/>
              <w:tab w:val="clear" w:pos="9350"/>
              <w:tab w:val="right" w:pos="9025" w:leader="dot"/>
            </w:tabs>
            <w:rPr/>
          </w:pPr>
          <w:hyperlink w:anchor="__RefHeading___Toc21833_17926050">
            <w:r>
              <w:rPr>
                <w:webHidden/>
                <w:rStyle w:val="IndexLink"/>
              </w:rPr>
              <w:t>14.4 Fleet Schedules</w:t>
              <w:tab/>
              <w:t>112</w:t>
            </w:r>
          </w:hyperlink>
        </w:p>
        <w:p>
          <w:pPr>
            <w:pStyle w:val="TOC2"/>
            <w:tabs>
              <w:tab w:val="clear" w:pos="900"/>
              <w:tab w:val="clear" w:pos="9350"/>
              <w:tab w:val="right" w:pos="9025" w:leader="dot"/>
            </w:tabs>
            <w:rPr/>
          </w:pPr>
          <w:hyperlink w:anchor="__RefHeading___Toc21835_17926050">
            <w:r>
              <w:rPr>
                <w:webHidden/>
                <w:rStyle w:val="IndexLink"/>
              </w:rPr>
              <w:t>14.5 Marine Open Covers</w:t>
              <w:tab/>
              <w:t>113</w:t>
            </w:r>
          </w:hyperlink>
        </w:p>
        <w:p>
          <w:pPr>
            <w:pStyle w:val="TOC2"/>
            <w:tabs>
              <w:tab w:val="clear" w:pos="900"/>
              <w:tab w:val="clear" w:pos="9350"/>
              <w:tab w:val="right" w:pos="9025" w:leader="dot"/>
            </w:tabs>
            <w:rPr/>
          </w:pPr>
          <w:hyperlink w:anchor="__RefHeading___Toc21837_17926050">
            <w:r>
              <w:rPr>
                <w:webHidden/>
                <w:rStyle w:val="IndexLink"/>
              </w:rPr>
              <w:t>14.6 Comparison Reports</w:t>
              <w:tab/>
              <w:t>114</w:t>
            </w:r>
          </w:hyperlink>
        </w:p>
        <w:p>
          <w:pPr>
            <w:pStyle w:val="TOC2"/>
            <w:tabs>
              <w:tab w:val="clear" w:pos="900"/>
              <w:tab w:val="clear" w:pos="9350"/>
              <w:tab w:val="right" w:pos="9025" w:leader="dot"/>
            </w:tabs>
            <w:rPr/>
          </w:pPr>
          <w:hyperlink w:anchor="__RefHeading___Toc21839_17926050">
            <w:r>
              <w:rPr>
                <w:webHidden/>
                <w:rStyle w:val="IndexLink"/>
              </w:rPr>
              <w:t>14.7 Campaigns</w:t>
              <w:tab/>
              <w:t>114</w:t>
            </w:r>
          </w:hyperlink>
        </w:p>
        <w:p>
          <w:pPr>
            <w:pStyle w:val="TOC2"/>
            <w:tabs>
              <w:tab w:val="clear" w:pos="900"/>
              <w:tab w:val="clear" w:pos="9350"/>
              <w:tab w:val="right" w:pos="9025" w:leader="dot"/>
            </w:tabs>
            <w:rPr/>
          </w:pPr>
          <w:hyperlink w:anchor="__RefHeading___Toc21841_17926050">
            <w:r>
              <w:rPr>
                <w:webHidden/>
                <w:rStyle w:val="IndexLink"/>
              </w:rPr>
              <w:t>14.8 Report Builder</w:t>
              <w:tab/>
              <w:t>115</w:t>
            </w:r>
          </w:hyperlink>
        </w:p>
        <w:p>
          <w:pPr>
            <w:pStyle w:val="TOC1"/>
            <w:tabs>
              <w:tab w:val="clear" w:pos="900"/>
              <w:tab w:val="clear" w:pos="9350"/>
              <w:tab w:val="right" w:pos="9025" w:leader="dot"/>
            </w:tabs>
            <w:rPr/>
          </w:pPr>
          <w:hyperlink w:anchor="__RefHeading___Toc21843_17926050">
            <w:r>
              <w:rPr>
                <w:webHidden/>
                <w:rStyle w:val="IndexLink"/>
              </w:rPr>
              <w:t>15. Module reference</w:t>
              <w:tab/>
              <w:t>117</w:t>
            </w:r>
          </w:hyperlink>
        </w:p>
        <w:p>
          <w:pPr>
            <w:pStyle w:val="TOC2"/>
            <w:tabs>
              <w:tab w:val="clear" w:pos="900"/>
              <w:tab w:val="clear" w:pos="9350"/>
              <w:tab w:val="right" w:pos="9025" w:leader="dot"/>
            </w:tabs>
            <w:rPr/>
          </w:pPr>
          <w:hyperlink w:anchor="__RefHeading___Toc21845_17926050">
            <w:r>
              <w:rPr>
                <w:webHidden/>
                <w:rStyle w:val="IndexLink"/>
              </w:rPr>
              <w:t>15.1 Dashboard</w:t>
              <w:tab/>
              <w:t>117</w:t>
            </w:r>
          </w:hyperlink>
        </w:p>
        <w:p>
          <w:pPr>
            <w:pStyle w:val="TOC2"/>
            <w:tabs>
              <w:tab w:val="clear" w:pos="900"/>
              <w:tab w:val="clear" w:pos="9350"/>
              <w:tab w:val="right" w:pos="9025" w:leader="dot"/>
            </w:tabs>
            <w:rPr/>
          </w:pPr>
          <w:hyperlink w:anchor="__RefHeading___Toc21847_17926050">
            <w:r>
              <w:rPr>
                <w:webHidden/>
                <w:rStyle w:val="IndexLink"/>
              </w:rPr>
              <w:t>15.2 Operations</w:t>
              <w:tab/>
              <w:t>117</w:t>
            </w:r>
          </w:hyperlink>
        </w:p>
        <w:p>
          <w:pPr>
            <w:pStyle w:val="TOC2"/>
            <w:tabs>
              <w:tab w:val="clear" w:pos="900"/>
              <w:tab w:val="clear" w:pos="9350"/>
              <w:tab w:val="right" w:pos="9025" w:leader="dot"/>
            </w:tabs>
            <w:rPr/>
          </w:pPr>
          <w:hyperlink w:anchor="__RefHeading___Toc21849_17926050">
            <w:r>
              <w:rPr>
                <w:webHidden/>
                <w:rStyle w:val="IndexLink"/>
              </w:rPr>
              <w:t>15.3 Accounts</w:t>
              <w:tab/>
              <w:t>121</w:t>
            </w:r>
          </w:hyperlink>
        </w:p>
        <w:p>
          <w:pPr>
            <w:pStyle w:val="TOC2"/>
            <w:tabs>
              <w:tab w:val="clear" w:pos="900"/>
              <w:tab w:val="clear" w:pos="9350"/>
              <w:tab w:val="right" w:pos="9025" w:leader="dot"/>
            </w:tabs>
            <w:rPr/>
          </w:pPr>
          <w:hyperlink w:anchor="__RefHeading___Toc21851_17926050">
            <w:r>
              <w:rPr>
                <w:webHidden/>
                <w:rStyle w:val="IndexLink"/>
              </w:rPr>
              <w:t>15.4 Commission</w:t>
              <w:tab/>
              <w:t>124</w:t>
            </w:r>
          </w:hyperlink>
        </w:p>
        <w:p>
          <w:pPr>
            <w:pStyle w:val="TOC2"/>
            <w:tabs>
              <w:tab w:val="clear" w:pos="900"/>
              <w:tab w:val="clear" w:pos="9350"/>
              <w:tab w:val="right" w:pos="9025" w:leader="dot"/>
            </w:tabs>
            <w:rPr/>
          </w:pPr>
          <w:hyperlink w:anchor="__RefHeading___Toc21853_17926050">
            <w:r>
              <w:rPr>
                <w:webHidden/>
                <w:rStyle w:val="IndexLink"/>
              </w:rPr>
              <w:t>15.5 Reports</w:t>
              <w:tab/>
              <w:t>124</w:t>
            </w:r>
          </w:hyperlink>
        </w:p>
        <w:p>
          <w:pPr>
            <w:pStyle w:val="TOC2"/>
            <w:tabs>
              <w:tab w:val="clear" w:pos="900"/>
              <w:tab w:val="clear" w:pos="9350"/>
              <w:tab w:val="right" w:pos="9025" w:leader="dot"/>
            </w:tabs>
            <w:rPr/>
          </w:pPr>
          <w:hyperlink w:anchor="__RefHeading___Toc21855_17926050">
            <w:r>
              <w:rPr>
                <w:webHidden/>
                <w:rStyle w:val="IndexLink"/>
              </w:rPr>
              <w:t>15.6 Master</w:t>
              <w:tab/>
              <w:t>124</w:t>
            </w:r>
          </w:hyperlink>
        </w:p>
        <w:p>
          <w:pPr>
            <w:pStyle w:val="TOC2"/>
            <w:tabs>
              <w:tab w:val="clear" w:pos="900"/>
              <w:tab w:val="clear" w:pos="9350"/>
              <w:tab w:val="right" w:pos="9025" w:leader="dot"/>
            </w:tabs>
            <w:rPr/>
          </w:pPr>
          <w:hyperlink w:anchor="__RefHeading___Toc21857_17926050">
            <w:r>
              <w:rPr>
                <w:webHidden/>
                <w:rStyle w:val="IndexLink"/>
              </w:rPr>
              <w:t>15.7 Product Configurator</w:t>
              <w:tab/>
              <w:t>127</w:t>
            </w:r>
          </w:hyperlink>
        </w:p>
        <w:p>
          <w:pPr>
            <w:pStyle w:val="TOC2"/>
            <w:tabs>
              <w:tab w:val="clear" w:pos="900"/>
              <w:tab w:val="clear" w:pos="9350"/>
              <w:tab w:val="right" w:pos="9025" w:leader="dot"/>
            </w:tabs>
            <w:rPr/>
          </w:pPr>
          <w:hyperlink w:anchor="__RefHeading___Toc21859_17926050">
            <w:r>
              <w:rPr>
                <w:webHidden/>
                <w:rStyle w:val="IndexLink"/>
              </w:rPr>
              <w:t>15.8 Number series</w:t>
              <w:tab/>
              <w:t>127</w:t>
            </w:r>
          </w:hyperlink>
        </w:p>
        <w:p>
          <w:pPr>
            <w:pStyle w:val="TOC1"/>
            <w:tabs>
              <w:tab w:val="clear" w:pos="900"/>
              <w:tab w:val="clear" w:pos="9350"/>
              <w:tab w:val="right" w:pos="9025" w:leader="dot"/>
            </w:tabs>
            <w:rPr/>
          </w:pPr>
          <w:hyperlink w:anchor="__RefHeading___Toc21861_17926050">
            <w:r>
              <w:rPr>
                <w:webHidden/>
                <w:rStyle w:val="IndexLink"/>
              </w:rPr>
              <w:t>16. Reports, dashboards, schedules and notifications</w:t>
              <w:tab/>
              <w:t>129</w:t>
            </w:r>
          </w:hyperlink>
        </w:p>
        <w:p>
          <w:pPr>
            <w:pStyle w:val="TOC2"/>
            <w:tabs>
              <w:tab w:val="clear" w:pos="900"/>
              <w:tab w:val="clear" w:pos="9350"/>
              <w:tab w:val="right" w:pos="9025" w:leader="dot"/>
            </w:tabs>
            <w:rPr/>
          </w:pPr>
          <w:hyperlink w:anchor="__RefHeading___Toc21863_17926050">
            <w:r>
              <w:rPr>
                <w:webHidden/>
                <w:rStyle w:val="IndexLink"/>
              </w:rPr>
              <w:t>16.1 Reports</w:t>
              <w:tab/>
              <w:t>129</w:t>
            </w:r>
          </w:hyperlink>
        </w:p>
        <w:p>
          <w:pPr>
            <w:pStyle w:val="TOC2"/>
            <w:tabs>
              <w:tab w:val="clear" w:pos="900"/>
              <w:tab w:val="clear" w:pos="9350"/>
              <w:tab w:val="right" w:pos="9025" w:leader="dot"/>
            </w:tabs>
            <w:rPr/>
          </w:pPr>
          <w:hyperlink w:anchor="__RefHeading___Toc21865_17926050">
            <w:r>
              <w:rPr>
                <w:webHidden/>
                <w:rStyle w:val="IndexLink"/>
              </w:rPr>
              <w:t>16.2 Dashboards</w:t>
              <w:tab/>
              <w:t>129</w:t>
            </w:r>
          </w:hyperlink>
        </w:p>
        <w:p>
          <w:pPr>
            <w:pStyle w:val="TOC2"/>
            <w:tabs>
              <w:tab w:val="clear" w:pos="900"/>
              <w:tab w:val="clear" w:pos="9350"/>
              <w:tab w:val="right" w:pos="9025" w:leader="dot"/>
            </w:tabs>
            <w:rPr/>
          </w:pPr>
          <w:hyperlink w:anchor="__RefHeading___Toc21867_17926050">
            <w:r>
              <w:rPr>
                <w:webHidden/>
                <w:rStyle w:val="IndexLink"/>
              </w:rPr>
              <w:t>16.3 Schedules</w:t>
              <w:tab/>
              <w:t>130</w:t>
            </w:r>
          </w:hyperlink>
        </w:p>
        <w:p>
          <w:pPr>
            <w:pStyle w:val="TOC2"/>
            <w:tabs>
              <w:tab w:val="clear" w:pos="900"/>
              <w:tab w:val="clear" w:pos="9350"/>
              <w:tab w:val="right" w:pos="9025" w:leader="dot"/>
            </w:tabs>
            <w:rPr/>
          </w:pPr>
          <w:hyperlink w:anchor="__RefHeading___Toc21869_17926050">
            <w:r>
              <w:rPr>
                <w:webHidden/>
                <w:rStyle w:val="IndexLink"/>
              </w:rPr>
              <w:t>16.4 Notifications and e-mails</w:t>
              <w:tab/>
              <w:t>130</w:t>
            </w:r>
          </w:hyperlink>
        </w:p>
        <w:p>
          <w:pPr>
            <w:pStyle w:val="TOC1"/>
            <w:tabs>
              <w:tab w:val="clear" w:pos="900"/>
              <w:tab w:val="clear" w:pos="9350"/>
              <w:tab w:val="right" w:pos="9025" w:leader="dot"/>
            </w:tabs>
            <w:rPr/>
          </w:pPr>
          <w:hyperlink w:anchor="__RefHeading___Toc21871_17926050">
            <w:r>
              <w:rPr>
                <w:webHidden/>
                <w:rStyle w:val="IndexLink"/>
              </w:rPr>
              <w:t>17. Troubleshooting, FAQ and glossary</w:t>
              <w:tab/>
              <w:t>132</w:t>
            </w:r>
          </w:hyperlink>
        </w:p>
        <w:p>
          <w:pPr>
            <w:pStyle w:val="TOC2"/>
            <w:tabs>
              <w:tab w:val="clear" w:pos="900"/>
              <w:tab w:val="clear" w:pos="9350"/>
              <w:tab w:val="right" w:pos="9025" w:leader="dot"/>
            </w:tabs>
            <w:rPr/>
          </w:pPr>
          <w:hyperlink w:anchor="__RefHeading___Toc21873_17926050">
            <w:r>
              <w:rPr>
                <w:webHidden/>
                <w:rStyle w:val="IndexLink"/>
              </w:rPr>
              <w:t>17.1 Common messages and what to do</w:t>
              <w:tab/>
              <w:t>132</w:t>
            </w:r>
          </w:hyperlink>
        </w:p>
        <w:p>
          <w:pPr>
            <w:pStyle w:val="TOC2"/>
            <w:tabs>
              <w:tab w:val="clear" w:pos="900"/>
              <w:tab w:val="clear" w:pos="9350"/>
              <w:tab w:val="right" w:pos="9025" w:leader="dot"/>
            </w:tabs>
            <w:rPr/>
          </w:pPr>
          <w:hyperlink w:anchor="__RefHeading___Toc21875_17926050">
            <w:r>
              <w:rPr>
                <w:webHidden/>
                <w:rStyle w:val="IndexLink"/>
              </w:rPr>
              <w:t>17.2 Frequently asked questions</w:t>
              <w:tab/>
              <w:t>133</w:t>
            </w:r>
          </w:hyperlink>
        </w:p>
        <w:p>
          <w:pPr>
            <w:pStyle w:val="TOC2"/>
            <w:tabs>
              <w:tab w:val="clear" w:pos="900"/>
              <w:tab w:val="clear" w:pos="9350"/>
              <w:tab w:val="right" w:pos="9025" w:leader="dot"/>
            </w:tabs>
            <w:rPr/>
          </w:pPr>
          <w:hyperlink w:anchor="__RefHeading___Toc21877_17926050">
            <w:r>
              <w:rPr>
                <w:webHidden/>
                <w:rStyle w:val="IndexLink"/>
              </w:rPr>
              <w:t>17.3 Glossary</w:t>
              <w:tab/>
              <w:t>134</w:t>
            </w:r>
          </w:hyperlink>
        </w:p>
        <w:p>
          <w:pPr>
            <w:pStyle w:val="TOC1"/>
            <w:tabs>
              <w:tab w:val="clear" w:pos="900"/>
              <w:tab w:val="clear" w:pos="9350"/>
              <w:tab w:val="right" w:pos="9025" w:leader="dot"/>
            </w:tabs>
            <w:rPr/>
          </w:pPr>
          <w:hyperlink w:anchor="__RefHeading___Toc21879_17926050">
            <w:r>
              <w:rPr>
                <w:webHidden/>
                <w:rStyle w:val="IndexLink"/>
                <w:i w:val="false"/>
                <w:iCs w:val="false"/>
              </w:rPr>
              <w:t>18. Document Sign-Off</w:t>
            </w:r>
            <w:r>
              <w:rPr>
                <w:rStyle w:val="IndexLink"/>
              </w:rPr>
              <w:tab/>
              <w:t>136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1525_17926050"/>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09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1.2.4</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1.2.4 (09 October 2026): Reinsurance and the Compliance menu withdrawn (AML/CFT programme, Insurance Commission registers, complaints and breach registers, the Compliance Officer role); client onboarding keeps the identification, signatories, beneficial owners and KYC documents. Version 1.2.3 (04 October 2026): Home is the role-aware landing page built on My Work (presets per role, role figures, the new My Work categories of the compliance officer, accounting manager and system administrator); the Home dashboard and Open Items sections withdrawn. Version 1.2.2: Client brand packs: basis is the client's contract with iorta TechNXT (management decision of 04 October 2026). Version 1.2.1: release figures aligned (eight roles on the Role screen). Version 1.2 (release 1.1): Theme and Branding, the menus of every persona as delivered, My Work, the Compliance Officer with the Insurance Commission registers, the complaints register and the breach register, the operational masters, Help panel sections for every screen, screenshots recaptured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1527_17926050"/>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WCAG</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Content Accessibility Guidelines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1529_17926050"/>
      <w:bookmarkEnd w:id="6"/>
      <w:r>
        <w:rPr>
          <w:rFonts w:eastAsia="Segoe UI" w:cs="Segoe UI" w:ascii="Segoe UI" w:hAnsi="Segoe UI"/>
          <w:b/>
          <w:color w:val="0F4761"/>
          <w:sz w:val="32"/>
        </w:rPr>
        <w:t>3.  About this manual</w:t>
      </w:r>
    </w:p>
    <w:p>
      <w:pPr>
        <w:pStyle w:val="Heading2"/>
        <w:rPr/>
      </w:pPr>
      <w:bookmarkStart w:id="7" w:name="__RefHeading___Toc21531_17926050"/>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21533_17926050"/>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notifications, My Profile and account security,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configuration and migration workbooks the System Administrator loads before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distribution channels, dealer programmes, fleet schedules, marine open covers, comparison reports, campaigns and the Report Builder: screens shared by Sales, Processing and Operations.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21535_17926050"/>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and 04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21537_17926050"/>
      <w:bookmarkEnd w:id="10"/>
      <w:r>
        <w:rPr>
          <w:rFonts w:eastAsia="Segoe UI" w:cs="Segoe UI" w:ascii="Segoe UI" w:hAnsi="Segoe UI"/>
          <w:b/>
          <w:color w:val="0F4761"/>
          <w:sz w:val="32"/>
        </w:rPr>
        <w:t>4.  Getting started</w:t>
      </w:r>
    </w:p>
    <w:p>
      <w:pPr>
        <w:pStyle w:val="Heading2"/>
        <w:rPr/>
      </w:pPr>
      <w:bookmarkStart w:id="11" w:name="__RefHeading___Toc21539_17926050"/>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shd w:val="clear" w:color="auto" w:fill="EAF2FB"/>
        <w:spacing w:before="0" w:after="160"/>
        <w:ind w:left="170"/>
        <w:rPr/>
      </w:pPr>
      <w:r>
        <w:rPr>
          <w:rFonts w:eastAsia="Segoe UI" w:cs="Segoe UI" w:ascii="Segoe UI" w:hAnsi="Segoe UI"/>
          <w:color w:val="101820"/>
          <w:sz w:val="20"/>
        </w:rPr>
        <w:t>[Screen image not available: The sign-in page]</w:t>
      </w:r>
    </w:p>
    <w:p>
      <w:pPr>
        <w:pStyle w:val="Normal"/>
        <w:numPr>
          <w:ilvl w:val="0"/>
          <w:numId w:val="102"/>
        </w:numPr>
        <w:spacing w:before="0" w:after="60"/>
        <w:rPr/>
      </w:pPr>
      <w:r>
        <w:rPr>
          <w:rFonts w:eastAsia="Segoe UI" w:cs="Segoe UI" w:ascii="Segoe UI" w:hAnsi="Segoe UI"/>
          <w:color w:val="101820"/>
          <w:sz w:val="21"/>
        </w:rPr>
        <w:t>Open the BrokerVerse address given by your System Administrator in Chrome, Edge or Firefox. The sign-in page shows an illustration on the left and the sign-in panel on the right, with the logo and name set on Master &gt; System Settings.</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Sign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language box appears at the top of the panel only when more than one screen language is offered. The delivered system offers English, so there is no language box.</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 in the same panel: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Set up 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your session ended while you were away (your password was changed, your account was updated or you signed in elsewhere), the sign-in page says so above </w:t>
      </w:r>
      <w:r>
        <w:rPr>
          <w:rFonts w:eastAsia="Segoe UI" w:cs="Segoe UI" w:ascii="Segoe UI" w:hAnsi="Segoe UI"/>
          <w:b/>
          <w:color w:val="101820"/>
          <w:sz w:val="21"/>
        </w:rPr>
        <w:t>User ID</w:t>
      </w:r>
      <w:r>
        <w:rPr>
          <w:rFonts w:eastAsia="Segoe UI" w:cs="Segoe UI" w:ascii="Segoe UI" w:hAnsi="Segoe UI"/>
          <w:color w:val="101820"/>
          <w:sz w:val="21"/>
        </w:rPr>
        <w:t>: sign in again.</w:t>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 The last rule is checked by the server when you save.</w:t>
      </w:r>
    </w:p>
    <w:p>
      <w:pPr>
        <w:pStyle w:val="Heading3"/>
        <w:rPr/>
      </w:pPr>
      <w:r>
        <w:rPr>
          <w:rFonts w:eastAsia="Segoe UI" w:cs="Segoe UI"/>
          <w:b/>
          <w:color w:val="0F4761"/>
          <w:sz w:val="23"/>
        </w:rPr>
        <w:t>4.1.2  Change your password at sign-in</w:t>
      </w:r>
    </w:p>
    <w:p>
      <w:pPr>
        <w:pStyle w:val="Normal"/>
        <w:spacing w:lineRule="auto" w:line="276" w:before="0" w:after="120"/>
        <w:rPr/>
      </w:pPr>
      <w:r>
        <w:rPr>
          <w:rFonts w:eastAsia="Segoe UI" w:cs="Segoe UI" w:ascii="Segoe UI" w:hAnsi="Segoe UI"/>
          <w:color w:val="101820"/>
          <w:sz w:val="21"/>
        </w:rPr>
        <w:t xml:space="preserve">When BrokerVerse asks for a new password after the password step, the panel shows </w:t>
      </w:r>
      <w:r>
        <w:rPr>
          <w:rFonts w:eastAsia="Segoe UI" w:cs="Segoe UI" w:ascii="Segoe UI" w:hAnsi="Segoe UI"/>
          <w:b/>
          <w:color w:val="101820"/>
          <w:sz w:val="21"/>
        </w:rPr>
        <w:t>Change password</w:t>
      </w:r>
      <w:r>
        <w:rPr>
          <w:rFonts w:eastAsia="Segoe UI" w:cs="Segoe UI" w:ascii="Segoe UI" w:hAnsi="Segoe UI"/>
          <w:color w:val="101820"/>
          <w:sz w:val="21"/>
        </w:rPr>
        <w:t xml:space="preserve"> with the reason under the title: </w:t>
      </w:r>
      <w:r>
        <w:rPr>
          <w:rFonts w:eastAsia="Segoe UI" w:cs="Segoe UI" w:ascii="Segoe UI" w:hAnsi="Segoe UI"/>
          <w:b/>
          <w:color w:val="101820"/>
          <w:sz w:val="21"/>
        </w:rPr>
        <w:t>You must choose a new password before you continue.</w:t>
      </w:r>
      <w:r>
        <w:rPr>
          <w:rFonts w:eastAsia="Segoe UI" w:cs="Segoe UI" w:ascii="Segoe UI" w:hAnsi="Segoe UI"/>
          <w:color w:val="101820"/>
          <w:sz w:val="21"/>
        </w:rPr>
        <w:t xml:space="preserve"> or, for an expired password, </w:t>
      </w:r>
      <w:r>
        <w:rPr>
          <w:rFonts w:eastAsia="Segoe UI" w:cs="Segoe UI" w:ascii="Segoe UI" w:hAnsi="Segoe UI"/>
          <w:b/>
          <w:color w:val="101820"/>
          <w:sz w:val="21"/>
        </w:rPr>
        <w:t>Your password has expired. Choose a new one to continue.</w:t>
      </w:r>
    </w:p>
    <w:p>
      <w:pPr>
        <w:pStyle w:val="Normal"/>
        <w:shd w:val="clear" w:color="auto" w:fill="EAF2FB"/>
        <w:spacing w:before="0" w:after="160"/>
        <w:ind w:left="170"/>
        <w:rPr/>
      </w:pPr>
      <w:r>
        <w:rPr>
          <w:rFonts w:eastAsia="Segoe UI" w:cs="Segoe UI" w:ascii="Segoe UI" w:hAnsi="Segoe UI"/>
          <w:color w:val="101820"/>
          <w:sz w:val="20"/>
        </w:rPr>
        <w:t>[Screen image not available: Change password at sign-in, with the rules ticked as the new password meets them]</w:t>
      </w:r>
    </w:p>
    <w:p>
      <w:pPr>
        <w:pStyle w:val="Normal"/>
        <w:numPr>
          <w:ilvl w:val="0"/>
          <w:numId w:val="10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10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10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1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Back to sign in</w:t>
      </w:r>
      <w:r>
        <w:rPr>
          <w:rFonts w:eastAsia="Segoe UI" w:cs="Segoe UI" w:ascii="Segoe UI" w:hAnsi="Segoe UI"/>
          <w:color w:val="101820"/>
          <w:sz w:val="21"/>
        </w:rPr>
        <w:t xml:space="preserve"> returns to the sign-in panel without a change.</w:t>
      </w:r>
    </w:p>
    <w:p>
      <w:pPr>
        <w:pStyle w:val="Normal"/>
        <w:spacing w:lineRule="auto" w:line="276" w:before="0" w:after="120"/>
        <w:rPr/>
      </w:pPr>
      <w:r>
        <w:rPr>
          <w:rFonts w:eastAsia="Segoe UI" w:cs="Segoe UI" w:ascii="Segoe UI" w:hAnsi="Segoe UI"/>
          <w:color w:val="101820"/>
          <w:sz w:val="21"/>
        </w:rPr>
        <w:t>To change your password at any other time, see My Profile and account security below.</w:t>
      </w:r>
    </w:p>
    <w:p>
      <w:pPr>
        <w:pStyle w:val="Heading3"/>
        <w:rPr/>
      </w:pPr>
      <w:r>
        <w:rPr>
          <w:rFonts w:eastAsia="Segoe UI" w:cs="Segoe UI"/>
          <w:b/>
          <w:color w:val="0F4761"/>
          <w:sz w:val="23"/>
        </w:rPr>
        <w:t>4.1.3  Forgotten password</w:t>
      </w:r>
    </w:p>
    <w:p>
      <w:pPr>
        <w:pStyle w:val="Normal"/>
        <w:numPr>
          <w:ilvl w:val="0"/>
          <w:numId w:val="107"/>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 xml:space="preserve"> on the line of the </w:t>
      </w:r>
      <w:r>
        <w:rPr>
          <w:rFonts w:eastAsia="Segoe UI" w:cs="Segoe UI" w:ascii="Segoe UI" w:hAnsi="Segoe UI"/>
          <w:b/>
          <w:color w:val="101820"/>
          <w:sz w:val="21"/>
        </w:rPr>
        <w:t>Password</w:t>
      </w:r>
      <w:r>
        <w:rPr>
          <w:rFonts w:eastAsia="Segoe UI" w:cs="Segoe UI" w:ascii="Segoe UI" w:hAnsi="Segoe UI"/>
          <w:color w:val="101820"/>
          <w:sz w:val="21"/>
        </w:rPr>
        <w:t xml:space="preserve"> label.</w:t>
      </w:r>
    </w:p>
    <w:p>
      <w:pPr>
        <w:pStyle w:val="Normal"/>
        <w:numPr>
          <w:ilvl w:val="0"/>
          <w:numId w:val="108"/>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109"/>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Enter the verification code</w:t>
      </w:r>
      <w:r>
        <w:rPr>
          <w:rFonts w:eastAsia="Segoe UI" w:cs="Segoe UI" w:ascii="Segoe UI" w:hAnsi="Segoe UI"/>
          <w:color w:val="101820"/>
          <w:sz w:val="21"/>
        </w:rPr>
        <w:t xml:space="preserve">, type the code in </w:t>
      </w:r>
      <w:r>
        <w:rPr>
          <w:rFonts w:eastAsia="Segoe UI" w:cs="Segoe UI" w:ascii="Segoe UI" w:hAnsi="Segoe UI"/>
          <w:b/>
          <w:color w:val="101820"/>
          <w:sz w:val="21"/>
        </w:rPr>
        <w:t>Verification code (from the e-mail)</w:t>
      </w:r>
      <w:r>
        <w:rPr>
          <w:rFonts w:eastAsia="Segoe UI" w:cs="Segoe UI" w:ascii="Segoe UI" w:hAnsi="Segoe UI"/>
          <w:color w:val="101820"/>
          <w:sz w:val="21"/>
        </w:rPr>
        <w:t xml:space="preserve">, then the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Reset password</w:t>
      </w:r>
      <w:r>
        <w:rPr>
          <w:rFonts w:eastAsia="Segoe UI" w:cs="Segoe UI" w:ascii="Segoe UI" w:hAnsi="Segoe UI"/>
          <w:color w:val="101820"/>
          <w:sz w:val="21"/>
        </w:rPr>
        <w:t xml:space="preserve">. </w:t>
      </w:r>
      <w:r>
        <w:rPr>
          <w:rFonts w:eastAsia="Segoe UI" w:cs="Segoe UI" w:ascii="Segoe UI" w:hAnsi="Segoe UI"/>
          <w:b/>
          <w:color w:val="101820"/>
          <w:sz w:val="21"/>
        </w:rPr>
        <w:t>Send a new code</w:t>
      </w:r>
      <w:r>
        <w:rPr>
          <w:rFonts w:eastAsia="Segoe UI" w:cs="Segoe UI" w:ascii="Segoe UI" w:hAnsi="Segoe UI"/>
          <w:color w:val="101820"/>
          <w:sz w:val="21"/>
        </w:rPr>
        <w:t xml:space="preserve"> sends another code if the first one did not arrive.</w:t>
      </w:r>
    </w:p>
    <w:p>
      <w:pPr>
        <w:pStyle w:val="Normal"/>
        <w:numPr>
          <w:ilvl w:val="0"/>
          <w:numId w:val="110"/>
        </w:numPr>
        <w:spacing w:before="0" w:after="60"/>
        <w:rPr/>
      </w:pPr>
      <w:r>
        <w:rPr>
          <w:rFonts w:eastAsia="Segoe UI" w:cs="Segoe UI" w:ascii="Segoe UI" w:hAnsi="Segoe UI"/>
          <w:color w:val="101820"/>
          <w:sz w:val="21"/>
        </w:rPr>
        <w:t xml:space="preserve">BrokerVerse returns to the sign-in panel with the message </w:t>
      </w:r>
      <w:r>
        <w:rPr>
          <w:rFonts w:eastAsia="Segoe UI" w:cs="Segoe UI" w:ascii="Segoe UI" w:hAnsi="Segoe UI"/>
          <w:b/>
          <w:color w:val="101820"/>
          <w:sz w:val="21"/>
        </w:rPr>
        <w:t>Password reset. Sign in with your new password.</w:t>
      </w:r>
      <w:r>
        <w:rPr>
          <w:rFonts w:eastAsia="Segoe UI" w:cs="Segoe UI" w:ascii="Segoe UI" w:hAnsi="Segoe UI"/>
          <w:color w:val="101820"/>
          <w:sz w:val="21"/>
        </w:rPr>
        <w:t xml:space="preserve"> Sign in with the new password.</w:t>
      </w:r>
    </w:p>
    <w:p>
      <w:pPr>
        <w:pStyle w:val="Normal"/>
        <w:shd w:val="clear" w:color="auto" w:fill="EAF2FB"/>
        <w:spacing w:before="0" w:after="160"/>
        <w:ind w:left="170"/>
        <w:rPr/>
      </w:pPr>
      <w:r>
        <w:rPr>
          <w:rFonts w:eastAsia="Segoe UI" w:cs="Segoe UI" w:ascii="Segoe UI" w:hAnsi="Segoe UI"/>
          <w:color w:val="101820"/>
          <w:sz w:val="20"/>
        </w:rPr>
        <w:t>[Screen image not available: Forgot password: Reset your password]</w:t>
      </w:r>
    </w:p>
    <w:p>
      <w:pPr>
        <w:pStyle w:val="Normal"/>
        <w:shd w:val="clear" w:color="auto" w:fill="EAF2FB"/>
        <w:spacing w:before="0" w:after="160"/>
        <w:ind w:left="170"/>
        <w:rPr/>
      </w:pPr>
      <w:r>
        <w:rPr>
          <w:rFonts w:eastAsia="Segoe UI" w:cs="Segoe UI" w:ascii="Segoe UI" w:hAnsi="Segoe UI"/>
          <w:color w:val="101820"/>
          <w:sz w:val="20"/>
        </w:rPr>
        <w:t>[Screen image not available: Forgot password: Enter the verification code]</w:t>
      </w:r>
    </w:p>
    <w:p>
      <w:pPr>
        <w:pStyle w:val="Normal"/>
        <w:spacing w:lineRule="auto" w:line="276" w:before="0" w:after="120"/>
        <w:rPr/>
      </w:pPr>
      <w:r>
        <w:rPr>
          <w:rFonts w:eastAsia="Segoe UI" w:cs="Segoe UI" w:ascii="Segoe UI" w:hAnsi="Segoe UI"/>
          <w:b/>
          <w:color w:val="101820"/>
          <w:sz w:val="21"/>
        </w:rPr>
        <w:t>Back to sign in</w:t>
      </w:r>
      <w:r>
        <w:rPr>
          <w:rFonts w:eastAsia="Segoe UI" w:cs="Segoe UI" w:ascii="Segoe UI" w:hAnsi="Segoe UI"/>
          <w:color w:val="101820"/>
          <w:sz w:val="21"/>
        </w:rPr>
        <w:t xml:space="preserve"> leaves the reset at any step. 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4.1.4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in red above the </w:t>
      </w:r>
      <w:r>
        <w:rPr>
          <w:rFonts w:eastAsia="Segoe UI" w:cs="Segoe UI" w:ascii="Segoe UI" w:hAnsi="Segoe UI"/>
          <w:b/>
          <w:color w:val="101820"/>
          <w:sz w:val="21"/>
        </w:rPr>
        <w:t>Sign 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4.1.5  Two-step verification at sign-in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When it is on for your user, the panel shows </w:t>
      </w:r>
      <w:r>
        <w:rPr>
          <w:rFonts w:eastAsia="Segoe UI" w:cs="Segoe UI" w:ascii="Segoe UI" w:hAnsi="Segoe UI"/>
          <w:b/>
          <w:color w:val="101820"/>
          <w:sz w:val="21"/>
        </w:rPr>
        <w:t>Two-step verification</w:t>
      </w:r>
      <w:r>
        <w:rPr>
          <w:rFonts w:eastAsia="Segoe UI" w:cs="Segoe UI" w:ascii="Segoe UI" w:hAnsi="Segoe UI"/>
          <w:color w:val="101820"/>
          <w:sz w:val="21"/>
        </w:rPr>
        <w:t xml:space="preserve"> after the password.</w:t>
      </w:r>
    </w:p>
    <w:p>
      <w:pPr>
        <w:pStyle w:val="Normal"/>
        <w:shd w:val="clear" w:color="auto" w:fill="EAF2FB"/>
        <w:spacing w:before="0" w:after="160"/>
        <w:ind w:left="170"/>
        <w:rPr/>
      </w:pPr>
      <w:r>
        <w:rPr>
          <w:rFonts w:eastAsia="Segoe UI" w:cs="Segoe UI" w:ascii="Segoe UI" w:hAnsi="Segoe UI"/>
          <w:color w:val="101820"/>
          <w:sz w:val="20"/>
        </w:rPr>
        <w:t>[Screen image not available: Sign-in: Two-step verification]</w:t>
      </w:r>
    </w:p>
    <w:p>
      <w:pPr>
        <w:pStyle w:val="Normal"/>
        <w:numPr>
          <w:ilvl w:val="0"/>
          <w:numId w:val="111"/>
        </w:numPr>
        <w:spacing w:before="0" w:after="60"/>
        <w:rPr/>
      </w:pPr>
      <w:r>
        <w:rPr>
          <w:rFonts w:eastAsia="Segoe UI" w:cs="Segoe UI" w:ascii="Segoe UI" w:hAnsi="Segoe UI"/>
          <w:color w:val="101820"/>
          <w:sz w:val="21"/>
        </w:rPr>
        <w:t>Open the authenticator app and find the BrokerVerse entry.</w:t>
      </w:r>
    </w:p>
    <w:p>
      <w:pPr>
        <w:pStyle w:val="Normal"/>
        <w:numPr>
          <w:ilvl w:val="0"/>
          <w:numId w:val="112"/>
        </w:numPr>
        <w:spacing w:before="0" w:after="60"/>
        <w:rPr/>
      </w:pPr>
      <w:r>
        <w:rPr>
          <w:rFonts w:eastAsia="Segoe UI" w:cs="Segoe UI" w:ascii="Segoe UI" w:hAnsi="Segoe UI"/>
          <w:color w:val="101820"/>
          <w:sz w:val="21"/>
        </w:rPr>
        <w:t xml:space="preserve">Type the current 6-digit code in </w:t>
      </w:r>
      <w:r>
        <w:rPr>
          <w:rFonts w:eastAsia="Segoe UI" w:cs="Segoe UI" w:ascii="Segoe UI" w:hAnsi="Segoe UI"/>
          <w:b/>
          <w:color w:val="101820"/>
          <w:sz w:val="21"/>
        </w:rPr>
        <w:t>Authentication code</w:t>
      </w:r>
      <w:r>
        <w:rPr>
          <w:rFonts w:eastAsia="Segoe UI" w:cs="Segoe UI" w:ascii="Segoe UI" w:hAnsi="Segoe UI"/>
          <w:color w:val="101820"/>
          <w:sz w:val="21"/>
        </w:rPr>
        <w:t>.</w:t>
      </w:r>
    </w:p>
    <w:p>
      <w:pPr>
        <w:pStyle w:val="Normal"/>
        <w:numPr>
          <w:ilvl w:val="0"/>
          <w:numId w:val="11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Verify</w:t>
      </w:r>
      <w:r>
        <w:rPr>
          <w:rFonts w:eastAsia="Segoe UI" w:cs="Segoe UI" w:ascii="Segoe UI" w:hAnsi="Segoe UI"/>
          <w:color w:val="101820"/>
          <w:sz w:val="21"/>
        </w:rPr>
        <w:t xml:space="preserve">. A wrong or expired code shows </w:t>
      </w:r>
      <w:r>
        <w:rPr>
          <w:rFonts w:eastAsia="Segoe UI" w:cs="Segoe UI" w:ascii="Segoe UI" w:hAnsi="Segoe UI"/>
          <w:b/>
          <w:color w:val="101820"/>
          <w:sz w:val="21"/>
        </w:rPr>
        <w:t>The code is not valid. Try the current code.</w:t>
      </w:r>
      <w:r>
        <w:rPr>
          <w:rFonts w:eastAsia="Segoe UI" w:cs="Segoe UI" w:ascii="Segoe UI" w:hAnsi="Segoe UI"/>
          <w:color w:val="101820"/>
          <w:sz w:val="21"/>
        </w:rPr>
        <w:t>; type the code the app shows now.</w:t>
      </w:r>
    </w:p>
    <w:p>
      <w:pPr>
        <w:pStyle w:val="Normal"/>
        <w:spacing w:lineRule="auto" w:line="276" w:before="0" w:after="120"/>
        <w:rPr/>
      </w:pPr>
      <w:r>
        <w:rPr>
          <w:rFonts w:eastAsia="Segoe UI" w:cs="Segoe UI" w:ascii="Segoe UI" w:hAnsi="Segoe UI"/>
          <w:color w:val="101820"/>
          <w:sz w:val="21"/>
        </w:rPr>
        <w:t>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 xml:space="preserve">); after that, 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again. If your role requires two-step verification and you have not set it up, the panel shows </w:t>
      </w:r>
      <w:r>
        <w:rPr>
          <w:rFonts w:eastAsia="Segoe UI" w:cs="Segoe UI" w:ascii="Segoe UI" w:hAnsi="Segoe UI"/>
          <w:b/>
          <w:color w:val="101820"/>
          <w:sz w:val="21"/>
        </w:rPr>
        <w:t>Set up two-step verification</w:t>
      </w:r>
      <w:r>
        <w:rPr>
          <w:rFonts w:eastAsia="Segoe UI" w:cs="Segoe UI" w:ascii="Segoe UI" w:hAnsi="Segoe UI"/>
          <w:color w:val="101820"/>
          <w:sz w:val="21"/>
        </w:rPr>
        <w:t xml:space="preserve"> with the subtitle </w:t>
      </w:r>
      <w:r>
        <w:rPr>
          <w:rFonts w:eastAsia="Segoe UI" w:cs="Segoe UI" w:ascii="Segoe UI" w:hAnsi="Segoe UI"/>
          <w:b/>
          <w:color w:val="101820"/>
          <w:sz w:val="21"/>
        </w:rPr>
        <w:t>Your role requires two-step verification. Set it up to continue.</w:t>
      </w:r>
      <w:r>
        <w:rPr>
          <w:rFonts w:eastAsia="Segoe UI" w:cs="Segoe UI" w:ascii="Segoe UI" w:hAnsi="Segoe UI"/>
          <w:color w:val="101820"/>
          <w:sz w:val="21"/>
        </w:rPr>
        <w:t xml:space="preserve"> and the same set-up steps as in Set up two-step verification below; after </w:t>
      </w:r>
      <w:r>
        <w:rPr>
          <w:rFonts w:eastAsia="Segoe UI" w:cs="Segoe UI" w:ascii="Segoe UI" w:hAnsi="Segoe UI"/>
          <w:b/>
          <w:color w:val="101820"/>
          <w:sz w:val="21"/>
        </w:rPr>
        <w:t>Turn on</w:t>
      </w:r>
      <w:r>
        <w:rPr>
          <w:rFonts w:eastAsia="Segoe UI" w:cs="Segoe UI" w:ascii="Segoe UI" w:hAnsi="Segoe UI"/>
          <w:color w:val="101820"/>
          <w:sz w:val="21"/>
        </w:rPr>
        <w:t xml:space="preserve"> you are signed in.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panel.</w:t>
      </w:r>
    </w:p>
    <w:p>
      <w:pPr>
        <w:pStyle w:val="Normal"/>
        <w:shd w:val="clear" w:color="auto" w:fill="EAF2FB"/>
        <w:spacing w:before="0" w:after="160"/>
        <w:ind w:left="170"/>
        <w:rPr/>
      </w:pPr>
      <w:r>
        <w:rPr>
          <w:rFonts w:eastAsia="Segoe UI" w:cs="Segoe UI" w:ascii="Segoe UI" w:hAnsi="Segoe UI"/>
          <w:color w:val="101820"/>
          <w:sz w:val="20"/>
        </w:rPr>
        <w:t>[Screen image not available: Sign-in: Set up two-step verification, required by the role]</w:t>
      </w:r>
    </w:p>
    <w:p>
      <w:pPr>
        <w:pStyle w:val="Heading3"/>
        <w:rPr/>
      </w:pPr>
      <w:r>
        <w:rPr>
          <w:rFonts w:eastAsia="Segoe UI" w:cs="Segoe UI"/>
          <w:b/>
          <w:color w:val="0F4761"/>
          <w:sz w:val="23"/>
        </w:rPr>
        <w:t>4.1.6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at the top right, then </w:t>
      </w:r>
      <w:r>
        <w:rPr>
          <w:rFonts w:eastAsia="Segoe UI" w:cs="Segoe UI" w:ascii="Segoe UI" w:hAnsi="Segoe UI"/>
          <w:b/>
          <w:color w:val="101820"/>
          <w:sz w:val="21"/>
        </w:rPr>
        <w:t>Sign out</w:t>
      </w:r>
      <w:r>
        <w:rPr>
          <w:rFonts w:eastAsia="Segoe UI" w:cs="Segoe UI" w:ascii="Segoe UI" w:hAnsi="Segoe UI"/>
          <w:color w:val="101820"/>
          <w:sz w:val="21"/>
        </w:rPr>
        <w:t>.</w:t>
      </w:r>
    </w:p>
    <w:p>
      <w:pPr>
        <w:pStyle w:val="Heading2"/>
        <w:rPr/>
      </w:pPr>
      <w:bookmarkStart w:id="12" w:name="__RefHeading___Toc21541_17926050"/>
      <w:bookmarkEnd w:id="12"/>
      <w:r>
        <w:rPr>
          <w:rFonts w:eastAsia="Segoe UI" w:cs="Segoe UI"/>
          <w:b/>
          <w:color w:val="0F4761"/>
          <w:sz w:val="26"/>
        </w:rPr>
        <w:t>4.2  The screen layout</w:t>
      </w:r>
    </w:p>
    <w:p>
      <w:pPr>
        <w:pStyle w:val="Normal"/>
        <w:shd w:val="clear" w:color="auto" w:fill="EAF2FB"/>
        <w:spacing w:before="0" w:after="160"/>
        <w:ind w:left="170"/>
        <w:rPr/>
      </w:pPr>
      <w:r>
        <w:rPr>
          <w:rFonts w:eastAsia="Segoe UI" w:cs="Segoe UI" w:ascii="Segoe UI" w:hAnsi="Segoe UI"/>
          <w:color w:val="101820"/>
          <w:sz w:val="20"/>
        </w:rPr>
        <w:t>[Screen image not available: Screen layout: sidebar on the left with the search menu; the notification bell and your initials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menus of your role, in business order: Home, Dashboard, Operations, Accounts, Commission, Reports, Master, Product Configurator. Select a menu to open its items; the menu you used last stays open. Master lists its screens under headings (Organization, Insurance, Location, Employees, Users and Access, Finance, System, Data Privacy, Go-Live and Data). A shortened name shows in full when you point at it. Press </w:t>
            </w:r>
            <w:r>
              <w:rPr>
                <w:rFonts w:eastAsia="Segoe UI" w:cs="Segoe UI" w:ascii="Segoe UI" w:hAnsi="Segoe UI"/>
                <w:b/>
                <w:color w:val="101820"/>
                <w:kern w:val="0"/>
                <w:sz w:val="18"/>
                <w:szCs w:val="24"/>
                <w:lang w:val="en-US" w:eastAsia="ja-JP" w:bidi="ar-SA"/>
              </w:rPr>
              <w:t>/</w:t>
            </w:r>
            <w:r>
              <w:rPr>
                <w:rFonts w:eastAsia="Segoe UI" w:cs="Segoe UI" w:ascii="Segoe UI" w:hAnsi="Segoe UI"/>
                <w:color w:val="101820"/>
                <w:kern w:val="0"/>
                <w:sz w:val="18"/>
                <w:szCs w:val="24"/>
                <w:lang w:val="en-US" w:eastAsia="ja-JP" w:bidi="ar-SA"/>
              </w:rPr>
              <w:t xml:space="preserve"> to jump to </w:t>
            </w:r>
            <w:r>
              <w:rPr>
                <w:rFonts w:eastAsia="Segoe UI" w:cs="Segoe UI" w:ascii="Segoe UI" w:hAnsi="Segoe UI"/>
                <w:b/>
                <w:color w:val="101820"/>
                <w:kern w:val="0"/>
                <w:sz w:val="18"/>
                <w:szCs w:val="24"/>
                <w:lang w:val="en-US" w:eastAsia="ja-JP" w:bidi="ar-SA"/>
              </w:rPr>
              <w:t>Search menu...</w:t>
            </w:r>
            <w:r>
              <w:rPr>
                <w:rFonts w:eastAsia="Segoe UI" w:cs="Segoe UI" w:ascii="Segoe UI" w:hAnsi="Segoe UI"/>
                <w:color w:val="101820"/>
                <w:kern w:val="0"/>
                <w:sz w:val="18"/>
                <w:szCs w:val="24"/>
                <w:lang w:val="en-US" w:eastAsia="ja-JP" w:bidi="ar-SA"/>
              </w:rPr>
              <w: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red badge shows the number of unread notifications, up to 99; above that it shows 99+. Select the bell to see the latest.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initials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initials of your display name in a circle. Select them for the account menu.</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Operations • Prospects).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top bar shows a language box only when more than one screen language is offered.</w:t>
      </w:r>
    </w:p>
    <w:p>
      <w:pPr>
        <w:pStyle w:val="Normal"/>
        <w:shd w:val="clear" w:color="auto" w:fill="EAF2FB"/>
        <w:spacing w:before="0" w:after="160"/>
        <w:ind w:left="170"/>
        <w:rPr/>
      </w:pPr>
      <w:r>
        <w:rPr>
          <w:rFonts w:eastAsia="Segoe UI" w:cs="Segoe UI" w:ascii="Segoe UI" w:hAnsi="Segoe UI"/>
          <w:color w:val="101820"/>
          <w:sz w:val="20"/>
        </w:rPr>
        <w:t>[Screen image not available: Menu search: typing "quot" lists the quotation screens of the role]</w:t>
      </w:r>
    </w:p>
    <w:p>
      <w:pPr>
        <w:pStyle w:val="Heading3"/>
        <w:rPr/>
      </w:pPr>
      <w:r>
        <w:rPr>
          <w:rFonts w:eastAsia="Segoe UI" w:cs="Segoe UI"/>
          <w:b/>
          <w:color w:val="0F4761"/>
          <w:sz w:val="23"/>
        </w:rPr>
        <w:t>4.2.1  The account menu</w:t>
      </w:r>
    </w:p>
    <w:p>
      <w:pPr>
        <w:pStyle w:val="Normal"/>
        <w:spacing w:lineRule="auto" w:line="276" w:before="0" w:after="120"/>
        <w:rPr/>
      </w:pPr>
      <w:r>
        <w:rPr>
          <w:rFonts w:eastAsia="Segoe UI" w:cs="Segoe UI" w:ascii="Segoe UI" w:hAnsi="Segoe UI"/>
          <w:color w:val="101820"/>
          <w:sz w:val="21"/>
        </w:rPr>
        <w:t>Select your initials at the top right. The menu shows your initials, your display name and your role, then: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Profile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My Profile (see My Profile and account security).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dialog.</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Two-step verification</w:t>
            </w:r>
            <w:r>
              <w:rPr>
                <w:rFonts w:eastAsia="Segoe UI" w:cs="Segoe UI" w:ascii="Segoe UI" w:hAnsi="Segoe UI"/>
                <w:color w:val="101820"/>
                <w:kern w:val="0"/>
                <w:sz w:val="18"/>
                <w:szCs w:val="24"/>
                <w:lang w:val="en-US" w:eastAsia="ja-JP" w:bidi="ar-SA"/>
              </w:rPr>
              <w:t xml:space="preserve"> dialog: see whether it is on, turn it on or off.</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Help</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Help panel on the right: </w:t>
            </w:r>
            <w:r>
              <w:rPr>
                <w:rFonts w:eastAsia="Segoe UI" w:cs="Segoe UI" w:ascii="Segoe UI" w:hAnsi="Segoe UI"/>
                <w:b/>
                <w:color w:val="101820"/>
                <w:kern w:val="0"/>
                <w:sz w:val="18"/>
                <w:szCs w:val="24"/>
                <w:lang w:val="en-US" w:eastAsia="ja-JP" w:bidi="ar-SA"/>
              </w:rPr>
              <w:t>Help for this screen</w:t>
            </w:r>
            <w:r>
              <w:rPr>
                <w:rFonts w:eastAsia="Segoe UI" w:cs="Segoe UI" w:ascii="Segoe UI" w:hAnsi="Segoe UI"/>
                <w:color w:val="101820"/>
                <w:kern w:val="0"/>
                <w:sz w:val="18"/>
                <w:szCs w:val="24"/>
                <w:lang w:val="en-US" w:eastAsia="ja-JP" w:bidi="ar-SA"/>
              </w:rPr>
              <w:t xml:space="preserve"> (the section of this manual for the screen you are on), </w:t>
            </w:r>
            <w:r>
              <w:rPr>
                <w:rFonts w:eastAsia="Segoe UI" w:cs="Segoe UI" w:ascii="Segoe UI" w:hAnsi="Segoe UI"/>
                <w:b/>
                <w:color w:val="101820"/>
                <w:kern w:val="0"/>
                <w:sz w:val="18"/>
                <w:szCs w:val="24"/>
                <w:lang w:val="en-US" w:eastAsia="ja-JP" w:bidi="ar-SA"/>
              </w:rPr>
              <w:t>Download user manual (PDF)</w:t>
            </w:r>
            <w:r>
              <w:rPr>
                <w:rFonts w:eastAsia="Segoe UI" w:cs="Segoe UI" w:ascii="Segoe UI" w:hAnsi="Segoe UI"/>
                <w:color w:val="101820"/>
                <w:kern w:val="0"/>
                <w:sz w:val="18"/>
                <w:szCs w:val="24"/>
                <w:lang w:val="en-US" w:eastAsia="ja-JP" w:bidi="ar-SA"/>
              </w:rPr>
              <w:t xml:space="preserve">, the support desk's e-mail, telephone and hours, </w:t>
            </w:r>
            <w:r>
              <w:rPr>
                <w:rFonts w:eastAsia="Segoe UI" w:cs="Segoe UI" w:ascii="Segoe UI" w:hAnsi="Segoe UI"/>
                <w:b/>
                <w:color w:val="101820"/>
                <w:kern w:val="0"/>
                <w:sz w:val="18"/>
                <w:szCs w:val="24"/>
                <w:lang w:val="en-US" w:eastAsia="ja-JP" w:bidi="ar-SA"/>
              </w:rPr>
              <w:t>Raise a support ticket</w:t>
            </w:r>
            <w:r>
              <w:rPr>
                <w:rFonts w:eastAsia="Segoe UI" w:cs="Segoe UI" w:ascii="Segoe UI" w:hAnsi="Segoe UI"/>
                <w:color w:val="101820"/>
                <w:kern w:val="0"/>
                <w:sz w:val="18"/>
                <w:szCs w:val="24"/>
                <w:lang w:val="en-US" w:eastAsia="ja-JP" w:bidi="ar-SA"/>
              </w:rPr>
              <w:t xml:space="preserve">, the keyboard shortcuts and </w:t>
            </w:r>
            <w:r>
              <w:rPr>
                <w:rFonts w:eastAsia="Segoe UI" w:cs="Segoe UI" w:ascii="Segoe UI" w:hAnsi="Segoe UI"/>
                <w:b/>
                <w:color w:val="101820"/>
                <w:kern w:val="0"/>
                <w:sz w:val="18"/>
                <w:szCs w:val="24"/>
                <w:lang w:val="en-US" w:eastAsia="ja-JP" w:bidi="ar-SA"/>
              </w:rPr>
              <w:t>About BrokerVerse</w:t>
            </w:r>
            <w:r>
              <w:rPr>
                <w:rFonts w:eastAsia="Segoe UI" w:cs="Segoe UI" w:ascii="Segoe UI" w:hAnsi="Segoe UI"/>
                <w:color w:val="101820"/>
                <w:kern w:val="0"/>
                <w:sz w:val="18"/>
                <w:szCs w:val="24"/>
                <w:lang w:val="en-US" w:eastAsia="ja-JP" w:bidi="ar-SA"/>
              </w:rPr>
              <w:t xml:space="preserve"> (version, environment, build date). </w:t>
            </w:r>
            <w:r>
              <w:rPr>
                <w:rFonts w:eastAsia="Segoe UI" w:cs="Segoe UI" w:ascii="Segoe UI" w:hAnsi="Segoe UI"/>
                <w:b/>
                <w:color w:val="101820"/>
                <w:kern w:val="0"/>
                <w:sz w:val="18"/>
                <w:szCs w:val="24"/>
                <w:lang w:val="en-US" w:eastAsia="ja-JP" w:bidi="ar-SA"/>
              </w:rPr>
              <w:t>F1</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w:t>
            </w:r>
            <w:r>
              <w:rPr>
                <w:rFonts w:eastAsia="Segoe UI" w:cs="Segoe UI" w:ascii="Segoe UI" w:hAnsi="Segoe UI"/>
                <w:color w:val="101820"/>
                <w:kern w:val="0"/>
                <w:sz w:val="18"/>
                <w:szCs w:val="24"/>
                <w:lang w:val="en-US" w:eastAsia="ja-JP" w:bidi="ar-SA"/>
              </w:rPr>
              <w:t xml:space="preserve"> outside a text box, opens it from any screen.</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 out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Ends your session and returns to the sign-in page.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[Screen image not available: The account menu under your initials]</w:t>
      </w:r>
    </w:p>
    <w:p>
      <w:pPr>
        <w:pStyle w:val="Normal"/>
        <w:shd w:val="clear" w:color="auto" w:fill="EAF2FB"/>
        <w:spacing w:before="0" w:after="160"/>
        <w:ind w:left="170"/>
        <w:rPr/>
      </w:pPr>
      <w:r>
        <w:rPr>
          <w:rFonts w:eastAsia="Segoe UI" w:cs="Segoe UI" w:ascii="Segoe UI" w:hAnsi="Segoe UI"/>
          <w:color w:val="101820"/>
          <w:sz w:val="20"/>
        </w:rPr>
        <w:t>[Screen image not available: The Help panel: Help for this screen, the manual, the support desk and About BrokerVerse]</w:t>
      </w:r>
    </w:p>
    <w:p>
      <w:pPr>
        <w:pStyle w:val="Heading3"/>
        <w:rPr/>
      </w:pPr>
      <w:r>
        <w:rPr>
          <w:rFonts w:eastAsia="Segoe UI" w:cs="Segoe UI"/>
          <w:b/>
          <w:color w:val="0F4761"/>
          <w:sz w:val="23"/>
        </w:rPr>
        <w:t>4.2.2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The </w:t>
      </w:r>
      <w:r>
        <w:rPr>
          <w:rFonts w:eastAsia="Segoe UI" w:cs="Segoe UI" w:ascii="Segoe UI" w:hAnsi="Segoe UI"/>
          <w:b/>
          <w:color w:val="101820"/>
          <w:sz w:val="21"/>
        </w:rPr>
        <w:t>Notifications</w:t>
      </w:r>
      <w:r>
        <w:rPr>
          <w:rFonts w:eastAsia="Segoe UI" w:cs="Segoe UI" w:ascii="Segoe UI" w:hAnsi="Segoe UI"/>
          <w:color w:val="101820"/>
          <w:sz w:val="21"/>
        </w:rPr>
        <w:t xml:space="preserve"> panel shows the number unread and your six latest notifications, newest first, each with its title, message, date and time. A blue dot marks an unread notification.</w:t>
      </w:r>
    </w:p>
    <w:p>
      <w:pPr>
        <w:pStyle w:val="Normal"/>
        <w:numPr>
          <w:ilvl w:val="0"/>
          <w:numId w:val="1"/>
        </w:numPr>
        <w:spacing w:before="0" w:after="60"/>
        <w:rPr/>
      </w:pPr>
      <w:r>
        <w:rPr>
          <w:rFonts w:eastAsia="Segoe UI" w:cs="Segoe UI" w:ascii="Segoe UI" w:hAnsi="Segoe UI"/>
          <w:color w:val="101820"/>
          <w:sz w:val="21"/>
        </w:rPr>
        <w:t>Select a notification to mark it as read.</w:t>
      </w:r>
    </w:p>
    <w:p>
      <w:pPr>
        <w:pStyle w:val="Normal"/>
        <w:numPr>
          <w:ilvl w:val="0"/>
          <w:numId w:val="1"/>
        </w:numPr>
        <w:spacing w:before="0" w:after="60"/>
        <w:rPr/>
      </w:pPr>
      <w:r>
        <w:rPr>
          <w:rFonts w:eastAsia="Segoe UI" w:cs="Segoe UI" w:ascii="Segoe UI" w:hAnsi="Segoe UI"/>
          <w:color w:val="101820"/>
          <w:sz w:val="21"/>
        </w:rPr>
        <w:t>Select the X on a notification to remove it.</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Mark all as read</w:t>
      </w:r>
      <w:r>
        <w:rPr>
          <w:rFonts w:eastAsia="Segoe UI" w:cs="Segoe UI" w:ascii="Segoe UI" w:hAnsi="Segoe UI"/>
          <w:color w:val="101820"/>
          <w:sz w:val="21"/>
        </w:rPr>
        <w:t xml:space="preserve"> to clear the badge.</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View all notifications</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priority and time.</w:t>
      </w:r>
    </w:p>
    <w:p>
      <w:pPr>
        <w:pStyle w:val="Normal"/>
        <w:shd w:val="clear" w:color="auto" w:fill="EAF2FB"/>
        <w:spacing w:before="0" w:after="160"/>
        <w:ind w:left="170"/>
        <w:rPr/>
      </w:pPr>
      <w:r>
        <w:rPr>
          <w:rFonts w:eastAsia="Segoe UI" w:cs="Segoe UI" w:ascii="Segoe UI" w:hAnsi="Segoe UI"/>
          <w:color w:val="101820"/>
          <w:sz w:val="20"/>
        </w:rPr>
        <w:t>[Screen image not available: The Notifications panel under the bell]</w:t>
      </w:r>
    </w:p>
    <w:p>
      <w:pPr>
        <w:pStyle w:val="Normal"/>
        <w:shd w:val="clear" w:color="auto" w:fill="EAF2FB"/>
        <w:spacing w:before="0" w:after="160"/>
        <w:ind w:left="170"/>
        <w:rPr/>
      </w:pPr>
      <w:r>
        <w:rPr>
          <w:rFonts w:eastAsia="Segoe UI" w:cs="Segoe UI" w:ascii="Segoe UI" w:hAnsi="Segoe UI"/>
          <w:color w:val="101820"/>
          <w:sz w:val="20"/>
        </w:rPr>
        <w:t>[Screen image not available: The Notification page]</w:t>
      </w:r>
    </w:p>
    <w:p>
      <w:pPr>
        <w:pStyle w:val="Heading2"/>
        <w:rPr/>
      </w:pPr>
      <w:bookmarkStart w:id="13" w:name="__RefHeading___Toc21543_17926050"/>
      <w:bookmarkEnd w:id="13"/>
      <w:r>
        <w:rPr>
          <w:rFonts w:eastAsia="Segoe UI" w:cs="Segoe UI"/>
          <w:b/>
          <w:color w:val="0F4761"/>
          <w:sz w:val="26"/>
        </w:rPr>
        <w:t>4.3  My Profile and account security</w:t>
      </w:r>
    </w:p>
    <w:p>
      <w:pPr>
        <w:pStyle w:val="Heading3"/>
        <w:rPr/>
      </w:pPr>
      <w:r>
        <w:rPr>
          <w:rFonts w:eastAsia="Segoe UI" w:cs="Segoe UI"/>
          <w:b/>
          <w:color w:val="0F4761"/>
          <w:sz w:val="23"/>
        </w:rPr>
        <w:t>4.3.1  My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w:t>
      </w:r>
      <w:r>
        <w:rPr>
          <w:rFonts w:eastAsia="Segoe UI" w:cs="Segoe UI" w:ascii="Segoe UI" w:hAnsi="Segoe UI"/>
          <w:b/>
          <w:color w:val="101820"/>
          <w:sz w:val="21"/>
        </w:rPr>
        <w:t>My Profile</w:t>
      </w:r>
      <w:r>
        <w:rPr>
          <w:rFonts w:eastAsia="Segoe UI" w:cs="Segoe UI" w:ascii="Segoe UI" w:hAnsi="Segoe UI"/>
          <w:color w:val="101820"/>
          <w:sz w:val="21"/>
        </w:rPr>
        <w:t xml:space="preserve"> (breadcrumb Home • My Account • My Profile) has two parts.</w:t>
      </w:r>
    </w:p>
    <w:p>
      <w:pPr>
        <w:pStyle w:val="Normal"/>
        <w:shd w:val="clear" w:color="auto" w:fill="EAF2FB"/>
        <w:spacing w:before="0" w:after="160"/>
        <w:ind w:left="170"/>
        <w:rPr/>
      </w:pPr>
      <w:r>
        <w:rPr>
          <w:rFonts w:eastAsia="Segoe UI" w:cs="Segoe UI" w:ascii="Segoe UI" w:hAnsi="Segoe UI"/>
          <w:color w:val="101820"/>
          <w:sz w:val="20"/>
        </w:rPr>
        <w:t>[Screen image not available: My Profile: the account summary]</w:t>
      </w:r>
    </w:p>
    <w:p>
      <w:pPr>
        <w:pStyle w:val="Normal"/>
        <w:spacing w:lineRule="auto" w:line="276" w:before="0" w:after="120"/>
        <w:rPr/>
      </w:pPr>
      <w:r>
        <w:rPr>
          <w:rFonts w:eastAsia="Segoe UI" w:cs="Segoe UI" w:ascii="Segoe UI" w:hAnsi="Segoe UI"/>
          <w:color w:val="101820"/>
          <w:sz w:val="21"/>
        </w:rPr>
        <w:t>The account summary at the top shows your initials, display name, status (</w:t>
      </w:r>
      <w:r>
        <w:rPr>
          <w:rFonts w:eastAsia="Segoe UI" w:cs="Segoe UI" w:ascii="Segoe UI" w:hAnsi="Segoe UI"/>
          <w:b/>
          <w:color w:val="101820"/>
          <w:sz w:val="21"/>
        </w:rPr>
        <w:t>Active</w:t>
      </w:r>
      <w:r>
        <w:rPr>
          <w:rFonts w:eastAsia="Segoe UI" w:cs="Segoe UI" w:ascii="Segoe UI" w:hAnsi="Segoe UI"/>
          <w:color w:val="101820"/>
          <w:sz w:val="21"/>
        </w:rPr>
        <w:t xml:space="preserve">), </w:t>
      </w:r>
      <w:r>
        <w:rPr>
          <w:rFonts w:eastAsia="Segoe UI" w:cs="Segoe UI" w:ascii="Segoe UI" w:hAnsi="Segoe UI"/>
          <w:b/>
          <w:color w:val="101820"/>
          <w:sz w:val="21"/>
        </w:rPr>
        <w:t>User ID</w:t>
      </w:r>
      <w:r>
        <w:rPr>
          <w:rFonts w:eastAsia="Segoe UI" w:cs="Segoe UI" w:ascii="Segoe UI" w:hAnsi="Segoe UI"/>
          <w:color w:val="101820"/>
          <w:sz w:val="21"/>
        </w:rPr>
        <w:t xml:space="preserve">, and </w:t>
      </w:r>
      <w:r>
        <w:rPr>
          <w:rFonts w:eastAsia="Segoe UI" w:cs="Segoe UI" w:ascii="Segoe UI" w:hAnsi="Segoe UI"/>
          <w:b/>
          <w:color w:val="101820"/>
          <w:sz w:val="21"/>
        </w:rPr>
        <w:t>Role</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Designation</w:t>
      </w:r>
      <w:r>
        <w:rPr>
          <w:rFonts w:eastAsia="Segoe UI" w:cs="Segoe UI" w:ascii="Segoe UI" w:hAnsi="Segoe UI"/>
          <w:color w:val="101820"/>
          <w:sz w:val="21"/>
        </w:rPr>
        <w:t xml:space="preserve">, </w:t>
      </w:r>
      <w:r>
        <w:rPr>
          <w:rFonts w:eastAsia="Segoe UI" w:cs="Segoe UI" w:ascii="Segoe UI" w:hAnsi="Segoe UI"/>
          <w:b/>
          <w:color w:val="101820"/>
          <w:sz w:val="21"/>
        </w:rPr>
        <w:t>Reporting to</w:t>
      </w:r>
      <w:r>
        <w:rPr>
          <w:rFonts w:eastAsia="Segoe UI" w:cs="Segoe UI" w:ascii="Segoe UI" w:hAnsi="Segoe UI"/>
          <w:color w:val="101820"/>
          <w:sz w:val="21"/>
        </w:rPr>
        <w:t xml:space="preserve">, </w:t>
      </w:r>
      <w:r>
        <w:rPr>
          <w:rFonts w:eastAsia="Segoe UI" w:cs="Segoe UI" w:ascii="Segoe UI" w:hAnsi="Segoe UI"/>
          <w:b/>
          <w:color w:val="101820"/>
          <w:sz w:val="21"/>
        </w:rPr>
        <w:t>E-mail address</w:t>
      </w:r>
      <w:r>
        <w:rPr>
          <w:rFonts w:eastAsia="Segoe UI" w:cs="Segoe UI" w:ascii="Segoe UI" w:hAnsi="Segoe UI"/>
          <w:color w:val="101820"/>
          <w:sz w:val="21"/>
        </w:rPr>
        <w:t xml:space="preserve"> and </w:t>
      </w:r>
      <w:r>
        <w:rPr>
          <w:rFonts w:eastAsia="Segoe UI" w:cs="Segoe UI" w:ascii="Segoe UI" w:hAnsi="Segoe UI"/>
          <w:b/>
          <w:color w:val="101820"/>
          <w:sz w:val="21"/>
        </w:rPr>
        <w:t>Last sign-in</w:t>
      </w:r>
      <w:r>
        <w:rPr>
          <w:rFonts w:eastAsia="Segoe UI" w:cs="Segoe UI" w:ascii="Segoe UI" w:hAnsi="Segoe UI"/>
          <w:color w:val="101820"/>
          <w:sz w:val="21"/>
        </w:rPr>
        <w:t xml:space="preserve">. The System Administrator maintains these on Master &gt; Users and Access &gt; User; you cannot change them here. The buttons </w:t>
      </w:r>
      <w:r>
        <w:rPr>
          <w:rFonts w:eastAsia="Segoe UI" w:cs="Segoe UI" w:ascii="Segoe UI" w:hAnsi="Segoe UI"/>
          <w:b/>
          <w:color w:val="101820"/>
          <w:sz w:val="21"/>
        </w:rPr>
        <w:t>Change password</w:t>
      </w:r>
      <w:r>
        <w:rPr>
          <w:rFonts w:eastAsia="Segoe UI" w:cs="Segoe UI" w:ascii="Segoe UI" w:hAnsi="Segoe UI"/>
          <w:color w:val="101820"/>
          <w:sz w:val="21"/>
        </w:rPr>
        <w:t xml:space="preserve"> and </w:t>
      </w:r>
      <w:r>
        <w:rPr>
          <w:rFonts w:eastAsia="Segoe UI" w:cs="Segoe UI" w:ascii="Segoe UI" w:hAnsi="Segoe UI"/>
          <w:b/>
          <w:color w:val="101820"/>
          <w:sz w:val="21"/>
        </w:rPr>
        <w:t>Two-step verification</w:t>
      </w:r>
      <w:r>
        <w:rPr>
          <w:rFonts w:eastAsia="Segoe UI" w:cs="Segoe UI" w:ascii="Segoe UI" w:hAnsi="Segoe UI"/>
          <w:color w:val="101820"/>
          <w:sz w:val="21"/>
        </w:rPr>
        <w:t xml:space="preserve"> open the same dialogs as the account menu.</w:t>
      </w:r>
    </w:p>
    <w:p>
      <w:pPr>
        <w:pStyle w:val="Normal"/>
        <w:spacing w:lineRule="auto" w:line="276" w:before="0" w:after="120"/>
        <w:rPr/>
      </w:pPr>
      <w:r>
        <w:rPr>
          <w:rFonts w:eastAsia="Segoe UI" w:cs="Segoe UI" w:ascii="Segoe UI" w:hAnsi="Segoe UI"/>
          <w:b/>
          <w:color w:val="101820"/>
          <w:sz w:val="21"/>
        </w:rPr>
        <w:t>Personal and contact details</w:t>
      </w:r>
      <w:r>
        <w:rPr>
          <w:rFonts w:eastAsia="Segoe UI" w:cs="Segoe UI" w:ascii="Segoe UI" w:hAnsi="Segoe UI"/>
          <w:color w:val="101820"/>
          <w:sz w:val="21"/>
        </w:rPr>
        <w:t xml:space="preserve"> shows your details in three groups: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(required), </w:t>
            </w:r>
            <w:r>
              <w:rPr>
                <w:rFonts w:eastAsia="Segoe UI" w:cs="Segoe UI" w:ascii="Segoe UI" w:hAnsi="Segoe UI"/>
                <w:b/>
                <w:color w:val="101820"/>
                <w:kern w:val="0"/>
                <w:sz w:val="18"/>
                <w:szCs w:val="24"/>
                <w:lang w:val="en-US" w:eastAsia="ja-JP" w:bidi="ar-SA"/>
              </w:rPr>
              <w:t>Last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(required; shown in the top bar, on approvals and in the audit trail), </w:t>
            </w:r>
            <w:r>
              <w:rPr>
                <w:rFonts w:eastAsia="Segoe UI" w:cs="Segoe UI" w:ascii="Segoe UI" w:hAnsi="Segoe UI"/>
                <w:b/>
                <w:color w:val="101820"/>
                <w:kern w:val="0"/>
                <w:sz w:val="18"/>
                <w:szCs w:val="24"/>
                <w:lang w:val="en-US" w:eastAsia="ja-JP" w:bidi="ar-SA"/>
              </w:rPr>
              <w:t>Employee No.</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Date of birth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Gender</w:t>
            </w:r>
            <w:r>
              <w:rPr>
                <w:rFonts w:eastAsia="Segoe UI" w:cs="Segoe UI" w:ascii="Segoe UI" w:hAnsi="Segoe UI"/>
                <w:color w:val="101820"/>
                <w:kern w:val="0"/>
                <w:sz w:val="18"/>
                <w:szCs w:val="24"/>
                <w:lang w:val="en-US" w:eastAsia="ja-JP" w:bidi="ar-SA"/>
              </w:rPr>
              <w:t xml:space="preserve"> (Male, Female, Other, Prefer not to say)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address</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Contact number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No. / Unit No. / Street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 / Subdivision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ZIP code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Country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them:</w:t>
      </w:r>
    </w:p>
    <w:p>
      <w:pPr>
        <w:pStyle w:val="Normal"/>
        <w:numPr>
          <w:ilvl w:val="0"/>
          <w:numId w:val="11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 Profile</w:t>
      </w:r>
      <w:r>
        <w:rPr>
          <w:rFonts w:eastAsia="Segoe UI" w:cs="Segoe UI" w:ascii="Segoe UI" w:hAnsi="Segoe UI"/>
          <w:color w:val="101820"/>
          <w:sz w:val="21"/>
        </w:rPr>
        <w:t>. The fields you may change open for editing; fields marked * are required.</w:t>
      </w:r>
    </w:p>
    <w:p>
      <w:pPr>
        <w:pStyle w:val="Normal"/>
        <w:numPr>
          <w:ilvl w:val="0"/>
          <w:numId w:val="115"/>
        </w:numPr>
        <w:spacing w:before="0" w:after="60"/>
        <w:rPr/>
      </w:pPr>
      <w:r>
        <w:rPr>
          <w:rFonts w:eastAsia="Segoe UI" w:cs="Segoe UI" w:ascii="Segoe UI" w:hAnsi="Segoe UI"/>
          <w:color w:val="101820"/>
          <w:sz w:val="21"/>
        </w:rPr>
        <w:t xml:space="preserve">Correct the fields. The address lists work from the top down: choose </w:t>
      </w:r>
      <w:r>
        <w:rPr>
          <w:rFonts w:eastAsia="Segoe UI" w:cs="Segoe UI" w:ascii="Segoe UI" w:hAnsi="Segoe UI"/>
          <w:b/>
          <w:color w:val="101820"/>
          <w:sz w:val="21"/>
        </w:rPr>
        <w:t>Country</w:t>
      </w:r>
      <w:r>
        <w:rPr>
          <w:rFonts w:eastAsia="Segoe UI" w:cs="Segoe UI" w:ascii="Segoe UI" w:hAnsi="Segoe UI"/>
          <w:color w:val="101820"/>
          <w:sz w:val="21"/>
        </w:rPr>
        <w:t xml:space="preserve"> (Philippines by default), then </w:t>
      </w:r>
      <w:r>
        <w:rPr>
          <w:rFonts w:eastAsia="Segoe UI" w:cs="Segoe UI" w:ascii="Segoe UI" w:hAnsi="Segoe UI"/>
          <w:b/>
          <w:color w:val="101820"/>
          <w:sz w:val="21"/>
        </w:rPr>
        <w:t>Province</w:t>
      </w:r>
      <w:r>
        <w:rPr>
          <w:rFonts w:eastAsia="Segoe UI" w:cs="Segoe UI" w:ascii="Segoe UI" w:hAnsi="Segoe UI"/>
          <w:color w:val="101820"/>
          <w:sz w:val="21"/>
        </w:rPr>
        <w:t xml:space="preserve">, then </w:t>
      </w:r>
      <w:r>
        <w:rPr>
          <w:rFonts w:eastAsia="Segoe UI" w:cs="Segoe UI" w:ascii="Segoe UI" w:hAnsi="Segoe UI"/>
          <w:b/>
          <w:color w:val="101820"/>
          <w:sz w:val="21"/>
        </w:rPr>
        <w:t>City / Municipality</w:t>
      </w:r>
      <w:r>
        <w:rPr>
          <w:rFonts w:eastAsia="Segoe UI" w:cs="Segoe UI" w:ascii="Segoe UI" w:hAnsi="Segoe UI"/>
          <w:color w:val="101820"/>
          <w:sz w:val="21"/>
        </w:rPr>
        <w:t xml:space="preserve">, then </w:t>
      </w:r>
      <w:r>
        <w:rPr>
          <w:rFonts w:eastAsia="Segoe UI" w:cs="Segoe UI" w:ascii="Segoe UI" w:hAnsi="Segoe UI"/>
          <w:b/>
          <w:color w:val="101820"/>
          <w:sz w:val="21"/>
        </w:rPr>
        <w:t>Barangay / Subdivision</w:t>
      </w:r>
      <w:r>
        <w:rPr>
          <w:rFonts w:eastAsia="Segoe UI" w:cs="Segoe UI" w:ascii="Segoe UI" w:hAnsi="Segoe UI"/>
          <w:color w:val="101820"/>
          <w:sz w:val="21"/>
        </w:rPr>
        <w:t xml:space="preserve">. Each list offers the names of the address masters and also accepts a name you type. Choosing a barangay fills an empty </w:t>
      </w:r>
      <w:r>
        <w:rPr>
          <w:rFonts w:eastAsia="Segoe UI" w:cs="Segoe UI" w:ascii="Segoe UI" w:hAnsi="Segoe UI"/>
          <w:b/>
          <w:color w:val="101820"/>
          <w:sz w:val="21"/>
        </w:rPr>
        <w:t>ZIP code</w:t>
      </w:r>
      <w:r>
        <w:rPr>
          <w:rFonts w:eastAsia="Segoe UI" w:cs="Segoe UI" w:ascii="Segoe UI" w:hAnsi="Segoe UI"/>
          <w:color w:val="101820"/>
          <w:sz w:val="21"/>
        </w:rPr>
        <w:t xml:space="preserve"> with its postal code.</w:t>
      </w:r>
    </w:p>
    <w:p>
      <w:pPr>
        <w:pStyle w:val="Normal"/>
        <w:numPr>
          <w:ilvl w:val="0"/>
          <w:numId w:val="11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changes</w:t>
      </w:r>
      <w:r>
        <w:rPr>
          <w:rFonts w:eastAsia="Segoe UI" w:cs="Segoe UI" w:ascii="Segoe UI" w:hAnsi="Segoe UI"/>
          <w:color w:val="101820"/>
          <w:sz w:val="21"/>
        </w:rPr>
        <w:t xml:space="preserve">. BrokerVerse shows </w:t>
      </w:r>
      <w:r>
        <w:rPr>
          <w:rFonts w:eastAsia="Segoe UI" w:cs="Segoe UI" w:ascii="Segoe UI" w:hAnsi="Segoe UI"/>
          <w:b/>
          <w:color w:val="101820"/>
          <w:sz w:val="21"/>
        </w:rPr>
        <w:t>Your profile has been updated.</w:t>
      </w:r>
      <w:r>
        <w:rPr>
          <w:rFonts w:eastAsia="Segoe UI" w:cs="Segoe UI" w:ascii="Segoe UI" w:hAnsi="Segoe UI"/>
          <w:color w:val="101820"/>
          <w:sz w:val="21"/>
        </w:rPr>
        <w:t xml:space="preserve"> and the new display name appears at once in the top bar. </w:t>
      </w:r>
      <w:r>
        <w:rPr>
          <w:rFonts w:eastAsia="Segoe UI" w:cs="Segoe UI" w:ascii="Segoe UI" w:hAnsi="Segoe UI"/>
          <w:b/>
          <w:color w:val="101820"/>
          <w:sz w:val="21"/>
        </w:rPr>
        <w:t>Cancel</w:t>
      </w:r>
      <w:r>
        <w:rPr>
          <w:rFonts w:eastAsia="Segoe UI" w:cs="Segoe UI" w:ascii="Segoe UI" w:hAnsi="Segoe UI"/>
          <w:color w:val="101820"/>
          <w:sz w:val="21"/>
        </w:rPr>
        <w:t xml:space="preserve"> closes the form without saving.</w:t>
      </w:r>
    </w:p>
    <w:p>
      <w:pPr>
        <w:pStyle w:val="Normal"/>
        <w:shd w:val="clear" w:color="auto" w:fill="EAF2FB"/>
        <w:spacing w:before="0" w:after="160"/>
        <w:ind w:left="170"/>
        <w:rPr/>
      </w:pPr>
      <w:r>
        <w:rPr>
          <w:rFonts w:eastAsia="Segoe UI" w:cs="Segoe UI" w:ascii="Segoe UI" w:hAnsi="Segoe UI"/>
          <w:color w:val="101820"/>
          <w:sz w:val="20"/>
        </w:rPr>
        <w:t>[Screen image not available: My Profile in edit mode]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your first name. / Enter the name to display.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is empty.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Philippine number, for example 0917 123 4567 or (02) 8123 4567.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contact number is not a Philippine mobile (0917 123 4567 or +63 917 123 4567) or landline with area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valid date of birth in the past.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birth is in the future or not a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ZIP code has 4 digits.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ZIP code of a Philippine address does not have 4 digits.</w:t>
            </w:r>
          </w:p>
        </w:tc>
      </w:tr>
    </w:tbl>
    <w:p>
      <w:pPr>
        <w:pStyle w:val="Normal"/>
        <w:spacing w:before="0" w:after="80"/>
        <w:rPr/>
      </w:pPr>
      <w:r>
        <w:rPr/>
      </w:r>
    </w:p>
    <w:p>
      <w:pPr>
        <w:pStyle w:val="Heading3"/>
        <w:rPr/>
      </w:pPr>
      <w:r>
        <w:rPr>
          <w:rFonts w:eastAsia="Segoe UI" w:cs="Segoe UI"/>
          <w:b/>
          <w:color w:val="0F4761"/>
          <w:sz w:val="23"/>
        </w:rPr>
        <w:t>4.3.2  Change password</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Change password</w:t>
      </w:r>
      <w:r>
        <w:rPr>
          <w:rFonts w:eastAsia="Segoe UI" w:cs="Segoe UI" w:ascii="Segoe UI" w:hAnsi="Segoe UI"/>
          <w:color w:val="101820"/>
          <w:sz w:val="21"/>
        </w:rPr>
        <w:t xml:space="preserve"> (or </w:t>
      </w:r>
      <w:r>
        <w:rPr>
          <w:rFonts w:eastAsia="Segoe UI" w:cs="Segoe UI" w:ascii="Segoe UI" w:hAnsi="Segoe UI"/>
          <w:b/>
          <w:color w:val="101820"/>
          <w:sz w:val="21"/>
        </w:rPr>
        <w:t>Change password</w:t>
      </w:r>
      <w:r>
        <w:rPr>
          <w:rFonts w:eastAsia="Segoe UI" w:cs="Segoe UI" w:ascii="Segoe UI" w:hAnsi="Segoe UI"/>
          <w:color w:val="101820"/>
          <w:sz w:val="21"/>
        </w:rPr>
        <w:t xml:space="preserve"> on My Profile).</w:t>
      </w:r>
    </w:p>
    <w:p>
      <w:pPr>
        <w:pStyle w:val="Normal"/>
        <w:shd w:val="clear" w:color="auto" w:fill="EAF2FB"/>
        <w:spacing w:before="0" w:after="160"/>
        <w:ind w:left="170"/>
        <w:rPr/>
      </w:pPr>
      <w:r>
        <w:rPr>
          <w:rFonts w:eastAsia="Segoe UI" w:cs="Segoe UI" w:ascii="Segoe UI" w:hAnsi="Segoe UI"/>
          <w:color w:val="101820"/>
          <w:sz w:val="20"/>
        </w:rPr>
        <w:t>[Screen image not available: Change password]</w:t>
      </w:r>
    </w:p>
    <w:p>
      <w:pPr>
        <w:pStyle w:val="Normal"/>
        <w:numPr>
          <w:ilvl w:val="0"/>
          <w:numId w:val="117"/>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your present password.</w:t>
      </w:r>
    </w:p>
    <w:p>
      <w:pPr>
        <w:pStyle w:val="Normal"/>
        <w:numPr>
          <w:ilvl w:val="0"/>
          <w:numId w:val="118"/>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119"/>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1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w:t>
      </w:r>
      <w:r>
        <w:rPr>
          <w:rFonts w:eastAsia="Segoe UI" w:cs="Segoe UI" w:ascii="Segoe UI" w:hAnsi="Segoe UI"/>
          <w:color w:val="101820"/>
          <w:sz w:val="21"/>
        </w:rPr>
        <w:t xml:space="preserve">. BrokerVerse shows </w:t>
      </w:r>
      <w:r>
        <w:rPr>
          <w:rFonts w:eastAsia="Segoe UI" w:cs="Segoe UI" w:ascii="Segoe UI" w:hAnsi="Segoe UI"/>
          <w:b/>
          <w:color w:val="101820"/>
          <w:sz w:val="21"/>
        </w:rPr>
        <w:t>Password changed. Your other sessions have been signed out.</w:t>
      </w:r>
      <w:r>
        <w:rPr>
          <w:rFonts w:eastAsia="Segoe UI" w:cs="Segoe UI" w:ascii="Segoe UI" w:hAnsi="Segoe UI"/>
          <w:color w:val="101820"/>
          <w:sz w:val="21"/>
        </w:rPr>
        <w:t xml:space="preserve"> Other computers and browsers where you are signed in are signed out; your current session continues. </w:t>
      </w:r>
      <w:r>
        <w:rPr>
          <w:rFonts w:eastAsia="Segoe UI" w:cs="Segoe UI" w:ascii="Segoe UI" w:hAnsi="Segoe UI"/>
          <w:b/>
          <w:color w:val="101820"/>
          <w:sz w:val="21"/>
        </w:rPr>
        <w:t>Cancel</w:t>
      </w:r>
      <w:r>
        <w:rPr>
          <w:rFonts w:eastAsia="Segoe UI" w:cs="Segoe UI" w:ascii="Segoe UI" w:hAnsi="Segoe UI"/>
          <w:color w:val="101820"/>
          <w:sz w:val="21"/>
        </w:rPr>
        <w:t xml:space="preserve"> closes the dialog without a change.</w:t>
      </w:r>
    </w:p>
    <w:p>
      <w:pPr>
        <w:pStyle w:val="Heading3"/>
        <w:rPr/>
      </w:pPr>
      <w:r>
        <w:rPr>
          <w:rFonts w:eastAsia="Segoe UI" w:cs="Segoe UI"/>
          <w:b/>
          <w:color w:val="0F4761"/>
          <w:sz w:val="23"/>
        </w:rPr>
        <w:t>4.3.3  Set up two-step verification</w:t>
      </w:r>
    </w:p>
    <w:p>
      <w:pPr>
        <w:pStyle w:val="Normal"/>
        <w:spacing w:lineRule="auto" w:line="276" w:before="0" w:after="120"/>
        <w:rPr/>
      </w:pPr>
      <w:r>
        <w:rPr>
          <w:rFonts w:eastAsia="Segoe UI" w:cs="Segoe UI" w:ascii="Segoe UI" w:hAnsi="Segoe UI"/>
          <w:color w:val="101820"/>
          <w:sz w:val="21"/>
        </w:rPr>
        <w:t xml:space="preserve">Any user can turn on two-step verification.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numPr>
          <w:ilvl w:val="0"/>
          <w:numId w:val="121"/>
        </w:numPr>
        <w:spacing w:before="0" w:after="6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(or </w:t>
      </w:r>
      <w:r>
        <w:rPr>
          <w:rFonts w:eastAsia="Segoe UI" w:cs="Segoe UI" w:ascii="Segoe UI" w:hAnsi="Segoe UI"/>
          <w:b/>
          <w:color w:val="101820"/>
          <w:sz w:val="21"/>
        </w:rPr>
        <w:t>Two-step verification</w:t>
      </w:r>
      <w:r>
        <w:rPr>
          <w:rFonts w:eastAsia="Segoe UI" w:cs="Segoe UI" w:ascii="Segoe UI" w:hAnsi="Segoe UI"/>
          <w:color w:val="101820"/>
          <w:sz w:val="21"/>
        </w:rPr>
        <w:t xml:space="preserve"> on My Profile). The dialog says </w:t>
      </w:r>
      <w:r>
        <w:rPr>
          <w:rFonts w:eastAsia="Segoe UI" w:cs="Segoe UI" w:ascii="Segoe UI" w:hAnsi="Segoe UI"/>
          <w:b/>
          <w:color w:val="101820"/>
          <w:sz w:val="21"/>
        </w:rPr>
        <w:t>Two-step verification is off.</w:t>
      </w:r>
    </w:p>
    <w:p>
      <w:pPr>
        <w:pStyle w:val="Normal"/>
        <w:numPr>
          <w:ilvl w:val="0"/>
          <w:numId w:val="1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123"/>
        </w:numPr>
        <w:spacing w:before="0" w:after="60"/>
        <w:rPr/>
      </w:pPr>
      <w:r>
        <w:rPr>
          <w:rFonts w:eastAsia="Segoe UI" w:cs="Segoe UI" w:ascii="Segoe UI" w:hAnsi="Segoe UI"/>
          <w:color w:val="101820"/>
          <w:sz w:val="21"/>
        </w:rPr>
        <w:t>Install an authenticator app on your phone if you do not have one.</w:t>
      </w:r>
    </w:p>
    <w:p>
      <w:pPr>
        <w:pStyle w:val="Normal"/>
        <w:numPr>
          <w:ilvl w:val="0"/>
          <w:numId w:val="124"/>
        </w:numPr>
        <w:spacing w:before="0" w:after="60"/>
        <w:rPr/>
      </w:pPr>
      <w:r>
        <w:rPr>
          <w:rFonts w:eastAsia="Segoe UI" w:cs="Segoe UI" w:ascii="Segoe UI" w:hAnsi="Segoe UI"/>
          <w:color w:val="101820"/>
          <w:sz w:val="21"/>
        </w:rPr>
        <w:t xml:space="preserve">In the app, add an account and scan the QR code. If you cannot scan it, type the setup key shown under </w:t>
      </w:r>
      <w:r>
        <w:rPr>
          <w:rFonts w:eastAsia="Segoe UI" w:cs="Segoe UI" w:ascii="Segoe UI" w:hAnsi="Segoe UI"/>
          <w:b/>
          <w:color w:val="101820"/>
          <w:sz w:val="21"/>
        </w:rPr>
        <w:t>Can't scan? Enter this key instead:</w:t>
      </w:r>
      <w:r>
        <w:rPr>
          <w:rFonts w:eastAsia="Segoe UI" w:cs="Segoe UI" w:ascii="Segoe UI" w:hAnsi="Segoe UI"/>
          <w:color w:val="101820"/>
          <w:sz w:val="21"/>
        </w:rPr>
        <w:t xml:space="preserve"> (the copy icon copies it). On the phone itself you can open the key in the authenticator app with the link under the key.</w:t>
      </w:r>
    </w:p>
    <w:p>
      <w:pPr>
        <w:pStyle w:val="Normal"/>
        <w:numPr>
          <w:ilvl w:val="0"/>
          <w:numId w:val="125"/>
        </w:numPr>
        <w:spacing w:before="0" w:after="60"/>
        <w:rPr/>
      </w:pPr>
      <w:r>
        <w:rPr>
          <w:rFonts w:eastAsia="Segoe UI" w:cs="Segoe UI" w:ascii="Segoe UI" w:hAnsi="Segoe UI"/>
          <w:color w:val="101820"/>
          <w:sz w:val="21"/>
        </w:rPr>
        <w:t xml:space="preserve">Type the 6-digit code the app now shows in </w:t>
      </w:r>
      <w:r>
        <w:rPr>
          <w:rFonts w:eastAsia="Segoe UI" w:cs="Segoe UI" w:ascii="Segoe UI" w:hAnsi="Segoe UI"/>
          <w:b/>
          <w:color w:val="101820"/>
          <w:sz w:val="21"/>
        </w:rPr>
        <w:t>Authentication code</w:t>
      </w:r>
      <w:r>
        <w:rPr>
          <w:rFonts w:eastAsia="Segoe UI" w:cs="Segoe UI" w:ascii="Segoe UI" w:hAnsi="Segoe UI"/>
          <w:color w:val="101820"/>
          <w:sz w:val="21"/>
        </w:rPr>
        <w:t xml:space="preserve"> and select </w:t>
      </w:r>
      <w:r>
        <w:rPr>
          <w:rFonts w:eastAsia="Segoe UI" w:cs="Segoe UI" w:ascii="Segoe UI" w:hAnsi="Segoe UI"/>
          <w:b/>
          <w:color w:val="101820"/>
          <w:sz w:val="21"/>
        </w:rPr>
        <w:t>Turn on</w:t>
      </w:r>
      <w:r>
        <w:rPr>
          <w:rFonts w:eastAsia="Segoe UI" w:cs="Segoe UI" w:ascii="Segoe UI" w:hAnsi="Segoe UI"/>
          <w:color w:val="101820"/>
          <w:sz w:val="21"/>
        </w:rPr>
        <w:t xml:space="preserve">. BrokerVerse shows </w:t>
      </w:r>
      <w:r>
        <w:rPr>
          <w:rFonts w:eastAsia="Segoe UI" w:cs="Segoe UI" w:ascii="Segoe UI" w:hAnsi="Segoe UI"/>
          <w:b/>
          <w:color w:val="101820"/>
          <w:sz w:val="21"/>
        </w:rPr>
        <w:t>Two-step verification is on.</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status without turning it on.</w:t>
      </w:r>
    </w:p>
    <w:p>
      <w:pPr>
        <w:pStyle w:val="Normal"/>
        <w:shd w:val="clear" w:color="auto" w:fill="EAF2FB"/>
        <w:spacing w:before="0" w:after="160"/>
        <w:ind w:left="170"/>
        <w:rPr/>
      </w:pPr>
      <w:r>
        <w:rPr>
          <w:rFonts w:eastAsia="Segoe UI" w:cs="Segoe UI" w:ascii="Segoe UI" w:hAnsi="Segoe UI"/>
          <w:color w:val="101820"/>
          <w:sz w:val="20"/>
        </w:rPr>
        <w:t>[Screen image not available: Two-step verification is off]</w:t>
      </w:r>
    </w:p>
    <w:p>
      <w:pPr>
        <w:pStyle w:val="Normal"/>
        <w:shd w:val="clear" w:color="auto" w:fill="EAF2FB"/>
        <w:spacing w:before="0" w:after="160"/>
        <w:ind w:left="170"/>
        <w:rPr/>
      </w:pPr>
      <w:r>
        <w:rPr>
          <w:rFonts w:eastAsia="Segoe UI" w:cs="Segoe UI" w:ascii="Segoe UI" w:hAnsi="Segoe UI"/>
          <w:color w:val="101820"/>
          <w:sz w:val="20"/>
        </w:rPr>
        <w:t>[Screen image not available: Set up two-step verification: QR code and setup key]</w:t>
      </w:r>
    </w:p>
    <w:p>
      <w:pPr>
        <w:pStyle w:val="Normal"/>
        <w:spacing w:lineRule="auto" w:line="276" w:before="0" w:after="120"/>
        <w:rPr/>
      </w:pPr>
      <w:r>
        <w:rPr>
          <w:rFonts w:eastAsia="Segoe UI" w:cs="Segoe UI" w:ascii="Segoe UI" w:hAnsi="Segoe UI"/>
          <w:color w:val="101820"/>
          <w:sz w:val="21"/>
        </w:rPr>
        <w:t xml:space="preserve">From then on the sign-in page asks for the code after the password. To turn it off, open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again, select </w:t>
      </w:r>
      <w:r>
        <w:rPr>
          <w:rFonts w:eastAsia="Segoe UI" w:cs="Segoe UI" w:ascii="Segoe UI" w:hAnsi="Segoe UI"/>
          <w:b/>
          <w:color w:val="101820"/>
          <w:sz w:val="21"/>
        </w:rPr>
        <w:t>Turn off</w:t>
      </w:r>
      <w:r>
        <w:rPr>
          <w:rFonts w:eastAsia="Segoe UI" w:cs="Segoe UI" w:ascii="Segoe UI" w:hAnsi="Segoe UI"/>
          <w:color w:val="101820"/>
          <w:sz w:val="21"/>
        </w:rPr>
        <w:t xml:space="preserve">, type a current code from the app and confirm with </w:t>
      </w:r>
      <w:r>
        <w:rPr>
          <w:rFonts w:eastAsia="Segoe UI" w:cs="Segoe UI" w:ascii="Segoe UI" w:hAnsi="Segoe UI"/>
          <w:b/>
          <w:color w:val="101820"/>
          <w:sz w:val="21"/>
        </w:rPr>
        <w:t>Turn off</w:t>
      </w:r>
      <w:r>
        <w:rPr>
          <w:rFonts w:eastAsia="Segoe UI" w:cs="Segoe UI" w:ascii="Segoe UI" w:hAnsi="Segoe UI"/>
          <w:color w:val="101820"/>
          <w:sz w:val="21"/>
        </w:rPr>
        <w:t xml:space="preserve">. A role that requires it cannot turn it off: the dialog says </w:t>
      </w:r>
      <w:r>
        <w:rPr>
          <w:rFonts w:eastAsia="Segoe UI" w:cs="Segoe UI" w:ascii="Segoe UI" w:hAnsi="Segoe UI"/>
          <w:b/>
          <w:color w:val="101820"/>
          <w:sz w:val="21"/>
        </w:rPr>
        <w:t>Your role requires two-step verification, so it cannot be turned off.</w:t>
      </w:r>
      <w:r>
        <w:rPr>
          <w:rFonts w:eastAsia="Segoe UI" w:cs="Segoe UI" w:ascii="Segoe UI" w:hAnsi="Segoe UI"/>
          <w:color w:val="101820"/>
          <w:sz w:val="21"/>
        </w:rPr>
        <w:t xml:space="preserve"> If you lose your phone, the System Administrator turns it off for your user (Master &gt; Users and Access &gt; User, account actions) and you set it up again.</w:t>
      </w:r>
    </w:p>
    <w:p>
      <w:pPr>
        <w:pStyle w:val="Heading2"/>
        <w:rPr/>
      </w:pPr>
      <w:bookmarkStart w:id="14" w:name="__RefHeading___Toc21545_17926050"/>
      <w:bookmarkEnd w:id="14"/>
      <w:r>
        <w:rPr>
          <w:rFonts w:eastAsia="Segoe UI" w:cs="Segoe UI"/>
          <w:b/>
          <w:color w:val="0F4761"/>
          <w:sz w:val="26"/>
        </w:rPr>
        <w:t>4.4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Reports, Master (Distribution Channels),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Reports, Master (Distribution Channels),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Reports, Master (Distribution Channels, Data Privacy),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Reports, Master (Claim Document Checklist, Repair Shops)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shd w:val="clear" w:color="auto" w:fill="EAF2FB"/>
        <w:spacing w:before="0" w:after="160"/>
        <w:ind w:left="170"/>
        <w:rPr/>
      </w:pPr>
      <w:r>
        <w:rPr>
          <w:rFonts w:eastAsia="Segoe UI" w:cs="Segoe UI" w:ascii="Segoe UI" w:hAnsi="Segoe UI"/>
          <w:color w:val="101820"/>
          <w:sz w:val="20"/>
        </w:rPr>
        <w:t>[Screen image not available: A Claims user opening Accounts &gt; Receipts by its address]</w:t>
      </w:r>
    </w:p>
    <w:p>
      <w:pPr>
        <w:pStyle w:val="Heading2"/>
        <w:rPr/>
      </w:pPr>
      <w:bookmarkStart w:id="15" w:name="__RefHeading___Toc21547_17926050"/>
      <w:bookmarkEnd w:id="15"/>
      <w:r>
        <w:rPr>
          <w:rFonts w:eastAsia="Segoe UI" w:cs="Segoe UI"/>
          <w:b/>
          <w:color w:val="0F4761"/>
          <w:sz w:val="26"/>
        </w:rPr>
        <w:t>4.5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shd w:val="clear" w:color="auto" w:fill="EAF2FB"/>
        <w:spacing w:before="0" w:after="160"/>
        <w:ind w:left="170"/>
        <w:rPr/>
      </w:pPr>
      <w:r>
        <w:rPr>
          <w:rFonts w:eastAsia="Segoe UI" w:cs="Segoe UI" w:ascii="Segoe UI" w:hAnsi="Segoe UI"/>
          <w:color w:val="101820"/>
          <w:sz w:val="20"/>
        </w:rPr>
        <w:t>[Screen image not available: 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6" w:name="__RefHeading___Toc21549_17926050"/>
      <w:bookmarkEnd w:id="16"/>
      <w:r>
        <w:rPr>
          <w:rFonts w:eastAsia="Segoe UI" w:cs="Segoe UI"/>
          <w:b/>
          <w:color w:val="0F4761"/>
          <w:sz w:val="26"/>
        </w:rPr>
        <w:t>4.6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7" w:name="__RefHeading___Toc21551_17926050"/>
      <w:bookmarkEnd w:id="17"/>
      <w:r>
        <w:rPr>
          <w:rFonts w:eastAsia="Segoe UI" w:cs="Segoe UI"/>
          <w:b/>
          <w:color w:val="0F4761"/>
          <w:sz w:val="26"/>
        </w:rPr>
        <w:t>4.7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Users and Access)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8" w:name="__RefHeading___Toc21553_17926050"/>
      <w:bookmarkEnd w:id="18"/>
      <w:r>
        <w:rPr>
          <w:rFonts w:eastAsia="Segoe UI" w:cs="Segoe UI"/>
          <w:b/>
          <w:color w:val="0F4761"/>
          <w:sz w:val="26"/>
        </w:rPr>
        <w:t>4.8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Users and Access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9" w:name="__RefHeading___Toc21555_17926050"/>
      <w:bookmarkEnd w:id="19"/>
      <w:r>
        <w:rPr>
          <w:rFonts w:eastAsia="Segoe UI" w:cs="Segoe UI" w:ascii="Segoe UI" w:hAnsi="Segoe UI"/>
          <w:b/>
          <w:color w:val="0F4761"/>
          <w:sz w:val="32"/>
        </w:rPr>
        <w:t>5.  The business process end to end</w:t>
      </w:r>
    </w:p>
    <w:p>
      <w:pPr>
        <w:pStyle w:val="Heading2"/>
        <w:rPr/>
      </w:pPr>
      <w:bookmarkStart w:id="20" w:name="__RefHeading___Toc21557_17926050"/>
      <w:bookmarkEnd w:id="20"/>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shd w:val="clear" w:color="auto" w:fill="EAF2FB"/>
        <w:spacing w:before="0" w:after="160"/>
        <w:ind w:left="170"/>
        <w:rPr/>
      </w:pPr>
      <w:r>
        <w:rPr>
          <w:rFonts w:eastAsia="Segoe UI" w:cs="Segoe UI" w:ascii="Segoe UI" w:hAnsi="Segoe UI"/>
          <w:color w:val="101820"/>
          <w:sz w:val="20"/>
        </w:rPr>
        <w:t>[Screen image not available: The broking cycle in BrokerVerse, with the persona responsible for each step]</w:t>
      </w:r>
    </w:p>
    <w:p>
      <w:pPr>
        <w:pStyle w:val="Normal"/>
        <w:numPr>
          <w:ilvl w:val="0"/>
          <w:numId w:val="126"/>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127"/>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128"/>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129"/>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130"/>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131"/>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132"/>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133"/>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134"/>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135"/>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136"/>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137"/>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138"/>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139"/>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140"/>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141"/>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142"/>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1" w:name="__RefHeading___Toc21559_17926050"/>
      <w:bookmarkEnd w:id="21"/>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2" w:name="__RefHeading___Toc21561_17926050"/>
      <w:bookmarkEnd w:id="22"/>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3" w:name="__RefHeading___Toc21563_17926050"/>
      <w:bookmarkEnd w:id="23"/>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4" w:name="__RefHeading___Toc21565_17926050"/>
      <w:bookmarkEnd w:id="24"/>
      <w:r>
        <w:rPr>
          <w:rFonts w:eastAsia="Segoe UI" w:cs="Segoe UI" w:ascii="Segoe UI" w:hAnsi="Segoe UI"/>
          <w:b/>
          <w:color w:val="0F4761"/>
          <w:sz w:val="32"/>
        </w:rPr>
        <w:t>6.  System Administrator</w:t>
      </w:r>
    </w:p>
    <w:p>
      <w:pPr>
        <w:pStyle w:val="Heading2"/>
        <w:rPr/>
      </w:pPr>
      <w:bookmarkStart w:id="25" w:name="__RefHeading___Toc21567_17926050"/>
      <w:bookmarkEnd w:id="25"/>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shd w:val="clear" w:color="auto" w:fill="EAF2FB"/>
        <w:spacing w:before="0" w:after="160"/>
        <w:ind w:left="170"/>
        <w:rPr/>
      </w:pPr>
      <w:r>
        <w:rPr>
          <w:rFonts w:eastAsia="Segoe UI" w:cs="Segoe UI" w:ascii="Segoe UI" w:hAnsi="Segoe UI"/>
          <w:color w:val="101820"/>
          <w:sz w:val="20"/>
        </w:rPr>
        <w:t>[Screen image not available: Landing page of the System Administrator]</w:t>
      </w:r>
    </w:p>
    <w:p>
      <w:pPr>
        <w:pStyle w:val="Heading2"/>
        <w:rPr/>
      </w:pPr>
      <w:bookmarkStart w:id="26" w:name="__RefHeading___Toc21569_17926050"/>
      <w:bookmarkEnd w:id="26"/>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Reports, Master and Product Configurator. The menus used for administration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(with Theme and Branding), Configuration, Document Numbering, Schedules, Audit Trail, E-mail Outbox, Integrations, Message Templates, Insurer Integration</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Go-Live and Data</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Consent Register; Go-Live Data Load</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Sales Activity Types, Sales Activity Outcomes); Insurance (Insurance Company, Line of Business, Product, Cover, Signatories, Vehicle, Short-Period Rates, Cancellation Reasons, Claim Document Checklist, Repair Shops, Distribution Channels); Location (Country, Province, City / Municipality); Employees (Hierarchy, Designation); Users and Access (User, Role, User Access Matrix, Role Permissions, Authority Matrix, Delegations, Segregation of Duties, Access Reviews)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Asset Classes, Bank Statement Formats, Bank Transaction Types, Insurer Statement Formats, Bank File Layouts, Remittance Master, Incentive Programs</w:t>
            </w:r>
          </w:p>
        </w:tc>
      </w:tr>
    </w:tbl>
    <w:p>
      <w:pPr>
        <w:pStyle w:val="Normal"/>
        <w:spacing w:before="0" w:after="80"/>
        <w:rPr/>
      </w:pPr>
      <w:r>
        <w:rPr/>
      </w:r>
    </w:p>
    <w:p>
      <w:pPr>
        <w:pStyle w:val="Heading2"/>
        <w:rPr/>
      </w:pPr>
      <w:bookmarkStart w:id="27" w:name="__RefHeading___Toc21571_17926050"/>
      <w:bookmarkEnd w:id="27"/>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7"/>
        <w:gridCol w:w="3932"/>
        <w:gridCol w:w="3934"/>
      </w:tblGrid>
      <w:tr>
        <w:trPr>
          <w:tblHeader w:val="true"/>
        </w:trPr>
        <w:tc>
          <w:tcPr>
            <w:tcW w:w="1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Users and Access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Master &gt; Finance</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the theme, the sign-in page, the document and e-mail branding, the signature mapping; import a brand pack; enable a bundled brand pack (with the trademark acknowledgement) or go back to the default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Settings &gt; Theme and Branding</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or switch on a connector (SMS, CTPL authentication, insurer API, bank files) with the server administrator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Integrations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 Access Matrix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Access Reviews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and migration workbooks, reconcile, set the go-live lock</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Data Load (chapter Go-Live Data Load)</w:t>
            </w:r>
          </w:p>
        </w:tc>
      </w:tr>
    </w:tbl>
    <w:p>
      <w:pPr>
        <w:pStyle w:val="Normal"/>
        <w:spacing w:before="0" w:after="80"/>
        <w:rPr/>
      </w:pPr>
      <w:r>
        <w:rPr/>
      </w:r>
    </w:p>
    <w:p>
      <w:pPr>
        <w:pStyle w:val="Heading2"/>
        <w:rPr/>
      </w:pPr>
      <w:bookmarkStart w:id="28" w:name="__RefHeading___Toc21573_17926050"/>
      <w:bookmarkEnd w:id="28"/>
      <w:r>
        <w:rPr>
          <w:rFonts w:eastAsia="Segoe UI" w:cs="Segoe UI"/>
          <w:b/>
          <w:color w:val="0F4761"/>
          <w:sz w:val="26"/>
        </w:rPr>
        <w:t>6.4  Users</w:t>
      </w:r>
    </w:p>
    <w:p>
      <w:pPr>
        <w:pStyle w:val="Heading3"/>
        <w:rPr/>
      </w:pPr>
      <w:r>
        <w:rPr>
          <w:rFonts w:eastAsia="Segoe UI" w:cs="Segoe UI"/>
          <w:b/>
          <w:color w:val="0F4761"/>
          <w:sz w:val="23"/>
        </w:rPr>
        <w:t>6.4.1  Add a user</w:t>
      </w:r>
    </w:p>
    <w:p>
      <w:pPr>
        <w:pStyle w:val="Normal"/>
        <w:shd w:val="clear" w:color="auto" w:fill="EAF2FB"/>
        <w:spacing w:before="0" w:after="160"/>
        <w:ind w:left="170"/>
        <w:rPr/>
      </w:pPr>
      <w:r>
        <w:rPr>
          <w:rFonts w:eastAsia="Segoe UI" w:cs="Segoe UI" w:ascii="Segoe UI" w:hAnsi="Segoe UI"/>
          <w:color w:val="101820"/>
          <w:sz w:val="20"/>
        </w:rPr>
        <w:t>[Screen image not available: Master &gt; Users and Access &gt; User &gt; Add]</w:t>
      </w:r>
    </w:p>
    <w:p>
      <w:pPr>
        <w:pStyle w:val="Normal"/>
        <w:numPr>
          <w:ilvl w:val="0"/>
          <w:numId w:val="143"/>
        </w:numPr>
        <w:spacing w:before="0" w:after="60"/>
        <w:rPr/>
      </w:pPr>
      <w:r>
        <w:rPr>
          <w:rFonts w:eastAsia="Segoe UI" w:cs="Segoe UI" w:ascii="Segoe UI" w:hAnsi="Segoe UI"/>
          <w:color w:val="101820"/>
          <w:sz w:val="21"/>
        </w:rPr>
        <w:t xml:space="preserve">Choose Master &gt; Users and Access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4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145"/>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14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w:t>
      </w:r>
      <w:r>
        <w:rPr>
          <w:rFonts w:eastAsia="Segoe UI" w:cs="Segoe UI" w:ascii="Segoe UI" w:hAnsi="Segoe UI"/>
          <w:color w:val="101820"/>
          <w:sz w:val="21"/>
        </w:rPr>
        <w:t xml:space="preserve">, the </w:t>
      </w:r>
      <w:r>
        <w:rPr>
          <w:rFonts w:eastAsia="Segoe UI" w:cs="Segoe UI" w:ascii="Segoe UI" w:hAnsi="Segoe UI"/>
          <w:b/>
          <w:color w:val="101820"/>
          <w:sz w:val="21"/>
        </w:rPr>
        <w:t>Designation</w:t>
      </w:r>
      <w:r>
        <w:rPr>
          <w:rFonts w:eastAsia="Segoe UI" w:cs="Segoe UI" w:ascii="Segoe UI" w:hAnsi="Segoe UI"/>
          <w:color w:val="101820"/>
          <w:sz w:val="21"/>
        </w:rPr>
        <w:t xml:space="preserve"> and </w:t>
      </w:r>
      <w:r>
        <w:rPr>
          <w:rFonts w:eastAsia="Segoe UI" w:cs="Segoe UI" w:ascii="Segoe UI" w:hAnsi="Segoe UI"/>
          <w:b/>
          <w:color w:val="101820"/>
          <w:sz w:val="21"/>
        </w:rPr>
        <w:t>Reporting to</w:t>
      </w:r>
      <w:r>
        <w:rPr>
          <w:rFonts w:eastAsia="Segoe UI" w:cs="Segoe UI" w:ascii="Segoe UI" w:hAnsi="Segoe UI"/>
          <w:color w:val="101820"/>
          <w:sz w:val="21"/>
        </w:rPr>
        <w:t xml:space="preserve"> (the user's manager), if your organisation uses them.</w:t>
      </w:r>
    </w:p>
    <w:p>
      <w:pPr>
        <w:pStyle w:val="Normal"/>
        <w:numPr>
          <w:ilvl w:val="0"/>
          <w:numId w:val="14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14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shd w:val="clear" w:color="auto" w:fill="EAF2FB"/>
        <w:spacing w:before="0" w:after="160"/>
        <w:ind w:left="170"/>
        <w:rPr/>
      </w:pPr>
      <w:r>
        <w:rPr>
          <w:rFonts w:eastAsia="Segoe UI" w:cs="Segoe UI" w:ascii="Segoe UI" w:hAnsi="Segoe UI"/>
          <w:color w:val="101820"/>
          <w:sz w:val="20"/>
        </w:rPr>
        <w:t>[Screen image not available: 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seven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shd w:val="clear" w:color="auto" w:fill="EAF2FB"/>
        <w:spacing w:before="0" w:after="160"/>
        <w:ind w:left="170"/>
        <w:rPr/>
      </w:pPr>
      <w:r>
        <w:rPr>
          <w:rFonts w:eastAsia="Segoe UI" w:cs="Segoe UI" w:ascii="Segoe UI" w:hAnsi="Segoe UI"/>
          <w:color w:val="101820"/>
          <w:sz w:val="20"/>
        </w:rPr>
        <w:t>[Screen image not available: Master &gt; Users and Access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two-step verification</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shd w:val="clear" w:color="auto" w:fill="EAF2FB"/>
        <w:spacing w:before="0" w:after="160"/>
        <w:ind w:left="170"/>
        <w:rPr/>
      </w:pPr>
      <w:r>
        <w:rPr>
          <w:rFonts w:eastAsia="Segoe UI" w:cs="Segoe UI" w:ascii="Segoe UI" w:hAnsi="Segoe UI"/>
          <w:color w:val="101820"/>
          <w:sz w:val="20"/>
        </w:rPr>
        <w:t>[Screen image not available: Master &gt; Users and Access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shd w:val="clear" w:color="auto" w:fill="EAF2FB"/>
        <w:spacing w:before="0" w:after="160"/>
        <w:ind w:left="170"/>
        <w:rPr/>
      </w:pPr>
      <w:r>
        <w:rPr>
          <w:rFonts w:eastAsia="Segoe UI" w:cs="Segoe UI" w:ascii="Segoe UI" w:hAnsi="Segoe UI"/>
          <w:color w:val="101820"/>
          <w:sz w:val="20"/>
        </w:rPr>
        <w:t>[Screen image not available: Master &gt; Users and Access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149"/>
        </w:numPr>
        <w:spacing w:before="0" w:after="60"/>
        <w:rPr/>
      </w:pPr>
      <w:r>
        <w:rPr>
          <w:rFonts w:eastAsia="Segoe UI" w:cs="Segoe UI" w:ascii="Segoe UI" w:hAnsi="Segoe UI"/>
          <w:color w:val="101820"/>
          <w:sz w:val="21"/>
        </w:rPr>
        <w:t xml:space="preserve">Choose Users and Access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150"/>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15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When assigned</w:t>
      </w:r>
      <w:r>
        <w:rPr>
          <w:rFonts w:eastAsia="Segoe UI" w:cs="Segoe UI" w:ascii="Segoe UI" w:hAnsi="Segoe UI"/>
          <w:color w:val="101820"/>
          <w:sz w:val="21"/>
        </w:rPr>
        <w:t xml:space="preserve">: </w:t>
      </w:r>
      <w:r>
        <w:rPr>
          <w:rFonts w:eastAsia="Segoe UI" w:cs="Segoe UI" w:ascii="Segoe UI" w:hAnsi="Segoe UI"/>
          <w:b/>
          <w:color w:val="101820"/>
          <w:sz w:val="21"/>
        </w:rPr>
        <w:t>Block</w:t>
      </w:r>
      <w:r>
        <w:rPr>
          <w:rFonts w:eastAsia="Segoe UI" w:cs="Segoe UI" w:ascii="Segoe UI" w:hAnsi="Segoe UI"/>
          <w:color w:val="101820"/>
          <w:sz w:val="21"/>
        </w:rPr>
        <w:t xml:space="preserve"> refuses the combination, </w:t>
      </w:r>
      <w:r>
        <w:rPr>
          <w:rFonts w:eastAsia="Segoe UI" w:cs="Segoe UI" w:ascii="Segoe UI" w:hAnsi="Segoe UI"/>
          <w:b/>
          <w:color w:val="101820"/>
          <w:sz w:val="21"/>
        </w:rPr>
        <w:t>Warn</w:t>
      </w:r>
      <w:r>
        <w:rPr>
          <w:rFonts w:eastAsia="Segoe UI" w:cs="Segoe UI" w:ascii="Segoe UI" w:hAnsi="Segoe UI"/>
          <w:color w:val="101820"/>
          <w:sz w:val="21"/>
        </w:rPr>
        <w:t xml:space="preserve"> allows it with a warning),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the person who places business should not approve its payments), all three Block; and SOD-SALES-ACCT (Sales &amp; Marketing and Accounting) and SOD-SALES-CLM (Sales &amp; Marketing and Claims), both Warn.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shd w:val="clear" w:color="auto" w:fill="EAF2FB"/>
        <w:spacing w:before="0" w:after="160"/>
        <w:ind w:left="170"/>
        <w:rPr/>
      </w:pPr>
      <w:r>
        <w:rPr>
          <w:rFonts w:eastAsia="Segoe UI" w:cs="Segoe UI" w:ascii="Segoe UI" w:hAnsi="Segoe UI"/>
          <w:color w:val="101820"/>
          <w:sz w:val="20"/>
        </w:rPr>
        <w:t>[Screen image not available: Master &gt; Users and Access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9" w:name="__RefHeading___Toc21575_17926050"/>
      <w:bookmarkEnd w:id="29"/>
      <w:r>
        <w:rPr>
          <w:rFonts w:eastAsia="Segoe UI" w:cs="Segoe UI"/>
          <w:b/>
          <w:color w:val="0F4761"/>
          <w:sz w:val="26"/>
        </w:rPr>
        <w:t>6.5  Company, branches and the letterhead</w:t>
      </w:r>
    </w:p>
    <w:p>
      <w:pPr>
        <w:pStyle w:val="Normal"/>
        <w:shd w:val="clear" w:color="auto" w:fill="EAF2FB"/>
        <w:spacing w:before="0" w:after="160"/>
        <w:ind w:left="170"/>
        <w:rPr/>
      </w:pPr>
      <w:r>
        <w:rPr>
          <w:rFonts w:eastAsia="Segoe UI" w:cs="Segoe UI" w:ascii="Segoe UI" w:hAnsi="Segoe UI"/>
          <w:color w:val="101820"/>
          <w:sz w:val="20"/>
        </w:rPr>
        <w:t>[Screen image not available: Master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152"/>
        </w:numPr>
        <w:spacing w:before="0" w:after="60"/>
        <w:rPr/>
      </w:pPr>
      <w:r>
        <w:rPr>
          <w:rFonts w:eastAsia="Segoe UI" w:cs="Segoe UI" w:ascii="Segoe UI" w:hAnsi="Segoe UI"/>
          <w:color w:val="101820"/>
          <w:sz w:val="21"/>
        </w:rPr>
        <w:t xml:space="preserve">Choose Master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153"/>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 (BIR forms)</w:t>
      </w:r>
      <w:r>
        <w:rPr>
          <w:rFonts w:eastAsia="Segoe UI" w:cs="Segoe UI" w:ascii="Segoe UI" w:hAnsi="Segoe UI"/>
          <w:color w:val="101820"/>
          <w:sz w:val="21"/>
        </w:rPr>
        <w:t xml:space="preserve">, </w:t>
      </w:r>
      <w:r>
        <w:rPr>
          <w:rFonts w:eastAsia="Segoe UI" w:cs="Segoe UI" w:ascii="Segoe UI" w:hAnsi="Segoe UI"/>
          <w:b/>
          <w:color w:val="101820"/>
          <w:sz w:val="21"/>
        </w:rPr>
        <w:t>RDO Code</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the registered address (letterhead and BIR forms: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154"/>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1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Organization &gt; Branch in the same way.</w:t>
      </w:r>
    </w:p>
    <w:p>
      <w:pPr>
        <w:pStyle w:val="Heading2"/>
        <w:rPr/>
      </w:pPr>
      <w:bookmarkStart w:id="30" w:name="__RefHeading___Toc21577_17926050"/>
      <w:bookmarkEnd w:id="30"/>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shd w:val="clear" w:color="auto" w:fill="EAF2FB"/>
        <w:spacing w:before="0" w:after="160"/>
        <w:ind w:left="170"/>
        <w:rPr/>
      </w:pPr>
      <w:r>
        <w:rPr>
          <w:rFonts w:eastAsia="Segoe UI" w:cs="Segoe UI" w:ascii="Segoe UI" w:hAnsi="Segoe UI"/>
          <w:color w:val="101820"/>
          <w:sz w:val="20"/>
        </w:rPr>
        <w:t>[Screen image not available: Master &gt; Insurance &gt; Insurance Company &gt; Add]</w:t>
      </w:r>
    </w:p>
    <w:p>
      <w:pPr>
        <w:pStyle w:val="Normal"/>
        <w:numPr>
          <w:ilvl w:val="0"/>
          <w:numId w:val="156"/>
        </w:numPr>
        <w:spacing w:before="0" w:after="60"/>
        <w:rPr/>
      </w:pPr>
      <w:r>
        <w:rPr>
          <w:rFonts w:eastAsia="Segoe UI" w:cs="Segoe UI" w:ascii="Segoe UI" w:hAnsi="Segoe UI"/>
          <w:color w:val="101820"/>
          <w:sz w:val="21"/>
        </w:rPr>
        <w:t xml:space="preserve">Choose Master &gt; Insurance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57"/>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15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Province, City / Municipality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Philippine address lists of the PSGC: 18 regions (shown with their provinces), 82 provinces plus Metro Manila, 1,642 cities and municipalities with class and ZIP code; barangays are picked on the address forms. The City / Municipality list is filtered by province.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Users and Access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Operational masters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87"/>
        <w:gridCol w:w="3212"/>
        <w:gridCol w:w="3316"/>
      </w:tblGrid>
      <w:tr>
        <w:trPr>
          <w:tblHeader w:val="true"/>
        </w:trPr>
        <w:tc>
          <w:tcPr>
            <w:tcW w:w="24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Maintained by</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Short-Period Rates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 Reasons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Shops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 &gt; Suppliers</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Each screen lists the records with </w:t>
      </w:r>
      <w:r>
        <w:rPr>
          <w:rFonts w:eastAsia="Segoe UI" w:cs="Segoe UI" w:ascii="Segoe UI" w:hAnsi="Segoe UI"/>
          <w:b/>
          <w:color w:val="101820"/>
          <w:sz w:val="21"/>
        </w:rPr>
        <w:t>Add</w:t>
      </w:r>
      <w:r>
        <w:rPr>
          <w:rFonts w:eastAsia="Segoe UI" w:cs="Segoe UI" w:ascii="Segoe UI" w:hAnsi="Segoe UI"/>
          <w:color w:val="101820"/>
          <w:sz w:val="21"/>
        </w:rPr>
        <w:t xml:space="preserve">, the edit icon and activate / deactivate. The six masters are also in the go-live configuration workbook and have upload templates. </w:t>
      </w:r>
      <w:r>
        <w:rPr>
          <w:rFonts w:eastAsia="Segoe UI" w:cs="Segoe UI" w:ascii="Segoe UI" w:hAnsi="Segoe UI"/>
          <w:b/>
          <w:color w:val="101820"/>
          <w:sz w:val="21"/>
        </w:rPr>
        <w:t>Sales Activity Types</w:t>
      </w:r>
      <w:r>
        <w:rPr>
          <w:rFonts w:eastAsia="Segoe UI" w:cs="Segoe UI" w:ascii="Segoe UI" w:hAnsi="Segoe UI"/>
          <w:color w:val="101820"/>
          <w:sz w:val="21"/>
        </w:rPr>
        <w:t xml:space="preserve"> and </w:t>
      </w:r>
      <w:r>
        <w:rPr>
          <w:rFonts w:eastAsia="Segoe UI" w:cs="Segoe UI" w:ascii="Segoe UI" w:hAnsi="Segoe UI"/>
          <w:b/>
          <w:color w:val="101820"/>
          <w:sz w:val="21"/>
        </w:rPr>
        <w:t>Sales Activity Outcomes</w:t>
      </w:r>
      <w:r>
        <w:rPr>
          <w:rFonts w:eastAsia="Segoe UI" w:cs="Segoe UI" w:ascii="Segoe UI" w:hAnsi="Segoe UI"/>
          <w:color w:val="101820"/>
          <w:sz w:val="21"/>
        </w:rPr>
        <w:t xml:space="preserve"> (Master &gt; Organization) work the same way and are described under Sales activities in the Sales &amp; Marketing chapter; </w:t>
      </w:r>
      <w:r>
        <w:rPr>
          <w:rFonts w:eastAsia="Segoe UI" w:cs="Segoe UI" w:ascii="Segoe UI" w:hAnsi="Segoe UI"/>
          <w:b/>
          <w:color w:val="101820"/>
          <w:sz w:val="21"/>
        </w:rPr>
        <w:t>Distribution Channels</w:t>
      </w:r>
      <w:r>
        <w:rPr>
          <w:rFonts w:eastAsia="Segoe UI" w:cs="Segoe UI" w:ascii="Segoe UI" w:hAnsi="Segoe UI"/>
          <w:color w:val="101820"/>
          <w:sz w:val="21"/>
        </w:rPr>
        <w:t xml:space="preserve"> (Master &gt; Insurance) in the chapter Distribution, programmes and products.</w:t>
      </w:r>
    </w:p>
    <w:p>
      <w:pPr>
        <w:pStyle w:val="Normal"/>
        <w:shd w:val="clear" w:color="auto" w:fill="EAF2FB"/>
        <w:spacing w:before="0" w:after="160"/>
        <w:ind w:left="170"/>
        <w:rPr/>
      </w:pPr>
      <w:r>
        <w:rPr>
          <w:rFonts w:eastAsia="Segoe UI" w:cs="Segoe UI" w:ascii="Segoe UI" w:hAnsi="Segoe UI"/>
          <w:color w:val="101820"/>
          <w:sz w:val="20"/>
        </w:rPr>
        <w:t>[Screen image not available: Master &gt; Insurance &gt; Short-Period Rates, one of the operational masters]</w:t>
      </w:r>
    </w:p>
    <w:p>
      <w:pPr>
        <w:pStyle w:val="Heading3"/>
        <w:rPr/>
      </w:pPr>
      <w:r>
        <w:rPr>
          <w:rFonts w:eastAsia="Segoe UI" w:cs="Segoe UI"/>
          <w:b/>
          <w:color w:val="0F4761"/>
          <w:sz w:val="23"/>
        </w:rPr>
        <w:t>6.6.4  Uploads</w:t>
      </w:r>
    </w:p>
    <w:p>
      <w:pPr>
        <w:pStyle w:val="Normal"/>
        <w:shd w:val="clear" w:color="auto" w:fill="EAF2FB"/>
        <w:spacing w:before="0" w:after="160"/>
        <w:ind w:left="170"/>
        <w:rPr/>
      </w:pPr>
      <w:r>
        <w:rPr>
          <w:rFonts w:eastAsia="Segoe UI" w:cs="Segoe UI" w:ascii="Segoe UI" w:hAnsi="Segoe UI"/>
          <w:color w:val="101820"/>
          <w:sz w:val="20"/>
        </w:rPr>
        <w:t>[Screen image not available: Upload dialog of a master with Download template]</w:t>
      </w:r>
    </w:p>
    <w:p>
      <w:pPr>
        <w:pStyle w:val="Normal"/>
        <w:numPr>
          <w:ilvl w:val="0"/>
          <w:numId w:val="16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16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62"/>
        </w:numPr>
        <w:spacing w:before="0" w:after="60"/>
        <w:rPr/>
      </w:pPr>
      <w:r>
        <w:rPr>
          <w:rFonts w:eastAsia="Segoe UI" w:cs="Segoe UI" w:ascii="Segoe UI" w:hAnsi="Segoe UI"/>
          <w:color w:val="101820"/>
          <w:sz w:val="21"/>
        </w:rPr>
        <w:t>Delete the sample rows, enter your data, save the file.</w:t>
      </w:r>
    </w:p>
    <w:p>
      <w:pPr>
        <w:pStyle w:val="Normal"/>
        <w:numPr>
          <w:ilvl w:val="0"/>
          <w:numId w:val="163"/>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1" w:name="__RefHeading___Toc21579_17926050"/>
      <w:bookmarkEnd w:id="31"/>
      <w:r>
        <w:rPr>
          <w:rFonts w:eastAsia="Segoe UI" w:cs="Segoe UI"/>
          <w:b/>
          <w:color w:val="0F4761"/>
          <w:sz w:val="26"/>
        </w:rPr>
        <w:t>6.7  Document Numbering</w:t>
      </w:r>
    </w:p>
    <w:p>
      <w:pPr>
        <w:pStyle w:val="Normal"/>
        <w:shd w:val="clear" w:color="auto" w:fill="EAF2FB"/>
        <w:spacing w:before="0" w:after="160"/>
        <w:ind w:left="170"/>
        <w:rPr/>
      </w:pPr>
      <w:r>
        <w:rPr>
          <w:rFonts w:eastAsia="Segoe UI" w:cs="Segoe UI" w:ascii="Segoe UI" w:hAnsi="Segoe UI"/>
          <w:color w:val="101820"/>
          <w:sz w:val="20"/>
        </w:rPr>
        <w:t>[Screen image not available: 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6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65"/>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66"/>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67"/>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2" w:name="__RefHeading___Toc21581_17926050"/>
      <w:bookmarkEnd w:id="32"/>
      <w:r>
        <w:rPr>
          <w:rFonts w:eastAsia="Segoe UI" w:cs="Segoe UI"/>
          <w:b/>
          <w:color w:val="0F4761"/>
          <w:sz w:val="26"/>
        </w:rPr>
        <w:t>6.8  Configuration</w:t>
      </w:r>
    </w:p>
    <w:p>
      <w:pPr>
        <w:pStyle w:val="Normal"/>
        <w:shd w:val="clear" w:color="auto" w:fill="EAF2FB"/>
        <w:spacing w:before="0" w:after="160"/>
        <w:ind w:left="170"/>
        <w:rPr/>
      </w:pPr>
      <w:r>
        <w:rPr>
          <w:rFonts w:eastAsia="Segoe UI" w:cs="Segoe UI" w:ascii="Segoe UI" w:hAnsi="Segoe UI"/>
          <w:color w:val="101820"/>
          <w:sz w:val="20"/>
        </w:rPr>
        <w:t>[Screen image not available: 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Privacy &amp; Uploads; and Other settings for settings not yet placed in an area. The search box finds a setting by its words, for example VAT or renewal notice.</w:t>
      </w:r>
    </w:p>
    <w:p>
      <w:pPr>
        <w:pStyle w:val="Normal"/>
        <w:numPr>
          <w:ilvl w:val="0"/>
          <w:numId w:val="168"/>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69"/>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70"/>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shd w:val="clear" w:color="auto" w:fill="EAF2FB"/>
        <w:spacing w:before="0" w:after="160"/>
        <w:ind w:left="170"/>
        <w:rPr/>
      </w:pPr>
      <w:r>
        <w:rPr>
          <w:rFonts w:eastAsia="Segoe UI" w:cs="Segoe UI" w:ascii="Segoe UI" w:hAnsi="Segoe UI"/>
          <w:color w:val="101820"/>
          <w:sz w:val="20"/>
        </w:rPr>
        <w:t>[Screen image not available: Configuration: the Security &amp; Access area]</w:t>
      </w:r>
    </w:p>
    <w:p>
      <w:pPr>
        <w:pStyle w:val="Normal"/>
        <w:spacing w:lineRule="auto" w:line="276" w:before="0" w:after="120"/>
        <w:rPr/>
      </w:pPr>
      <w:r>
        <w:rPr>
          <w:rFonts w:eastAsia="Segoe UI" w:cs="Segoe UI" w:ascii="Segoe UI" w:hAnsi="Segoe UI"/>
          <w:color w:val="101820"/>
          <w:sz w:val="21"/>
        </w:rPr>
        <w:t xml:space="preserve">The group </w:t>
      </w:r>
      <w:r>
        <w:rPr>
          <w:rFonts w:eastAsia="Segoe UI" w:cs="Segoe UI" w:ascii="Segoe UI" w:hAnsi="Segoe UI"/>
          <w:b/>
          <w:color w:val="101820"/>
          <w:sz w:val="21"/>
        </w:rPr>
        <w:t>Go-live</w:t>
      </w:r>
      <w:r>
        <w:rPr>
          <w:rFonts w:eastAsia="Segoe UI" w:cs="Segoe UI" w:ascii="Segoe UI" w:hAnsi="Segoe UI"/>
          <w:color w:val="101820"/>
          <w:sz w:val="21"/>
        </w:rPr>
        <w:t xml:space="preserve"> (area Company &amp; Branding) holds the cutover date </w:t>
      </w:r>
      <w:r>
        <w:rPr>
          <w:rFonts w:eastAsia="Consolas" w:cs="Consolas" w:ascii="Consolas" w:hAnsi="Consolas"/>
          <w:color w:val="101820"/>
          <w:sz w:val="19"/>
        </w:rPr>
        <w:t>golive.cutover_date</w:t>
      </w:r>
      <w:r>
        <w:rPr>
          <w:rFonts w:eastAsia="Segoe UI" w:cs="Segoe UI" w:ascii="Segoe UI" w:hAnsi="Segoe UI"/>
          <w:color w:val="101820"/>
          <w:sz w:val="21"/>
        </w:rPr>
        <w:t xml:space="preserve">, the first day of live transactions, and the go-live lock </w:t>
      </w:r>
      <w:r>
        <w:rPr>
          <w:rFonts w:eastAsia="Consolas" w:cs="Consolas" w:ascii="Consolas" w:hAnsi="Consolas"/>
          <w:color w:val="101820"/>
          <w:sz w:val="19"/>
        </w:rPr>
        <w:t>golive.locked</w:t>
      </w:r>
      <w:r>
        <w:rPr>
          <w:rFonts w:eastAsia="Segoe UI" w:cs="Segoe UI" w:ascii="Segoe UI" w:hAnsi="Segoe UI"/>
          <w:color w:val="101820"/>
          <w:sz w:val="21"/>
        </w:rPr>
        <w:t>. Set them as described in the chapter Go-Live Data Load; switch the lock on only when the migration is loaded and reconciled.</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&gt; System Settings) holds the quick branding and localisation: </w:t>
      </w:r>
      <w:r>
        <w:rPr>
          <w:rFonts w:eastAsia="Segoe UI" w:cs="Segoe UI" w:ascii="Segoe UI" w:hAnsi="Segoe UI"/>
          <w:b/>
          <w:color w:val="101820"/>
          <w:sz w:val="21"/>
        </w:rPr>
        <w:t>Application name</w:t>
      </w:r>
      <w:r>
        <w:rPr>
          <w:rFonts w:eastAsia="Segoe UI" w:cs="Segoe UI" w:ascii="Segoe UI" w:hAnsi="Segoe UI"/>
          <w:color w:val="101820"/>
          <w:sz w:val="21"/>
        </w:rPr>
        <w:t xml:space="preserve"> (shown on the sign-in page, the sidebar and the browser tab), </w:t>
      </w:r>
      <w:r>
        <w:rPr>
          <w:rFonts w:eastAsia="Segoe UI" w:cs="Segoe UI" w:ascii="Segoe UI" w:hAnsi="Segoe UI"/>
          <w:b/>
          <w:color w:val="101820"/>
          <w:sz w:val="21"/>
        </w:rPr>
        <w:t>Application logo (screen)</w:t>
      </w:r>
      <w:r>
        <w:rPr>
          <w:rFonts w:eastAsia="Segoe UI" w:cs="Segoe UI" w:ascii="Segoe UI" w:hAnsi="Segoe UI"/>
          <w:color w:val="101820"/>
          <w:sz w:val="21"/>
        </w:rPr>
        <w:t xml:space="preserve"> with </w:t>
      </w:r>
      <w:r>
        <w:rPr>
          <w:rFonts w:eastAsia="Segoe UI" w:cs="Segoe UI" w:ascii="Segoe UI" w:hAnsi="Segoe UI"/>
          <w:b/>
          <w:color w:val="101820"/>
          <w:sz w:val="21"/>
        </w:rPr>
        <w:t>Upload Logo</w:t>
      </w:r>
      <w:r>
        <w:rPr>
          <w:rFonts w:eastAsia="Segoe UI" w:cs="Segoe UI" w:ascii="Segoe UI" w:hAnsi="Segoe UI"/>
          <w:color w:val="101820"/>
          <w:sz w:val="21"/>
        </w:rPr>
        <w:t xml:space="preserve"> or </w:t>
      </w:r>
      <w:r>
        <w:rPr>
          <w:rFonts w:eastAsia="Segoe UI" w:cs="Segoe UI" w:ascii="Segoe UI" w:hAnsi="Segoe UI"/>
          <w:b/>
          <w:color w:val="101820"/>
          <w:sz w:val="21"/>
        </w:rPr>
        <w:t>Add Company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with </w:t>
      </w:r>
      <w:r>
        <w:rPr>
          <w:rFonts w:eastAsia="Segoe UI" w:cs="Segoe UI" w:ascii="Segoe UI" w:hAnsi="Segoe UI"/>
          <w:b/>
          <w:color w:val="101820"/>
          <w:sz w:val="21"/>
        </w:rPr>
        <w:t>Upload 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 The </w:t>
      </w:r>
      <w:r>
        <w:rPr>
          <w:rFonts w:eastAsia="Segoe UI" w:cs="Segoe UI" w:ascii="Segoe UI" w:hAnsi="Segoe UI"/>
          <w:b/>
          <w:color w:val="101820"/>
          <w:sz w:val="21"/>
        </w:rPr>
        <w:t>Theme</w:t>
      </w:r>
      <w:r>
        <w:rPr>
          <w:rFonts w:eastAsia="Segoe UI" w:cs="Segoe UI" w:ascii="Segoe UI" w:hAnsi="Segoe UI"/>
          <w:color w:val="101820"/>
          <w:sz w:val="21"/>
        </w:rPr>
        <w:t xml:space="preserve"> group links to </w:t>
      </w:r>
      <w:r>
        <w:rPr>
          <w:rFonts w:eastAsia="Segoe UI" w:cs="Segoe UI" w:ascii="Segoe UI" w:hAnsi="Segoe UI"/>
          <w:b/>
          <w:color w:val="101820"/>
          <w:sz w:val="21"/>
        </w:rPr>
        <w:t>Theme and Branding (full theme, sign-in page, documents, e-mail, signatures, brand packs)</w:t>
      </w:r>
      <w:r>
        <w:rPr>
          <w:rFonts w:eastAsia="Segoe UI" w:cs="Segoe UI" w:ascii="Segoe UI" w:hAnsi="Segoe UI"/>
          <w:color w:val="101820"/>
          <w:sz w:val="21"/>
        </w:rPr>
        <w:t>, described in the next section. Printed documents use the logo of the letterhead company in Master &gt; Organization &gt; Company.</w:t>
      </w:r>
    </w:p>
    <w:p>
      <w:pPr>
        <w:pStyle w:val="Normal"/>
        <w:shd w:val="clear" w:color="auto" w:fill="EAF2FB"/>
        <w:spacing w:before="0" w:after="160"/>
        <w:ind w:left="170"/>
        <w:rPr/>
      </w:pPr>
      <w:r>
        <w:rPr>
          <w:rFonts w:eastAsia="Segoe UI" w:cs="Segoe UI" w:ascii="Segoe UI" w:hAnsi="Segoe UI"/>
          <w:color w:val="101820"/>
          <w:sz w:val="20"/>
        </w:rPr>
        <w:t>[Screen image not available: Master &gt; System Settings]</w:t>
      </w:r>
    </w:p>
    <w:p>
      <w:pPr>
        <w:pStyle w:val="Heading2"/>
        <w:rPr/>
      </w:pPr>
      <w:bookmarkStart w:id="33" w:name="__RefHeading___Toc21583_17926050"/>
      <w:bookmarkEnd w:id="33"/>
      <w:r>
        <w:rPr>
          <w:rFonts w:eastAsia="Segoe UI" w:cs="Segoe UI"/>
          <w:b/>
          <w:color w:val="0F4761"/>
          <w:sz w:val="26"/>
        </w:rPr>
        <w:t>6.9  Theme and Branding</w:t>
      </w:r>
    </w:p>
    <w:p>
      <w:pPr>
        <w:pStyle w:val="Normal"/>
        <w:spacing w:lineRule="auto" w:line="276" w:before="0" w:after="120"/>
        <w:rPr/>
      </w:pPr>
      <w:r>
        <w:rPr>
          <w:rFonts w:eastAsia="Segoe UI" w:cs="Segoe UI" w:ascii="Segoe UI" w:hAnsi="Segoe UI"/>
          <w:color w:val="101820"/>
          <w:sz w:val="21"/>
        </w:rPr>
        <w:t xml:space="preserve">Master &gt; System &gt; System Settings &gt; </w:t>
      </w:r>
      <w:r>
        <w:rPr>
          <w:rFonts w:eastAsia="Segoe UI" w:cs="Segoe UI" w:ascii="Segoe UI" w:hAnsi="Segoe UI"/>
          <w:b/>
          <w:color w:val="101820"/>
          <w:sz w:val="21"/>
        </w:rPr>
        <w:t>Theme and Branding</w:t>
      </w:r>
      <w:r>
        <w:rPr>
          <w:rFonts w:eastAsia="Segoe UI" w:cs="Segoe UI" w:ascii="Segoe UI" w:hAnsi="Segoe UI"/>
          <w:color w:val="101820"/>
          <w:sz w:val="21"/>
        </w:rPr>
        <w:t xml:space="preserve"> sets the look of the screens, the sign-in page, the printed documents, the report files and the e-mails of the broker, as data: no new release is needed. Opening the page needs the settings permission of the System Administrator; a saved theme reaches every signed-in user on their next page and the documents, reports and e-mails at once.</w:t>
      </w:r>
    </w:p>
    <w:p>
      <w:pPr>
        <w:pStyle w:val="Normal"/>
        <w:shd w:val="clear" w:color="auto" w:fill="EAF2FB"/>
        <w:spacing w:before="0" w:after="160"/>
        <w:ind w:left="170"/>
        <w:rPr/>
      </w:pPr>
      <w:r>
        <w:rPr>
          <w:rFonts w:eastAsia="Segoe UI" w:cs="Segoe UI" w:ascii="Segoe UI" w:hAnsi="Segoe UI"/>
          <w:color w:val="101820"/>
          <w:sz w:val="20"/>
        </w:rPr>
        <w:t>[Screen image not available: Master &gt; System Settings &gt; Theme and Branding: the Theme tab, the live preview and the contrast list]</w:t>
      </w:r>
    </w:p>
    <w:p>
      <w:pPr>
        <w:pStyle w:val="Normal"/>
        <w:spacing w:lineRule="auto" w:line="276" w:before="0" w:after="120"/>
        <w:rPr/>
      </w:pPr>
      <w:r>
        <w:rPr>
          <w:rFonts w:eastAsia="Segoe UI" w:cs="Segoe UI" w:ascii="Segoe UI" w:hAnsi="Segoe UI"/>
          <w:color w:val="101820"/>
          <w:sz w:val="21"/>
        </w:rPr>
        <w:t xml:space="preserve">The editor on the left has seven tabs: </w:t>
      </w:r>
      <w:r>
        <w:rPr>
          <w:rFonts w:eastAsia="Segoe UI" w:cs="Segoe UI" w:ascii="Segoe UI" w:hAnsi="Segoe UI"/>
          <w:b/>
          <w:color w:val="101820"/>
          <w:sz w:val="21"/>
        </w:rPr>
        <w:t>Theme</w:t>
      </w:r>
      <w:r>
        <w:rPr>
          <w:rFonts w:eastAsia="Segoe UI" w:cs="Segoe UI" w:ascii="Segoe UI" w:hAnsi="Segoe UI"/>
          <w:color w:val="101820"/>
          <w:sz w:val="21"/>
        </w:rPr>
        <w:t xml:space="preserve">, </w:t>
      </w:r>
      <w:r>
        <w:rPr>
          <w:rFonts w:eastAsia="Segoe UI" w:cs="Segoe UI" w:ascii="Segoe UI" w:hAnsi="Segoe UI"/>
          <w:b/>
          <w:color w:val="101820"/>
          <w:sz w:val="21"/>
        </w:rPr>
        <w:t>Sign-in page</w:t>
      </w:r>
      <w:r>
        <w:rPr>
          <w:rFonts w:eastAsia="Segoe UI" w:cs="Segoe UI" w:ascii="Segoe UI" w:hAnsi="Segoe UI"/>
          <w:color w:val="101820"/>
          <w:sz w:val="21"/>
        </w:rPr>
        <w:t xml:space="preserve">, </w:t>
      </w:r>
      <w:r>
        <w:rPr>
          <w:rFonts w:eastAsia="Segoe UI" w:cs="Segoe UI" w:ascii="Segoe UI" w:hAnsi="Segoe UI"/>
          <w:b/>
          <w:color w:val="101820"/>
          <w:sz w:val="21"/>
        </w:rPr>
        <w:t>Documents and reports</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Name and images</w:t>
      </w:r>
      <w:r>
        <w:rPr>
          <w:rFonts w:eastAsia="Segoe UI" w:cs="Segoe UI" w:ascii="Segoe UI" w:hAnsi="Segoe UI"/>
          <w:color w:val="101820"/>
          <w:sz w:val="21"/>
        </w:rPr>
        <w:t xml:space="preserve">, </w:t>
      </w:r>
      <w:r>
        <w:rPr>
          <w:rFonts w:eastAsia="Segoe UI" w:cs="Segoe UI" w:ascii="Segoe UI" w:hAnsi="Segoe UI"/>
          <w:b/>
          <w:color w:val="101820"/>
          <w:sz w:val="21"/>
        </w:rPr>
        <w:t>Document signatures</w:t>
      </w:r>
      <w:r>
        <w:rPr>
          <w:rFonts w:eastAsia="Segoe UI" w:cs="Segoe UI" w:ascii="Segoe UI" w:hAnsi="Segoe UI"/>
          <w:color w:val="101820"/>
          <w:sz w:val="21"/>
        </w:rPr>
        <w:t xml:space="preserve"> and </w:t>
      </w:r>
      <w:r>
        <w:rPr>
          <w:rFonts w:eastAsia="Segoe UI" w:cs="Segoe UI" w:ascii="Segoe UI" w:hAnsi="Segoe UI"/>
          <w:b/>
          <w:color w:val="101820"/>
          <w:sz w:val="21"/>
        </w:rPr>
        <w:t>Brand packs</w:t>
      </w:r>
      <w:r>
        <w:rPr>
          <w:rFonts w:eastAsia="Segoe UI" w:cs="Segoe UI" w:ascii="Segoe UI" w:hAnsi="Segoe UI"/>
          <w:color w:val="101820"/>
          <w:sz w:val="21"/>
        </w:rPr>
        <w:t xml:space="preserve">. The right-hand side shows the </w:t>
      </w:r>
      <w:r>
        <w:rPr>
          <w:rFonts w:eastAsia="Segoe UI" w:cs="Segoe UI" w:ascii="Segoe UI" w:hAnsi="Segoe UI"/>
          <w:b/>
          <w:color w:val="101820"/>
          <w:sz w:val="21"/>
        </w:rPr>
        <w:t>Live preview</w:t>
      </w:r>
      <w:r>
        <w:rPr>
          <w:rFonts w:eastAsia="Segoe UI" w:cs="Segoe UI" w:ascii="Segoe UI" w:hAnsi="Segoe UI"/>
          <w:color w:val="101820"/>
          <w:sz w:val="21"/>
        </w:rPr>
        <w:t xml:space="preserve"> (the header, side bar, a table, buttons and the sign-in panel in the colours being edited) and the </w:t>
      </w:r>
      <w:r>
        <w:rPr>
          <w:rFonts w:eastAsia="Segoe UI" w:cs="Segoe UI" w:ascii="Segoe UI" w:hAnsi="Segoe UI"/>
          <w:b/>
          <w:color w:val="101820"/>
          <w:sz w:val="21"/>
        </w:rPr>
        <w:t>Contrast (WCAG AA 4.5:1)</w:t>
      </w:r>
      <w:r>
        <w:rPr>
          <w:rFonts w:eastAsia="Segoe UI" w:cs="Segoe UI" w:ascii="Segoe UI" w:hAnsi="Segoe UI"/>
          <w:color w:val="101820"/>
          <w:sz w:val="21"/>
        </w:rPr>
        <w:t xml:space="preserve"> list. At the top, </w:t>
      </w:r>
      <w:r>
        <w:rPr>
          <w:rFonts w:eastAsia="Segoe UI" w:cs="Segoe UI" w:ascii="Segoe UI" w:hAnsi="Segoe UI"/>
          <w:b/>
          <w:color w:val="101820"/>
          <w:sz w:val="21"/>
        </w:rPr>
        <w:t>Sample document</w:t>
      </w:r>
      <w:r>
        <w:rPr>
          <w:rFonts w:eastAsia="Segoe UI" w:cs="Segoe UI" w:ascii="Segoe UI" w:hAnsi="Segoe UI"/>
          <w:color w:val="101820"/>
          <w:sz w:val="21"/>
        </w:rPr>
        <w:t xml:space="preserve"> opens a PDF printed with the theme as it is on the screen, saved or not; </w:t>
      </w:r>
      <w:r>
        <w:rPr>
          <w:rFonts w:eastAsia="Segoe UI" w:cs="Segoe UI" w:ascii="Segoe UI" w:hAnsi="Segoe UI"/>
          <w:b/>
          <w:color w:val="101820"/>
          <w:sz w:val="21"/>
        </w:rPr>
        <w:t>Discard changes</w:t>
      </w:r>
      <w:r>
        <w:rPr>
          <w:rFonts w:eastAsia="Segoe UI" w:cs="Segoe UI" w:ascii="Segoe UI" w:hAnsi="Segoe UI"/>
          <w:color w:val="101820"/>
          <w:sz w:val="21"/>
        </w:rPr>
        <w:t xml:space="preserve"> returns to the saved theme; </w:t>
      </w:r>
      <w:r>
        <w:rPr>
          <w:rFonts w:eastAsia="Segoe UI" w:cs="Segoe UI" w:ascii="Segoe UI" w:hAnsi="Segoe UI"/>
          <w:b/>
          <w:color w:val="101820"/>
          <w:sz w:val="21"/>
        </w:rPr>
        <w:t>Save</w:t>
      </w:r>
      <w:r>
        <w:rPr>
          <w:rFonts w:eastAsia="Segoe UI" w:cs="Segoe UI" w:ascii="Segoe UI" w:hAnsi="Segoe UI"/>
          <w:color w:val="101820"/>
          <w:sz w:val="21"/>
        </w:rPr>
        <w:t xml:space="preserve"> stores the theme. Save is disabled while a blocking contrast check fails, and the red message </w:t>
      </w:r>
      <w:r>
        <w:rPr>
          <w:rFonts w:eastAsia="Segoe UI" w:cs="Segoe UI" w:ascii="Segoe UI" w:hAnsi="Segoe UI"/>
          <w:b/>
          <w:color w:val="101820"/>
          <w:sz w:val="21"/>
        </w:rPr>
        <w:t>Cannot save</w:t>
      </w:r>
      <w:r>
        <w:rPr>
          <w:rFonts w:eastAsia="Segoe UI" w:cs="Segoe UI" w:ascii="Segoe UI" w:hAnsi="Segoe UI"/>
          <w:color w:val="101820"/>
          <w:sz w:val="21"/>
        </w:rPr>
        <w:t xml:space="preserve"> names the check.</w:t>
      </w:r>
    </w:p>
    <w:p>
      <w:pPr>
        <w:pStyle w:val="Heading3"/>
        <w:rPr/>
      </w:pPr>
      <w:r>
        <w:rPr>
          <w:rFonts w:eastAsia="Segoe UI" w:cs="Segoe UI"/>
          <w:b/>
          <w:color w:val="0F4761"/>
          <w:sz w:val="23"/>
        </w:rPr>
        <w:t>6.9.1  Theme: presets, layout and colours</w:t>
      </w:r>
    </w:p>
    <w:p>
      <w:pPr>
        <w:pStyle w:val="Normal"/>
        <w:numPr>
          <w:ilvl w:val="0"/>
          <w:numId w:val="171"/>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Theme</w:t>
      </w:r>
      <w:r>
        <w:rPr>
          <w:rFonts w:eastAsia="Segoe UI" w:cs="Segoe UI" w:ascii="Segoe UI" w:hAnsi="Segoe UI"/>
          <w:color w:val="101820"/>
          <w:sz w:val="21"/>
        </w:rPr>
        <w:t xml:space="preserve">, select a preset under </w:t>
      </w:r>
      <w:r>
        <w:rPr>
          <w:rFonts w:eastAsia="Segoe UI" w:cs="Segoe UI" w:ascii="Segoe UI" w:hAnsi="Segoe UI"/>
          <w:b/>
          <w:color w:val="101820"/>
          <w:sz w:val="21"/>
        </w:rPr>
        <w:t>Presets</w:t>
      </w:r>
      <w:r>
        <w:rPr>
          <w:rFonts w:eastAsia="Segoe UI" w:cs="Segoe UI" w:ascii="Segoe UI" w:hAnsi="Segoe UI"/>
          <w:color w:val="101820"/>
          <w:sz w:val="21"/>
        </w:rPr>
        <w:t xml:space="preserve">: </w:t>
      </w:r>
      <w:r>
        <w:rPr>
          <w:rFonts w:eastAsia="Segoe UI" w:cs="Segoe UI" w:ascii="Segoe UI" w:hAnsi="Segoe UI"/>
          <w:b/>
          <w:color w:val="101820"/>
          <w:sz w:val="21"/>
        </w:rPr>
        <w:t>iorta TechNXT (default)</w:t>
      </w:r>
      <w:r>
        <w:rPr>
          <w:rFonts w:eastAsia="Segoe UI" w:cs="Segoe UI" w:ascii="Segoe UI" w:hAnsi="Segoe UI"/>
          <w:color w:val="101820"/>
          <w:sz w:val="21"/>
        </w:rPr>
        <w:t xml:space="preserve">, </w:t>
      </w:r>
      <w:r>
        <w:rPr>
          <w:rFonts w:eastAsia="Segoe UI" w:cs="Segoe UI" w:ascii="Segoe UI" w:hAnsi="Segoe UI"/>
          <w:b/>
          <w:color w:val="101820"/>
          <w:sz w:val="21"/>
        </w:rPr>
        <w:t>Classic Blue</w:t>
      </w:r>
      <w:r>
        <w:rPr>
          <w:rFonts w:eastAsia="Segoe UI" w:cs="Segoe UI" w:ascii="Segoe UI" w:hAnsi="Segoe UI"/>
          <w:color w:val="101820"/>
          <w:sz w:val="21"/>
        </w:rPr>
        <w:t xml:space="preserve">, </w:t>
      </w:r>
      <w:r>
        <w:rPr>
          <w:rFonts w:eastAsia="Segoe UI" w:cs="Segoe UI" w:ascii="Segoe UI" w:hAnsi="Segoe UI"/>
          <w:b/>
          <w:color w:val="101820"/>
          <w:sz w:val="21"/>
        </w:rPr>
        <w:t>Corporate Grey</w:t>
      </w:r>
      <w:r>
        <w:rPr>
          <w:rFonts w:eastAsia="Segoe UI" w:cs="Segoe UI" w:ascii="Segoe UI" w:hAnsi="Segoe UI"/>
          <w:color w:val="101820"/>
          <w:sz w:val="21"/>
        </w:rPr>
        <w:t xml:space="preserve"> or </w:t>
      </w:r>
      <w:r>
        <w:rPr>
          <w:rFonts w:eastAsia="Segoe UI" w:cs="Segoe UI" w:ascii="Segoe UI" w:hAnsi="Segoe UI"/>
          <w:b/>
          <w:color w:val="101820"/>
          <w:sz w:val="21"/>
        </w:rPr>
        <w:t>Teal</w:t>
      </w:r>
      <w:r>
        <w:rPr>
          <w:rFonts w:eastAsia="Segoe UI" w:cs="Segoe UI" w:ascii="Segoe UI" w:hAnsi="Segoe UI"/>
          <w:color w:val="101820"/>
          <w:sz w:val="21"/>
        </w:rPr>
        <w:t xml:space="preserve">. The preset fills every colour, the layout and the font; the sign-in picture already uploaded is kept. As soon as a value is changed the preset reads </w:t>
      </w:r>
      <w:r>
        <w:rPr>
          <w:rFonts w:eastAsia="Segoe UI" w:cs="Segoe UI" w:ascii="Segoe UI" w:hAnsi="Segoe UI"/>
          <w:b/>
          <w:color w:val="101820"/>
          <w:sz w:val="21"/>
        </w:rPr>
        <w:t>Custom</w:t>
      </w:r>
      <w:r>
        <w:rPr>
          <w:rFonts w:eastAsia="Segoe UI" w:cs="Segoe UI" w:ascii="Segoe UI" w:hAnsi="Segoe UI"/>
          <w:color w:val="101820"/>
          <w:sz w:val="21"/>
        </w:rPr>
        <w:t xml:space="preserve">. Enter a </w:t>
      </w:r>
      <w:r>
        <w:rPr>
          <w:rFonts w:eastAsia="Segoe UI" w:cs="Segoe UI" w:ascii="Segoe UI" w:hAnsi="Segoe UI"/>
          <w:b/>
          <w:color w:val="101820"/>
          <w:sz w:val="21"/>
        </w:rPr>
        <w:t>Theme name</w:t>
      </w:r>
      <w:r>
        <w:rPr>
          <w:rFonts w:eastAsia="Segoe UI" w:cs="Segoe UI" w:ascii="Segoe UI" w:hAnsi="Segoe UI"/>
          <w:color w:val="101820"/>
          <w:sz w:val="21"/>
        </w:rPr>
        <w:t>.</w:t>
      </w:r>
    </w:p>
    <w:p>
      <w:pPr>
        <w:pStyle w:val="Normal"/>
        <w:numPr>
          <w:ilvl w:val="0"/>
          <w:numId w:val="17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Layout</w:t>
      </w:r>
      <w:r>
        <w:rPr>
          <w:rFonts w:eastAsia="Segoe UI" w:cs="Segoe UI" w:ascii="Segoe UI" w:hAnsi="Segoe UI"/>
          <w:color w:val="101820"/>
          <w:sz w:val="21"/>
        </w:rPr>
        <w:t xml:space="preserve">, choose the </w:t>
      </w:r>
      <w:r>
        <w:rPr>
          <w:rFonts w:eastAsia="Segoe UI" w:cs="Segoe UI" w:ascii="Segoe UI" w:hAnsi="Segoe UI"/>
          <w:b/>
          <w:color w:val="101820"/>
          <w:sz w:val="21"/>
        </w:rPr>
        <w:t>Header style</w:t>
      </w:r>
      <w:r>
        <w:rPr>
          <w:rFonts w:eastAsia="Segoe UI" w:cs="Segoe UI" w:ascii="Segoe UI" w:hAnsi="Segoe UI"/>
          <w:color w:val="101820"/>
          <w:sz w:val="21"/>
        </w:rPr>
        <w:t xml:space="preserve"> (</w:t>
      </w:r>
      <w:r>
        <w:rPr>
          <w:rFonts w:eastAsia="Segoe UI" w:cs="Segoe UI" w:ascii="Segoe UI" w:hAnsi="Segoe UI"/>
          <w:b/>
          <w:color w:val="101820"/>
          <w:sz w:val="21"/>
        </w:rPr>
        <w:t>White</w:t>
      </w:r>
      <w:r>
        <w:rPr>
          <w:rFonts w:eastAsia="Segoe UI" w:cs="Segoe UI" w:ascii="Segoe UI" w:hAnsi="Segoe UI"/>
          <w:color w:val="101820"/>
          <w:sz w:val="21"/>
        </w:rPr>
        <w:t xml:space="preserve"> or </w:t>
      </w:r>
      <w:r>
        <w:rPr>
          <w:rFonts w:eastAsia="Segoe UI" w:cs="Segoe UI" w:ascii="Segoe UI" w:hAnsi="Segoe UI"/>
          <w:b/>
          <w:color w:val="101820"/>
          <w:sz w:val="21"/>
        </w:rPr>
        <w:t>Coloured (secondary colour)</w:t>
      </w:r>
      <w:r>
        <w:rPr>
          <w:rFonts w:eastAsia="Segoe UI" w:cs="Segoe UI" w:ascii="Segoe UI" w:hAnsi="Segoe UI"/>
          <w:color w:val="101820"/>
          <w:sz w:val="21"/>
        </w:rPr>
        <w:t xml:space="preserve">), the </w:t>
      </w:r>
      <w:r>
        <w:rPr>
          <w:rFonts w:eastAsia="Segoe UI" w:cs="Segoe UI" w:ascii="Segoe UI" w:hAnsi="Segoe UI"/>
          <w:b/>
          <w:color w:val="101820"/>
          <w:sz w:val="21"/>
        </w:rPr>
        <w:t>Side bar style</w:t>
      </w:r>
      <w:r>
        <w:rPr>
          <w:rFonts w:eastAsia="Segoe UI" w:cs="Segoe UI" w:ascii="Segoe UI" w:hAnsi="Segoe UI"/>
          <w:color w:val="101820"/>
          <w:sz w:val="21"/>
        </w:rPr>
        <w:t xml:space="preserve"> (</w:t>
      </w:r>
      <w:r>
        <w:rPr>
          <w:rFonts w:eastAsia="Segoe UI" w:cs="Segoe UI" w:ascii="Segoe UI" w:hAnsi="Segoe UI"/>
          <w:b/>
          <w:color w:val="101820"/>
          <w:sz w:val="21"/>
        </w:rPr>
        <w:t>White</w:t>
      </w:r>
      <w:r>
        <w:rPr>
          <w:rFonts w:eastAsia="Segoe UI" w:cs="Segoe UI" w:ascii="Segoe UI" w:hAnsi="Segoe UI"/>
          <w:color w:val="101820"/>
          <w:sz w:val="21"/>
        </w:rPr>
        <w:t xml:space="preserve"> or </w:t>
      </w:r>
      <w:r>
        <w:rPr>
          <w:rFonts w:eastAsia="Segoe UI" w:cs="Segoe UI" w:ascii="Segoe UI" w:hAnsi="Segoe UI"/>
          <w:b/>
          <w:color w:val="101820"/>
          <w:sz w:val="21"/>
        </w:rPr>
        <w:t>Dark</w:t>
      </w:r>
      <w:r>
        <w:rPr>
          <w:rFonts w:eastAsia="Segoe UI" w:cs="Segoe UI" w:ascii="Segoe UI" w:hAnsi="Segoe UI"/>
          <w:color w:val="101820"/>
          <w:sz w:val="21"/>
        </w:rPr>
        <w:t xml:space="preserve">), the </w:t>
      </w:r>
      <w:r>
        <w:rPr>
          <w:rFonts w:eastAsia="Segoe UI" w:cs="Segoe UI" w:ascii="Segoe UI" w:hAnsi="Segoe UI"/>
          <w:b/>
          <w:color w:val="101820"/>
          <w:sz w:val="21"/>
        </w:rPr>
        <w:t>Density</w:t>
      </w:r>
      <w:r>
        <w:rPr>
          <w:rFonts w:eastAsia="Segoe UI" w:cs="Segoe UI" w:ascii="Segoe UI" w:hAnsi="Segoe UI"/>
          <w:color w:val="101820"/>
          <w:sz w:val="21"/>
        </w:rPr>
        <w:t xml:space="preserve"> (</w:t>
      </w:r>
      <w:r>
        <w:rPr>
          <w:rFonts w:eastAsia="Segoe UI" w:cs="Segoe UI" w:ascii="Segoe UI" w:hAnsi="Segoe UI"/>
          <w:b/>
          <w:color w:val="101820"/>
          <w:sz w:val="21"/>
        </w:rPr>
        <w:t>Comfortable</w:t>
      </w:r>
      <w:r>
        <w:rPr>
          <w:rFonts w:eastAsia="Segoe UI" w:cs="Segoe UI" w:ascii="Segoe UI" w:hAnsi="Segoe UI"/>
          <w:color w:val="101820"/>
          <w:sz w:val="21"/>
        </w:rPr>
        <w:t xml:space="preserve"> or </w:t>
      </w:r>
      <w:r>
        <w:rPr>
          <w:rFonts w:eastAsia="Segoe UI" w:cs="Segoe UI" w:ascii="Segoe UI" w:hAnsi="Segoe UI"/>
          <w:b/>
          <w:color w:val="101820"/>
          <w:sz w:val="21"/>
        </w:rPr>
        <w:t>Compact</w:t>
      </w:r>
      <w:r>
        <w:rPr>
          <w:rFonts w:eastAsia="Segoe UI" w:cs="Segoe UI" w:ascii="Segoe UI" w:hAnsi="Segoe UI"/>
          <w:color w:val="101820"/>
          <w:sz w:val="21"/>
        </w:rPr>
        <w:t xml:space="preserve">), the </w:t>
      </w:r>
      <w:r>
        <w:rPr>
          <w:rFonts w:eastAsia="Segoe UI" w:cs="Segoe UI" w:ascii="Segoe UI" w:hAnsi="Segoe UI"/>
          <w:b/>
          <w:color w:val="101820"/>
          <w:sz w:val="21"/>
        </w:rPr>
        <w:t>Table header style</w:t>
      </w:r>
      <w:r>
        <w:rPr>
          <w:rFonts w:eastAsia="Segoe UI" w:cs="Segoe UI" w:ascii="Segoe UI" w:hAnsi="Segoe UI"/>
          <w:color w:val="101820"/>
          <w:sz w:val="21"/>
        </w:rPr>
        <w:t xml:space="preserve"> (</w:t>
      </w:r>
      <w:r>
        <w:rPr>
          <w:rFonts w:eastAsia="Segoe UI" w:cs="Segoe UI" w:ascii="Segoe UI" w:hAnsi="Segoe UI"/>
          <w:b/>
          <w:color w:val="101820"/>
          <w:sz w:val="21"/>
        </w:rPr>
        <w:t>Solid (secondary colour)</w:t>
      </w:r>
      <w:r>
        <w:rPr>
          <w:rFonts w:eastAsia="Segoe UI" w:cs="Segoe UI" w:ascii="Segoe UI" w:hAnsi="Segoe UI"/>
          <w:color w:val="101820"/>
          <w:sz w:val="21"/>
        </w:rPr>
        <w:t xml:space="preserve"> or </w:t>
      </w:r>
      <w:r>
        <w:rPr>
          <w:rFonts w:eastAsia="Segoe UI" w:cs="Segoe UI" w:ascii="Segoe UI" w:hAnsi="Segoe UI"/>
          <w:b/>
          <w:color w:val="101820"/>
          <w:sz w:val="21"/>
        </w:rPr>
        <w:t>Light</w:t>
      </w:r>
      <w:r>
        <w:rPr>
          <w:rFonts w:eastAsia="Segoe UI" w:cs="Segoe UI" w:ascii="Segoe UI" w:hAnsi="Segoe UI"/>
          <w:color w:val="101820"/>
          <w:sz w:val="21"/>
        </w:rPr>
        <w:t xml:space="preserve">) and the </w:t>
      </w:r>
      <w:r>
        <w:rPr>
          <w:rFonts w:eastAsia="Segoe UI" w:cs="Segoe UI" w:ascii="Segoe UI" w:hAnsi="Segoe UI"/>
          <w:b/>
          <w:color w:val="101820"/>
          <w:sz w:val="21"/>
        </w:rPr>
        <w:t>Font</w:t>
      </w:r>
      <w:r>
        <w:rPr>
          <w:rFonts w:eastAsia="Segoe UI" w:cs="Segoe UI" w:ascii="Segoe UI" w:hAnsi="Segoe UI"/>
          <w:color w:val="101820"/>
          <w:sz w:val="21"/>
        </w:rPr>
        <w:t>: Nunito (bundled, the default), Arial / Helvetica and System UI from the user's computer, or Roboto, Open Sans, Lato, Source Sans 3, Inter, Montserrat, Poppins and Noto Sans from Google Fonts, only through this list. The sliders set the corner radius of fields, cards, panels and buttons in pixels.</w:t>
      </w:r>
    </w:p>
    <w:p>
      <w:pPr>
        <w:pStyle w:val="Normal"/>
        <w:numPr>
          <w:ilvl w:val="0"/>
          <w:numId w:val="17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Colours</w:t>
      </w:r>
      <w:r>
        <w:rPr>
          <w:rFonts w:eastAsia="Segoe UI" w:cs="Segoe UI" w:ascii="Segoe UI" w:hAnsi="Segoe UI"/>
          <w:color w:val="101820"/>
          <w:sz w:val="21"/>
        </w:rPr>
        <w:t xml:space="preserve">, set each colour of the groups </w:t>
      </w:r>
      <w:r>
        <w:rPr>
          <w:rFonts w:eastAsia="Segoe UI" w:cs="Segoe UI" w:ascii="Segoe UI" w:hAnsi="Segoe UI"/>
          <w:b/>
          <w:color w:val="101820"/>
          <w:sz w:val="21"/>
        </w:rPr>
        <w:t>Brand</w:t>
      </w:r>
      <w:r>
        <w:rPr>
          <w:rFonts w:eastAsia="Segoe UI" w:cs="Segoe UI" w:ascii="Segoe UI" w:hAnsi="Segoe UI"/>
          <w:color w:val="101820"/>
          <w:sz w:val="21"/>
        </w:rPr>
        <w:t xml:space="preserve"> (primary, primary hover, text on primary, light tint, secondary, accent), </w:t>
      </w:r>
      <w:r>
        <w:rPr>
          <w:rFonts w:eastAsia="Segoe UI" w:cs="Segoe UI" w:ascii="Segoe UI" w:hAnsi="Segoe UI"/>
          <w:b/>
          <w:color w:val="101820"/>
          <w:sz w:val="21"/>
        </w:rPr>
        <w:t>Header</w:t>
      </w:r>
      <w:r>
        <w:rPr>
          <w:rFonts w:eastAsia="Segoe UI" w:cs="Segoe UI" w:ascii="Segoe UI" w:hAnsi="Segoe UI"/>
          <w:color w:val="101820"/>
          <w:sz w:val="21"/>
        </w:rPr>
        <w:t xml:space="preserve">, </w:t>
      </w:r>
      <w:r>
        <w:rPr>
          <w:rFonts w:eastAsia="Segoe UI" w:cs="Segoe UI" w:ascii="Segoe UI" w:hAnsi="Segoe UI"/>
          <w:b/>
          <w:color w:val="101820"/>
          <w:sz w:val="21"/>
        </w:rPr>
        <w:t>Side bar</w:t>
      </w:r>
      <w:r>
        <w:rPr>
          <w:rFonts w:eastAsia="Segoe UI" w:cs="Segoe UI" w:ascii="Segoe UI" w:hAnsi="Segoe UI"/>
          <w:color w:val="101820"/>
          <w:sz w:val="21"/>
        </w:rPr>
        <w:t xml:space="preserve">, </w:t>
      </w:r>
      <w:r>
        <w:rPr>
          <w:rFonts w:eastAsia="Segoe UI" w:cs="Segoe UI" w:ascii="Segoe UI" w:hAnsi="Segoe UI"/>
          <w:b/>
          <w:color w:val="101820"/>
          <w:sz w:val="21"/>
        </w:rPr>
        <w:t>Tables</w:t>
      </w:r>
      <w:r>
        <w:rPr>
          <w:rFonts w:eastAsia="Segoe UI" w:cs="Segoe UI" w:ascii="Segoe UI" w:hAnsi="Segoe UI"/>
          <w:color w:val="101820"/>
          <w:sz w:val="21"/>
        </w:rPr>
        <w:t xml:space="preserve">, </w:t>
      </w:r>
      <w:r>
        <w:rPr>
          <w:rFonts w:eastAsia="Segoe UI" w:cs="Segoe UI" w:ascii="Segoe UI" w:hAnsi="Segoe UI"/>
          <w:b/>
          <w:color w:val="101820"/>
          <w:sz w:val="21"/>
        </w:rPr>
        <w:t>Buttons, links and fields</w:t>
      </w:r>
      <w:r>
        <w:rPr>
          <w:rFonts w:eastAsia="Segoe UI" w:cs="Segoe UI" w:ascii="Segoe UI" w:hAnsi="Segoe UI"/>
          <w:color w:val="101820"/>
          <w:sz w:val="21"/>
        </w:rPr>
        <w:t xml:space="preserve"> and </w:t>
      </w:r>
      <w:r>
        <w:rPr>
          <w:rFonts w:eastAsia="Segoe UI" w:cs="Segoe UI" w:ascii="Segoe UI" w:hAnsi="Segoe UI"/>
          <w:b/>
          <w:color w:val="101820"/>
          <w:sz w:val="21"/>
        </w:rPr>
        <w:t>Page</w:t>
      </w:r>
      <w:r>
        <w:rPr>
          <w:rFonts w:eastAsia="Segoe UI" w:cs="Segoe UI" w:ascii="Segoe UI" w:hAnsi="Segoe UI"/>
          <w:color w:val="101820"/>
          <w:sz w:val="21"/>
        </w:rPr>
        <w:t xml:space="preserve">, with the colour picker or by typing the hex value (#rrggbb). The badge next to a text colour shows its contrast against its background: green from 4.5:1, red below. </w:t>
      </w:r>
      <w:r>
        <w:rPr>
          <w:rFonts w:eastAsia="Segoe UI" w:cs="Segoe UI" w:ascii="Segoe UI" w:hAnsi="Segoe UI"/>
          <w:b/>
          <w:color w:val="101820"/>
          <w:sz w:val="21"/>
        </w:rPr>
        <w:t>Reset to default</w:t>
      </w:r>
      <w:r>
        <w:rPr>
          <w:rFonts w:eastAsia="Segoe UI" w:cs="Segoe UI" w:ascii="Segoe UI" w:hAnsi="Segoe UI"/>
          <w:color w:val="101820"/>
          <w:sz w:val="21"/>
        </w:rPr>
        <w:t xml:space="preserve"> on a group returns the values of the preset.</w:t>
      </w:r>
    </w:p>
    <w:p>
      <w:pPr>
        <w:pStyle w:val="Normal"/>
        <w:numPr>
          <w:ilvl w:val="0"/>
          <w:numId w:val="17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confirms that every signed-in user gets the theme on the next page and that documents, reports and e-mails use it from now on.</w:t>
      </w:r>
    </w:p>
    <w:p>
      <w:pPr>
        <w:pStyle w:val="Heading3"/>
        <w:rPr/>
      </w:pPr>
      <w:r>
        <w:rPr>
          <w:rFonts w:eastAsia="Segoe UI" w:cs="Segoe UI"/>
          <w:b/>
          <w:color w:val="0F4761"/>
          <w:sz w:val="23"/>
        </w:rPr>
        <w:t>6.9.2  Contrast check</w:t>
      </w:r>
    </w:p>
    <w:p>
      <w:pPr>
        <w:pStyle w:val="Normal"/>
        <w:spacing w:lineRule="auto" w:line="276" w:before="0" w:after="120"/>
        <w:rPr/>
      </w:pPr>
      <w:r>
        <w:rPr>
          <w:rFonts w:eastAsia="Segoe UI" w:cs="Segoe UI" w:ascii="Segoe UI" w:hAnsi="Segoe UI"/>
          <w:color w:val="101820"/>
          <w:sz w:val="21"/>
        </w:rPr>
        <w:t>The server checks the theme while it is edited, with the rules it applies on Save. Text on the buttons (normal and hover), on the primary colour, in the header, in the table headers and in the document table headers must reach WCAG AA, 4.5:1; below that the theme cannot be saved and the message reads, for example, Button text on button colour: contrast 2.1:1 is below WCAG AA 4.5:1. The other pairs (side bar text and active item, links on white cards, page headings, the e-mail header and the document section headings) only warn: the theme is saved and the warning is shown after Save. The list on the right shows every pair with its ratio and a tick, a warning triangle or a cross.</w:t>
      </w:r>
    </w:p>
    <w:p>
      <w:pPr>
        <w:pStyle w:val="Heading3"/>
        <w:rPr/>
      </w:pPr>
      <w:r>
        <w:rPr>
          <w:rFonts w:eastAsia="Segoe UI" w:cs="Segoe UI"/>
          <w:b/>
          <w:color w:val="0F4761"/>
          <w:sz w:val="23"/>
        </w:rPr>
        <w:t>6.9.3  Sign-in page</w:t>
      </w:r>
    </w:p>
    <w:p>
      <w:pPr>
        <w:pStyle w:val="Normal"/>
        <w:shd w:val="clear" w:color="auto" w:fill="EAF2FB"/>
        <w:spacing w:before="0" w:after="160"/>
        <w:ind w:left="170"/>
        <w:rPr/>
      </w:pPr>
      <w:r>
        <w:rPr>
          <w:rFonts w:eastAsia="Segoe UI" w:cs="Segoe UI" w:ascii="Segoe UI" w:hAnsi="Segoe UI"/>
          <w:color w:val="101820"/>
          <w:sz w:val="20"/>
        </w:rPr>
        <w:t>[Screen image not available: Theme and Branding: the Sign-in page tab]</w:t>
      </w:r>
    </w:p>
    <w:p>
      <w:pPr>
        <w:pStyle w:val="Normal"/>
        <w:numPr>
          <w:ilvl w:val="0"/>
          <w:numId w:val="17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Sign-in page</w:t>
      </w:r>
      <w:r>
        <w:rPr>
          <w:rFonts w:eastAsia="Segoe UI" w:cs="Segoe UI" w:ascii="Segoe UI" w:hAnsi="Segoe UI"/>
          <w:color w:val="101820"/>
          <w:sz w:val="21"/>
        </w:rPr>
        <w:t xml:space="preserve">, choose the </w:t>
      </w:r>
      <w:r>
        <w:rPr>
          <w:rFonts w:eastAsia="Segoe UI" w:cs="Segoe UI" w:ascii="Segoe UI" w:hAnsi="Segoe UI"/>
          <w:b/>
          <w:color w:val="101820"/>
          <w:sz w:val="21"/>
        </w:rPr>
        <w:t>Picture</w:t>
      </w:r>
      <w:r>
        <w:rPr>
          <w:rFonts w:eastAsia="Segoe UI" w:cs="Segoe UI" w:ascii="Segoe UI" w:hAnsi="Segoe UI"/>
          <w:color w:val="101820"/>
          <w:sz w:val="21"/>
        </w:rPr>
        <w:t xml:space="preserve">: </w:t>
      </w:r>
      <w:r>
        <w:rPr>
          <w:rFonts w:eastAsia="Segoe UI" w:cs="Segoe UI" w:ascii="Segoe UI" w:hAnsi="Segoe UI"/>
          <w:b/>
          <w:color w:val="101820"/>
          <w:sz w:val="21"/>
        </w:rPr>
        <w:t>Picture library</w:t>
      </w:r>
      <w:r>
        <w:rPr>
          <w:rFonts w:eastAsia="Segoe UI" w:cs="Segoe UI" w:ascii="Segoe UI" w:hAnsi="Segoe UI"/>
          <w:color w:val="101820"/>
          <w:sz w:val="21"/>
        </w:rPr>
        <w:t xml:space="preserve"> (the pictures delivered with the product: Philippine insurance (default), Motor: road and city, Property: homes and buildings, Travel and accident: islands, Neutral pattern), </w:t>
      </w:r>
      <w:r>
        <w:rPr>
          <w:rFonts w:eastAsia="Segoe UI" w:cs="Segoe UI" w:ascii="Segoe UI" w:hAnsi="Segoe UI"/>
          <w:b/>
          <w:color w:val="101820"/>
          <w:sz w:val="21"/>
        </w:rPr>
        <w:t>Own picture (upload)</w:t>
      </w:r>
      <w:r>
        <w:rPr>
          <w:rFonts w:eastAsia="Segoe UI" w:cs="Segoe UI" w:ascii="Segoe UI" w:hAnsi="Segoe UI"/>
          <w:color w:val="101820"/>
          <w:sz w:val="21"/>
        </w:rPr>
        <w:t xml:space="preserve"> or </w:t>
      </w:r>
      <w:r>
        <w:rPr>
          <w:rFonts w:eastAsia="Segoe UI" w:cs="Segoe UI" w:ascii="Segoe UI" w:hAnsi="Segoe UI"/>
          <w:b/>
          <w:color w:val="101820"/>
          <w:sz w:val="21"/>
        </w:rPr>
        <w:t>Colour only</w:t>
      </w:r>
      <w:r>
        <w:rPr>
          <w:rFonts w:eastAsia="Segoe UI" w:cs="Segoe UI" w:ascii="Segoe UI" w:hAnsi="Segoe UI"/>
          <w:color w:val="101820"/>
          <w:sz w:val="21"/>
        </w:rPr>
        <w:t>.</w:t>
      </w:r>
    </w:p>
    <w:p>
      <w:pPr>
        <w:pStyle w:val="Normal"/>
        <w:numPr>
          <w:ilvl w:val="0"/>
          <w:numId w:val="176"/>
        </w:numPr>
        <w:spacing w:before="0" w:after="60"/>
        <w:rPr/>
      </w:pPr>
      <w:r>
        <w:rPr>
          <w:rFonts w:eastAsia="Segoe UI" w:cs="Segoe UI" w:ascii="Segoe UI" w:hAnsi="Segoe UI"/>
          <w:color w:val="101820"/>
          <w:sz w:val="21"/>
        </w:rPr>
        <w:t xml:space="preserve">For an own picture select </w:t>
      </w:r>
      <w:r>
        <w:rPr>
          <w:rFonts w:eastAsia="Segoe UI" w:cs="Segoe UI" w:ascii="Segoe UI" w:hAnsi="Segoe UI"/>
          <w:b/>
          <w:color w:val="101820"/>
          <w:sz w:val="21"/>
        </w:rPr>
        <w:t>Upload picture</w:t>
      </w:r>
      <w:r>
        <w:rPr>
          <w:rFonts w:eastAsia="Segoe UI" w:cs="Segoe UI" w:ascii="Segoe UI" w:hAnsi="Segoe UI"/>
          <w:color w:val="101820"/>
          <w:sz w:val="21"/>
        </w:rPr>
        <w:t xml:space="preserve">: JPG, PNG, WebP or SVG (a plain drawing), up to 5 MB, at least 1600 x 1200 px for sharp desktops. Set the </w:t>
      </w:r>
      <w:r>
        <w:rPr>
          <w:rFonts w:eastAsia="Segoe UI" w:cs="Segoe UI" w:ascii="Segoe UI" w:hAnsi="Segoe UI"/>
          <w:b/>
          <w:color w:val="101820"/>
          <w:sz w:val="21"/>
        </w:rPr>
        <w:t>Focal point</w:t>
      </w:r>
      <w:r>
        <w:rPr>
          <w:rFonts w:eastAsia="Segoe UI" w:cs="Segoe UI" w:ascii="Segoe UI" w:hAnsi="Segoe UI"/>
          <w:color w:val="101820"/>
          <w:sz w:val="21"/>
        </w:rPr>
        <w:t xml:space="preserve"> sliders (left to right, top to bottom) so that the important part of the picture stays visible on a narrow screen. </w:t>
      </w:r>
      <w:r>
        <w:rPr>
          <w:rFonts w:eastAsia="Segoe UI" w:cs="Segoe UI" w:ascii="Segoe UI" w:hAnsi="Segoe UI"/>
          <w:b/>
          <w:color w:val="101820"/>
          <w:sz w:val="21"/>
        </w:rPr>
        <w:t>Remove picture</w:t>
      </w:r>
      <w:r>
        <w:rPr>
          <w:rFonts w:eastAsia="Segoe UI" w:cs="Segoe UI" w:ascii="Segoe UI" w:hAnsi="Segoe UI"/>
          <w:color w:val="101820"/>
          <w:sz w:val="21"/>
        </w:rPr>
        <w:t xml:space="preserve"> goes back to the library.</w:t>
      </w:r>
    </w:p>
    <w:p>
      <w:pPr>
        <w:pStyle w:val="Normal"/>
        <w:numPr>
          <w:ilvl w:val="0"/>
          <w:numId w:val="177"/>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Gradient from</w:t>
      </w:r>
      <w:r>
        <w:rPr>
          <w:rFonts w:eastAsia="Segoe UI" w:cs="Segoe UI" w:ascii="Segoe UI" w:hAnsi="Segoe UI"/>
          <w:color w:val="101820"/>
          <w:sz w:val="21"/>
        </w:rPr>
        <w:t xml:space="preserve"> and </w:t>
      </w:r>
      <w:r>
        <w:rPr>
          <w:rFonts w:eastAsia="Segoe UI" w:cs="Segoe UI" w:ascii="Segoe UI" w:hAnsi="Segoe UI"/>
          <w:b/>
          <w:color w:val="101820"/>
          <w:sz w:val="21"/>
        </w:rPr>
        <w:t>Gradient to</w:t>
      </w:r>
      <w:r>
        <w:rPr>
          <w:rFonts w:eastAsia="Segoe UI" w:cs="Segoe UI" w:ascii="Segoe UI" w:hAnsi="Segoe UI"/>
          <w:color w:val="101820"/>
          <w:sz w:val="21"/>
        </w:rPr>
        <w:t xml:space="preserve"> (the colours behind the picture), </w:t>
      </w:r>
      <w:r>
        <w:rPr>
          <w:rFonts w:eastAsia="Segoe UI" w:cs="Segoe UI" w:ascii="Segoe UI" w:hAnsi="Segoe UI"/>
          <w:b/>
          <w:color w:val="101820"/>
          <w:sz w:val="21"/>
        </w:rPr>
        <w:t>Darken the picture</w:t>
      </w:r>
      <w:r>
        <w:rPr>
          <w:rFonts w:eastAsia="Segoe UI" w:cs="Segoe UI" w:ascii="Segoe UI" w:hAnsi="Segoe UI"/>
          <w:color w:val="101820"/>
          <w:sz w:val="21"/>
        </w:rPr>
        <w:t xml:space="preserve"> (0 to 80%) and </w:t>
      </w:r>
      <w:r>
        <w:rPr>
          <w:rFonts w:eastAsia="Segoe UI" w:cs="Segoe UI" w:ascii="Segoe UI" w:hAnsi="Segoe UI"/>
          <w:b/>
          <w:color w:val="101820"/>
          <w:sz w:val="21"/>
        </w:rPr>
        <w:t>Show the picture on phones (as a banner)</w:t>
      </w:r>
      <w:r>
        <w:rPr>
          <w:rFonts w:eastAsia="Segoe UI" w:cs="Segoe UI" w:ascii="Segoe UI" w:hAnsi="Segoe UI"/>
          <w:color w:val="101820"/>
          <w:sz w:val="21"/>
        </w:rPr>
        <w:t xml:space="preserve">. The frame below shows the panel as a desktop or, with </w:t>
      </w:r>
      <w:r>
        <w:rPr>
          <w:rFonts w:eastAsia="Segoe UI" w:cs="Segoe UI" w:ascii="Segoe UI" w:hAnsi="Segoe UI"/>
          <w:b/>
          <w:color w:val="101820"/>
          <w:sz w:val="21"/>
        </w:rPr>
        <w:t>Phone</w:t>
      </w:r>
      <w:r>
        <w:rPr>
          <w:rFonts w:eastAsia="Segoe UI" w:cs="Segoe UI" w:ascii="Segoe UI" w:hAnsi="Segoe UI"/>
          <w:color w:val="101820"/>
          <w:sz w:val="21"/>
        </w:rPr>
        <w:t>, as a phone.</w:t>
      </w:r>
    </w:p>
    <w:p>
      <w:pPr>
        <w:pStyle w:val="Normal"/>
        <w:numPr>
          <w:ilvl w:val="0"/>
          <w:numId w:val="17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Texts</w:t>
      </w:r>
      <w:r>
        <w:rPr>
          <w:rFonts w:eastAsia="Segoe UI" w:cs="Segoe UI" w:ascii="Segoe UI" w:hAnsi="Segoe UI"/>
          <w:color w:val="101820"/>
          <w:sz w:val="21"/>
        </w:rPr>
        <w:t xml:space="preserve">, enter the </w:t>
      </w:r>
      <w:r>
        <w:rPr>
          <w:rFonts w:eastAsia="Segoe UI" w:cs="Segoe UI" w:ascii="Segoe UI" w:hAnsi="Segoe UI"/>
          <w:b/>
          <w:color w:val="101820"/>
          <w:sz w:val="21"/>
        </w:rPr>
        <w:t>Headline</w:t>
      </w:r>
      <w:r>
        <w:rPr>
          <w:rFonts w:eastAsia="Segoe UI" w:cs="Segoe UI" w:ascii="Segoe UI" w:hAnsi="Segoe UI"/>
          <w:color w:val="101820"/>
          <w:sz w:val="21"/>
        </w:rPr>
        <w:t xml:space="preserve"> (empty: the delivered title, Welcome to followed by the application name), the </w:t>
      </w:r>
      <w:r>
        <w:rPr>
          <w:rFonts w:eastAsia="Segoe UI" w:cs="Segoe UI" w:ascii="Segoe UI" w:hAnsi="Segoe UI"/>
          <w:b/>
          <w:color w:val="101820"/>
          <w:sz w:val="21"/>
        </w:rPr>
        <w:t>Tagline</w:t>
      </w:r>
      <w:r>
        <w:rPr>
          <w:rFonts w:eastAsia="Segoe UI" w:cs="Segoe UI" w:ascii="Segoe UI" w:hAnsi="Segoe UI"/>
          <w:color w:val="101820"/>
          <w:sz w:val="21"/>
        </w:rPr>
        <w:t xml:space="preserve"> (empty: Sign in with your user ID and password.), whether to </w:t>
      </w:r>
      <w:r>
        <w:rPr>
          <w:rFonts w:eastAsia="Segoe UI" w:cs="Segoe UI" w:ascii="Segoe UI" w:hAnsi="Segoe UI"/>
          <w:b/>
          <w:color w:val="101820"/>
          <w:sz w:val="21"/>
        </w:rPr>
        <w:t>Show "Powered by iorta TechNXT"</w:t>
      </w:r>
      <w:r>
        <w:rPr>
          <w:rFonts w:eastAsia="Segoe UI" w:cs="Segoe UI" w:ascii="Segoe UI" w:hAnsi="Segoe UI"/>
          <w:color w:val="101820"/>
          <w:sz w:val="21"/>
        </w:rPr>
        <w:t xml:space="preserve"> and the </w:t>
      </w:r>
      <w:r>
        <w:rPr>
          <w:rFonts w:eastAsia="Segoe UI" w:cs="Segoe UI" w:ascii="Segoe UI" w:hAnsi="Segoe UI"/>
          <w:b/>
          <w:color w:val="101820"/>
          <w:sz w:val="21"/>
        </w:rPr>
        <w:t>Logo height on the sign-in page (px)</w:t>
      </w:r>
      <w:r>
        <w:rPr>
          <w:rFonts w:eastAsia="Segoe UI" w:cs="Segoe UI" w:ascii="Segoe UI" w:hAnsi="Segoe UI"/>
          <w:color w:val="101820"/>
          <w:sz w:val="21"/>
        </w:rPr>
        <w:t xml:space="preserve"> (24 to 140).</w:t>
      </w:r>
    </w:p>
    <w:p>
      <w:pPr>
        <w:pStyle w:val="Normal"/>
        <w:numPr>
          <w:ilvl w:val="0"/>
          <w:numId w:val="1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6.9.4  Documents and reports</w:t>
      </w:r>
    </w:p>
    <w:p>
      <w:pPr>
        <w:pStyle w:val="Normal"/>
        <w:spacing w:lineRule="auto" w:line="276" w:before="0" w:after="120"/>
        <w:rPr/>
      </w:pPr>
      <w:r>
        <w:rPr>
          <w:rFonts w:eastAsia="Segoe UI" w:cs="Segoe UI" w:ascii="Segoe UI" w:hAnsi="Segoe UI"/>
          <w:color w:val="101820"/>
          <w:sz w:val="21"/>
        </w:rPr>
        <w:t>Every printed document (quotation, policy schedule, slips, endorsement, receipts, billing statements, vouchers, debit notes, claim letters) and every report PDF or Excel file is printed with these values together with the logo, legal name, TIN, licence and address of the primary company (Master &gt; Organization &gt; Company).</w:t>
      </w:r>
    </w:p>
    <w:p>
      <w:pPr>
        <w:pStyle w:val="Normal"/>
        <w:numPr>
          <w:ilvl w:val="0"/>
          <w:numId w:val="18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Print colours</w:t>
      </w:r>
      <w:r>
        <w:rPr>
          <w:rFonts w:eastAsia="Segoe UI" w:cs="Segoe UI" w:ascii="Segoe UI" w:hAnsi="Segoe UI"/>
          <w:color w:val="101820"/>
          <w:sz w:val="21"/>
        </w:rPr>
        <w:t xml:space="preserve">, set the </w:t>
      </w:r>
      <w:r>
        <w:rPr>
          <w:rFonts w:eastAsia="Segoe UI" w:cs="Segoe UI" w:ascii="Segoe UI" w:hAnsi="Segoe UI"/>
          <w:b/>
          <w:color w:val="101820"/>
          <w:sz w:val="21"/>
        </w:rPr>
        <w:t>Accent (rules, marker)</w:t>
      </w:r>
      <w:r>
        <w:rPr>
          <w:rFonts w:eastAsia="Segoe UI" w:cs="Segoe UI" w:ascii="Segoe UI" w:hAnsi="Segoe UI"/>
          <w:color w:val="101820"/>
          <w:sz w:val="21"/>
        </w:rPr>
        <w:t xml:space="preserve">, the </w:t>
      </w:r>
      <w:r>
        <w:rPr>
          <w:rFonts w:eastAsia="Segoe UI" w:cs="Segoe UI" w:ascii="Segoe UI" w:hAnsi="Segoe UI"/>
          <w:b/>
          <w:color w:val="101820"/>
          <w:sz w:val="21"/>
        </w:rPr>
        <w:t>Titles and section headings</w:t>
      </w:r>
      <w:r>
        <w:rPr>
          <w:rFonts w:eastAsia="Segoe UI" w:cs="Segoe UI" w:ascii="Segoe UI" w:hAnsi="Segoe UI"/>
          <w:color w:val="101820"/>
          <w:sz w:val="21"/>
        </w:rPr>
        <w:t xml:space="preserve">, the </w:t>
      </w:r>
      <w:r>
        <w:rPr>
          <w:rFonts w:eastAsia="Segoe UI" w:cs="Segoe UI" w:ascii="Segoe UI" w:hAnsi="Segoe UI"/>
          <w:b/>
          <w:color w:val="101820"/>
          <w:sz w:val="21"/>
        </w:rPr>
        <w:t>Section heading band</w:t>
      </w:r>
      <w:r>
        <w:rPr>
          <w:rFonts w:eastAsia="Segoe UI" w:cs="Segoe UI" w:ascii="Segoe UI" w:hAnsi="Segoe UI"/>
          <w:color w:val="101820"/>
          <w:sz w:val="21"/>
        </w:rPr>
        <w:t xml:space="preserve">, the </w:t>
      </w:r>
      <w:r>
        <w:rPr>
          <w:rFonts w:eastAsia="Segoe UI" w:cs="Segoe UI" w:ascii="Segoe UI" w:hAnsi="Segoe UI"/>
          <w:b/>
          <w:color w:val="101820"/>
          <w:sz w:val="21"/>
        </w:rPr>
        <w:t>Table header</w:t>
      </w:r>
      <w:r>
        <w:rPr>
          <w:rFonts w:eastAsia="Segoe UI" w:cs="Segoe UI" w:ascii="Segoe UI" w:hAnsi="Segoe UI"/>
          <w:color w:val="101820"/>
          <w:sz w:val="21"/>
        </w:rPr>
        <w:t xml:space="preserve"> and the </w:t>
      </w:r>
      <w:r>
        <w:rPr>
          <w:rFonts w:eastAsia="Segoe UI" w:cs="Segoe UI" w:ascii="Segoe UI" w:hAnsi="Segoe UI"/>
          <w:b/>
          <w:color w:val="101820"/>
          <w:sz w:val="21"/>
        </w:rPr>
        <w:t>Table header text</w:t>
      </w:r>
      <w:r>
        <w:rPr>
          <w:rFonts w:eastAsia="Segoe UI" w:cs="Segoe UI" w:ascii="Segoe UI" w:hAnsi="Segoe UI"/>
          <w:color w:val="101820"/>
          <w:sz w:val="21"/>
        </w:rPr>
        <w:t xml:space="preserve"> (an empty colour follows the accent), the </w:t>
      </w:r>
      <w:r>
        <w:rPr>
          <w:rFonts w:eastAsia="Segoe UI" w:cs="Segoe UI" w:ascii="Segoe UI" w:hAnsi="Segoe UI"/>
          <w:b/>
          <w:color w:val="101820"/>
          <w:sz w:val="21"/>
        </w:rPr>
        <w:t>Logo height on documents (pt)</w:t>
      </w:r>
      <w:r>
        <w:rPr>
          <w:rFonts w:eastAsia="Segoe UI" w:cs="Segoe UI" w:ascii="Segoe UI" w:hAnsi="Segoe UI"/>
          <w:color w:val="101820"/>
          <w:sz w:val="21"/>
        </w:rPr>
        <w:t xml:space="preserve"> (24 to 80) and whether to </w:t>
      </w:r>
      <w:r>
        <w:rPr>
          <w:rFonts w:eastAsia="Segoe UI" w:cs="Segoe UI" w:ascii="Segoe UI" w:hAnsi="Segoe UI"/>
          <w:b/>
          <w:color w:val="101820"/>
          <w:sz w:val="21"/>
        </w:rPr>
        <w:t>Print the logo on documents</w:t>
      </w:r>
      <w:r>
        <w:rPr>
          <w:rFonts w:eastAsia="Segoe UI" w:cs="Segoe UI" w:ascii="Segoe UI" w:hAnsi="Segoe UI"/>
          <w:color w:val="101820"/>
          <w:sz w:val="21"/>
        </w:rPr>
        <w:t>.</w:t>
      </w:r>
    </w:p>
    <w:p>
      <w:pPr>
        <w:pStyle w:val="Normal"/>
        <w:numPr>
          <w:ilvl w:val="0"/>
          <w:numId w:val="18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Footer lines</w:t>
      </w:r>
      <w:r>
        <w:rPr>
          <w:rFonts w:eastAsia="Segoe UI" w:cs="Segoe UI" w:ascii="Segoe UI" w:hAnsi="Segoe UI"/>
          <w:color w:val="101820"/>
          <w:sz w:val="21"/>
        </w:rPr>
        <w:t xml:space="preserve">, write the </w:t>
      </w:r>
      <w:r>
        <w:rPr>
          <w:rFonts w:eastAsia="Segoe UI" w:cs="Segoe UI" w:ascii="Segoe UI" w:hAnsi="Segoe UI"/>
          <w:b/>
          <w:color w:val="101820"/>
          <w:sz w:val="21"/>
        </w:rPr>
        <w:t>Footer on every document and report</w:t>
      </w:r>
      <w:r>
        <w:rPr>
          <w:rFonts w:eastAsia="Segoe UI" w:cs="Segoe UI" w:ascii="Segoe UI" w:hAnsi="Segoe UI"/>
          <w:color w:val="101820"/>
          <w:sz w:val="21"/>
        </w:rPr>
        <w:t xml:space="preserve">, with the placeholders {{licence}}, {{tin}} and {{companyName}} (delivered: Authorized by the Insurance Commission to act as an Insurance Broker, Licence No. {{licence}}), and an optional </w:t>
      </w:r>
      <w:r>
        <w:rPr>
          <w:rFonts w:eastAsia="Segoe UI" w:cs="Segoe UI" w:ascii="Segoe UI" w:hAnsi="Segoe UI"/>
          <w:b/>
          <w:color w:val="101820"/>
          <w:sz w:val="21"/>
        </w:rPr>
        <w:t>Extra line on report files</w:t>
      </w:r>
      <w:r>
        <w:rPr>
          <w:rFonts w:eastAsia="Segoe UI" w:cs="Segoe UI" w:ascii="Segoe UI" w:hAnsi="Segoe UI"/>
          <w:color w:val="101820"/>
          <w:sz w:val="21"/>
        </w:rPr>
        <w:t>.</w:t>
      </w:r>
    </w:p>
    <w:p>
      <w:pPr>
        <w:pStyle w:val="Normal"/>
        <w:numPr>
          <w:ilvl w:val="0"/>
          <w:numId w:val="18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Excel report files</w:t>
      </w:r>
      <w:r>
        <w:rPr>
          <w:rFonts w:eastAsia="Segoe UI" w:cs="Segoe UI" w:ascii="Segoe UI" w:hAnsi="Segoe UI"/>
          <w:color w:val="101820"/>
          <w:sz w:val="21"/>
        </w:rPr>
        <w:t xml:space="preserve">, set the colour and text of the </w:t>
      </w:r>
      <w:r>
        <w:rPr>
          <w:rFonts w:eastAsia="Segoe UI" w:cs="Segoe UI" w:ascii="Segoe UI" w:hAnsi="Segoe UI"/>
          <w:b/>
          <w:color w:val="101820"/>
          <w:sz w:val="21"/>
        </w:rPr>
        <w:t>Header row</w:t>
      </w:r>
      <w:r>
        <w:rPr>
          <w:rFonts w:eastAsia="Segoe UI" w:cs="Segoe UI" w:ascii="Segoe UI" w:hAnsi="Segoe UI"/>
          <w:color w:val="101820"/>
          <w:sz w:val="21"/>
        </w:rPr>
        <w:t xml:space="preserve"> and whether the </w:t>
      </w:r>
      <w:r>
        <w:rPr>
          <w:rFonts w:eastAsia="Segoe UI" w:cs="Segoe UI" w:ascii="Segoe UI" w:hAnsi="Segoe UI"/>
          <w:b/>
          <w:color w:val="101820"/>
          <w:sz w:val="21"/>
        </w:rPr>
        <w:t>Logo and company banner above the table</w:t>
      </w:r>
      <w:r>
        <w:rPr>
          <w:rFonts w:eastAsia="Segoe UI" w:cs="Segoe UI" w:ascii="Segoe UI" w:hAnsi="Segoe UI"/>
          <w:color w:val="101820"/>
          <w:sz w:val="21"/>
        </w:rPr>
        <w:t xml:space="preserve"> are printed (the header row then moves down).</w:t>
      </w:r>
    </w:p>
    <w:p>
      <w:pPr>
        <w:pStyle w:val="Normal"/>
        <w:numPr>
          <w:ilvl w:val="0"/>
          <w:numId w:val="18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Sample document</w:t>
      </w:r>
      <w:r>
        <w:rPr>
          <w:rFonts w:eastAsia="Segoe UI" w:cs="Segoe UI" w:ascii="Segoe UI" w:hAnsi="Segoe UI"/>
          <w:color w:val="101820"/>
          <w:sz w:val="21"/>
        </w:rPr>
        <w:t xml:space="preserve"> to check the result as a PDF, then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6.9.5  E-mail</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E-mail</w:t>
      </w:r>
      <w:r>
        <w:rPr>
          <w:rFonts w:eastAsia="Segoe UI" w:cs="Segoe UI" w:ascii="Segoe UI" w:hAnsi="Segoe UI"/>
          <w:color w:val="101820"/>
          <w:sz w:val="21"/>
        </w:rPr>
        <w:t xml:space="preserve">, switch </w:t>
      </w:r>
      <w:r>
        <w:rPr>
          <w:rFonts w:eastAsia="Segoe UI" w:cs="Segoe UI" w:ascii="Segoe UI" w:hAnsi="Segoe UI"/>
          <w:b/>
          <w:color w:val="101820"/>
          <w:sz w:val="21"/>
        </w:rPr>
        <w:t>Send e-mails in the branded layout (header with the logo, footer line)</w:t>
      </w:r>
      <w:r>
        <w:rPr>
          <w:rFonts w:eastAsia="Segoe UI" w:cs="Segoe UI" w:ascii="Segoe UI" w:hAnsi="Segoe UI"/>
          <w:color w:val="101820"/>
          <w:sz w:val="21"/>
        </w:rPr>
        <w:t xml:space="preserve"> on or off, set the </w:t>
      </w:r>
      <w:r>
        <w:rPr>
          <w:rFonts w:eastAsia="Segoe UI" w:cs="Segoe UI" w:ascii="Segoe UI" w:hAnsi="Segoe UI"/>
          <w:b/>
          <w:color w:val="101820"/>
          <w:sz w:val="21"/>
        </w:rPr>
        <w:t>Header background</w:t>
      </w:r>
      <w:r>
        <w:rPr>
          <w:rFonts w:eastAsia="Segoe UI" w:cs="Segoe UI" w:ascii="Segoe UI" w:hAnsi="Segoe UI"/>
          <w:color w:val="101820"/>
          <w:sz w:val="21"/>
        </w:rPr>
        <w:t xml:space="preserve">, the </w:t>
      </w:r>
      <w:r>
        <w:rPr>
          <w:rFonts w:eastAsia="Segoe UI" w:cs="Segoe UI" w:ascii="Segoe UI" w:hAnsi="Segoe UI"/>
          <w:b/>
          <w:color w:val="101820"/>
          <w:sz w:val="21"/>
        </w:rPr>
        <w:t>Header text</w:t>
      </w:r>
      <w:r>
        <w:rPr>
          <w:rFonts w:eastAsia="Segoe UI" w:cs="Segoe UI" w:ascii="Segoe UI" w:hAnsi="Segoe UI"/>
          <w:color w:val="101820"/>
          <w:sz w:val="21"/>
        </w:rPr>
        <w:t xml:space="preserve"> and the </w:t>
      </w:r>
      <w:r>
        <w:rPr>
          <w:rFonts w:eastAsia="Segoe UI" w:cs="Segoe UI" w:ascii="Segoe UI" w:hAnsi="Segoe UI"/>
          <w:b/>
          <w:color w:val="101820"/>
          <w:sz w:val="21"/>
        </w:rPr>
        <w:t>Line under the header</w:t>
      </w:r>
      <w:r>
        <w:rPr>
          <w:rFonts w:eastAsia="Segoe UI" w:cs="Segoe UI" w:ascii="Segoe UI" w:hAnsi="Segoe UI"/>
          <w:color w:val="101820"/>
          <w:sz w:val="21"/>
        </w:rPr>
        <w:t xml:space="preserve">, whether the </w:t>
      </w:r>
      <w:r>
        <w:rPr>
          <w:rFonts w:eastAsia="Segoe UI" w:cs="Segoe UI" w:ascii="Segoe UI" w:hAnsi="Segoe UI"/>
          <w:b/>
          <w:color w:val="101820"/>
          <w:sz w:val="21"/>
        </w:rPr>
        <w:t>Logo in the header</w:t>
      </w:r>
      <w:r>
        <w:rPr>
          <w:rFonts w:eastAsia="Segoe UI" w:cs="Segoe UI" w:ascii="Segoe UI" w:hAnsi="Segoe UI"/>
          <w:color w:val="101820"/>
          <w:sz w:val="21"/>
        </w:rPr>
        <w:t xml:space="preserve"> is shown, and the </w:t>
      </w:r>
      <w:r>
        <w:rPr>
          <w:rFonts w:eastAsia="Segoe UI" w:cs="Segoe UI" w:ascii="Segoe UI" w:hAnsi="Segoe UI"/>
          <w:b/>
          <w:color w:val="101820"/>
          <w:sz w:val="21"/>
        </w:rPr>
        <w:t>Footer</w:t>
      </w:r>
      <w:r>
        <w:rPr>
          <w:rFonts w:eastAsia="Segoe UI" w:cs="Segoe UI" w:ascii="Segoe UI" w:hAnsi="Segoe UI"/>
          <w:color w:val="101820"/>
          <w:sz w:val="21"/>
        </w:rPr>
        <w:t xml:space="preserve"> with the placeholders {{companyName}}, {{address}}, {{licence}} and {{tin}}. </w:t>
      </w:r>
      <w:r>
        <w:rPr>
          <w:rFonts w:eastAsia="Segoe UI" w:cs="Segoe UI" w:ascii="Segoe UI" w:hAnsi="Segoe UI"/>
          <w:b/>
          <w:color w:val="101820"/>
          <w:sz w:val="21"/>
        </w:rPr>
        <w:t>Show a sample e-mail</w:t>
      </w:r>
      <w:r>
        <w:rPr>
          <w:rFonts w:eastAsia="Segoe UI" w:cs="Segoe UI" w:ascii="Segoe UI" w:hAnsi="Segoe UI"/>
          <w:color w:val="101820"/>
          <w:sz w:val="21"/>
        </w:rPr>
        <w:t xml:space="preserve"> renders a sample message in the layout. Every e-mail the system sends (quotation links, notices, receipts, reminders, debit notes) uses it.</w:t>
      </w:r>
    </w:p>
    <w:p>
      <w:pPr>
        <w:pStyle w:val="Heading3"/>
        <w:rPr/>
      </w:pPr>
      <w:r>
        <w:rPr>
          <w:rFonts w:eastAsia="Segoe UI" w:cs="Segoe UI"/>
          <w:b/>
          <w:color w:val="0F4761"/>
          <w:sz w:val="23"/>
        </w:rPr>
        <w:t>6.9.6  Name and images</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Name and images</w:t>
      </w:r>
      <w:r>
        <w:rPr>
          <w:rFonts w:eastAsia="Segoe UI" w:cs="Segoe UI" w:ascii="Segoe UI" w:hAnsi="Segoe UI"/>
          <w:color w:val="101820"/>
          <w:sz w:val="21"/>
        </w:rPr>
        <w:t xml:space="preserve">, enter the </w:t>
      </w:r>
      <w:r>
        <w:rPr>
          <w:rFonts w:eastAsia="Segoe UI" w:cs="Segoe UI" w:ascii="Segoe UI" w:hAnsi="Segoe UI"/>
          <w:b/>
          <w:color w:val="101820"/>
          <w:sz w:val="21"/>
        </w:rPr>
        <w:t>Application name (sign-in page, side bar, browser tab)</w:t>
      </w:r>
      <w:r>
        <w:rPr>
          <w:rFonts w:eastAsia="Segoe UI" w:cs="Segoe UI" w:ascii="Segoe UI" w:hAnsi="Segoe UI"/>
          <w:color w:val="101820"/>
          <w:sz w:val="21"/>
        </w:rPr>
        <w:t xml:space="preserve"> and keep the images: the </w:t>
      </w:r>
      <w:r>
        <w:rPr>
          <w:rFonts w:eastAsia="Segoe UI" w:cs="Segoe UI" w:ascii="Segoe UI" w:hAnsi="Segoe UI"/>
          <w:b/>
          <w:color w:val="101820"/>
          <w:sz w:val="21"/>
        </w:rPr>
        <w:t>Application logo (side bar, sign-in page)</w:t>
      </w:r>
      <w:r>
        <w:rPr>
          <w:rFonts w:eastAsia="Segoe UI" w:cs="Segoe UI" w:ascii="Segoe UI" w:hAnsi="Segoe UI"/>
          <w:color w:val="101820"/>
          <w:sz w:val="21"/>
        </w:rPr>
        <w:t xml:space="preserve"> (PNG, JPG, WebP or SVG, up to 2 MB) and the </w:t>
      </w:r>
      <w:r>
        <w:rPr>
          <w:rFonts w:eastAsia="Segoe UI" w:cs="Segoe UI" w:ascii="Segoe UI" w:hAnsi="Segoe UI"/>
          <w:b/>
          <w:color w:val="101820"/>
          <w:sz w:val="21"/>
        </w:rPr>
        <w:t>Favicon (browser tab)</w:t>
      </w:r>
      <w:r>
        <w:rPr>
          <w:rFonts w:eastAsia="Segoe UI" w:cs="Segoe UI" w:ascii="Segoe UI" w:hAnsi="Segoe UI"/>
          <w:color w:val="101820"/>
          <w:sz w:val="21"/>
        </w:rPr>
        <w:t xml:space="preserve"> (PNG, ICO or SVG, up to 512 KB), each with </w:t>
      </w:r>
      <w:r>
        <w:rPr>
          <w:rFonts w:eastAsia="Segoe UI" w:cs="Segoe UI" w:ascii="Segoe UI" w:hAnsi="Segoe UI"/>
          <w:b/>
          <w:color w:val="101820"/>
          <w:sz w:val="21"/>
        </w:rPr>
        <w:t>Upload</w:t>
      </w:r>
      <w:r>
        <w:rPr>
          <w:rFonts w:eastAsia="Segoe UI" w:cs="Segoe UI" w:ascii="Segoe UI" w:hAnsi="Segoe UI"/>
          <w:color w:val="101820"/>
          <w:sz w:val="21"/>
        </w:rPr>
        <w:t xml:space="preserve"> and </w:t>
      </w:r>
      <w:r>
        <w:rPr>
          <w:rFonts w:eastAsia="Segoe UI" w:cs="Segoe UI" w:ascii="Segoe UI" w:hAnsi="Segoe UI"/>
          <w:b/>
          <w:color w:val="101820"/>
          <w:sz w:val="21"/>
        </w:rPr>
        <w:t>Use default</w:t>
      </w:r>
      <w:r>
        <w:rPr>
          <w:rFonts w:eastAsia="Segoe UI" w:cs="Segoe UI" w:ascii="Segoe UI" w:hAnsi="Segoe UI"/>
          <w:color w:val="101820"/>
          <w:sz w:val="21"/>
        </w:rPr>
        <w:t xml:space="preserve">, and the </w:t>
      </w:r>
      <w:r>
        <w:rPr>
          <w:rFonts w:eastAsia="Segoe UI" w:cs="Segoe UI" w:ascii="Segoe UI" w:hAnsi="Segoe UI"/>
          <w:b/>
          <w:color w:val="101820"/>
          <w:sz w:val="21"/>
        </w:rPr>
        <w:t>Logo height in the side bar (px)</w:t>
      </w:r>
      <w:r>
        <w:rPr>
          <w:rFonts w:eastAsia="Segoe UI" w:cs="Segoe UI" w:ascii="Segoe UI" w:hAnsi="Segoe UI"/>
          <w:color w:val="101820"/>
          <w:sz w:val="21"/>
        </w:rPr>
        <w:t xml:space="preserve"> (20 to 80). An uploaded image applies at once; an SVG must be a plain drawing, so a file with scripts or links is refused. The logo on printed documents is the logo of the primary company in Master &gt; Organization &gt; Company; a brand pack import can set it.</w:t>
      </w:r>
    </w:p>
    <w:p>
      <w:pPr>
        <w:pStyle w:val="Heading3"/>
        <w:rPr/>
      </w:pPr>
      <w:r>
        <w:rPr>
          <w:rFonts w:eastAsia="Segoe UI" w:cs="Segoe UI"/>
          <w:b/>
          <w:color w:val="0F4761"/>
          <w:sz w:val="23"/>
        </w:rPr>
        <w:t>6.9.7  Document signatures</w:t>
      </w:r>
    </w:p>
    <w:p>
      <w:pPr>
        <w:pStyle w:val="Normal"/>
        <w:spacing w:lineRule="auto" w:line="276" w:before="0" w:after="120"/>
        <w:rPr/>
      </w:pPr>
      <w:r>
        <w:rPr>
          <w:rFonts w:eastAsia="Segoe UI" w:cs="Segoe UI" w:ascii="Segoe UI" w:hAnsi="Segoe UI"/>
          <w:color w:val="101820"/>
          <w:sz w:val="21"/>
        </w:rPr>
        <w:t xml:space="preserve">Signatures are captured in Master &gt; Insurance &gt; Signatories (the company's signatories: the </w:t>
      </w:r>
      <w:r>
        <w:rPr>
          <w:rFonts w:eastAsia="Segoe UI" w:cs="Segoe UI" w:ascii="Segoe UI" w:hAnsi="Segoe UI"/>
          <w:b/>
          <w:color w:val="101820"/>
          <w:sz w:val="21"/>
        </w:rPr>
        <w:t>E-signature</w:t>
      </w:r>
      <w:r>
        <w:rPr>
          <w:rFonts w:eastAsia="Segoe UI" w:cs="Segoe UI" w:ascii="Segoe UI" w:hAnsi="Segoe UI"/>
          <w:color w:val="101820"/>
          <w:sz w:val="21"/>
        </w:rPr>
        <w:t xml:space="preserve"> icon on the row opens the capture: </w:t>
      </w:r>
      <w:r>
        <w:rPr>
          <w:rFonts w:eastAsia="Segoe UI" w:cs="Segoe UI" w:ascii="Segoe UI" w:hAnsi="Segoe UI"/>
          <w:b/>
          <w:color w:val="101820"/>
          <w:sz w:val="21"/>
        </w:rPr>
        <w:t>Draw</w:t>
      </w:r>
      <w:r>
        <w:rPr>
          <w:rFonts w:eastAsia="Segoe UI" w:cs="Segoe UI" w:ascii="Segoe UI" w:hAnsi="Segoe UI"/>
          <w:color w:val="101820"/>
          <w:sz w:val="21"/>
        </w:rPr>
        <w:t xml:space="preserve"> the signature or </w:t>
      </w:r>
      <w:r>
        <w:rPr>
          <w:rFonts w:eastAsia="Segoe UI" w:cs="Segoe UI" w:ascii="Segoe UI" w:hAnsi="Segoe UI"/>
          <w:b/>
          <w:color w:val="101820"/>
          <w:sz w:val="21"/>
        </w:rPr>
        <w:t>Upload image</w:t>
      </w:r>
      <w:r>
        <w:rPr>
          <w:rFonts w:eastAsia="Segoe UI" w:cs="Segoe UI" w:ascii="Segoe UI" w:hAnsi="Segoe UI"/>
          <w:color w:val="101820"/>
          <w:sz w:val="21"/>
        </w:rPr>
        <w:t xml:space="preserve">, PNG with a transparent background or JPEG up to 512 KB, set </w:t>
      </w:r>
      <w:r>
        <w:rPr>
          <w:rFonts w:eastAsia="Segoe UI" w:cs="Segoe UI" w:ascii="Segoe UI" w:hAnsi="Segoe UI"/>
          <w:b/>
          <w:color w:val="101820"/>
          <w:sz w:val="21"/>
        </w:rPr>
        <w:t>Effective from</w:t>
      </w:r>
      <w:r>
        <w:rPr>
          <w:rFonts w:eastAsia="Segoe UI" w:cs="Segoe UI" w:ascii="Segoe UI" w:hAnsi="Segoe UI"/>
          <w:color w:val="101820"/>
          <w:sz w:val="21"/>
        </w:rPr>
        <w:t xml:space="preserve">, tick the consent statement and select </w:t>
      </w:r>
      <w:r>
        <w:rPr>
          <w:rFonts w:eastAsia="Segoe UI" w:cs="Segoe UI" w:ascii="Segoe UI" w:hAnsi="Segoe UI"/>
          <w:b/>
          <w:color w:val="101820"/>
          <w:sz w:val="21"/>
        </w:rPr>
        <w:t>Save signature</w:t>
      </w:r>
      <w:r>
        <w:rPr>
          <w:rFonts w:eastAsia="Segoe UI" w:cs="Segoe UI" w:ascii="Segoe UI" w:hAnsi="Segoe UI"/>
          <w:color w:val="101820"/>
          <w:sz w:val="21"/>
        </w:rPr>
        <w:t xml:space="preserve">; every version is kept under </w:t>
      </w:r>
      <w:r>
        <w:rPr>
          <w:rFonts w:eastAsia="Segoe UI" w:cs="Segoe UI" w:ascii="Segoe UI" w:hAnsi="Segoe UI"/>
          <w:b/>
          <w:color w:val="101820"/>
          <w:sz w:val="21"/>
        </w:rPr>
        <w:t>Versions</w:t>
      </w:r>
      <w:r>
        <w:rPr>
          <w:rFonts w:eastAsia="Segoe UI" w:cs="Segoe UI" w:ascii="Segoe UI" w:hAnsi="Segoe UI"/>
          <w:color w:val="101820"/>
          <w:sz w:val="21"/>
        </w:rPr>
        <w:t xml:space="preserve"> and </w:t>
      </w:r>
      <w:r>
        <w:rPr>
          <w:rFonts w:eastAsia="Segoe UI" w:cs="Segoe UI" w:ascii="Segoe UI" w:hAnsi="Segoe UI"/>
          <w:b/>
          <w:color w:val="101820"/>
          <w:sz w:val="21"/>
        </w:rPr>
        <w:t>Revoke</w:t>
      </w:r>
      <w:r>
        <w:rPr>
          <w:rFonts w:eastAsia="Segoe UI" w:cs="Segoe UI" w:ascii="Segoe UI" w:hAnsi="Segoe UI"/>
          <w:color w:val="101820"/>
          <w:sz w:val="21"/>
        </w:rPr>
        <w:t xml:space="preserve"> ends one with a reason) and on My Profile (</w:t>
      </w:r>
      <w:r>
        <w:rPr>
          <w:rFonts w:eastAsia="Segoe UI" w:cs="Segoe UI" w:ascii="Segoe UI" w:hAnsi="Segoe UI"/>
          <w:b/>
          <w:color w:val="101820"/>
          <w:sz w:val="21"/>
        </w:rPr>
        <w:t>My e-signature</w:t>
      </w:r>
      <w:r>
        <w:rPr>
          <w:rFonts w:eastAsia="Segoe UI" w:cs="Segoe UI" w:ascii="Segoe UI" w:hAnsi="Segoe UI"/>
          <w:color w:val="101820"/>
          <w:sz w:val="21"/>
        </w:rPr>
        <w:t>: a user's own signature, printed where a document is signed by the user who issued or approved it).</w:t>
      </w:r>
    </w:p>
    <w:p>
      <w:pPr>
        <w:pStyle w:val="Normal"/>
        <w:shd w:val="clear" w:color="auto" w:fill="EAF2FB"/>
        <w:spacing w:before="0" w:after="160"/>
        <w:ind w:left="170"/>
        <w:rPr/>
      </w:pPr>
      <w:r>
        <w:rPr>
          <w:rFonts w:eastAsia="Segoe UI" w:cs="Segoe UI" w:ascii="Segoe UI" w:hAnsi="Segoe UI"/>
          <w:color w:val="101820"/>
          <w:sz w:val="20"/>
        </w:rPr>
        <w:t>[Screen image not available: Theme and Branding: the Document signatures tab]</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Document signatures</w:t>
      </w:r>
      <w:r>
        <w:rPr>
          <w:rFonts w:eastAsia="Segoe UI" w:cs="Segoe UI" w:ascii="Segoe UI" w:hAnsi="Segoe UI"/>
          <w:color w:val="101820"/>
          <w:sz w:val="21"/>
        </w:rPr>
        <w:t xml:space="preserve"> says which signature prints on which document:</w:t>
      </w:r>
    </w:p>
    <w:p>
      <w:pPr>
        <w:pStyle w:val="Normal"/>
        <w:numPr>
          <w:ilvl w:val="0"/>
          <w:numId w:val="18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Document</w:t>
      </w:r>
      <w:r>
        <w:rPr>
          <w:rFonts w:eastAsia="Segoe UI" w:cs="Segoe UI" w:ascii="Segoe UI" w:hAnsi="Segoe UI"/>
          <w:color w:val="101820"/>
          <w:sz w:val="21"/>
        </w:rPr>
        <w:t>: Quotation slip, Policy schedule, Endorsement, Official receipt, Acknowledgement receipt, Payment voucher, Commission debit note, Billing statement / invoice, Statement of account, Journal voucher or Claim settlement letter.</w:t>
      </w:r>
    </w:p>
    <w:p>
      <w:pPr>
        <w:pStyle w:val="Normal"/>
        <w:numPr>
          <w:ilvl w:val="0"/>
          <w:numId w:val="185"/>
        </w:numPr>
        <w:spacing w:before="0" w:after="60"/>
        <w:rPr/>
      </w:pPr>
      <w:r>
        <w:rPr>
          <w:rFonts w:eastAsia="Segoe UI" w:cs="Segoe UI" w:ascii="Segoe UI" w:hAnsi="Segoe UI"/>
          <w:color w:val="101820"/>
          <w:sz w:val="21"/>
        </w:rPr>
        <w:t xml:space="preserve">For each slot set the </w:t>
      </w:r>
      <w:r>
        <w:rPr>
          <w:rFonts w:eastAsia="Segoe UI" w:cs="Segoe UI" w:ascii="Segoe UI" w:hAnsi="Segoe UI"/>
          <w:b/>
          <w:color w:val="101820"/>
          <w:sz w:val="21"/>
        </w:rPr>
        <w:t>Slot</w:t>
      </w:r>
      <w:r>
        <w:rPr>
          <w:rFonts w:eastAsia="Segoe UI" w:cs="Segoe UI" w:ascii="Segoe UI" w:hAnsi="Segoe UI"/>
          <w:color w:val="101820"/>
          <w:sz w:val="21"/>
        </w:rPr>
        <w:t xml:space="preserve"> code (lower-case letters, digits and hyphens; fixed once saved), the </w:t>
      </w:r>
      <w:r>
        <w:rPr>
          <w:rFonts w:eastAsia="Segoe UI" w:cs="Segoe UI" w:ascii="Segoe UI" w:hAnsi="Segoe UI"/>
          <w:b/>
          <w:color w:val="101820"/>
          <w:sz w:val="21"/>
        </w:rPr>
        <w:t>Label</w:t>
      </w:r>
      <w:r>
        <w:rPr>
          <w:rFonts w:eastAsia="Segoe UI" w:cs="Segoe UI" w:ascii="Segoe UI" w:hAnsi="Segoe UI"/>
          <w:color w:val="101820"/>
          <w:sz w:val="21"/>
        </w:rPr>
        <w:t xml:space="preserve"> printed under the signature (for example Prepared by, Approved by), </w:t>
      </w:r>
      <w:r>
        <w:rPr>
          <w:rFonts w:eastAsia="Segoe UI" w:cs="Segoe UI" w:ascii="Segoe UI" w:hAnsi="Segoe UI"/>
          <w:b/>
          <w:color w:val="101820"/>
          <w:sz w:val="21"/>
        </w:rPr>
        <w:t>Signed by</w:t>
      </w:r>
      <w:r>
        <w:rPr>
          <w:rFonts w:eastAsia="Segoe UI" w:cs="Segoe UI" w:ascii="Segoe UI" w:hAnsi="Segoe UI"/>
          <w:color w:val="101820"/>
          <w:sz w:val="21"/>
        </w:rPr>
        <w:t xml:space="preserve"> (Signatory chosen on the document (else the default signatory); A named signatory, with the signatory chosen next to it; The default signatory (documents.default_signatory); The user who approved the document; The user who issued / prepared the document) and </w:t>
      </w:r>
      <w:r>
        <w:rPr>
          <w:rFonts w:eastAsia="Segoe UI" w:cs="Segoe UI" w:ascii="Segoe UI" w:hAnsi="Segoe UI"/>
          <w:b/>
          <w:color w:val="101820"/>
          <w:sz w:val="21"/>
        </w:rPr>
        <w:t>Prints</w:t>
      </w:r>
      <w:r>
        <w:rPr>
          <w:rFonts w:eastAsia="Segoe UI" w:cs="Segoe UI" w:ascii="Segoe UI" w:hAnsi="Segoe UI"/>
          <w:color w:val="101820"/>
          <w:sz w:val="21"/>
        </w:rPr>
        <w:t xml:space="preserve"> (Once the document is issued; Once the document is approved; Always (also on drafts)). </w:t>
      </w:r>
      <w:r>
        <w:rPr>
          <w:rFonts w:eastAsia="Segoe UI" w:cs="Segoe UI" w:ascii="Segoe UI" w:hAnsi="Segoe UI"/>
          <w:b/>
          <w:color w:val="101820"/>
          <w:sz w:val="21"/>
        </w:rPr>
        <w:t>Active</w:t>
      </w:r>
      <w:r>
        <w:rPr>
          <w:rFonts w:eastAsia="Segoe UI" w:cs="Segoe UI" w:ascii="Segoe UI" w:hAnsi="Segoe UI"/>
          <w:color w:val="101820"/>
          <w:sz w:val="21"/>
        </w:rPr>
        <w:t xml:space="preserve"> switches a slot off without deleting it; the bin removes it.</w:t>
      </w:r>
    </w:p>
    <w:p>
      <w:pPr>
        <w:pStyle w:val="Normal"/>
        <w:numPr>
          <w:ilvl w:val="0"/>
          <w:numId w:val="186"/>
        </w:numPr>
        <w:spacing w:before="0" w:after="60"/>
        <w:rPr/>
      </w:pPr>
      <w:r>
        <w:rPr>
          <w:rFonts w:eastAsia="Segoe UI" w:cs="Segoe UI" w:ascii="Segoe UI" w:hAnsi="Segoe UI"/>
          <w:b/>
          <w:color w:val="101820"/>
          <w:sz w:val="21"/>
        </w:rPr>
        <w:t>Add slot</w:t>
      </w:r>
      <w:r>
        <w:rPr>
          <w:rFonts w:eastAsia="Segoe UI" w:cs="Segoe UI" w:ascii="Segoe UI" w:hAnsi="Segoe UI"/>
          <w:color w:val="101820"/>
          <w:sz w:val="21"/>
        </w:rPr>
        <w:t xml:space="preserve"> adds one more; </w:t>
      </w:r>
      <w:r>
        <w:rPr>
          <w:rFonts w:eastAsia="Segoe UI" w:cs="Segoe UI" w:ascii="Segoe UI" w:hAnsi="Segoe UI"/>
          <w:b/>
          <w:color w:val="101820"/>
          <w:sz w:val="21"/>
        </w:rPr>
        <w:t>Save</w:t>
      </w:r>
      <w:r>
        <w:rPr>
          <w:rFonts w:eastAsia="Segoe UI" w:cs="Segoe UI" w:ascii="Segoe UI" w:hAnsi="Segoe UI"/>
          <w:color w:val="101820"/>
          <w:sz w:val="21"/>
        </w:rPr>
        <w:t xml:space="preserve"> stores the mapping of the document chosen.</w:t>
      </w:r>
    </w:p>
    <w:p>
      <w:pPr>
        <w:pStyle w:val="Normal"/>
        <w:spacing w:lineRule="auto" w:line="276" w:before="0" w:after="120"/>
        <w:rPr/>
      </w:pPr>
      <w:r>
        <w:rPr>
          <w:rFonts w:eastAsia="Segoe UI" w:cs="Segoe UI" w:ascii="Segoe UI" w:hAnsi="Segoe UI"/>
          <w:color w:val="101820"/>
          <w:sz w:val="21"/>
        </w:rPr>
        <w:t>A draft prints its slots unsigned with an UNSIGNED DRAFT watermark; a cancelled document prints a CANCELLED watermark and no signature. In an uploaded document template (Product Configurator &gt; Document Manager) a signature is placed with {{signature:slot}}, slot being the slot code.</w:t>
      </w:r>
    </w:p>
    <w:p>
      <w:pPr>
        <w:pStyle w:val="Heading3"/>
        <w:rPr/>
      </w:pPr>
      <w:r>
        <w:rPr>
          <w:rFonts w:eastAsia="Segoe UI" w:cs="Segoe UI"/>
          <w:b/>
          <w:color w:val="0F4761"/>
          <w:sz w:val="23"/>
        </w:rPr>
        <w:t>6.9.8  Brand packs</w:t>
      </w:r>
    </w:p>
    <w:p>
      <w:pPr>
        <w:pStyle w:val="Normal"/>
        <w:spacing w:lineRule="auto" w:line="276" w:before="0" w:after="120"/>
        <w:rPr/>
      </w:pPr>
      <w:r>
        <w:rPr>
          <w:rFonts w:eastAsia="Segoe UI" w:cs="Segoe UI" w:ascii="Segoe UI" w:hAnsi="Segoe UI"/>
          <w:color w:val="101820"/>
          <w:sz w:val="21"/>
        </w:rPr>
        <w:t>A brand pack is the whole branding of an environment in one file: the theme (colours, layout, sign-in page, documents, e-mail), the application name, the logo, the favicon, the sign-in picture and the print logo.</w:t>
      </w:r>
    </w:p>
    <w:p>
      <w:pPr>
        <w:pStyle w:val="Normal"/>
        <w:shd w:val="clear" w:color="auto" w:fill="EAF2FB"/>
        <w:spacing w:before="0" w:after="160"/>
        <w:ind w:left="170"/>
        <w:rPr/>
      </w:pPr>
      <w:r>
        <w:rPr>
          <w:rFonts w:eastAsia="Segoe UI" w:cs="Segoe UI" w:ascii="Segoe UI" w:hAnsi="Segoe UI"/>
          <w:color w:val="101820"/>
          <w:sz w:val="20"/>
        </w:rPr>
        <w:t>[Screen image not available: Theme and Branding: the Brand packs tab]</w:t>
      </w:r>
    </w:p>
    <w:p>
      <w:pPr>
        <w:pStyle w:val="Normal"/>
        <w:numPr>
          <w:ilvl w:val="0"/>
          <w:numId w:val="1"/>
        </w:numPr>
        <w:spacing w:before="0" w:after="60"/>
        <w:rPr/>
      </w:pPr>
      <w:r>
        <w:rPr>
          <w:rFonts w:eastAsia="Segoe UI" w:cs="Segoe UI" w:ascii="Segoe UI" w:hAnsi="Segoe UI"/>
          <w:b/>
          <w:color w:val="101820"/>
          <w:sz w:val="21"/>
        </w:rPr>
        <w:t>Export .zip</w:t>
      </w:r>
      <w:r>
        <w:rPr>
          <w:rFonts w:eastAsia="Segoe UI" w:cs="Segoe UI" w:ascii="Segoe UI" w:hAnsi="Segoe UI"/>
          <w:color w:val="101820"/>
          <w:sz w:val="21"/>
        </w:rPr>
        <w:t xml:space="preserve"> or </w:t>
      </w:r>
      <w:r>
        <w:rPr>
          <w:rFonts w:eastAsia="Segoe UI" w:cs="Segoe UI" w:ascii="Segoe UI" w:hAnsi="Segoe UI"/>
          <w:b/>
          <w:color w:val="101820"/>
          <w:sz w:val="21"/>
        </w:rPr>
        <w:t>Export .json</w:t>
      </w:r>
      <w:r>
        <w:rPr>
          <w:rFonts w:eastAsia="Segoe UI" w:cs="Segoe UI" w:ascii="Segoe UI" w:hAnsi="Segoe UI"/>
          <w:color w:val="101820"/>
          <w:sz w:val="21"/>
        </w:rPr>
        <w:t xml:space="preserve"> downloads the pack of this environment. Import it in another environment to promote the branding, for example from UAT to Production.</w:t>
      </w:r>
    </w:p>
    <w:p>
      <w:pPr>
        <w:pStyle w:val="Normal"/>
        <w:numPr>
          <w:ilvl w:val="0"/>
          <w:numId w:val="1"/>
        </w:numPr>
        <w:spacing w:before="0" w:after="60"/>
        <w:rPr/>
      </w:pPr>
      <w:r>
        <w:rPr>
          <w:rFonts w:eastAsia="Segoe UI" w:cs="Segoe UI" w:ascii="Segoe UI" w:hAnsi="Segoe UI"/>
          <w:b/>
          <w:color w:val="101820"/>
          <w:sz w:val="21"/>
        </w:rPr>
        <w:t>Choose brand pack</w:t>
      </w:r>
      <w:r>
        <w:rPr>
          <w:rFonts w:eastAsia="Segoe UI" w:cs="Segoe UI" w:ascii="Segoe UI" w:hAnsi="Segoe UI"/>
          <w:color w:val="101820"/>
          <w:sz w:val="21"/>
        </w:rPr>
        <w:t xml:space="preserve"> checks the file first without changing anything: the message says that the pack is valid, what it contains (theme, logo, favicon, sign-in picture, document logo) and any contrast warnings, with swatches of its main colours. Tick </w:t>
      </w:r>
      <w:r>
        <w:rPr>
          <w:rFonts w:eastAsia="Segoe UI" w:cs="Segoe UI" w:ascii="Segoe UI" w:hAnsi="Segoe UI"/>
          <w:b/>
          <w:color w:val="101820"/>
          <w:sz w:val="21"/>
        </w:rPr>
        <w:t>Also use the logo on printed documents (print logo of the primary company)</w:t>
      </w:r>
      <w:r>
        <w:rPr>
          <w:rFonts w:eastAsia="Segoe UI" w:cs="Segoe UI" w:ascii="Segoe UI" w:hAnsi="Segoe UI"/>
          <w:color w:val="101820"/>
          <w:sz w:val="21"/>
        </w:rPr>
        <w:t xml:space="preserve"> and </w:t>
      </w:r>
      <w:r>
        <w:rPr>
          <w:rFonts w:eastAsia="Segoe UI" w:cs="Segoe UI" w:ascii="Segoe UI" w:hAnsi="Segoe UI"/>
          <w:b/>
          <w:color w:val="101820"/>
          <w:sz w:val="21"/>
        </w:rPr>
        <w:t>Also set the application name of the pack</w:t>
      </w:r>
      <w:r>
        <w:rPr>
          <w:rFonts w:eastAsia="Segoe UI" w:cs="Segoe UI" w:ascii="Segoe UI" w:hAnsi="Segoe UI"/>
          <w:color w:val="101820"/>
          <w:sz w:val="21"/>
        </w:rPr>
        <w:t xml:space="preserve"> as needed, then select </w:t>
      </w:r>
      <w:r>
        <w:rPr>
          <w:rFonts w:eastAsia="Segoe UI" w:cs="Segoe UI" w:ascii="Segoe UI" w:hAnsi="Segoe UI"/>
          <w:b/>
          <w:color w:val="101820"/>
          <w:sz w:val="21"/>
        </w:rPr>
        <w:t>Apply brand pack</w:t>
      </w:r>
      <w:r>
        <w:rPr>
          <w:rFonts w:eastAsia="Segoe UI" w:cs="Segoe UI" w:ascii="Segoe UI" w:hAnsi="Segoe UI"/>
          <w:color w:val="101820"/>
          <w:sz w:val="21"/>
        </w:rPr>
        <w:t>. The message lists what was applied, and the theme, images and name are in force at once.</w:t>
      </w:r>
    </w:p>
    <w:p>
      <w:pPr>
        <w:pStyle w:val="Normal"/>
        <w:spacing w:lineRule="auto" w:line="276" w:before="0" w:after="120"/>
        <w:rPr/>
      </w:pPr>
      <w:r>
        <w:rPr>
          <w:rFonts w:eastAsia="Segoe UI" w:cs="Segoe UI" w:ascii="Segoe UI" w:hAnsi="Segoe UI"/>
          <w:color w:val="101820"/>
          <w:sz w:val="21"/>
        </w:rPr>
        <w:t>A pack that the application would refuse (a colour that is not a hex value, a font outside the list, text on buttons, header or table headers below WCAG AA) is refused at the check. A client brand pack carries the marks of a client of iorta TechNXT and is applied only in that client's environments, under the client's contract with iorta TechNXT, which covers the use of its marks there. Every save, upload, import, enablement and return to the default of this screen is in the audit trail.</w:t>
      </w:r>
    </w:p>
    <w:p>
      <w:pPr>
        <w:pStyle w:val="Normal"/>
        <w:spacing w:lineRule="auto" w:line="276" w:before="0" w:after="120"/>
        <w:rPr/>
      </w:pPr>
      <w:r>
        <w:rPr>
          <w:rFonts w:eastAsia="Segoe UI" w:cs="Segoe UI" w:ascii="Segoe UI" w:hAnsi="Segoe UI"/>
          <w:b/>
          <w:color w:val="101820"/>
          <w:sz w:val="21"/>
        </w:rPr>
        <w:t>Bundled packs.</w:t>
      </w:r>
      <w:r>
        <w:rPr>
          <w:rFonts w:eastAsia="Segoe UI" w:cs="Segoe UI" w:ascii="Segoe UI" w:hAnsi="Segoe UI"/>
          <w:color w:val="101820"/>
          <w:sz w:val="21"/>
        </w:rPr>
        <w:t xml:space="preserve"> The top of the tab lists the brand packs delivered with the product, so a client pack is enabled from the screen and not by uploading a file. Each card shows the pack's name, </w:t>
      </w:r>
      <w:r>
        <w:rPr>
          <w:rFonts w:eastAsia="Segoe UI" w:cs="Segoe UI" w:ascii="Segoe UI" w:hAnsi="Segoe UI"/>
          <w:b/>
          <w:color w:val="101820"/>
          <w:sz w:val="21"/>
        </w:rPr>
        <w:t>Marks owned by</w:t>
      </w:r>
      <w:r>
        <w:rPr>
          <w:rFonts w:eastAsia="Segoe UI" w:cs="Segoe UI" w:ascii="Segoe UI" w:hAnsi="Segoe UI"/>
          <w:color w:val="101820"/>
          <w:sz w:val="21"/>
        </w:rPr>
        <w:t xml:space="preserve"> (the owner of the trademarks it carries), </w:t>
      </w:r>
      <w:r>
        <w:rPr>
          <w:rFonts w:eastAsia="Segoe UI" w:cs="Segoe UI" w:ascii="Segoe UI" w:hAnsi="Segoe UI"/>
          <w:b/>
          <w:color w:val="101820"/>
          <w:sz w:val="21"/>
        </w:rPr>
        <w:t>Version</w:t>
      </w:r>
      <w:r>
        <w:rPr>
          <w:rFonts w:eastAsia="Segoe UI" w:cs="Segoe UI" w:ascii="Segoe UI" w:hAnsi="Segoe UI"/>
          <w:color w:val="101820"/>
          <w:sz w:val="21"/>
        </w:rPr>
        <w:t xml:space="preserve">, a description, swatches of its main colours and the status </w:t>
      </w:r>
      <w:r>
        <w:rPr>
          <w:rFonts w:eastAsia="Segoe UI" w:cs="Segoe UI" w:ascii="Segoe UI" w:hAnsi="Segoe UI"/>
          <w:b/>
          <w:color w:val="101820"/>
          <w:sz w:val="21"/>
        </w:rPr>
        <w:t>Enabled</w:t>
      </w:r>
      <w:r>
        <w:rPr>
          <w:rFonts w:eastAsia="Segoe UI" w:cs="Segoe UI" w:ascii="Segoe UI" w:hAnsi="Segoe UI"/>
          <w:color w:val="101820"/>
          <w:sz w:val="21"/>
        </w:rPr>
        <w:t xml:space="preserve"> or </w:t>
      </w:r>
      <w:r>
        <w:rPr>
          <w:rFonts w:eastAsia="Segoe UI" w:cs="Segoe UI" w:ascii="Segoe UI" w:hAnsi="Segoe UI"/>
          <w:b/>
          <w:color w:val="101820"/>
          <w:sz w:val="21"/>
        </w:rPr>
        <w:t>Available</w:t>
      </w:r>
      <w:r>
        <w:rPr>
          <w:rFonts w:eastAsia="Segoe UI" w:cs="Segoe UI" w:ascii="Segoe UI" w:hAnsi="Segoe UI"/>
          <w:color w:val="101820"/>
          <w:sz w:val="21"/>
        </w:rPr>
        <w:t xml:space="preserve">. Nothing is enabled by default: a new environment runs the iorta TechNXT default branding, and the line above the cards says </w:t>
      </w:r>
      <w:r>
        <w:rPr>
          <w:rFonts w:eastAsia="Segoe UI" w:cs="Segoe UI" w:ascii="Segoe UI" w:hAnsi="Segoe UI"/>
          <w:b/>
          <w:color w:val="101820"/>
          <w:sz w:val="21"/>
        </w:rPr>
        <w:t>The iorta TechNXT default branding is in force.</w:t>
      </w:r>
      <w:r>
        <w:rPr>
          <w:rFonts w:eastAsia="Segoe UI" w:cs="Segoe UI" w:ascii="Segoe UI" w:hAnsi="Segoe UI"/>
          <w:color w:val="101820"/>
          <w:sz w:val="21"/>
        </w:rPr>
        <w:t xml:space="preserve"> The Toyota Insurance Services pack is delivered this way: it stays optional and is used only in that client's environments.</w:t>
      </w:r>
    </w:p>
    <w:p>
      <w:pPr>
        <w:pStyle w:val="Normal"/>
        <w:numPr>
          <w:ilvl w:val="0"/>
          <w:numId w:val="1"/>
        </w:numPr>
        <w:spacing w:before="0" w:after="60"/>
        <w:rPr/>
      </w:pPr>
      <w:r>
        <w:rPr>
          <w:rFonts w:eastAsia="Segoe UI" w:cs="Segoe UI" w:ascii="Segoe UI" w:hAnsi="Segoe UI"/>
          <w:b/>
          <w:color w:val="101820"/>
          <w:sz w:val="21"/>
        </w:rPr>
        <w:t>Sample document</w:t>
      </w:r>
      <w:r>
        <w:rPr>
          <w:rFonts w:eastAsia="Segoe UI" w:cs="Segoe UI" w:ascii="Segoe UI" w:hAnsi="Segoe UI"/>
          <w:color w:val="101820"/>
          <w:sz w:val="21"/>
        </w:rPr>
        <w:t xml:space="preserve"> and </w:t>
      </w:r>
      <w:r>
        <w:rPr>
          <w:rFonts w:eastAsia="Segoe UI" w:cs="Segoe UI" w:ascii="Segoe UI" w:hAnsi="Segoe UI"/>
          <w:b/>
          <w:color w:val="101820"/>
          <w:sz w:val="21"/>
        </w:rPr>
        <w:t>Sample e-mail</w:t>
      </w:r>
      <w:r>
        <w:rPr>
          <w:rFonts w:eastAsia="Segoe UI" w:cs="Segoe UI" w:ascii="Segoe UI" w:hAnsi="Segoe UI"/>
          <w:color w:val="101820"/>
          <w:sz w:val="21"/>
        </w:rPr>
        <w:t xml:space="preserve"> on a card open the sample PDF and the sample e-mail printed with the pack's theme, without saving anything.</w:t>
      </w:r>
    </w:p>
    <w:p>
      <w:pPr>
        <w:pStyle w:val="Normal"/>
        <w:numPr>
          <w:ilvl w:val="0"/>
          <w:numId w:val="1"/>
        </w:numPr>
        <w:spacing w:before="0" w:after="60"/>
        <w:rPr/>
      </w:pPr>
      <w:r>
        <w:rPr>
          <w:rFonts w:eastAsia="Segoe UI" w:cs="Segoe UI" w:ascii="Segoe UI" w:hAnsi="Segoe UI"/>
          <w:b/>
          <w:color w:val="101820"/>
          <w:sz w:val="21"/>
        </w:rPr>
        <w:t>Enable</w:t>
      </w:r>
      <w:r>
        <w:rPr>
          <w:rFonts w:eastAsia="Segoe UI" w:cs="Segoe UI" w:ascii="Segoe UI" w:hAnsi="Segoe UI"/>
          <w:color w:val="101820"/>
          <w:sz w:val="21"/>
        </w:rPr>
        <w:t xml:space="preserve"> opens a confirmation. It states that the name, emblem and logo in the pack are trademarks of their owner, a client of iorta TechNXT, and that their use is covered by the client's contract with iorta TechNXT for the environments of that engagement; it shows </w:t>
      </w:r>
      <w:r>
        <w:rPr>
          <w:rFonts w:eastAsia="Segoe UI" w:cs="Segoe UI" w:ascii="Segoe UI" w:hAnsi="Segoe UI"/>
          <w:b/>
          <w:color w:val="101820"/>
          <w:sz w:val="21"/>
        </w:rPr>
        <w:t>Basis:</w:t>
      </w:r>
      <w:r>
        <w:rPr>
          <w:rFonts w:eastAsia="Segoe UI" w:cs="Segoe UI" w:ascii="Segoe UI" w:hAnsi="Segoe UI"/>
          <w:color w:val="101820"/>
          <w:sz w:val="21"/>
        </w:rPr>
        <w:t xml:space="preserve"> followed by the contract reference from the pack manifest; it checks the pack first (valid, what it contains, any contrast warnings); and it asks the administrator to tick </w:t>
      </w:r>
      <w:r>
        <w:rPr>
          <w:rFonts w:eastAsia="Segoe UI" w:cs="Segoe UI" w:ascii="Segoe UI" w:hAnsi="Segoe UI"/>
          <w:b/>
          <w:color w:val="101820"/>
          <w:sz w:val="21"/>
        </w:rPr>
        <w:t>This environment belongs to the client engagement whose contract with iorta TechNXT covers these marks</w:t>
      </w:r>
      <w:r>
        <w:rPr>
          <w:rFonts w:eastAsia="Segoe UI" w:cs="Segoe UI" w:ascii="Segoe UI" w:hAnsi="Segoe UI"/>
          <w:color w:val="101820"/>
          <w:sz w:val="21"/>
        </w:rPr>
        <w:t xml:space="preserve">. The </w:t>
      </w:r>
      <w:r>
        <w:rPr>
          <w:rFonts w:eastAsia="Segoe UI" w:cs="Segoe UI" w:ascii="Segoe UI" w:hAnsi="Segoe UI"/>
          <w:b/>
          <w:color w:val="101820"/>
          <w:sz w:val="21"/>
        </w:rPr>
        <w:t>Enable</w:t>
      </w:r>
      <w:r>
        <w:rPr>
          <w:rFonts w:eastAsia="Segoe UI" w:cs="Segoe UI" w:ascii="Segoe UI" w:hAnsi="Segoe UI"/>
          <w:color w:val="101820"/>
          <w:sz w:val="21"/>
        </w:rPr>
        <w:t xml:space="preserve"> button of the dialog stays disabled until the box is ticked. The options </w:t>
      </w:r>
      <w:r>
        <w:rPr>
          <w:rFonts w:eastAsia="Segoe UI" w:cs="Segoe UI" w:ascii="Segoe UI" w:hAnsi="Segoe UI"/>
          <w:b/>
          <w:color w:val="101820"/>
          <w:sz w:val="21"/>
        </w:rPr>
        <w:t>Also use the logo on printed documents</w:t>
      </w:r>
      <w:r>
        <w:rPr>
          <w:rFonts w:eastAsia="Segoe UI" w:cs="Segoe UI" w:ascii="Segoe UI" w:hAnsi="Segoe UI"/>
          <w:color w:val="101820"/>
          <w:sz w:val="21"/>
        </w:rPr>
        <w:t xml:space="preserve"> and </w:t>
      </w:r>
      <w:r>
        <w:rPr>
          <w:rFonts w:eastAsia="Segoe UI" w:cs="Segoe UI" w:ascii="Segoe UI" w:hAnsi="Segoe UI"/>
          <w:b/>
          <w:color w:val="101820"/>
          <w:sz w:val="21"/>
        </w:rPr>
        <w:t>Also set the application name of the pack</w:t>
      </w:r>
      <w:r>
        <w:rPr>
          <w:rFonts w:eastAsia="Segoe UI" w:cs="Segoe UI" w:ascii="Segoe UI" w:hAnsi="Segoe UI"/>
          <w:color w:val="101820"/>
          <w:sz w:val="21"/>
        </w:rPr>
        <w:t xml:space="preserve"> work as for an import. Enabling applies the theme, the application name and the images at once, like an import, and records the enablement: the card then shows </w:t>
      </w:r>
      <w:r>
        <w:rPr>
          <w:rFonts w:eastAsia="Segoe UI" w:cs="Segoe UI" w:ascii="Segoe UI" w:hAnsi="Segoe UI"/>
          <w:b/>
          <w:color w:val="101820"/>
          <w:sz w:val="21"/>
        </w:rPr>
        <w:t>Enabled on &lt;date&gt; by &lt;user&gt;</w:t>
      </w:r>
      <w:r>
        <w:rPr>
          <w:rFonts w:eastAsia="Segoe UI" w:cs="Segoe UI" w:ascii="Segoe UI" w:hAnsi="Segoe UI"/>
          <w:color w:val="101820"/>
          <w:sz w:val="21"/>
        </w:rPr>
        <w:t>, and the same line, with the pack's name, appears above the cards. The enablement is in the audit trail with the acknowledgement.</w:t>
      </w:r>
    </w:p>
    <w:p>
      <w:pPr>
        <w:pStyle w:val="Normal"/>
        <w:numPr>
          <w:ilvl w:val="0"/>
          <w:numId w:val="1"/>
        </w:numPr>
        <w:spacing w:before="0" w:after="60"/>
        <w:rPr/>
      </w:pPr>
      <w:r>
        <w:rPr>
          <w:rFonts w:eastAsia="Segoe UI" w:cs="Segoe UI" w:ascii="Segoe UI" w:hAnsi="Segoe UI"/>
          <w:b/>
          <w:color w:val="101820"/>
          <w:sz w:val="21"/>
        </w:rPr>
        <w:t>Back to default</w:t>
      </w:r>
      <w:r>
        <w:rPr>
          <w:rFonts w:eastAsia="Segoe UI" w:cs="Segoe UI" w:ascii="Segoe UI" w:hAnsi="Segoe UI"/>
          <w:color w:val="101820"/>
          <w:sz w:val="21"/>
        </w:rPr>
        <w:t xml:space="preserve"> (on the enabled card and in the status line) asks for a confirmation, then restores the iorta TechNXT default theme, logo and favicon, returns the application name and the print logo of the primary company to what they were before the pack was enabled, and closes the enablement. </w:t>
      </w:r>
      <w:r>
        <w:rPr>
          <w:rFonts w:eastAsia="Segoe UI" w:cs="Segoe UI" w:ascii="Segoe UI" w:hAnsi="Segoe UI"/>
          <w:b/>
          <w:color w:val="101820"/>
          <w:sz w:val="21"/>
        </w:rPr>
        <w:t>History</w:t>
      </w:r>
      <w:r>
        <w:rPr>
          <w:rFonts w:eastAsia="Segoe UI" w:cs="Segoe UI" w:ascii="Segoe UI" w:hAnsi="Segoe UI"/>
          <w:color w:val="101820"/>
          <w:sz w:val="21"/>
        </w:rPr>
        <w:t xml:space="preserve"> below the cards lists every enablement with its outcome (Enabled, Back to default, Replaced), who and when.</w:t>
      </w:r>
    </w:p>
    <w:p>
      <w:pPr>
        <w:pStyle w:val="Normal"/>
        <w:spacing w:lineRule="auto" w:line="276" w:before="0" w:after="120"/>
        <w:rPr/>
      </w:pPr>
      <w:r>
        <w:rPr>
          <w:rFonts w:eastAsia="Segoe UI" w:cs="Segoe UI" w:ascii="Segoe UI" w:hAnsi="Segoe UI"/>
          <w:color w:val="101820"/>
          <w:sz w:val="21"/>
        </w:rPr>
        <w:t>A bundled pack needs the settings permission to be seen and enabled, like the rest of the screen. Enabling it without the acknowledgement is refused by the server as well, so the acknowledgement cannot be skipped by calling the API directly.</w:t>
      </w:r>
    </w:p>
    <w:p>
      <w:pPr>
        <w:pStyle w:val="Heading2"/>
        <w:rPr/>
      </w:pPr>
      <w:bookmarkStart w:id="34" w:name="__RefHeading___Toc21585_17926050"/>
      <w:bookmarkEnd w:id="34"/>
      <w:r>
        <w:rPr>
          <w:rFonts w:eastAsia="Segoe UI" w:cs="Segoe UI"/>
          <w:b/>
          <w:color w:val="0F4761"/>
          <w:sz w:val="26"/>
        </w:rPr>
        <w:t>6.10  Schedules</w:t>
      </w:r>
    </w:p>
    <w:p>
      <w:pPr>
        <w:pStyle w:val="Normal"/>
        <w:shd w:val="clear" w:color="auto" w:fill="EAF2FB"/>
        <w:spacing w:before="0" w:after="160"/>
        <w:ind w:left="170"/>
        <w:rPr/>
      </w:pPr>
      <w:r>
        <w:rPr>
          <w:rFonts w:eastAsia="Segoe UI" w:cs="Segoe UI" w:ascii="Segoe UI" w:hAnsi="Segoe UI"/>
          <w:color w:val="101820"/>
          <w:sz w:val="20"/>
        </w:rPr>
        <w:t>[Screen image not available: 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shd w:val="clear" w:color="auto" w:fill="EAF2FB"/>
        <w:spacing w:before="0" w:after="160"/>
        <w:ind w:left="170"/>
        <w:rPr/>
      </w:pPr>
      <w:r>
        <w:rPr>
          <w:rFonts w:eastAsia="Segoe UI" w:cs="Segoe UI" w:ascii="Segoe UI" w:hAnsi="Segoe UI"/>
          <w:color w:val="101820"/>
          <w:sz w:val="20"/>
        </w:rPr>
        <w:t>[Screen image not available: 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5" w:name="__RefHeading___Toc21587_17926050"/>
      <w:bookmarkEnd w:id="35"/>
      <w:r>
        <w:rPr>
          <w:rFonts w:eastAsia="Segoe UI" w:cs="Segoe UI"/>
          <w:b/>
          <w:color w:val="0F4761"/>
          <w:sz w:val="26"/>
        </w:rPr>
        <w:t>6.11  E-mail Outbox</w:t>
      </w:r>
    </w:p>
    <w:p>
      <w:pPr>
        <w:pStyle w:val="Normal"/>
        <w:shd w:val="clear" w:color="auto" w:fill="EAF2FB"/>
        <w:spacing w:before="0" w:after="160"/>
        <w:ind w:left="170"/>
        <w:rPr/>
      </w:pPr>
      <w:r>
        <w:rPr>
          <w:rFonts w:eastAsia="Segoe UI" w:cs="Segoe UI" w:ascii="Segoe UI" w:hAnsi="Segoe UI"/>
          <w:color w:val="101820"/>
          <w:sz w:val="20"/>
        </w:rPr>
        <w:t>[Screen image not available: 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6" w:name="__RefHeading___Toc21589_17926050"/>
      <w:bookmarkEnd w:id="36"/>
      <w:r>
        <w:rPr>
          <w:rFonts w:eastAsia="Segoe UI" w:cs="Segoe UI"/>
          <w:b/>
          <w:color w:val="0F4761"/>
          <w:sz w:val="26"/>
        </w:rPr>
        <w:t>6.12  Integrations</w:t>
      </w:r>
    </w:p>
    <w:p>
      <w:pPr>
        <w:pStyle w:val="Normal"/>
        <w:spacing w:lineRule="auto" w:line="276" w:before="0" w:after="120"/>
        <w:rPr/>
      </w:pPr>
      <w:r>
        <w:rPr>
          <w:rFonts w:eastAsia="Segoe UI" w:cs="Segoe UI" w:ascii="Segoe UI" w:hAnsi="Segoe UI"/>
          <w:color w:val="101820"/>
          <w:sz w:val="21"/>
        </w:rPr>
        <w:t xml:space="preserve">Master &gt; System &gt; Integrations is where every connection to a third party is set up and watched: the SMS gateways and the optional Viber business messages, the CTPL authentication provider accredited by the Insurance Commission and the LTO feed, the insurers' systems and the bank payment files. The screen needs </w:t>
      </w:r>
      <w:r>
        <w:rPr>
          <w:rFonts w:eastAsia="Consolas" w:cs="Consolas" w:ascii="Consolas" w:hAnsi="Consolas"/>
          <w:color w:val="101820"/>
          <w:sz w:val="19"/>
        </w:rPr>
        <w:t>read:integrations</w:t>
      </w:r>
      <w:r>
        <w:rPr>
          <w:rFonts w:eastAsia="Segoe UI" w:cs="Segoe UI" w:ascii="Segoe UI" w:hAnsi="Segoe UI"/>
          <w:color w:val="101820"/>
          <w:sz w:val="21"/>
        </w:rPr>
        <w:t xml:space="preserve"> (changes: </w:t>
      </w:r>
      <w:r>
        <w:rPr>
          <w:rFonts w:eastAsia="Consolas" w:cs="Consolas" w:ascii="Consolas" w:hAnsi="Consolas"/>
          <w:color w:val="101820"/>
          <w:sz w:val="19"/>
        </w:rPr>
        <w:t>write:integrations</w:t>
      </w:r>
      <w:r>
        <w:rPr>
          <w:rFonts w:eastAsia="Segoe UI" w:cs="Segoe UI" w:ascii="Segoe UI" w:hAnsi="Segoe UI"/>
          <w:color w:val="101820"/>
          <w:sz w:val="21"/>
        </w:rPr>
        <w:t>); both are held by the System Administrator only.</w:t>
      </w:r>
    </w:p>
    <w:p>
      <w:pPr>
        <w:pStyle w:val="Normal"/>
        <w:shd w:val="clear" w:color="auto" w:fill="EAF2FB"/>
        <w:spacing w:before="0" w:after="160"/>
        <w:ind w:left="170"/>
        <w:rPr/>
      </w:pPr>
      <w:r>
        <w:rPr>
          <w:rFonts w:eastAsia="Segoe UI" w:cs="Segoe UI" w:ascii="Segoe UI" w:hAnsi="Segoe UI"/>
          <w:color w:val="101820"/>
          <w:sz w:val="20"/>
        </w:rPr>
        <w:t>[Screen image not available: Master &gt; System &gt; Integrations: the Connectors tab]</w:t>
      </w:r>
    </w:p>
    <w:p>
      <w:pPr>
        <w:pStyle w:val="Heading3"/>
        <w:rPr/>
      </w:pPr>
      <w:r>
        <w:rPr>
          <w:rFonts w:eastAsia="Segoe UI" w:cs="Segoe UI"/>
          <w:b/>
          <w:color w:val="0F4761"/>
          <w:sz w:val="23"/>
        </w:rPr>
        <w:t>6.12.1  Connectors</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Connectors</w:t>
      </w:r>
      <w:r>
        <w:rPr>
          <w:rFonts w:eastAsia="Segoe UI" w:cs="Segoe UI" w:ascii="Segoe UI" w:hAnsi="Segoe UI"/>
          <w:color w:val="101820"/>
          <w:sz w:val="21"/>
        </w:rPr>
        <w:t xml:space="preserve"> tab lists each connector with its </w:t>
      </w:r>
      <w:r>
        <w:rPr>
          <w:rFonts w:eastAsia="Segoe UI" w:cs="Segoe UI" w:ascii="Segoe UI" w:hAnsi="Segoe UI"/>
          <w:b/>
          <w:color w:val="101820"/>
          <w:sz w:val="21"/>
        </w:rPr>
        <w:t>Type</w:t>
      </w:r>
      <w:r>
        <w:rPr>
          <w:rFonts w:eastAsia="Segoe UI" w:cs="Segoe UI" w:ascii="Segoe UI" w:hAnsi="Segoe UI"/>
          <w:color w:val="101820"/>
          <w:sz w:val="21"/>
        </w:rPr>
        <w:t xml:space="preserve">, </w:t>
      </w:r>
      <w:r>
        <w:rPr>
          <w:rFonts w:eastAsia="Segoe UI" w:cs="Segoe UI" w:ascii="Segoe UI" w:hAnsi="Segoe UI"/>
          <w:b/>
          <w:color w:val="101820"/>
          <w:sz w:val="21"/>
        </w:rPr>
        <w:t>Mode</w:t>
      </w:r>
      <w:r>
        <w:rPr>
          <w:rFonts w:eastAsia="Segoe UI" w:cs="Segoe UI" w:ascii="Segoe UI" w:hAnsi="Segoe UI"/>
          <w:color w:val="101820"/>
          <w:sz w:val="21"/>
        </w:rPr>
        <w:t xml:space="preserve"> (</w:t>
      </w:r>
      <w:r>
        <w:rPr>
          <w:rFonts w:eastAsia="Segoe UI" w:cs="Segoe UI" w:ascii="Segoe UI" w:hAnsi="Segoe UI"/>
          <w:b/>
          <w:color w:val="101820"/>
          <w:sz w:val="21"/>
        </w:rPr>
        <w:t>Test mode</w:t>
      </w:r>
      <w:r>
        <w:rPr>
          <w:rFonts w:eastAsia="Segoe UI" w:cs="Segoe UI" w:ascii="Segoe UI" w:hAnsi="Segoe UI"/>
          <w:color w:val="101820"/>
          <w:sz w:val="21"/>
        </w:rPr>
        <w:t xml:space="preserve"> or </w:t>
      </w:r>
      <w:r>
        <w:rPr>
          <w:rFonts w:eastAsia="Segoe UI" w:cs="Segoe UI" w:ascii="Segoe UI" w:hAnsi="Segoe UI"/>
          <w:b/>
          <w:color w:val="101820"/>
          <w:sz w:val="21"/>
        </w:rPr>
        <w:t>Live</w:t>
      </w:r>
      <w:r>
        <w:rPr>
          <w:rFonts w:eastAsia="Segoe UI" w:cs="Segoe UI" w:ascii="Segoe UI" w:hAnsi="Segoe UI"/>
          <w:color w:val="101820"/>
          <w:sz w:val="21"/>
        </w:rPr>
        <w:t xml:space="preserve">, and </w:t>
      </w:r>
      <w:r>
        <w:rPr>
          <w:rFonts w:eastAsia="Segoe UI" w:cs="Segoe UI" w:ascii="Segoe UI" w:hAnsi="Segoe UI"/>
          <w:b/>
          <w:color w:val="101820"/>
          <w:sz w:val="21"/>
        </w:rPr>
        <w:t>Cancelled</w:t>
      </w:r>
      <w:r>
        <w:rPr>
          <w:rFonts w:eastAsia="Segoe UI" w:cs="Segoe UI" w:ascii="Segoe UI" w:hAnsi="Segoe UI"/>
          <w:color w:val="101820"/>
          <w:sz w:val="21"/>
        </w:rPr>
        <w:t xml:space="preserve"> when it is switched off), the </w:t>
      </w:r>
      <w:r>
        <w:rPr>
          <w:rFonts w:eastAsia="Segoe UI" w:cs="Segoe UI" w:ascii="Segoe UI" w:hAnsi="Segoe UI"/>
          <w:b/>
          <w:color w:val="101820"/>
          <w:sz w:val="21"/>
        </w:rPr>
        <w:t>Credentials</w:t>
      </w:r>
      <w:r>
        <w:rPr>
          <w:rFonts w:eastAsia="Segoe UI" w:cs="Segoe UI" w:ascii="Segoe UI" w:hAnsi="Segoe UI"/>
          <w:color w:val="101820"/>
          <w:sz w:val="21"/>
        </w:rPr>
        <w:t xml:space="preserve"> it needs (a green tick when the environment variable is set on the server), the messages </w:t>
      </w:r>
      <w:r>
        <w:rPr>
          <w:rFonts w:eastAsia="Segoe UI" w:cs="Segoe UI" w:ascii="Segoe UI" w:hAnsi="Segoe UI"/>
          <w:b/>
          <w:color w:val="101820"/>
          <w:sz w:val="21"/>
        </w:rPr>
        <w:t>Waiting</w:t>
      </w:r>
      <w:r>
        <w:rPr>
          <w:rFonts w:eastAsia="Segoe UI" w:cs="Segoe UI" w:ascii="Segoe UI" w:hAnsi="Segoe UI"/>
          <w:color w:val="101820"/>
          <w:sz w:val="21"/>
        </w:rPr>
        <w:t xml:space="preserve">, </w:t>
      </w:r>
      <w:r>
        <w:rPr>
          <w:rFonts w:eastAsia="Segoe UI" w:cs="Segoe UI" w:ascii="Segoe UI" w:hAnsi="Segoe UI"/>
          <w:b/>
          <w:color w:val="101820"/>
          <w:sz w:val="21"/>
        </w:rPr>
        <w:t>Failed</w:t>
      </w:r>
      <w:r>
        <w:rPr>
          <w:rFonts w:eastAsia="Segoe UI" w:cs="Segoe UI" w:ascii="Segoe UI" w:hAnsi="Segoe UI"/>
          <w:color w:val="101820"/>
          <w:sz w:val="21"/>
        </w:rPr>
        <w:t xml:space="preserve"> and </w:t>
      </w:r>
      <w:r>
        <w:rPr>
          <w:rFonts w:eastAsia="Segoe UI" w:cs="Segoe UI" w:ascii="Segoe UI" w:hAnsi="Segoe UI"/>
          <w:b/>
          <w:color w:val="101820"/>
          <w:sz w:val="21"/>
        </w:rPr>
        <w:t>Sent today</w:t>
      </w:r>
      <w:r>
        <w:rPr>
          <w:rFonts w:eastAsia="Segoe UI" w:cs="Segoe UI" w:ascii="Segoe UI" w:hAnsi="Segoe UI"/>
          <w:color w:val="101820"/>
          <w:sz w:val="21"/>
        </w:rPr>
        <w:t xml:space="preserve">, what is missing </w:t>
      </w:r>
      <w:r>
        <w:rPr>
          <w:rFonts w:eastAsia="Segoe UI" w:cs="Segoe UI" w:ascii="Segoe UI" w:hAnsi="Segoe UI"/>
          <w:b/>
          <w:color w:val="101820"/>
          <w:sz w:val="21"/>
        </w:rPr>
        <w:t>Before going live</w:t>
      </w:r>
      <w:r>
        <w:rPr>
          <w:rFonts w:eastAsia="Segoe UI" w:cs="Segoe UI" w:ascii="Segoe UI" w:hAnsi="Segoe UI"/>
          <w:color w:val="101820"/>
          <w:sz w:val="21"/>
        </w:rPr>
        <w:t>, and the last success and failure.</w:t>
      </w:r>
    </w:p>
    <w:p>
      <w:pPr>
        <w:pStyle w:val="Normal"/>
        <w:spacing w:lineRule="auto" w:line="276" w:before="0" w:after="120"/>
        <w:rPr/>
      </w:pPr>
      <w:r>
        <w:rPr>
          <w:rFonts w:eastAsia="Segoe UI" w:cs="Segoe UI" w:ascii="Segoe UI" w:hAnsi="Segoe UI"/>
          <w:color w:val="101820"/>
          <w:sz w:val="21"/>
        </w:rPr>
        <w:t>The system is delivered with these connectors, all in test mode except the bank files: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8"/>
        <w:gridCol w:w="3747"/>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Connector</w:t>
            </w:r>
          </w:p>
        </w:tc>
        <w:tc>
          <w:tcPr>
            <w:tcW w:w="3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c>
          <w:tcPr>
            <w:tcW w:w="3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SMS_SEMAPHORE</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(Semaphore-style API: form post with an API key)</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 the default SMS connector (</w:t>
            </w:r>
            <w:r>
              <w:rPr>
                <w:rFonts w:eastAsia="Consolas" w:cs="Consolas" w:ascii="Consolas" w:hAnsi="Consolas"/>
                <w:color w:val="101820"/>
                <w:kern w:val="0"/>
                <w:sz w:val="16"/>
                <w:szCs w:val="24"/>
                <w:lang w:val="en-US" w:eastAsia="ja-JP" w:bidi="ar-SA"/>
              </w:rPr>
              <w:t>messaging.sms_connector</w:t>
            </w:r>
            <w:r>
              <w:rPr>
                <w:rFonts w:eastAsia="Segoe UI" w:cs="Segoe UI" w:ascii="Segoe UI" w:hAnsi="Segoe UI"/>
                <w:color w:val="101820"/>
                <w:kern w:val="0"/>
                <w:sz w:val="18"/>
                <w:szCs w:val="24"/>
                <w:lang w:val="en-US" w:eastAsia="ja-JP" w:bidi="ar-SA"/>
              </w:rPr>
              <w:t>)</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SMS_GLOBE_LABS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(Globe Labs-style API: access token and short code)</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SMS_GENERIC</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through any HTTP API (path, body, headers and the answer's message id are options)</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VIBER_BUSINESS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Viber business messages through an aggregator (optional)</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CTPL_AUTH</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of CTPL certificates of cover</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LTO_FEED</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Authenticated COCs sent to the LTO, when the provider does not do it</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INSURER_API</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 (one mapping per insurer on Insurer Integration)</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BANK_FILES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(download and upload on the bank portal)</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In </w:t>
      </w:r>
      <w:r>
        <w:rPr>
          <w:rFonts w:eastAsia="Segoe UI" w:cs="Segoe UI" w:ascii="Segoe UI" w:hAnsi="Segoe UI"/>
          <w:b/>
          <w:color w:val="101820"/>
          <w:sz w:val="21"/>
        </w:rPr>
        <w:t>test mode</w:t>
      </w:r>
      <w:r>
        <w:rPr>
          <w:rFonts w:eastAsia="Segoe UI" w:cs="Segoe UI" w:ascii="Segoe UI" w:hAnsi="Segoe UI"/>
          <w:color w:val="101820"/>
          <w:sz w:val="21"/>
        </w:rPr>
        <w:t xml:space="preserve"> a connector answers from a built-in test provider: SMS are recorded as sent, a COC gets a test authentication code, an insurer returns a test policy number. Nothing leaves the system, so the whole process can be tried before the contract with the provider is signed.</w:t>
      </w:r>
    </w:p>
    <w:p>
      <w:pPr>
        <w:pStyle w:val="Normal"/>
        <w:spacing w:lineRule="auto" w:line="276" w:before="0" w:after="120"/>
        <w:rPr/>
      </w:pPr>
      <w:r>
        <w:rPr>
          <w:rFonts w:eastAsia="Segoe UI" w:cs="Segoe UI" w:ascii="Segoe UI" w:hAnsi="Segoe UI"/>
          <w:color w:val="101820"/>
          <w:sz w:val="21"/>
        </w:rPr>
        <w:t>To change a connector, select the pencil (</w:t>
      </w:r>
      <w:r>
        <w:rPr>
          <w:rFonts w:eastAsia="Segoe UI" w:cs="Segoe UI" w:ascii="Segoe UI" w:hAnsi="Segoe UI"/>
          <w:b/>
          <w:color w:val="101820"/>
          <w:sz w:val="21"/>
        </w:rPr>
        <w:t>Edit</w:t>
      </w:r>
      <w:r>
        <w:rPr>
          <w:rFonts w:eastAsia="Segoe UI" w:cs="Segoe UI" w:ascii="Segoe UI" w:hAnsi="Segoe UI"/>
          <w:color w:val="101820"/>
          <w:sz w:val="21"/>
        </w:rPr>
        <w:t>):</w:t>
      </w:r>
    </w:p>
    <w:p>
      <w:pPr>
        <w:pStyle w:val="Normal"/>
        <w:numPr>
          <w:ilvl w:val="0"/>
          <w:numId w:val="187"/>
        </w:numPr>
        <w:spacing w:before="0" w:after="60"/>
        <w:rPr/>
      </w:pPr>
      <w:r>
        <w:rPr>
          <w:rFonts w:eastAsia="Segoe UI" w:cs="Segoe UI" w:ascii="Segoe UI" w:hAnsi="Segoe UI"/>
          <w:b/>
          <w:color w:val="101820"/>
          <w:sz w:val="21"/>
        </w:rPr>
        <w:t>Endpoint</w:t>
      </w:r>
      <w:r>
        <w:rPr>
          <w:rFonts w:eastAsia="Segoe UI" w:cs="Segoe UI" w:ascii="Segoe UI" w:hAnsi="Segoe UI"/>
          <w:color w:val="101820"/>
          <w:sz w:val="21"/>
        </w:rPr>
        <w:t>: the address of the provider's service, from the provider.</w:t>
      </w:r>
    </w:p>
    <w:p>
      <w:pPr>
        <w:pStyle w:val="Normal"/>
        <w:numPr>
          <w:ilvl w:val="0"/>
          <w:numId w:val="188"/>
        </w:numPr>
        <w:spacing w:before="0" w:after="60"/>
        <w:rPr/>
      </w:pPr>
      <w:r>
        <w:rPr>
          <w:rFonts w:eastAsia="Segoe UI" w:cs="Segoe UI" w:ascii="Segoe UI" w:hAnsi="Segoe UI"/>
          <w:b/>
          <w:color w:val="101820"/>
          <w:sz w:val="21"/>
        </w:rPr>
        <w:t>Credentials</w:t>
      </w:r>
      <w:r>
        <w:rPr>
          <w:rFonts w:eastAsia="Segoe UI" w:cs="Segoe UI" w:ascii="Segoe UI" w:hAnsi="Segoe UI"/>
          <w:color w:val="101820"/>
          <w:sz w:val="21"/>
        </w:rPr>
        <w:t xml:space="preserve">: one line per credential with the NAME of the environment variable that holds it, for example </w:t>
      </w:r>
      <w:r>
        <w:rPr>
          <w:rFonts w:eastAsia="Consolas" w:cs="Consolas" w:ascii="Consolas" w:hAnsi="Consolas"/>
          <w:color w:val="101820"/>
          <w:sz w:val="19"/>
        </w:rPr>
        <w:t>SEMAPHORE_API_KEY</w:t>
      </w:r>
      <w:r>
        <w:rPr>
          <w:rFonts w:eastAsia="Segoe UI" w:cs="Segoe UI" w:ascii="Segoe UI" w:hAnsi="Segoe UI"/>
          <w:color w:val="101820"/>
          <w:sz w:val="21"/>
        </w:rPr>
        <w:t>. The value itself is never entered on the screen or stored in the database: the server administrator sets it in the secret store of the environment. The tag shows whether the variable is set.</w:t>
      </w:r>
    </w:p>
    <w:p>
      <w:pPr>
        <w:pStyle w:val="Normal"/>
        <w:numPr>
          <w:ilvl w:val="0"/>
          <w:numId w:val="189"/>
        </w:numPr>
        <w:spacing w:before="0" w:after="60"/>
        <w:rPr/>
      </w:pPr>
      <w:r>
        <w:rPr>
          <w:rFonts w:eastAsia="Segoe UI" w:cs="Segoe UI" w:ascii="Segoe UI" w:hAnsi="Segoe UI"/>
          <w:b/>
          <w:color w:val="101820"/>
          <w:sz w:val="21"/>
        </w:rPr>
        <w:t>Adapter options</w:t>
      </w:r>
      <w:r>
        <w:rPr>
          <w:rFonts w:eastAsia="Segoe UI" w:cs="Segoe UI" w:ascii="Segoe UI" w:hAnsi="Segoe UI"/>
          <w:color w:val="101820"/>
          <w:sz w:val="21"/>
        </w:rPr>
        <w:t>: the provider's details in JSON (sender name, short code, number format, paths, field names). The defaults match the provider style named in the connector.</w:t>
      </w:r>
    </w:p>
    <w:p>
      <w:pPr>
        <w:pStyle w:val="Normal"/>
        <w:numPr>
          <w:ilvl w:val="0"/>
          <w:numId w:val="190"/>
        </w:numPr>
        <w:spacing w:before="0" w:after="60"/>
        <w:rPr/>
      </w:pP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First retry after</w:t>
      </w:r>
      <w:r>
        <w:rPr>
          <w:rFonts w:eastAsia="Segoe UI" w:cs="Segoe UI" w:ascii="Segoe UI" w:hAnsi="Segoe UI"/>
          <w:color w:val="101820"/>
          <w:sz w:val="21"/>
        </w:rPr>
        <w:t xml:space="preserve"> and </w:t>
      </w:r>
      <w:r>
        <w:rPr>
          <w:rFonts w:eastAsia="Segoe UI" w:cs="Segoe UI" w:ascii="Segoe UI" w:hAnsi="Segoe UI"/>
          <w:b/>
          <w:color w:val="101820"/>
          <w:sz w:val="21"/>
        </w:rPr>
        <w:t>Longest wait</w:t>
      </w:r>
      <w:r>
        <w:rPr>
          <w:rFonts w:eastAsia="Segoe UI" w:cs="Segoe UI" w:ascii="Segoe UI" w:hAnsi="Segoe UI"/>
          <w:color w:val="101820"/>
          <w:sz w:val="21"/>
        </w:rPr>
        <w:t>: a message that fails is tried again after the first wait, then twice as long each time, up to the longest wait, until the number of attempts is reached. A request the provider refuses (for example an invalid number) is not retried.</w:t>
      </w:r>
    </w:p>
    <w:p>
      <w:pPr>
        <w:pStyle w:val="Normal"/>
        <w:numPr>
          <w:ilvl w:val="0"/>
          <w:numId w:val="191"/>
        </w:numPr>
        <w:spacing w:before="0" w:after="60"/>
        <w:rPr/>
      </w:pPr>
      <w:r>
        <w:rPr>
          <w:rFonts w:eastAsia="Segoe UI" w:cs="Segoe UI" w:ascii="Segoe UI" w:hAnsi="Segoe UI"/>
          <w:b/>
          <w:color w:val="101820"/>
          <w:sz w:val="21"/>
        </w:rPr>
        <w:t>Mode</w:t>
      </w:r>
      <w:r>
        <w:rPr>
          <w:rFonts w:eastAsia="Segoe UI" w:cs="Segoe UI" w:ascii="Segoe UI" w:hAnsi="Segoe UI"/>
          <w:color w:val="101820"/>
          <w:sz w:val="21"/>
        </w:rPr>
        <w:t xml:space="preserve"> </w:t>
      </w:r>
      <w:r>
        <w:rPr>
          <w:rFonts w:eastAsia="Segoe UI" w:cs="Segoe UI" w:ascii="Segoe UI" w:hAnsi="Segoe UI"/>
          <w:b/>
          <w:color w:val="101820"/>
          <w:sz w:val="21"/>
        </w:rPr>
        <w:t>Live</w:t>
      </w:r>
      <w:r>
        <w:rPr>
          <w:rFonts w:eastAsia="Segoe UI" w:cs="Segoe UI" w:ascii="Segoe UI" w:hAnsi="Segoe UI"/>
          <w:color w:val="101820"/>
          <w:sz w:val="21"/>
        </w:rPr>
        <w:t xml:space="preserve"> and </w:t>
      </w:r>
      <w:r>
        <w:rPr>
          <w:rFonts w:eastAsia="Segoe UI" w:cs="Segoe UI" w:ascii="Segoe UI" w:hAnsi="Segoe UI"/>
          <w:b/>
          <w:color w:val="101820"/>
          <w:sz w:val="21"/>
        </w:rPr>
        <w:t>Enabled</w:t>
      </w:r>
      <w:r>
        <w:rPr>
          <w:rFonts w:eastAsia="Segoe UI" w:cs="Segoe UI" w:ascii="Segoe UI" w:hAnsi="Segoe UI"/>
          <w:color w:val="101820"/>
          <w:sz w:val="21"/>
        </w:rPr>
        <w:t>. Live is refused while the endpoint or a credential variable is missing; the message says what is missing.</w:t>
      </w:r>
    </w:p>
    <w:p>
      <w:pPr>
        <w:pStyle w:val="Normal"/>
        <w:spacing w:lineRule="auto" w:line="276" w:before="0" w:after="120"/>
        <w:rPr/>
      </w:pPr>
      <w:r>
        <w:rPr>
          <w:rFonts w:eastAsia="Segoe UI" w:cs="Segoe UI" w:ascii="Segoe UI" w:hAnsi="Segoe UI"/>
          <w:b/>
          <w:color w:val="101820"/>
          <w:sz w:val="21"/>
        </w:rPr>
        <w:t>Test connection</w:t>
      </w:r>
      <w:r>
        <w:rPr>
          <w:rFonts w:eastAsia="Segoe UI" w:cs="Segoe UI" w:ascii="Segoe UI" w:hAnsi="Segoe UI"/>
          <w:color w:val="101820"/>
          <w:sz w:val="21"/>
        </w:rPr>
        <w:t xml:space="preserve"> checks the connector without sending a business message: in test mode it confirms the test provider, in live mode it calls the provider's health-check path when one is set in the options. Every change and test is in the audit trail.</w:t>
      </w:r>
    </w:p>
    <w:p>
      <w:pPr>
        <w:pStyle w:val="Heading3"/>
        <w:rPr/>
      </w:pPr>
      <w:r>
        <w:rPr>
          <w:rFonts w:eastAsia="Segoe UI" w:cs="Segoe UI"/>
          <w:b/>
          <w:color w:val="0F4761"/>
          <w:sz w:val="23"/>
        </w:rPr>
        <w:t>6.12.2  Outbox and inbox</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Outbox</w:t>
      </w:r>
      <w:r>
        <w:rPr>
          <w:rFonts w:eastAsia="Segoe UI" w:cs="Segoe UI" w:ascii="Segoe UI" w:hAnsi="Segoe UI"/>
          <w:color w:val="101820"/>
          <w:sz w:val="21"/>
        </w:rPr>
        <w:t xml:space="preserve"> tab lists every message sent or waiting: SMS and Viber messages, CTPL authentication requests, LTO feeds, insurer requests and bank files, with </w:t>
      </w:r>
      <w:r>
        <w:rPr>
          <w:rFonts w:eastAsia="Segoe UI" w:cs="Segoe UI" w:ascii="Segoe UI" w:hAnsi="Segoe UI"/>
          <w:b/>
          <w:color w:val="101820"/>
          <w:sz w:val="21"/>
        </w:rPr>
        <w:t>Status</w:t>
      </w:r>
      <w:r>
        <w:rPr>
          <w:rFonts w:eastAsia="Segoe UI" w:cs="Segoe UI" w:ascii="Segoe UI" w:hAnsi="Segoe UI"/>
          <w:color w:val="101820"/>
          <w:sz w:val="21"/>
        </w:rPr>
        <w:t xml:space="preserve"> (Queued, Retry scheduled, Sending, Sent, Failed, Cancelled, Not sent),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and </w:t>
      </w:r>
      <w:r>
        <w:rPr>
          <w:rFonts w:eastAsia="Segoe UI" w:cs="Segoe UI" w:ascii="Segoe UI" w:hAnsi="Segoe UI"/>
          <w:b/>
          <w:color w:val="101820"/>
          <w:sz w:val="21"/>
        </w:rPr>
        <w:t>Next attempt</w:t>
      </w:r>
      <w:r>
        <w:rPr>
          <w:rFonts w:eastAsia="Segoe UI" w:cs="Segoe UI" w:ascii="Segoe UI" w:hAnsi="Segoe UI"/>
          <w:color w:val="101820"/>
          <w:sz w:val="21"/>
        </w:rPr>
        <w:t>. Filter by status or connector, or search a mobile number, COC, policy or error text.</w:t>
      </w:r>
    </w:p>
    <w:p>
      <w:pPr>
        <w:pStyle w:val="Normal"/>
        <w:numPr>
          <w:ilvl w:val="0"/>
          <w:numId w:val="1"/>
        </w:numPr>
        <w:spacing w:before="0" w:after="60"/>
        <w:rPr/>
      </w:pPr>
      <w:r>
        <w:rPr>
          <w:rFonts w:eastAsia="Segoe UI" w:cs="Segoe UI" w:ascii="Segoe UI" w:hAnsi="Segoe UI"/>
          <w:color w:val="101820"/>
          <w:sz w:val="21"/>
        </w:rPr>
        <w:t>The eye (</w:t>
      </w:r>
      <w:r>
        <w:rPr>
          <w:rFonts w:eastAsia="Segoe UI" w:cs="Segoe UI" w:ascii="Segoe UI" w:hAnsi="Segoe UI"/>
          <w:b/>
          <w:color w:val="101820"/>
          <w:sz w:val="21"/>
        </w:rPr>
        <w:t>View</w:t>
      </w:r>
      <w:r>
        <w:rPr>
          <w:rFonts w:eastAsia="Segoe UI" w:cs="Segoe UI" w:ascii="Segoe UI" w:hAnsi="Segoe UI"/>
          <w:color w:val="101820"/>
          <w:sz w:val="21"/>
        </w:rPr>
        <w:t>) shows what was sent, the provider's answer and every attempt with its duration and error.</w:t>
      </w:r>
    </w:p>
    <w:p>
      <w:pPr>
        <w:pStyle w:val="Normal"/>
        <w:numPr>
          <w:ilvl w:val="0"/>
          <w:numId w:val="1"/>
        </w:numPr>
        <w:spacing w:before="0" w:after="60"/>
        <w:rPr/>
      </w:pPr>
      <w:r>
        <w:rPr>
          <w:rFonts w:eastAsia="Segoe UI" w:cs="Segoe UI" w:ascii="Segoe UI" w:hAnsi="Segoe UI"/>
          <w:b/>
          <w:color w:val="101820"/>
          <w:sz w:val="21"/>
        </w:rPr>
        <w:t>Resend</w:t>
      </w:r>
      <w:r>
        <w:rPr>
          <w:rFonts w:eastAsia="Segoe UI" w:cs="Segoe UI" w:ascii="Segoe UI" w:hAnsi="Segoe UI"/>
          <w:color w:val="101820"/>
          <w:sz w:val="21"/>
        </w:rPr>
        <w:t xml:space="preserve"> queues a failed, cancelled or not sent message again with a fresh attempt count and sends it at once; a message waiting for its next attempt is sent now.</w:t>
      </w:r>
    </w:p>
    <w:p>
      <w:pPr>
        <w:pStyle w:val="Normal"/>
        <w:numPr>
          <w:ilvl w:val="0"/>
          <w:numId w:val="1"/>
        </w:numPr>
        <w:spacing w:before="0" w:after="60"/>
        <w:rPr/>
      </w:pPr>
      <w:r>
        <w:rPr>
          <w:rFonts w:eastAsia="Segoe UI" w:cs="Segoe UI" w:ascii="Segoe UI" w:hAnsi="Segoe UI"/>
          <w:b/>
          <w:color w:val="101820"/>
          <w:sz w:val="21"/>
        </w:rPr>
        <w:t>Cancel message</w:t>
      </w:r>
      <w:r>
        <w:rPr>
          <w:rFonts w:eastAsia="Segoe UI" w:cs="Segoe UI" w:ascii="Segoe UI" w:hAnsi="Segoe UI"/>
          <w:color w:val="101820"/>
          <w:sz w:val="21"/>
        </w:rPr>
        <w:t xml:space="preserve"> stops a message that has not been sent.</w:t>
      </w:r>
    </w:p>
    <w:p>
      <w:pPr>
        <w:pStyle w:val="Normal"/>
        <w:numPr>
          <w:ilvl w:val="0"/>
          <w:numId w:val="1"/>
        </w:numPr>
        <w:spacing w:before="0" w:after="60"/>
        <w:rPr/>
      </w:pPr>
      <w:r>
        <w:rPr>
          <w:rFonts w:eastAsia="Segoe UI" w:cs="Segoe UI" w:ascii="Segoe UI" w:hAnsi="Segoe UI"/>
          <w:b/>
          <w:color w:val="101820"/>
          <w:sz w:val="21"/>
        </w:rPr>
        <w:t>Send due messages</w:t>
      </w:r>
      <w:r>
        <w:rPr>
          <w:rFonts w:eastAsia="Segoe UI" w:cs="Segoe UI" w:ascii="Segoe UI" w:hAnsi="Segoe UI"/>
          <w:color w:val="101820"/>
          <w:sz w:val="21"/>
        </w:rPr>
        <w:t xml:space="preserve"> (top right) sends what is due now. The job </w:t>
      </w:r>
      <w:r>
        <w:rPr>
          <w:rFonts w:eastAsia="Consolas" w:cs="Consolas" w:ascii="Consolas" w:hAnsi="Consolas"/>
          <w:color w:val="101820"/>
          <w:sz w:val="19"/>
        </w:rPr>
        <w:t>integration-outbox</w:t>
      </w:r>
      <w:r>
        <w:rPr>
          <w:rFonts w:eastAsia="Segoe UI" w:cs="Segoe UI" w:ascii="Segoe UI" w:hAnsi="Segoe UI"/>
          <w:color w:val="101820"/>
          <w:sz w:val="21"/>
        </w:rPr>
        <w:t xml:space="preserve"> (Master &gt; Schedules) does the same every 2 minutes.</w:t>
      </w:r>
    </w:p>
    <w:p>
      <w:pPr>
        <w:pStyle w:val="Normal"/>
        <w:spacing w:lineRule="auto" w:line="276" w:before="0" w:after="120"/>
        <w:rPr/>
      </w:pPr>
      <w:r>
        <w:rPr>
          <w:rFonts w:eastAsia="Segoe UI" w:cs="Segoe UI" w:ascii="Segoe UI" w:hAnsi="Segoe UI"/>
          <w:color w:val="101820"/>
          <w:sz w:val="21"/>
        </w:rPr>
        <w:t xml:space="preserve">A message </w:t>
      </w:r>
      <w:r>
        <w:rPr>
          <w:rFonts w:eastAsia="Segoe UI" w:cs="Segoe UI" w:ascii="Segoe UI" w:hAnsi="Segoe UI"/>
          <w:b/>
          <w:color w:val="101820"/>
          <w:sz w:val="21"/>
        </w:rPr>
        <w:t>Not sent</w:t>
      </w:r>
      <w:r>
        <w:rPr>
          <w:rFonts w:eastAsia="Segoe UI" w:cs="Segoe UI" w:ascii="Segoe UI" w:hAnsi="Segoe UI"/>
          <w:color w:val="101820"/>
          <w:sz w:val="21"/>
        </w:rPr>
        <w:t xml:space="preserve"> was deliberately not sent: the client has no valid mobile number, or the consent check refused it (see SMS and message templates). A switched-off connector keeps its messages queued until it is enabled again.</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Inbox</w:t>
      </w:r>
      <w:r>
        <w:rPr>
          <w:rFonts w:eastAsia="Segoe UI" w:cs="Segoe UI" w:ascii="Segoe UI" w:hAnsi="Segoe UI"/>
          <w:color w:val="101820"/>
          <w:sz w:val="21"/>
        </w:rPr>
        <w:t xml:space="preserve"> tab lists what third parties sent to the system: claim statuses pushed by an insurer, CTPL authentication results pushed by the provider, and the files imported by users (bank status files, claim status files). A message pushed by a third party must be signed with the connector's webhook secret; an unsigned or wrongly signed message is kept as </w:t>
      </w:r>
      <w:r>
        <w:rPr>
          <w:rFonts w:eastAsia="Segoe UI" w:cs="Segoe UI" w:ascii="Segoe UI" w:hAnsi="Segoe UI"/>
          <w:b/>
          <w:color w:val="101820"/>
          <w:sz w:val="21"/>
        </w:rPr>
        <w:t>Ignored</w:t>
      </w:r>
      <w:r>
        <w:rPr>
          <w:rFonts w:eastAsia="Segoe UI" w:cs="Segoe UI" w:ascii="Segoe UI" w:hAnsi="Segoe UI"/>
          <w:color w:val="101820"/>
          <w:sz w:val="21"/>
        </w:rPr>
        <w:t xml:space="preserve"> and never applied. </w:t>
      </w:r>
      <w:r>
        <w:rPr>
          <w:rFonts w:eastAsia="Segoe UI" w:cs="Segoe UI" w:ascii="Segoe UI" w:hAnsi="Segoe UI"/>
          <w:b/>
          <w:color w:val="101820"/>
          <w:sz w:val="21"/>
        </w:rPr>
        <w:t>Process again</w:t>
      </w:r>
      <w:r>
        <w:rPr>
          <w:rFonts w:eastAsia="Segoe UI" w:cs="Segoe UI" w:ascii="Segoe UI" w:hAnsi="Segoe UI"/>
          <w:color w:val="101820"/>
          <w:sz w:val="21"/>
        </w:rPr>
        <w:t xml:space="preserve"> retries a failed message once its cause is fixed.</w:t>
      </w:r>
    </w:p>
    <w:p>
      <w:pPr>
        <w:pStyle w:val="Heading3"/>
        <w:rPr/>
      </w:pPr>
      <w:r>
        <w:rPr>
          <w:rFonts w:eastAsia="Segoe UI" w:cs="Segoe UI"/>
          <w:b/>
          <w:color w:val="0F4761"/>
          <w:sz w:val="23"/>
        </w:rPr>
        <w:t>6.12.3  Go live with a provider</w:t>
      </w:r>
    </w:p>
    <w:p>
      <w:pPr>
        <w:pStyle w:val="Normal"/>
        <w:numPr>
          <w:ilvl w:val="0"/>
          <w:numId w:val="192"/>
        </w:numPr>
        <w:spacing w:before="0" w:after="60"/>
        <w:rPr/>
      </w:pPr>
      <w:r>
        <w:rPr>
          <w:rFonts w:eastAsia="Segoe UI" w:cs="Segoe UI" w:ascii="Segoe UI" w:hAnsi="Segoe UI"/>
          <w:color w:val="101820"/>
          <w:sz w:val="21"/>
        </w:rPr>
        <w:t>Sign the contract with the provider and obtain the endpoint, the credentials and the sender name or short code.</w:t>
      </w:r>
    </w:p>
    <w:p>
      <w:pPr>
        <w:pStyle w:val="Normal"/>
        <w:numPr>
          <w:ilvl w:val="0"/>
          <w:numId w:val="193"/>
        </w:numPr>
        <w:spacing w:before="0" w:after="60"/>
        <w:rPr/>
      </w:pPr>
      <w:r>
        <w:rPr>
          <w:rFonts w:eastAsia="Segoe UI" w:cs="Segoe UI" w:ascii="Segoe UI" w:hAnsi="Segoe UI"/>
          <w:color w:val="101820"/>
          <w:sz w:val="21"/>
        </w:rPr>
        <w:t>Ask the server administrator to set the credentials as environment variables (secret store) and restart the service.</w:t>
      </w:r>
    </w:p>
    <w:p>
      <w:pPr>
        <w:pStyle w:val="Normal"/>
        <w:numPr>
          <w:ilvl w:val="0"/>
          <w:numId w:val="194"/>
        </w:numPr>
        <w:spacing w:before="0" w:after="60"/>
        <w:rPr/>
      </w:pPr>
      <w:r>
        <w:rPr>
          <w:rFonts w:eastAsia="Segoe UI" w:cs="Segoe UI" w:ascii="Segoe UI" w:hAnsi="Segoe UI"/>
          <w:color w:val="101820"/>
          <w:sz w:val="21"/>
        </w:rPr>
        <w:t xml:space="preserve">On the connector, enter the endpoint and the variable names; </w:t>
      </w:r>
      <w:r>
        <w:rPr>
          <w:rFonts w:eastAsia="Segoe UI" w:cs="Segoe UI" w:ascii="Segoe UI" w:hAnsi="Segoe UI"/>
          <w:b/>
          <w:color w:val="101820"/>
          <w:sz w:val="21"/>
        </w:rPr>
        <w:t>Test connection</w:t>
      </w:r>
      <w:r>
        <w:rPr>
          <w:rFonts w:eastAsia="Segoe UI" w:cs="Segoe UI" w:ascii="Segoe UI" w:hAnsi="Segoe UI"/>
          <w:color w:val="101820"/>
          <w:sz w:val="21"/>
        </w:rPr>
        <w:t xml:space="preserve"> in live mode.</w:t>
      </w:r>
    </w:p>
    <w:p>
      <w:pPr>
        <w:pStyle w:val="Normal"/>
        <w:numPr>
          <w:ilvl w:val="0"/>
          <w:numId w:val="195"/>
        </w:numPr>
        <w:spacing w:before="0" w:after="60"/>
        <w:rPr/>
      </w:pPr>
      <w:r>
        <w:rPr>
          <w:rFonts w:eastAsia="Segoe UI" w:cs="Segoe UI" w:ascii="Segoe UI" w:hAnsi="Segoe UI"/>
          <w:color w:val="101820"/>
          <w:sz w:val="21"/>
        </w:rPr>
        <w:t xml:space="preserve">Switch the mode to </w:t>
      </w:r>
      <w:r>
        <w:rPr>
          <w:rFonts w:eastAsia="Segoe UI" w:cs="Segoe UI" w:ascii="Segoe UI" w:hAnsi="Segoe UI"/>
          <w:b/>
          <w:color w:val="101820"/>
          <w:sz w:val="21"/>
        </w:rPr>
        <w:t>Live</w:t>
      </w:r>
      <w:r>
        <w:rPr>
          <w:rFonts w:eastAsia="Segoe UI" w:cs="Segoe UI" w:ascii="Segoe UI" w:hAnsi="Segoe UI"/>
          <w:color w:val="101820"/>
          <w:sz w:val="21"/>
        </w:rPr>
        <w:t>. Send a test SMS from Message Templates, or authenticate one COC, and check the outbox.</w:t>
      </w:r>
    </w:p>
    <w:p>
      <w:pPr>
        <w:pStyle w:val="Normal"/>
        <w:spacing w:lineRule="auto" w:line="276" w:before="0" w:after="120"/>
        <w:rPr/>
      </w:pPr>
      <w:r>
        <w:rPr>
          <w:rFonts w:eastAsia="Segoe UI" w:cs="Segoe UI" w:ascii="Segoe UI" w:hAnsi="Segoe UI"/>
          <w:color w:val="101820"/>
          <w:sz w:val="21"/>
        </w:rPr>
        <w:t>What is certified with each partner (the provider's acceptance of the requests, the LTO interface, an insurer's API and each bank's file) is done during onboarding with the partner; the system cannot certify it alone.</w:t>
      </w:r>
    </w:p>
    <w:p>
      <w:pPr>
        <w:pStyle w:val="Heading2"/>
        <w:rPr/>
      </w:pPr>
      <w:bookmarkStart w:id="37" w:name="__RefHeading___Toc21591_17926050"/>
      <w:bookmarkEnd w:id="37"/>
      <w:r>
        <w:rPr>
          <w:rFonts w:eastAsia="Segoe UI" w:cs="Segoe UI"/>
          <w:b/>
          <w:color w:val="0F4761"/>
          <w:sz w:val="26"/>
        </w:rPr>
        <w:t>6.13  SMS and message templates</w:t>
      </w:r>
    </w:p>
    <w:p>
      <w:pPr>
        <w:pStyle w:val="Normal"/>
        <w:spacing w:lineRule="auto" w:line="276" w:before="0" w:after="120"/>
        <w:rPr/>
      </w:pPr>
      <w:r>
        <w:rPr>
          <w:rFonts w:eastAsia="Segoe UI" w:cs="Segoe UI" w:ascii="Segoe UI" w:hAnsi="Segoe UI"/>
          <w:color w:val="101820"/>
          <w:sz w:val="21"/>
        </w:rPr>
        <w:t>Master &gt; System &gt; Message Templates holds the texts sent to clients by SMS (or Viber).</w:t>
      </w:r>
    </w:p>
    <w:p>
      <w:pPr>
        <w:pStyle w:val="Normal"/>
        <w:shd w:val="clear" w:color="auto" w:fill="EAF2FB"/>
        <w:spacing w:before="0" w:after="160"/>
        <w:ind w:left="170"/>
        <w:rPr/>
      </w:pPr>
      <w:r>
        <w:rPr>
          <w:rFonts w:eastAsia="Segoe UI" w:cs="Segoe UI" w:ascii="Segoe UI" w:hAnsi="Segoe UI"/>
          <w:color w:val="101820"/>
          <w:sz w:val="20"/>
        </w:rPr>
        <w:t>[Screen image not available: Master &gt; System &gt; Message Templates]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81"/>
        <w:gridCol w:w="2278"/>
        <w:gridCol w:w="4755"/>
      </w:tblGrid>
      <w:tr>
        <w:trPr>
          <w:tblHeader w:val="true"/>
        </w:trPr>
        <w:tc>
          <w:tcPr>
            <w:tcW w:w="1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2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4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Sent</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RENEWAL_NOTICE</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By the job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on the days </w:t>
            </w:r>
            <w:r>
              <w:rPr>
                <w:rFonts w:eastAsia="Consolas" w:cs="Consolas" w:ascii="Consolas" w:hAnsi="Consolas"/>
                <w:color w:val="101820"/>
                <w:kern w:val="0"/>
                <w:sz w:val="16"/>
                <w:szCs w:val="24"/>
                <w:lang w:val="en-US" w:eastAsia="ja-JP" w:bidi="ar-SA"/>
              </w:rPr>
              <w:t>messaging.renewal_notice_days</w:t>
            </w:r>
            <w:r>
              <w:rPr>
                <w:rFonts w:eastAsia="Segoe UI" w:cs="Segoe UI" w:ascii="Segoe UI" w:hAnsi="Segoe UI"/>
                <w:color w:val="101820"/>
                <w:kern w:val="0"/>
                <w:sz w:val="18"/>
                <w:szCs w:val="24"/>
                <w:lang w:val="en-US" w:eastAsia="ja-JP" w:bidi="ar-SA"/>
              </w:rPr>
              <w:t xml:space="preserve"> (30 and 7) before expiry</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PAYMENT_REMINDER</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By the job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xml:space="preserve"> on the days </w:t>
            </w:r>
            <w:r>
              <w:rPr>
                <w:rFonts w:eastAsia="Consolas" w:cs="Consolas" w:ascii="Consolas" w:hAnsi="Consolas"/>
                <w:color w:val="101820"/>
                <w:kern w:val="0"/>
                <w:sz w:val="16"/>
                <w:szCs w:val="24"/>
                <w:lang w:val="en-US" w:eastAsia="ja-JP" w:bidi="ar-SA"/>
              </w:rPr>
              <w:t>messaging.payment_reminder_days</w:t>
            </w:r>
            <w:r>
              <w:rPr>
                <w:rFonts w:eastAsia="Segoe UI" w:cs="Segoe UI" w:ascii="Segoe UI" w:hAnsi="Segoe UI"/>
                <w:color w:val="101820"/>
                <w:kern w:val="0"/>
                <w:sz w:val="18"/>
                <w:szCs w:val="24"/>
                <w:lang w:val="en-US" w:eastAsia="ja-JP" w:bidi="ar-SA"/>
              </w:rPr>
              <w:t xml:space="preserve"> (3 and 0) before an open bill is due</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CLAIM_UPDATE</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update</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When a claim moves to a status of </w:t>
            </w:r>
            <w:r>
              <w:rPr>
                <w:rFonts w:eastAsia="Consolas" w:cs="Consolas" w:ascii="Consolas" w:hAnsi="Consolas"/>
                <w:color w:val="101820"/>
                <w:kern w:val="0"/>
                <w:sz w:val="16"/>
                <w:szCs w:val="24"/>
                <w:lang w:val="en-US" w:eastAsia="ja-JP" w:bidi="ar-SA"/>
              </w:rPr>
              <w:t>messaging.claim_update_statuses</w:t>
            </w:r>
            <w:r>
              <w:rPr>
                <w:rFonts w:eastAsia="Segoe UI" w:cs="Segoe UI" w:ascii="Segoe UI" w:hAnsi="Segoe UI"/>
                <w:color w:val="101820"/>
                <w:kern w:val="0"/>
                <w:sz w:val="18"/>
                <w:szCs w:val="24"/>
                <w:lang w:val="en-US" w:eastAsia="ja-JP" w:bidi="ar-SA"/>
              </w:rPr>
              <w:t xml:space="preserve"> (in review, approved, settled, rejected, closed)</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CTPL_AUTHENTICATED</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authenticated</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authentication code of a COC is received (delivered inactive)</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RENEWAL_NOTICE_VIBER</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by Viber</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inactive; activate it and deactivate the SMS one to send renewal notices by Viber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a template, select the pencil:</w:t>
      </w:r>
    </w:p>
    <w:p>
      <w:pPr>
        <w:pStyle w:val="Normal"/>
        <w:numPr>
          <w:ilvl w:val="0"/>
          <w:numId w:val="196"/>
        </w:numPr>
        <w:spacing w:before="0" w:after="60"/>
        <w:rPr/>
      </w:pPr>
      <w:r>
        <w:rPr>
          <w:rFonts w:eastAsia="Segoe UI" w:cs="Segoe UI" w:ascii="Segoe UI" w:hAnsi="Segoe UI"/>
          <w:color w:val="101820"/>
          <w:sz w:val="21"/>
        </w:rPr>
        <w:t xml:space="preserve">Change the </w:t>
      </w:r>
      <w:r>
        <w:rPr>
          <w:rFonts w:eastAsia="Segoe UI" w:cs="Segoe UI" w:ascii="Segoe UI" w:hAnsi="Segoe UI"/>
          <w:b/>
          <w:color w:val="101820"/>
          <w:sz w:val="21"/>
        </w:rPr>
        <w:t>Text</w:t>
      </w:r>
      <w:r>
        <w:rPr>
          <w:rFonts w:eastAsia="Segoe UI" w:cs="Segoe UI" w:ascii="Segoe UI" w:hAnsi="Segoe UI"/>
          <w:color w:val="101820"/>
          <w:sz w:val="21"/>
        </w:rPr>
        <w:t xml:space="preserve">. The placeholders in double braces are filled when the message is sent, for example </w:t>
      </w:r>
      <w:r>
        <w:rPr>
          <w:rFonts w:eastAsia="Consolas" w:cs="Consolas" w:ascii="Consolas" w:hAnsi="Consolas"/>
          <w:color w:val="101820"/>
          <w:sz w:val="19"/>
        </w:rPr>
        <w:t>{{clientName}}</w:t>
      </w:r>
      <w:r>
        <w:rPr>
          <w:rFonts w:eastAsia="Segoe UI" w:cs="Segoe UI" w:ascii="Segoe UI" w:hAnsi="Segoe UI"/>
          <w:color w:val="101820"/>
          <w:sz w:val="21"/>
        </w:rPr>
        <w:t xml:space="preserve">, </w:t>
      </w:r>
      <w:r>
        <w:rPr>
          <w:rFonts w:eastAsia="Consolas" w:cs="Consolas" w:ascii="Consolas" w:hAnsi="Consolas"/>
          <w:color w:val="101820"/>
          <w:sz w:val="19"/>
        </w:rPr>
        <w:t>{{policyNumber}}</w:t>
      </w:r>
      <w:r>
        <w:rPr>
          <w:rFonts w:eastAsia="Segoe UI" w:cs="Segoe UI" w:ascii="Segoe UI" w:hAnsi="Segoe UI"/>
          <w:color w:val="101820"/>
          <w:sz w:val="21"/>
        </w:rPr>
        <w:t xml:space="preserve">, </w:t>
      </w:r>
      <w:r>
        <w:rPr>
          <w:rFonts w:eastAsia="Consolas" w:cs="Consolas" w:ascii="Consolas" w:hAnsi="Consolas"/>
          <w:color w:val="101820"/>
          <w:sz w:val="19"/>
        </w:rPr>
        <w:t>{{expiryDate}}</w:t>
      </w:r>
      <w:r>
        <w:rPr>
          <w:rFonts w:eastAsia="Segoe UI" w:cs="Segoe UI" w:ascii="Segoe UI" w:hAnsi="Segoe UI"/>
          <w:color w:val="101820"/>
          <w:sz w:val="21"/>
        </w:rPr>
        <w:t xml:space="preserve">, </w:t>
      </w:r>
      <w:r>
        <w:rPr>
          <w:rFonts w:eastAsia="Consolas" w:cs="Consolas" w:ascii="Consolas" w:hAnsi="Consolas"/>
          <w:color w:val="101820"/>
          <w:sz w:val="19"/>
        </w:rPr>
        <w:t>{{amountDue}}</w:t>
      </w:r>
      <w:r>
        <w:rPr>
          <w:rFonts w:eastAsia="Segoe UI" w:cs="Segoe UI" w:ascii="Segoe UI" w:hAnsi="Segoe UI"/>
          <w:color w:val="101820"/>
          <w:sz w:val="21"/>
        </w:rPr>
        <w:t xml:space="preserve">, </w:t>
      </w:r>
      <w:r>
        <w:rPr>
          <w:rFonts w:eastAsia="Consolas" w:cs="Consolas" w:ascii="Consolas" w:hAnsi="Consolas"/>
          <w:color w:val="101820"/>
          <w:sz w:val="19"/>
        </w:rPr>
        <w:t>{{dueDate}}</w:t>
      </w:r>
      <w:r>
        <w:rPr>
          <w:rFonts w:eastAsia="Segoe UI" w:cs="Segoe UI" w:ascii="Segoe UI" w:hAnsi="Segoe UI"/>
          <w:color w:val="101820"/>
          <w:sz w:val="21"/>
        </w:rPr>
        <w:t xml:space="preserve">, </w:t>
      </w:r>
      <w:r>
        <w:rPr>
          <w:rFonts w:eastAsia="Consolas" w:cs="Consolas" w:ascii="Consolas" w:hAnsi="Consolas"/>
          <w:color w:val="101820"/>
          <w:sz w:val="19"/>
        </w:rPr>
        <w:t>{{claimNumber}}</w:t>
      </w:r>
      <w:r>
        <w:rPr>
          <w:rFonts w:eastAsia="Segoe UI" w:cs="Segoe UI" w:ascii="Segoe UI" w:hAnsi="Segoe UI"/>
          <w:color w:val="101820"/>
          <w:sz w:val="21"/>
        </w:rPr>
        <w:t xml:space="preserve">, </w:t>
      </w:r>
      <w:r>
        <w:rPr>
          <w:rFonts w:eastAsia="Consolas" w:cs="Consolas" w:ascii="Consolas" w:hAnsi="Consolas"/>
          <w:color w:val="101820"/>
          <w:sz w:val="19"/>
        </w:rPr>
        <w:t>{{claimStatus}}</w:t>
      </w:r>
      <w:r>
        <w:rPr>
          <w:rFonts w:eastAsia="Segoe UI" w:cs="Segoe UI" w:ascii="Segoe UI" w:hAnsi="Segoe UI"/>
          <w:color w:val="101820"/>
          <w:sz w:val="21"/>
        </w:rPr>
        <w:t xml:space="preserve">, </w:t>
      </w:r>
      <w:r>
        <w:rPr>
          <w:rFonts w:eastAsia="Consolas" w:cs="Consolas" w:ascii="Consolas" w:hAnsi="Consolas"/>
          <w:color w:val="101820"/>
          <w:sz w:val="19"/>
        </w:rPr>
        <w:t>{{cocNumber}}</w:t>
      </w:r>
      <w:r>
        <w:rPr>
          <w:rFonts w:eastAsia="Segoe UI" w:cs="Segoe UI" w:ascii="Segoe UI" w:hAnsi="Segoe UI"/>
          <w:color w:val="101820"/>
          <w:sz w:val="21"/>
        </w:rPr>
        <w:t xml:space="preserve">, </w:t>
      </w:r>
      <w:r>
        <w:rPr>
          <w:rFonts w:eastAsia="Consolas" w:cs="Consolas" w:ascii="Consolas" w:hAnsi="Consolas"/>
          <w:color w:val="101820"/>
          <w:sz w:val="19"/>
        </w:rPr>
        <w:t>{{authCode}}</w:t>
      </w:r>
      <w:r>
        <w:rPr>
          <w:rFonts w:eastAsia="Segoe UI" w:cs="Segoe UI" w:ascii="Segoe UI" w:hAnsi="Segoe UI"/>
          <w:color w:val="101820"/>
          <w:sz w:val="21"/>
        </w:rPr>
        <w:t xml:space="preserve"> and </w:t>
      </w:r>
      <w:r>
        <w:rPr>
          <w:rFonts w:eastAsia="Consolas" w:cs="Consolas" w:ascii="Consolas" w:hAnsi="Consolas"/>
          <w:color w:val="101820"/>
          <w:sz w:val="19"/>
        </w:rPr>
        <w:t>{{companyName}}</w:t>
      </w:r>
      <w:r>
        <w:rPr>
          <w:rFonts w:eastAsia="Segoe UI" w:cs="Segoe UI" w:ascii="Segoe UI" w:hAnsi="Segoe UI"/>
          <w:color w:val="101820"/>
          <w:sz w:val="21"/>
        </w:rPr>
        <w:t xml:space="preserve">. The </w:t>
      </w:r>
      <w:r>
        <w:rPr>
          <w:rFonts w:eastAsia="Segoe UI" w:cs="Segoe UI" w:ascii="Segoe UI" w:hAnsi="Segoe UI"/>
          <w:b/>
          <w:color w:val="101820"/>
          <w:sz w:val="21"/>
        </w:rPr>
        <w:t>Preview</w:t>
      </w:r>
      <w:r>
        <w:rPr>
          <w:rFonts w:eastAsia="Segoe UI" w:cs="Segoe UI" w:ascii="Segoe UI" w:hAnsi="Segoe UI"/>
          <w:color w:val="101820"/>
          <w:sz w:val="21"/>
        </w:rPr>
        <w:t xml:space="preserve"> shows the text with example values, its length and the number of SMS parts (160 characters each).</w:t>
      </w:r>
    </w:p>
    <w:p>
      <w:pPr>
        <w:pStyle w:val="Normal"/>
        <w:numPr>
          <w:ilvl w:val="0"/>
          <w:numId w:val="19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Consent needed</w:t>
      </w:r>
      <w:r>
        <w:rPr>
          <w:rFonts w:eastAsia="Segoe UI" w:cs="Segoe UI" w:ascii="Segoe UI" w:hAnsi="Segoe UI"/>
          <w:color w:val="101820"/>
          <w:sz w:val="21"/>
        </w:rPr>
        <w:t xml:space="preserve">: </w:t>
      </w:r>
      <w:r>
        <w:rPr>
          <w:rFonts w:eastAsia="Segoe UI" w:cs="Segoe UI" w:ascii="Segoe UI" w:hAnsi="Segoe UI"/>
          <w:b/>
          <w:color w:val="101820"/>
          <w:sz w:val="21"/>
        </w:rPr>
        <w:t>Processing (service message)</w:t>
      </w:r>
      <w:r>
        <w:rPr>
          <w:rFonts w:eastAsia="Segoe UI" w:cs="Segoe UI" w:ascii="Segoe UI" w:hAnsi="Segoe UI"/>
          <w:color w:val="101820"/>
          <w:sz w:val="21"/>
        </w:rPr>
        <w:t xml:space="preserve"> for renewal notices, reminders and claim updates; </w:t>
      </w:r>
      <w:r>
        <w:rPr>
          <w:rFonts w:eastAsia="Segoe UI" w:cs="Segoe UI" w:ascii="Segoe UI" w:hAnsi="Segoe UI"/>
          <w:b/>
          <w:color w:val="101820"/>
          <w:sz w:val="21"/>
        </w:rPr>
        <w:t>Marketing</w:t>
      </w:r>
      <w:r>
        <w:rPr>
          <w:rFonts w:eastAsia="Segoe UI" w:cs="Segoe UI" w:ascii="Segoe UI" w:hAnsi="Segoe UI"/>
          <w:color w:val="101820"/>
          <w:sz w:val="21"/>
        </w:rPr>
        <w:t xml:space="preserve"> for promotions; </w:t>
      </w:r>
      <w:r>
        <w:rPr>
          <w:rFonts w:eastAsia="Segoe UI" w:cs="Segoe UI" w:ascii="Segoe UI" w:hAnsi="Segoe UI"/>
          <w:b/>
          <w:color w:val="101820"/>
          <w:sz w:val="21"/>
        </w:rPr>
        <w:t>None</w:t>
      </w:r>
      <w:r>
        <w:rPr>
          <w:rFonts w:eastAsia="Segoe UI" w:cs="Segoe UI" w:ascii="Segoe UI" w:hAnsi="Segoe UI"/>
          <w:color w:val="101820"/>
          <w:sz w:val="21"/>
        </w:rPr>
        <w:t xml:space="preserve"> only for messages that need no consent.</w:t>
      </w:r>
    </w:p>
    <w:p>
      <w:pPr>
        <w:pStyle w:val="Normal"/>
        <w:numPr>
          <w:ilvl w:val="0"/>
          <w:numId w:val="198"/>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Connector</w:t>
      </w:r>
      <w:r>
        <w:rPr>
          <w:rFonts w:eastAsia="Segoe UI" w:cs="Segoe UI" w:ascii="Segoe UI" w:hAnsi="Segoe UI"/>
          <w:color w:val="101820"/>
          <w:sz w:val="21"/>
        </w:rPr>
        <w:t xml:space="preserve"> empty to use the default connector of the channel, or choose another one.</w:t>
      </w:r>
    </w:p>
    <w:p>
      <w:pPr>
        <w:pStyle w:val="Normal"/>
        <w:numPr>
          <w:ilvl w:val="0"/>
          <w:numId w:val="199"/>
        </w:numPr>
        <w:spacing w:before="0" w:after="60"/>
        <w:rPr/>
      </w:pPr>
      <w:r>
        <w:rPr>
          <w:rFonts w:eastAsia="Segoe UI" w:cs="Segoe UI" w:ascii="Segoe UI" w:hAnsi="Segoe UI"/>
          <w:color w:val="101820"/>
          <w:sz w:val="21"/>
        </w:rPr>
        <w:t xml:space="preserve">Save. </w:t>
      </w:r>
      <w:r>
        <w:rPr>
          <w:rFonts w:eastAsia="Segoe UI" w:cs="Segoe UI" w:ascii="Segoe UI" w:hAnsi="Segoe UI"/>
          <w:b/>
          <w:color w:val="101820"/>
          <w:sz w:val="21"/>
        </w:rPr>
        <w:t>Send a test</w:t>
      </w:r>
      <w:r>
        <w:rPr>
          <w:rFonts w:eastAsia="Segoe UI" w:cs="Segoe UI" w:ascii="Segoe UI" w:hAnsi="Segoe UI"/>
          <w:color w:val="101820"/>
          <w:sz w:val="21"/>
        </w:rPr>
        <w:t xml:space="preserve"> sends the template with example values to a mobile number you enter.</w:t>
      </w:r>
    </w:p>
    <w:p>
      <w:pPr>
        <w:pStyle w:val="Normal"/>
        <w:spacing w:lineRule="auto" w:line="276" w:before="0" w:after="120"/>
        <w:rPr/>
      </w:pPr>
      <w:r>
        <w:rPr>
          <w:rFonts w:eastAsia="Segoe UI" w:cs="Segoe UI" w:ascii="Segoe UI" w:hAnsi="Segoe UI"/>
          <w:b/>
          <w:color w:val="101820"/>
          <w:sz w:val="21"/>
        </w:rPr>
        <w:t>Consent check.</w:t>
      </w:r>
      <w:r>
        <w:rPr>
          <w:rFonts w:eastAsia="Segoe UI" w:cs="Segoe UI" w:ascii="Segoe UI" w:hAnsi="Segoe UI"/>
          <w:color w:val="101820"/>
          <w:sz w:val="21"/>
        </w:rPr>
        <w:t xml:space="preserve"> Before a message is queued the system reads the client's consents (Master &gt; Data Privacy). A marketing message needs a granted marketing consent. A service message is sent unless the client refused or withdrew consent for processing; with </w:t>
      </w:r>
      <w:r>
        <w:rPr>
          <w:rFonts w:eastAsia="Consolas" w:cs="Consolas" w:ascii="Consolas" w:hAnsi="Consolas"/>
          <w:color w:val="101820"/>
          <w:sz w:val="19"/>
        </w:rPr>
        <w:t>messaging.service_consent</w:t>
      </w:r>
      <w:r>
        <w:rPr>
          <w:rFonts w:eastAsia="Segoe UI" w:cs="Segoe UI" w:ascii="Segoe UI" w:hAnsi="Segoe UI"/>
          <w:color w:val="101820"/>
          <w:sz w:val="21"/>
        </w:rPr>
        <w:t xml:space="preserve"> set to </w:t>
      </w:r>
      <w:r>
        <w:rPr>
          <w:rFonts w:eastAsia="Consolas" w:cs="Consolas" w:ascii="Consolas" w:hAnsi="Consolas"/>
          <w:color w:val="101820"/>
          <w:sz w:val="19"/>
        </w:rPr>
        <w:t>opt-in</w:t>
      </w:r>
      <w:r>
        <w:rPr>
          <w:rFonts w:eastAsia="Segoe UI" w:cs="Segoe UI" w:ascii="Segoe UI" w:hAnsi="Segoe UI"/>
          <w:color w:val="101820"/>
          <w:sz w:val="21"/>
        </w:rPr>
        <w:t xml:space="preserve"> it needs a granted consent. A message that fails the check, or a client without a valid mobile number, is recorded in the outbox as </w:t>
      </w:r>
      <w:r>
        <w:rPr>
          <w:rFonts w:eastAsia="Segoe UI" w:cs="Segoe UI" w:ascii="Segoe UI" w:hAnsi="Segoe UI"/>
          <w:b/>
          <w:color w:val="101820"/>
          <w:sz w:val="21"/>
        </w:rPr>
        <w:t>Not sent</w:t>
      </w:r>
      <w:r>
        <w:rPr>
          <w:rFonts w:eastAsia="Segoe UI" w:cs="Segoe UI" w:ascii="Segoe UI" w:hAnsi="Segoe UI"/>
          <w:color w:val="101820"/>
          <w:sz w:val="21"/>
        </w:rPr>
        <w:t xml:space="preserve"> with the reason.</w:t>
      </w:r>
    </w:p>
    <w:p>
      <w:pPr>
        <w:pStyle w:val="Normal"/>
        <w:spacing w:lineRule="auto" w:line="276" w:before="0" w:after="120"/>
        <w:rPr/>
      </w:pPr>
      <w:r>
        <w:rPr>
          <w:rFonts w:eastAsia="Segoe UI" w:cs="Segoe UI" w:ascii="Segoe UI" w:hAnsi="Segoe UI"/>
          <w:color w:val="101820"/>
          <w:sz w:val="21"/>
        </w:rPr>
        <w:t xml:space="preserve">The jobs </w:t>
      </w:r>
      <w:r>
        <w:rPr>
          <w:rFonts w:eastAsia="Consolas" w:cs="Consolas" w:ascii="Consolas" w:hAnsi="Consolas"/>
          <w:color w:val="101820"/>
          <w:sz w:val="19"/>
        </w:rPr>
        <w:t>sms-renewal-notices</w:t>
      </w:r>
      <w:r>
        <w:rPr>
          <w:rFonts w:eastAsia="Segoe UI" w:cs="Segoe UI" w:ascii="Segoe UI" w:hAnsi="Segoe UI"/>
          <w:color w:val="101820"/>
          <w:sz w:val="21"/>
        </w:rPr>
        <w:t xml:space="preserve"> and </w:t>
      </w:r>
      <w:r>
        <w:rPr>
          <w:rFonts w:eastAsia="Consolas" w:cs="Consolas" w:ascii="Consolas" w:hAnsi="Consolas"/>
          <w:color w:val="101820"/>
          <w:sz w:val="19"/>
        </w:rPr>
        <w:t>sms-payment-reminders</w:t>
      </w:r>
      <w:r>
        <w:rPr>
          <w:rFonts w:eastAsia="Segoe UI" w:cs="Segoe UI" w:ascii="Segoe UI" w:hAnsi="Segoe UI"/>
          <w:color w:val="101820"/>
          <w:sz w:val="21"/>
        </w:rPr>
        <w:t xml:space="preserve"> are delivered switched off: switch them on in Master &gt; Schedules when the SMS connector is live. Each notice is sent once per policy and day; running a job again sends nothing twice. The </w:t>
      </w:r>
      <w:r>
        <w:rPr>
          <w:rFonts w:eastAsia="Segoe UI" w:cs="Segoe UI" w:ascii="Segoe UI" w:hAnsi="Segoe UI"/>
          <w:b/>
          <w:color w:val="101820"/>
          <w:sz w:val="21"/>
        </w:rPr>
        <w:t>Messages sent</w:t>
      </w:r>
      <w:r>
        <w:rPr>
          <w:rFonts w:eastAsia="Segoe UI" w:cs="Segoe UI" w:ascii="Segoe UI" w:hAnsi="Segoe UI"/>
          <w:color w:val="101820"/>
          <w:sz w:val="21"/>
        </w:rPr>
        <w:t xml:space="preserve"> tab lists every SMS and Viber message.</w:t>
      </w:r>
    </w:p>
    <w:p>
      <w:pPr>
        <w:pStyle w:val="Heading2"/>
        <w:rPr/>
      </w:pPr>
      <w:bookmarkStart w:id="38" w:name="__RefHeading___Toc21593_17926050"/>
      <w:bookmarkEnd w:id="38"/>
      <w:r>
        <w:rPr>
          <w:rFonts w:eastAsia="Segoe UI" w:cs="Segoe UI"/>
          <w:b/>
          <w:color w:val="0F4761"/>
          <w:sz w:val="26"/>
        </w:rPr>
        <w:t>6.14  Insurer integration</w:t>
      </w:r>
    </w:p>
    <w:p>
      <w:pPr>
        <w:pStyle w:val="Normal"/>
        <w:spacing w:lineRule="auto" w:line="276" w:before="0" w:after="120"/>
        <w:rPr/>
      </w:pPr>
      <w:r>
        <w:rPr>
          <w:rFonts w:eastAsia="Segoe UI" w:cs="Segoe UI" w:ascii="Segoe UI" w:hAnsi="Segoe UI"/>
          <w:color w:val="101820"/>
          <w:sz w:val="21"/>
        </w:rPr>
        <w:t>Master &gt; System &gt; Insurer Integration connects BrokerVerse to the insurers' systems.</w:t>
      </w:r>
    </w:p>
    <w:p>
      <w:pPr>
        <w:pStyle w:val="Normal"/>
        <w:shd w:val="clear" w:color="auto" w:fill="EAF2FB"/>
        <w:spacing w:before="0" w:after="160"/>
        <w:ind w:left="170"/>
        <w:rPr/>
      </w:pPr>
      <w:r>
        <w:rPr>
          <w:rFonts w:eastAsia="Segoe UI" w:cs="Segoe UI" w:ascii="Segoe UI" w:hAnsi="Segoe UI"/>
          <w:color w:val="101820"/>
          <w:sz w:val="20"/>
        </w:rPr>
        <w:t>[Screen image not available: Master &gt; System &gt; Insurer Integration]</w:t>
      </w:r>
    </w:p>
    <w:p>
      <w:pPr>
        <w:pStyle w:val="Normal"/>
        <w:spacing w:lineRule="auto" w:line="276" w:before="0" w:after="120"/>
        <w:rPr/>
      </w:pPr>
      <w:r>
        <w:rPr>
          <w:rFonts w:eastAsia="Segoe UI" w:cs="Segoe UI" w:ascii="Segoe UI" w:hAnsi="Segoe UI"/>
          <w:b/>
          <w:color w:val="101820"/>
          <w:sz w:val="21"/>
        </w:rPr>
        <w:t>Mappings.</w:t>
      </w:r>
      <w:r>
        <w:rPr>
          <w:rFonts w:eastAsia="Segoe UI" w:cs="Segoe UI" w:ascii="Segoe UI" w:hAnsi="Segoe UI"/>
          <w:color w:val="101820"/>
          <w:sz w:val="21"/>
        </w:rPr>
        <w:t xml:space="preserve"> Select </w:t>
      </w:r>
      <w:r>
        <w:rPr>
          <w:rFonts w:eastAsia="Segoe UI" w:cs="Segoe UI" w:ascii="Segoe UI" w:hAnsi="Segoe UI"/>
          <w:b/>
          <w:color w:val="101820"/>
          <w:sz w:val="21"/>
        </w:rPr>
        <w:t>New mapping</w:t>
      </w:r>
      <w:r>
        <w:rPr>
          <w:rFonts w:eastAsia="Segoe UI" w:cs="Segoe UI" w:ascii="Segoe UI" w:hAnsi="Segoe UI"/>
          <w:color w:val="101820"/>
          <w:sz w:val="21"/>
        </w:rPr>
        <w:t xml:space="preserve"> (or the pencil of an insurer):</w:t>
      </w:r>
    </w:p>
    <w:p>
      <w:pPr>
        <w:pStyle w:val="Normal"/>
        <w:numPr>
          <w:ilvl w:val="0"/>
          <w:numId w:val="200"/>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and the </w:t>
      </w:r>
      <w:r>
        <w:rPr>
          <w:rFonts w:eastAsia="Segoe UI" w:cs="Segoe UI" w:ascii="Segoe UI" w:hAnsi="Segoe UI"/>
          <w:b/>
          <w:color w:val="101820"/>
          <w:sz w:val="21"/>
        </w:rPr>
        <w:t>Connector</w:t>
      </w:r>
      <w:r>
        <w:rPr>
          <w:rFonts w:eastAsia="Segoe UI" w:cs="Segoe UI" w:ascii="Segoe UI" w:hAnsi="Segoe UI"/>
          <w:color w:val="101820"/>
          <w:sz w:val="21"/>
        </w:rPr>
        <w:t xml:space="preserve"> (INSURER_API, or a copy of it for an insurer or aggregator with its own endpoint and keys).</w:t>
      </w:r>
    </w:p>
    <w:p>
      <w:pPr>
        <w:pStyle w:val="Normal"/>
        <w:numPr>
          <w:ilvl w:val="0"/>
          <w:numId w:val="201"/>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Broker code at the insurer</w:t>
      </w:r>
      <w:r>
        <w:rPr>
          <w:rFonts w:eastAsia="Segoe UI" w:cs="Segoe UI" w:ascii="Segoe UI" w:hAnsi="Segoe UI"/>
          <w:color w:val="101820"/>
          <w:sz w:val="21"/>
        </w:rPr>
        <w:t xml:space="preserve"> and the </w:t>
      </w:r>
      <w:r>
        <w:rPr>
          <w:rFonts w:eastAsia="Segoe UI" w:cs="Segoe UI" w:ascii="Segoe UI" w:hAnsi="Segoe UI"/>
          <w:b/>
          <w:color w:val="101820"/>
          <w:sz w:val="21"/>
        </w:rPr>
        <w:t>Product codes</w:t>
      </w:r>
      <w:r>
        <w:rPr>
          <w:rFonts w:eastAsia="Segoe UI" w:cs="Segoe UI" w:ascii="Segoe UI" w:hAnsi="Segoe UI"/>
          <w:color w:val="101820"/>
          <w:sz w:val="21"/>
        </w:rPr>
        <w:t xml:space="preserve"> (for example </w:t>
      </w:r>
      <w:r>
        <w:rPr>
          <w:rFonts w:eastAsia="Consolas" w:cs="Consolas" w:ascii="Consolas" w:hAnsi="Consolas"/>
          <w:color w:val="101820"/>
          <w:sz w:val="19"/>
        </w:rPr>
        <w:t>{"MOTOR": "PC", "FIRE": "FI"}</w:t>
      </w:r>
      <w:r>
        <w:rPr>
          <w:rFonts w:eastAsia="Segoe UI" w:cs="Segoe UI" w:ascii="Segoe UI" w:hAnsi="Segoe UI"/>
          <w:color w:val="101820"/>
          <w:sz w:val="21"/>
        </w:rPr>
        <w:t>).</w:t>
      </w:r>
    </w:p>
    <w:p>
      <w:pPr>
        <w:pStyle w:val="Normal"/>
        <w:numPr>
          <w:ilvl w:val="0"/>
          <w:numId w:val="202"/>
        </w:numPr>
        <w:spacing w:before="0" w:after="60"/>
        <w:rPr/>
      </w:pPr>
      <w:r>
        <w:rPr>
          <w:rFonts w:eastAsia="Segoe UI" w:cs="Segoe UI" w:ascii="Segoe UI" w:hAnsi="Segoe UI"/>
          <w:b/>
          <w:color w:val="101820"/>
          <w:sz w:val="21"/>
        </w:rPr>
        <w:t>Issuance request map</w:t>
      </w:r>
      <w:r>
        <w:rPr>
          <w:rFonts w:eastAsia="Segoe UI" w:cs="Segoe UI" w:ascii="Segoe UI" w:hAnsi="Segoe UI"/>
          <w:color w:val="101820"/>
          <w:sz w:val="21"/>
        </w:rPr>
        <w:t xml:space="preserve">: the fields the insurer expects and where each comes from in the policy (for example </w:t>
      </w:r>
      <w:r>
        <w:rPr>
          <w:rFonts w:eastAsia="Consolas" w:cs="Consolas" w:ascii="Consolas" w:hAnsi="Consolas"/>
          <w:color w:val="101820"/>
          <w:sz w:val="19"/>
        </w:rPr>
        <w:t>"insuredName": "insuredName"</w:t>
      </w:r>
      <w:r>
        <w:rPr>
          <w:rFonts w:eastAsia="Segoe UI" w:cs="Segoe UI" w:ascii="Segoe UI" w:hAnsi="Segoe UI"/>
          <w:color w:val="101820"/>
          <w:sz w:val="21"/>
        </w:rPr>
        <w:t xml:space="preserve">, </w:t>
      </w:r>
      <w:r>
        <w:rPr>
          <w:rFonts w:eastAsia="Consolas" w:cs="Consolas" w:ascii="Consolas" w:hAnsi="Consolas"/>
          <w:color w:val="101820"/>
          <w:sz w:val="19"/>
        </w:rPr>
        <w:t>"plate": "vehicle.plateNumber"</w:t>
      </w:r>
      <w:r>
        <w:rPr>
          <w:rFonts w:eastAsia="Segoe UI" w:cs="Segoe UI" w:ascii="Segoe UI" w:hAnsi="Segoe UI"/>
          <w:color w:val="101820"/>
          <w:sz w:val="21"/>
        </w:rPr>
        <w:t xml:space="preserve">, </w:t>
      </w:r>
      <w:r>
        <w:rPr>
          <w:rFonts w:eastAsia="Consolas" w:cs="Consolas" w:ascii="Consolas" w:hAnsi="Consolas"/>
          <w:color w:val="101820"/>
          <w:sz w:val="19"/>
        </w:rPr>
        <w:t>"agent": "{{brokerCode}}"</w:t>
      </w:r>
      <w:r>
        <w:rPr>
          <w:rFonts w:eastAsia="Segoe UI" w:cs="Segoe UI" w:ascii="Segoe UI" w:hAnsi="Segoe UI"/>
          <w:color w:val="101820"/>
          <w:sz w:val="21"/>
        </w:rPr>
        <w:t>). Empty: the default map shown under the fields.</w:t>
      </w:r>
    </w:p>
    <w:p>
      <w:pPr>
        <w:pStyle w:val="Normal"/>
        <w:numPr>
          <w:ilvl w:val="0"/>
          <w:numId w:val="203"/>
        </w:numPr>
        <w:spacing w:before="0" w:after="60"/>
        <w:rPr/>
      </w:pPr>
      <w:r>
        <w:rPr>
          <w:rFonts w:eastAsia="Segoe UI" w:cs="Segoe UI" w:ascii="Segoe UI" w:hAnsi="Segoe UI"/>
          <w:b/>
          <w:color w:val="101820"/>
          <w:sz w:val="21"/>
        </w:rPr>
        <w:t>Answer map</w:t>
      </w:r>
      <w:r>
        <w:rPr>
          <w:rFonts w:eastAsia="Segoe UI" w:cs="Segoe UI" w:ascii="Segoe UI" w:hAnsi="Segoe UI"/>
          <w:color w:val="101820"/>
          <w:sz w:val="21"/>
        </w:rPr>
        <w:t xml:space="preserve">: where the insurer's answer holds the policy number, status and premium (for example </w:t>
      </w:r>
      <w:r>
        <w:rPr>
          <w:rFonts w:eastAsia="Consolas" w:cs="Consolas" w:ascii="Consolas" w:hAnsi="Consolas"/>
          <w:color w:val="101820"/>
          <w:sz w:val="19"/>
        </w:rPr>
        <w:t>"policyNumber": "data.policyNo"</w:t>
      </w:r>
      <w:r>
        <w:rPr>
          <w:rFonts w:eastAsia="Segoe UI" w:cs="Segoe UI" w:ascii="Segoe UI" w:hAnsi="Segoe UI"/>
          <w:color w:val="101820"/>
          <w:sz w:val="21"/>
        </w:rPr>
        <w:t>).</w:t>
      </w:r>
    </w:p>
    <w:p>
      <w:pPr>
        <w:pStyle w:val="Normal"/>
        <w:numPr>
          <w:ilvl w:val="0"/>
          <w:numId w:val="204"/>
        </w:numPr>
        <w:spacing w:before="0" w:after="60"/>
        <w:rPr/>
      </w:pPr>
      <w:r>
        <w:rPr>
          <w:rFonts w:eastAsia="Segoe UI" w:cs="Segoe UI" w:ascii="Segoe UI" w:hAnsi="Segoe UI"/>
          <w:b/>
          <w:color w:val="101820"/>
          <w:sz w:val="21"/>
        </w:rPr>
        <w:t>Claim statuses</w:t>
      </w:r>
      <w:r>
        <w:rPr>
          <w:rFonts w:eastAsia="Segoe UI" w:cs="Segoe UI" w:ascii="Segoe UI" w:hAnsi="Segoe UI"/>
          <w:color w:val="101820"/>
          <w:sz w:val="21"/>
        </w:rPr>
        <w:t xml:space="preserve">: how the insurer's statuses read in BrokerVerse (for example </w:t>
      </w:r>
      <w:r>
        <w:rPr>
          <w:rFonts w:eastAsia="Consolas" w:cs="Consolas" w:ascii="Consolas" w:hAnsi="Consolas"/>
          <w:color w:val="101820"/>
          <w:sz w:val="19"/>
        </w:rPr>
        <w:t>"UNDER EVALUATION": "In review"</w:t>
      </w:r>
      <w:r>
        <w:rPr>
          <w:rFonts w:eastAsia="Segoe UI" w:cs="Segoe UI" w:ascii="Segoe UI" w:hAnsi="Segoe UI"/>
          <w:color w:val="101820"/>
          <w:sz w:val="21"/>
        </w:rPr>
        <w:t>).</w:t>
      </w:r>
    </w:p>
    <w:p>
      <w:pPr>
        <w:pStyle w:val="Normal"/>
        <w:numPr>
          <w:ilvl w:val="0"/>
          <w:numId w:val="205"/>
        </w:numPr>
        <w:spacing w:before="0" w:after="60"/>
        <w:rPr/>
      </w:pPr>
      <w:r>
        <w:rPr>
          <w:rFonts w:eastAsia="Segoe UI" w:cs="Segoe UI" w:ascii="Segoe UI" w:hAnsi="Segoe UI"/>
          <w:b/>
          <w:color w:val="101820"/>
          <w:sz w:val="21"/>
        </w:rPr>
        <w:t>Send the issuance request when a policy is issued</w:t>
      </w:r>
      <w:r>
        <w:rPr>
          <w:rFonts w:eastAsia="Segoe UI" w:cs="Segoe UI" w:ascii="Segoe UI" w:hAnsi="Segoe UI"/>
          <w:color w:val="101820"/>
          <w:sz w:val="21"/>
        </w:rPr>
        <w:t xml:space="preserve"> sends the request automatically at issue.</w:t>
      </w:r>
    </w:p>
    <w:p>
      <w:pPr>
        <w:pStyle w:val="Normal"/>
        <w:numPr>
          <w:ilvl w:val="0"/>
          <w:numId w:val="206"/>
        </w:numPr>
        <w:spacing w:before="0" w:after="60"/>
        <w:rPr/>
      </w:pPr>
      <w:r>
        <w:rPr>
          <w:rFonts w:eastAsia="Segoe UI" w:cs="Segoe UI" w:ascii="Segoe UI" w:hAnsi="Segoe UI"/>
          <w:color w:val="101820"/>
          <w:sz w:val="21"/>
        </w:rPr>
        <w:t xml:space="preserve">Enter a policy number and 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request exactly as the insurer will receive it. Save.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w:t>
      </w:r>
      <w:r>
        <w:rPr>
          <w:rFonts w:eastAsia="Segoe UI" w:cs="Segoe UI" w:ascii="Segoe UI" w:hAnsi="Segoe UI"/>
          <w:b/>
          <w:color w:val="101820"/>
          <w:sz w:val="21"/>
        </w:rPr>
        <w:t>New request</w:t>
      </w:r>
      <w:r>
        <w:rPr>
          <w:rFonts w:eastAsia="Segoe UI" w:cs="Segoe UI" w:ascii="Segoe UI" w:hAnsi="Segoe UI"/>
          <w:color w:val="101820"/>
          <w:sz w:val="21"/>
        </w:rPr>
        <w:t xml:space="preserve"> sends a </w:t>
      </w:r>
      <w:r>
        <w:rPr>
          <w:rFonts w:eastAsia="Segoe UI" w:cs="Segoe UI" w:ascii="Segoe UI" w:hAnsi="Segoe UI"/>
          <w:b/>
          <w:color w:val="101820"/>
          <w:sz w:val="21"/>
        </w:rPr>
        <w:t>Policy issuance</w:t>
      </w:r>
      <w:r>
        <w:rPr>
          <w:rFonts w:eastAsia="Segoe UI" w:cs="Segoe UI" w:ascii="Segoe UI" w:hAnsi="Segoe UI"/>
          <w:color w:val="101820"/>
          <w:sz w:val="21"/>
        </w:rPr>
        <w:t xml:space="preserve"> (the insurer's policy number is stored on the policy and printed on the schedule), </w:t>
      </w:r>
      <w:r>
        <w:rPr>
          <w:rFonts w:eastAsia="Segoe UI" w:cs="Segoe UI" w:ascii="Segoe UI" w:hAnsi="Segoe UI"/>
          <w:b/>
          <w:color w:val="101820"/>
          <w:sz w:val="21"/>
        </w:rPr>
        <w:t>Policy and premium data</w:t>
      </w:r>
      <w:r>
        <w:rPr>
          <w:rFonts w:eastAsia="Segoe UI" w:cs="Segoe UI" w:ascii="Segoe UI" w:hAnsi="Segoe UI"/>
          <w:color w:val="101820"/>
          <w:sz w:val="21"/>
        </w:rPr>
        <w:t xml:space="preserve"> (the insurer's premium and status are stored on the policy; a difference above </w:t>
      </w:r>
      <w:r>
        <w:rPr>
          <w:rFonts w:eastAsia="Consolas" w:cs="Consolas" w:ascii="Consolas" w:hAnsi="Consolas"/>
          <w:color w:val="101820"/>
          <w:sz w:val="19"/>
        </w:rPr>
        <w:t>insurer_integration.premium_tolerance</w:t>
      </w:r>
      <w:r>
        <w:rPr>
          <w:rFonts w:eastAsia="Segoe UI" w:cs="Segoe UI" w:ascii="Segoe UI" w:hAnsi="Segoe UI"/>
          <w:color w:val="101820"/>
          <w:sz w:val="21"/>
        </w:rPr>
        <w:t xml:space="preserve"> is flagged) or a </w:t>
      </w:r>
      <w:r>
        <w:rPr>
          <w:rFonts w:eastAsia="Segoe UI" w:cs="Segoe UI" w:ascii="Segoe UI" w:hAnsi="Segoe UI"/>
          <w:b/>
          <w:color w:val="101820"/>
          <w:sz w:val="21"/>
        </w:rPr>
        <w:t>Claim status</w:t>
      </w:r>
      <w:r>
        <w:rPr>
          <w:rFonts w:eastAsia="Segoe UI" w:cs="Segoe UI" w:ascii="Segoe UI" w:hAnsi="Segoe UI"/>
          <w:color w:val="101820"/>
          <w:sz w:val="21"/>
        </w:rPr>
        <w:t xml:space="preserve"> (stored on the claim with a line in its history). The list shows each request with the insurer's answer.</w:t>
      </w:r>
    </w:p>
    <w:p>
      <w:pPr>
        <w:pStyle w:val="Normal"/>
        <w:spacing w:lineRule="auto" w:line="276" w:before="0" w:after="120"/>
        <w:rPr/>
      </w:pPr>
      <w:r>
        <w:rPr>
          <w:rFonts w:eastAsia="Segoe UI" w:cs="Segoe UI" w:ascii="Segoe UI" w:hAnsi="Segoe UI"/>
          <w:b/>
          <w:color w:val="101820"/>
          <w:sz w:val="21"/>
        </w:rPr>
        <w:t>Claim status file.</w:t>
      </w:r>
      <w:r>
        <w:rPr>
          <w:rFonts w:eastAsia="Segoe UI" w:cs="Segoe UI" w:ascii="Segoe UI" w:hAnsi="Segoe UI"/>
          <w:color w:val="101820"/>
          <w:sz w:val="21"/>
        </w:rPr>
        <w:t xml:space="preserve"> When an insurer has no API, import its claim status list as CSV with the columns Claim Number, Status, Remarks and Status Date: each row updates the claim through the inbox, and the result per row is shown. Premium and policy data by file go through the insurer statement import (Accounts &gt; Insurer Reconciliation).</w:t>
      </w:r>
    </w:p>
    <w:p>
      <w:pPr>
        <w:pStyle w:val="Heading2"/>
        <w:rPr/>
      </w:pPr>
      <w:bookmarkStart w:id="39" w:name="__RefHeading___Toc21595_17926050"/>
      <w:bookmarkEnd w:id="39"/>
      <w:r>
        <w:rPr>
          <w:rFonts w:eastAsia="Segoe UI" w:cs="Segoe UI"/>
          <w:b/>
          <w:color w:val="0F4761"/>
          <w:sz w:val="26"/>
        </w:rPr>
        <w:t>6.15  Audit Trail</w:t>
      </w:r>
    </w:p>
    <w:p>
      <w:pPr>
        <w:pStyle w:val="Normal"/>
        <w:shd w:val="clear" w:color="auto" w:fill="EAF2FB"/>
        <w:spacing w:before="0" w:after="160"/>
        <w:ind w:left="170"/>
        <w:rPr/>
      </w:pPr>
      <w:r>
        <w:rPr>
          <w:rFonts w:eastAsia="Segoe UI" w:cs="Segoe UI" w:ascii="Segoe UI" w:hAnsi="Segoe UI"/>
          <w:color w:val="101820"/>
          <w:sz w:val="20"/>
        </w:rPr>
        <w:t>[Screen image not available: Master &gt; Audit Trail]</w:t>
      </w:r>
    </w:p>
    <w:p>
      <w:pPr>
        <w:pStyle w:val="Normal"/>
        <w:numPr>
          <w:ilvl w:val="0"/>
          <w:numId w:val="207"/>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208"/>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2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40" w:name="__RefHeading___Toc21597_17926050"/>
      <w:bookmarkEnd w:id="40"/>
      <w:r>
        <w:rPr>
          <w:rFonts w:eastAsia="Segoe UI" w:cs="Segoe UI"/>
          <w:b/>
          <w:color w:val="0F4761"/>
          <w:sz w:val="26"/>
        </w:rPr>
        <w:t>6.16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shd w:val="clear" w:color="auto" w:fill="EAF2FB"/>
        <w:spacing w:before="0" w:after="160"/>
        <w:ind w:left="170"/>
        <w:rPr/>
      </w:pPr>
      <w:r>
        <w:rPr>
          <w:rFonts w:eastAsia="Segoe UI" w:cs="Segoe UI" w:ascii="Segoe UI" w:hAnsi="Segoe UI"/>
          <w:color w:val="101820"/>
          <w:sz w:val="20"/>
        </w:rPr>
        <w:t>[Screen image not available: Master &gt; Data Privacy &gt; Data Subject Requests]</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21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211"/>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212"/>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213"/>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21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Normal"/>
        <w:spacing w:lineRule="auto" w:line="276" w:before="0" w:after="120"/>
        <w:rPr/>
      </w:pPr>
      <w:r>
        <w:rPr>
          <w:rFonts w:eastAsia="Segoe UI" w:cs="Segoe UI" w:ascii="Segoe UI" w:hAnsi="Segoe UI"/>
          <w:b/>
          <w:color w:val="101820"/>
          <w:sz w:val="21"/>
        </w:rPr>
        <w:t>Masking of personal identifiers.</w:t>
      </w:r>
      <w:r>
        <w:rPr>
          <w:rFonts w:eastAsia="Segoe UI" w:cs="Segoe UI" w:ascii="Segoe UI" w:hAnsi="Segoe UI"/>
          <w:color w:val="101820"/>
          <w:sz w:val="21"/>
        </w:rPr>
        <w:t xml:space="preserve"> A user whose role does not hold </w:t>
      </w:r>
      <w:r>
        <w:rPr>
          <w:rFonts w:eastAsia="Segoe UI" w:cs="Segoe UI" w:ascii="Segoe UI" w:hAnsi="Segoe UI"/>
          <w:b/>
          <w:color w:val="101820"/>
          <w:sz w:val="21"/>
        </w:rPr>
        <w:t>View full personal identifiers</w:t>
      </w:r>
      <w:r>
        <w:rPr>
          <w:rFonts w:eastAsia="Segoe UI" w:cs="Segoe UI" w:ascii="Segoe UI" w:hAnsi="Segoe UI"/>
          <w:color w:val="101820"/>
          <w:sz w:val="21"/>
        </w:rPr>
        <w:t xml:space="preserve"> (</w:t>
      </w:r>
      <w:r>
        <w:rPr>
          <w:rFonts w:eastAsia="Consolas" w:cs="Consolas" w:ascii="Consolas" w:hAnsi="Consolas"/>
          <w:color w:val="101820"/>
          <w:sz w:val="19"/>
        </w:rPr>
        <w:t>view:pii</w:t>
      </w:r>
      <w:r>
        <w:rPr>
          <w:rFonts w:eastAsia="Segoe UI" w:cs="Segoe UI" w:ascii="Segoe UI" w:hAnsi="Segoe UI"/>
          <w:color w:val="101820"/>
          <w:sz w:val="21"/>
        </w:rPr>
        <w:t>) sees TIN, government ID numbers, mobile numbers, e-mail addresses, bank account numbers and birth dates partially masked on every list and view, for example *</w:t>
      </w:r>
      <w:r>
        <w:rPr>
          <w:rFonts w:eastAsia="Segoe UI" w:cs="Segoe UI" w:ascii="Segoe UI" w:hAnsi="Segoe UI"/>
          <w:b/>
          <w:color w:val="101820"/>
          <w:sz w:val="21"/>
        </w:rPr>
        <w:t>-</w:t>
      </w:r>
      <w:r>
        <w:rPr>
          <w:rFonts w:eastAsia="Segoe UI" w:cs="Segoe UI" w:ascii="Segoe UI" w:hAnsi="Segoe UI"/>
          <w:color w:val="101820"/>
          <w:sz w:val="21"/>
        </w:rPr>
        <w:t>*-</w:t>
      </w:r>
      <w:r>
        <w:rPr>
          <w:rFonts w:eastAsia="Segoe UI" w:cs="Segoe UI" w:ascii="Segoe UI" w:hAnsi="Segoe UI"/>
          <w:b/>
          <w:color w:val="101820"/>
          <w:sz w:val="21"/>
        </w:rPr>
        <w:t>9-000, j</w:t>
      </w:r>
      <w:r>
        <w:rPr>
          <w:rFonts w:eastAsia="Segoe UI" w:cs="Segoe UI" w:ascii="Segoe UI" w:hAnsi="Segoe UI"/>
          <w:color w:val="101820"/>
          <w:sz w:val="21"/>
        </w:rPr>
        <w:t>*@example.ph or 1984-</w:t>
      </w:r>
      <w:r>
        <w:rPr>
          <w:rFonts w:eastAsia="Segoe UI" w:cs="Segoe UI" w:ascii="Segoe UI" w:hAnsi="Segoe UI"/>
          <w:b/>
          <w:color w:val="101820"/>
          <w:sz w:val="21"/>
        </w:rPr>
        <w:t>-</w:t>
      </w:r>
      <w:r>
        <w:rPr>
          <w:rFonts w:eastAsia="Segoe UI" w:cs="Segoe UI" w:ascii="Segoe UI" w:hAnsi="Segoe UI"/>
          <w:color w:val="101820"/>
          <w:sz w:val="21"/>
        </w:rPr>
        <w:t xml:space="preserve">, and in every Excel, CSV and PDF listing. Delivered to the System Administrator, Sales, Operations, Accounting and the Accounting Manager; Processing and Claims see masked values unless the role is given the permission (Master &gt; Users and Access &gt; Roles). A form opened with masked values keeps the stored values when it is saved. Which fields are personal comes from the personal data catalogue of the masking tool. Settings: </w:t>
      </w:r>
      <w:r>
        <w:rPr>
          <w:rFonts w:eastAsia="Consolas" w:cs="Consolas" w:ascii="Consolas" w:hAnsi="Consolas"/>
          <w:color w:val="101820"/>
          <w:sz w:val="19"/>
        </w:rPr>
        <w:t>privacy.masking_enabled</w:t>
      </w:r>
      <w:r>
        <w:rPr>
          <w:rFonts w:eastAsia="Segoe UI" w:cs="Segoe UI" w:ascii="Segoe UI" w:hAnsi="Segoe UI"/>
          <w:color w:val="101820"/>
          <w:sz w:val="21"/>
        </w:rPr>
        <w:t xml:space="preserve">, </w:t>
      </w:r>
      <w:r>
        <w:rPr>
          <w:rFonts w:eastAsia="Consolas" w:cs="Consolas" w:ascii="Consolas" w:hAnsi="Consolas"/>
          <w:color w:val="101820"/>
          <w:sz w:val="19"/>
        </w:rPr>
        <w:t>privacy.masking_exempt_paths</w:t>
      </w:r>
      <w:r>
        <w:rPr>
          <w:rFonts w:eastAsia="Segoe UI" w:cs="Segoe UI" w:ascii="Segoe UI" w:hAnsi="Segoe UI"/>
          <w:color w:val="101820"/>
          <w:sz w:val="21"/>
        </w:rPr>
        <w:t xml:space="preserve"> and </w:t>
      </w:r>
      <w:r>
        <w:rPr>
          <w:rFonts w:eastAsia="Consolas" w:cs="Consolas" w:ascii="Consolas" w:hAnsi="Consolas"/>
          <w:color w:val="101820"/>
          <w:sz w:val="19"/>
        </w:rPr>
        <w:t>privacy.pii_reveal_mode</w:t>
      </w:r>
      <w:r>
        <w:rPr>
          <w:rFonts w:eastAsia="Segoe UI" w:cs="Segoe UI" w:ascii="Segoe UI" w:hAnsi="Segoe UI"/>
          <w:color w:val="101820"/>
          <w:sz w:val="21"/>
        </w:rPr>
        <w:t xml:space="preserve">. With </w:t>
      </w:r>
      <w:r>
        <w:rPr>
          <w:rFonts w:eastAsia="Segoe UI" w:cs="Segoe UI" w:ascii="Segoe UI" w:hAnsi="Segoe UI"/>
          <w:b/>
          <w:color w:val="101820"/>
          <w:sz w:val="21"/>
        </w:rPr>
        <w:t>on-request</w:t>
      </w:r>
      <w:r>
        <w:rPr>
          <w:rFonts w:eastAsia="Segoe UI" w:cs="Segoe UI" w:ascii="Segoe UI" w:hAnsi="Segoe UI"/>
          <w:color w:val="101820"/>
          <w:sz w:val="21"/>
        </w:rPr>
        <w:t xml:space="preserve">, holders of the permission also see masked values until they choose </w:t>
      </w:r>
      <w:r>
        <w:rPr>
          <w:rFonts w:eastAsia="Segoe UI" w:cs="Segoe UI" w:ascii="Segoe UI" w:hAnsi="Segoe UI"/>
          <w:b/>
          <w:color w:val="101820"/>
          <w:sz w:val="21"/>
        </w:rPr>
        <w:t>Show full identifiers</w:t>
      </w:r>
      <w:r>
        <w:rPr>
          <w:rFonts w:eastAsia="Segoe UI" w:cs="Segoe UI" w:ascii="Segoe UI" w:hAnsi="Segoe UI"/>
          <w:color w:val="101820"/>
          <w:sz w:val="21"/>
        </w:rPr>
        <w:t xml:space="preserve"> in the user menu (top right; </w:t>
      </w:r>
      <w:r>
        <w:rPr>
          <w:rFonts w:eastAsia="Segoe UI" w:cs="Segoe UI" w:ascii="Segoe UI" w:hAnsi="Segoe UI"/>
          <w:b/>
          <w:color w:val="101820"/>
          <w:sz w:val="21"/>
        </w:rPr>
        <w:t>Hide full identifiers</w:t>
      </w:r>
      <w:r>
        <w:rPr>
          <w:rFonts w:eastAsia="Segoe UI" w:cs="Segoe UI" w:ascii="Segoe UI" w:hAnsi="Segoe UI"/>
          <w:color w:val="101820"/>
          <w:sz w:val="21"/>
        </w:rPr>
        <w:t xml:space="preserve"> turns it off); each screen opened with full identifiers is recorded in the audit trail (record type personal_data, action unmask).</w:t>
      </w:r>
    </w:p>
    <w:p>
      <w:pPr>
        <w:pStyle w:val="Normal"/>
        <w:spacing w:lineRule="auto" w:line="276" w:before="0" w:after="120"/>
        <w:rPr/>
      </w:pPr>
      <w:r>
        <w:rPr>
          <w:rFonts w:eastAsia="Segoe UI" w:cs="Segoe UI" w:ascii="Segoe UI" w:hAnsi="Segoe UI"/>
          <w:b/>
          <w:color w:val="101820"/>
          <w:sz w:val="21"/>
        </w:rPr>
        <w:t>Encryption at rest.</w:t>
      </w:r>
      <w:r>
        <w:rPr>
          <w:rFonts w:eastAsia="Segoe UI" w:cs="Segoe UI" w:ascii="Segoe UI" w:hAnsi="Segoe UI"/>
          <w:color w:val="101820"/>
          <w:sz w:val="21"/>
        </w:rPr>
        <w:t xml:space="preserve"> TIN, government ID numbers and bank account numbers of clients, prospects and referrers, the ID numbers captured when a policy is issued and the payee TIN of BIR Form 2307 are stored encrypted with the key of the environment (</w:t>
      </w:r>
      <w:r>
        <w:rPr>
          <w:rFonts w:eastAsia="Consolas" w:cs="Consolas" w:ascii="Consolas" w:hAnsi="Consolas"/>
          <w:color w:val="101820"/>
          <w:sz w:val="19"/>
        </w:rPr>
        <w:t>PII_ENCRYPTION_KEY</w:t>
      </w:r>
      <w:r>
        <w:rPr>
          <w:rFonts w:eastAsia="Segoe UI" w:cs="Segoe UI" w:ascii="Segoe UI" w:hAnsi="Segoe UI"/>
          <w:color w:val="101820"/>
          <w:sz w:val="21"/>
        </w:rPr>
        <w:t>). Search by an exact TIN still works (global search and the client list, in any format, with or without dashes). The key rotation is described in deploy/REFERENCE.md.</w:t>
      </w:r>
    </w:p>
    <w:p>
      <w:pPr>
        <w:pStyle w:val="Heading2"/>
        <w:rPr/>
      </w:pPr>
      <w:bookmarkStart w:id="41" w:name="__RefHeading___Toc21599_17926050"/>
      <w:bookmarkEnd w:id="41"/>
      <w:r>
        <w:rPr>
          <w:rFonts w:eastAsia="Segoe UI" w:cs="Segoe UI"/>
          <w:b/>
          <w:color w:val="0F4761"/>
          <w:sz w:val="26"/>
        </w:rPr>
        <w:t>6.17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42" w:name="__RefHeading___Toc21601_17926050"/>
      <w:bookmarkEnd w:id="42"/>
      <w:r>
        <w:rPr>
          <w:rFonts w:eastAsia="Segoe UI" w:cs="Segoe UI"/>
          <w:b/>
          <w:color w:val="0F4761"/>
          <w:sz w:val="26"/>
        </w:rPr>
        <w:t>6.18  Incentive programmes</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43" w:name="__RefHeading___Toc21603_17926050"/>
      <w:bookmarkEnd w:id="43"/>
      <w:r>
        <w:rPr>
          <w:rFonts w:eastAsia="Segoe UI" w:cs="Segoe UI"/>
          <w:b/>
          <w:color w:val="0F4761"/>
          <w:sz w:val="26"/>
        </w:rPr>
        <w:t>6.19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Business approvals belong to the business roles.</w:t>
      </w:r>
      <w:r>
        <w:br w:type="page"/>
      </w:r>
    </w:p>
    <w:p>
      <w:pPr>
        <w:pStyle w:val="Heading1"/>
        <w:rPr/>
      </w:pPr>
      <w:bookmarkStart w:id="44" w:name="__RefHeading___Toc21605_17926050"/>
      <w:bookmarkEnd w:id="44"/>
      <w:r>
        <w:rPr>
          <w:rFonts w:eastAsia="Segoe UI" w:cs="Segoe UI" w:ascii="Segoe UI" w:hAnsi="Segoe UI"/>
          <w:b/>
          <w:color w:val="0F4761"/>
          <w:sz w:val="32"/>
        </w:rPr>
        <w:t>7.  Go-Live Data Load</w:t>
      </w:r>
    </w:p>
    <w:p>
      <w:pPr>
        <w:pStyle w:val="Normal"/>
        <w:spacing w:lineRule="auto" w:line="276" w:before="0" w:after="120"/>
        <w:rPr/>
      </w:pPr>
      <w:r>
        <w:rPr>
          <w:rFonts w:eastAsia="Segoe UI" w:cs="Segoe UI" w:ascii="Segoe UI" w:hAnsi="Segoe UI"/>
          <w:color w:val="101820"/>
          <w:sz w:val="21"/>
        </w:rPr>
        <w:t>This chapter is for the System Administrator and the migration lead. Master &gt; Go-Live Data Load loads the broker's go-live data with two Excel workbooks instead of one upload per master. Only the System Administrator holds the permissions of the screen (</w:t>
      </w:r>
      <w:r>
        <w:rPr>
          <w:rFonts w:eastAsia="Consolas" w:cs="Consolas" w:ascii="Consolas" w:hAnsi="Consolas"/>
          <w:color w:val="101820"/>
          <w:sz w:val="19"/>
        </w:rPr>
        <w:t>read:data-load</w:t>
      </w:r>
      <w:r>
        <w:rPr>
          <w:rFonts w:eastAsia="Segoe UI" w:cs="Segoe UI" w:ascii="Segoe UI" w:hAnsi="Segoe UI"/>
          <w:color w:val="101820"/>
          <w:sz w:val="21"/>
        </w:rPr>
        <w:t xml:space="preserve"> to download and see the history, </w:t>
      </w:r>
      <w:r>
        <w:rPr>
          <w:rFonts w:eastAsia="Consolas" w:cs="Consolas" w:ascii="Consolas" w:hAnsi="Consolas"/>
          <w:color w:val="101820"/>
          <w:sz w:val="19"/>
        </w:rPr>
        <w:t>write:data-load</w:t>
      </w:r>
      <w:r>
        <w:rPr>
          <w:rFonts w:eastAsia="Segoe UI" w:cs="Segoe UI" w:ascii="Segoe UI" w:hAnsi="Segoe UI"/>
          <w:color w:val="101820"/>
          <w:sz w:val="21"/>
        </w:rPr>
        <w:t xml:space="preserve"> to upload, validate and load).</w:t>
      </w:r>
    </w:p>
    <w:p>
      <w:pPr>
        <w:pStyle w:val="Heading2"/>
        <w:rPr/>
      </w:pPr>
      <w:bookmarkStart w:id="45" w:name="__RefHeading___Toc21607_17926050"/>
      <w:bookmarkEnd w:id="45"/>
      <w:r>
        <w:rPr>
          <w:rFonts w:eastAsia="Segoe UI" w:cs="Segoe UI"/>
          <w:b/>
          <w:color w:val="0F4761"/>
          <w:sz w:val="26"/>
        </w:rPr>
        <w:t>7.1  The two workbooks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holds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Configuration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Everything needed to run new business: company, settings, countries, states, cities, branches, departments, hierarchy, designations, users, currencies, exchange rates, chart of accounts, banks, bank accounts, signatories, transaction codes, write-off reasons, insurers, lines of business, products, policy types, covers, vehicle brands, models, variants and vehicles, commission rates, premium taxes, LGU rates, authority limits and document numbering.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Migration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open business of the old system at cutover: clients, in-force policies (with their old numbers), open premium receivables, open claims and the GL opening balances.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blank workbooks are also delivered with the upload templates as GoLive_Configuration_Workbook.xlsx and GoLive_Migration_Workbook.xlsx.</w:t>
      </w:r>
    </w:p>
    <w:p>
      <w:pPr>
        <w:pStyle w:val="Normal"/>
        <w:spacing w:lineRule="auto" w:line="276" w:before="0" w:after="120"/>
        <w:rPr/>
      </w:pPr>
      <w:r>
        <w:rPr>
          <w:rFonts w:eastAsia="Segoe UI" w:cs="Segoe UI" w:ascii="Segoe UI" w:hAnsi="Segoe UI"/>
          <w:color w:val="101820"/>
          <w:sz w:val="21"/>
        </w:rPr>
        <w:t xml:space="preserve">Choose the workbook with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 xml:space="preserve"> at the top right of the screen. Next to it the screen shows the cutover date (</w:t>
      </w:r>
      <w:r>
        <w:rPr>
          <w:rFonts w:eastAsia="Segoe UI" w:cs="Segoe UI" w:ascii="Segoe UI" w:hAnsi="Segoe UI"/>
          <w:b/>
          <w:color w:val="101820"/>
          <w:sz w:val="21"/>
        </w:rPr>
        <w:t>Cutover</w:t>
      </w:r>
      <w:r>
        <w:rPr>
          <w:rFonts w:eastAsia="Segoe UI" w:cs="Segoe UI" w:ascii="Segoe UI" w:hAnsi="Segoe UI"/>
          <w:color w:val="101820"/>
          <w:sz w:val="21"/>
        </w:rPr>
        <w:t xml:space="preserve"> and the date, or </w:t>
      </w:r>
      <w:r>
        <w:rPr>
          <w:rFonts w:eastAsia="Segoe UI" w:cs="Segoe UI" w:ascii="Segoe UI" w:hAnsi="Segoe UI"/>
          <w:b/>
          <w:color w:val="101820"/>
          <w:sz w:val="21"/>
        </w:rPr>
        <w:t>No cutover date</w:t>
      </w:r>
      <w:r>
        <w:rPr>
          <w:rFonts w:eastAsia="Segoe UI" w:cs="Segoe UI" w:ascii="Segoe UI" w:hAnsi="Segoe UI"/>
          <w:color w:val="101820"/>
          <w:sz w:val="21"/>
        </w:rPr>
        <w:t xml:space="preserve">) and, once go-live is locked, </w:t>
      </w:r>
      <w:r>
        <w:rPr>
          <w:rFonts w:eastAsia="Segoe UI" w:cs="Segoe UI" w:ascii="Segoe UI" w:hAnsi="Segoe UI"/>
          <w:b/>
          <w:color w:val="101820"/>
          <w:sz w:val="21"/>
        </w:rPr>
        <w:t>Go-live locked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workbook has an </w:t>
      </w:r>
      <w:r>
        <w:rPr>
          <w:rFonts w:eastAsia="Segoe UI" w:cs="Segoe UI" w:ascii="Segoe UI" w:hAnsi="Segoe UI"/>
          <w:b/>
          <w:color w:val="101820"/>
          <w:sz w:val="21"/>
        </w:rPr>
        <w:t>Instructions</w:t>
      </w:r>
      <w:r>
        <w:rPr>
          <w:rFonts w:eastAsia="Segoe UI" w:cs="Segoe UI" w:ascii="Segoe UI" w:hAnsi="Segoe UI"/>
          <w:color w:val="101820"/>
          <w:sz w:val="21"/>
        </w:rPr>
        <w:t xml:space="preserve"> sheet (load order, rules, every column), a </w:t>
      </w:r>
      <w:r>
        <w:rPr>
          <w:rFonts w:eastAsia="Segoe UI" w:cs="Segoe UI" w:ascii="Segoe UI" w:hAnsi="Segoe UI"/>
          <w:b/>
          <w:color w:val="101820"/>
          <w:sz w:val="21"/>
        </w:rPr>
        <w:t>Lists</w:t>
      </w:r>
      <w:r>
        <w:rPr>
          <w:rFonts w:eastAsia="Segoe UI" w:cs="Segoe UI" w:ascii="Segoe UI" w:hAnsi="Segoe UI"/>
          <w:color w:val="101820"/>
          <w:sz w:val="21"/>
        </w:rPr>
        <w:t xml:space="preserve"> sheet with the allowed values, and one sheet per object in load order. Row 1 holds the headers; a required column ends with *. Row 2 is a sample row: a row whose first cell starts with SAMPLE is never loaded. Enter data from row 3. Dates are written YYYY-MM-DD.</w:t>
      </w:r>
    </w:p>
    <w:p>
      <w:pPr>
        <w:pStyle w:val="Normal"/>
        <w:spacing w:lineRule="auto" w:line="276" w:before="0" w:after="120"/>
        <w:rPr/>
      </w:pPr>
      <w:r>
        <w:rPr>
          <w:rFonts w:eastAsia="Segoe UI" w:cs="Segoe UI" w:ascii="Segoe UI" w:hAnsi="Segoe UI"/>
          <w:color w:val="101820"/>
          <w:sz w:val="21"/>
        </w:rPr>
        <w:t>Some set-up is not in the workbooks and is entered on its own screen: roles and permissions, segregation of duties, delegations, access reviews, the approval of authority limits, tax codes, account determination and posting rules, statement formats, the close checklist, product templates and the motor tariff, package bundles, payment gateways, System Settings, schedules, fiscal years and periods, remittance masters, incentive programmes, referrer accounts and petty cash funds. The Instructions sheet lists them.</w:t>
      </w:r>
    </w:p>
    <w:p>
      <w:pPr>
        <w:pStyle w:val="Heading2"/>
        <w:rPr/>
      </w:pPr>
      <w:bookmarkStart w:id="46" w:name="__RefHeading___Toc21609_17926050"/>
      <w:bookmarkEnd w:id="46"/>
      <w:r>
        <w:rPr>
          <w:rFonts w:eastAsia="Segoe UI" w:cs="Segoe UI"/>
          <w:b/>
          <w:color w:val="0F4761"/>
          <w:sz w:val="26"/>
        </w:rPr>
        <w:t>7.2  Download the template</w:t>
      </w:r>
    </w:p>
    <w:p>
      <w:pPr>
        <w:pStyle w:val="Normal"/>
        <w:shd w:val="clear" w:color="auto" w:fill="EAF2FB"/>
        <w:spacing w:before="0" w:after="160"/>
        <w:ind w:left="170"/>
        <w:rPr/>
      </w:pPr>
      <w:r>
        <w:rPr>
          <w:rFonts w:eastAsia="Segoe UI" w:cs="Segoe UI" w:ascii="Segoe UI" w:hAnsi="Segoe UI"/>
          <w:color w:val="101820"/>
          <w:sz w:val="20"/>
        </w:rPr>
        <w:t>[Screen image not available: Master &gt; Go-Live Data Load, tab Download Template (configuration workbook)]</w:t>
      </w:r>
    </w:p>
    <w:p>
      <w:pPr>
        <w:pStyle w:val="Normal"/>
        <w:numPr>
          <w:ilvl w:val="0"/>
          <w:numId w:val="215"/>
        </w:numPr>
        <w:spacing w:before="0" w:after="60"/>
        <w:rPr/>
      </w:pPr>
      <w:r>
        <w:rPr>
          <w:rFonts w:eastAsia="Segoe UI" w:cs="Segoe UI" w:ascii="Segoe UI" w:hAnsi="Segoe UI"/>
          <w:color w:val="101820"/>
          <w:sz w:val="21"/>
        </w:rPr>
        <w:t>Choose Master &gt; Go-Live Data Load and the workbook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w:t>
      </w:r>
    </w:p>
    <w:p>
      <w:pPr>
        <w:pStyle w:val="Normal"/>
        <w:numPr>
          <w:ilvl w:val="0"/>
          <w:numId w:val="216"/>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Download Template</w:t>
      </w:r>
      <w:r>
        <w:rPr>
          <w:rFonts w:eastAsia="Segoe UI" w:cs="Segoe UI" w:ascii="Segoe UI" w:hAnsi="Segoe UI"/>
          <w:color w:val="101820"/>
          <w:sz w:val="21"/>
        </w:rPr>
        <w:t xml:space="preserve">, the table lists each sheet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Screen</w:t>
      </w:r>
      <w:r>
        <w:rPr>
          <w:rFonts w:eastAsia="Segoe UI" w:cs="Segoe UI" w:ascii="Segoe UI" w:hAnsi="Segoe UI"/>
          <w:color w:val="101820"/>
          <w:sz w:val="21"/>
        </w:rPr>
        <w:t xml:space="preserve"> (the screen that holds the same data), </w:t>
      </w:r>
      <w:r>
        <w:rPr>
          <w:rFonts w:eastAsia="Segoe UI" w:cs="Segoe UI" w:ascii="Segoe UI" w:hAnsi="Segoe UI"/>
          <w:b/>
          <w:color w:val="101820"/>
          <w:sz w:val="21"/>
        </w:rPr>
        <w:t>Key</w:t>
      </w:r>
      <w:r>
        <w:rPr>
          <w:rFonts w:eastAsia="Segoe UI" w:cs="Segoe UI" w:ascii="Segoe UI" w:hAnsi="Segoe UI"/>
          <w:color w:val="101820"/>
          <w:sz w:val="21"/>
        </w:rPr>
        <w:t xml:space="preserve"> (the columns that identify a record), </w:t>
      </w:r>
      <w:r>
        <w:rPr>
          <w:rFonts w:eastAsia="Segoe UI" w:cs="Segoe UI" w:ascii="Segoe UI" w:hAnsi="Segoe UI"/>
          <w:b/>
          <w:color w:val="101820"/>
          <w:sz w:val="21"/>
        </w:rPr>
        <w:t>Columns</w:t>
      </w:r>
      <w:r>
        <w:rPr>
          <w:rFonts w:eastAsia="Segoe UI" w:cs="Segoe UI" w:ascii="Segoe UI" w:hAnsi="Segoe UI"/>
          <w:color w:val="101820"/>
          <w:sz w:val="21"/>
        </w:rPr>
        <w:t xml:space="preserve"> and </w:t>
      </w:r>
      <w:r>
        <w:rPr>
          <w:rFonts w:eastAsia="Segoe UI" w:cs="Segoe UI" w:ascii="Segoe UI" w:hAnsi="Segoe UI"/>
          <w:b/>
          <w:color w:val="101820"/>
          <w:sz w:val="21"/>
        </w:rPr>
        <w:t>Required columns</w:t>
      </w:r>
      <w:r>
        <w:rPr>
          <w:rFonts w:eastAsia="Segoe UI" w:cs="Segoe UI" w:ascii="Segoe UI" w:hAnsi="Segoe UI"/>
          <w:color w:val="101820"/>
          <w:sz w:val="21"/>
        </w:rPr>
        <w:t>.</w:t>
      </w:r>
    </w:p>
    <w:p>
      <w:pPr>
        <w:pStyle w:val="Normal"/>
        <w:numPr>
          <w:ilvl w:val="0"/>
          <w:numId w:val="2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Blank template</w:t>
      </w:r>
      <w:r>
        <w:rPr>
          <w:rFonts w:eastAsia="Segoe UI" w:cs="Segoe UI" w:ascii="Segoe UI" w:hAnsi="Segoe UI"/>
          <w:color w:val="101820"/>
          <w:sz w:val="21"/>
        </w:rPr>
        <w:t xml:space="preserve"> for an empty workbook, or </w:t>
      </w:r>
      <w:r>
        <w:rPr>
          <w:rFonts w:eastAsia="Segoe UI" w:cs="Segoe UI" w:ascii="Segoe UI" w:hAnsi="Segoe UI"/>
          <w:b/>
          <w:color w:val="101820"/>
          <w:sz w:val="21"/>
        </w:rPr>
        <w:t>Current data</w:t>
      </w:r>
      <w:r>
        <w:rPr>
          <w:rFonts w:eastAsia="Segoe UI" w:cs="Segoe UI" w:ascii="Segoe UI" w:hAnsi="Segoe UI"/>
          <w:color w:val="101820"/>
          <w:sz w:val="21"/>
        </w:rPr>
        <w:t xml:space="preserve"> for a workbook filled with the data already in BrokerVerse.</w:t>
      </w:r>
    </w:p>
    <w:p>
      <w:pPr>
        <w:pStyle w:val="Normal"/>
        <w:shd w:val="clear" w:color="auto" w:fill="EAF2FB"/>
        <w:spacing w:before="0" w:after="160"/>
        <w:ind w:left="170"/>
        <w:rPr/>
      </w:pPr>
      <w:r>
        <w:rPr>
          <w:rFonts w:eastAsia="Segoe UI" w:cs="Segoe UI" w:ascii="Segoe UI" w:hAnsi="Segoe UI"/>
          <w:color w:val="101820"/>
          <w:sz w:val="20"/>
        </w:rPr>
        <w:t>[Screen image not available: The migration workbook: clients, policies, open items, open claims and opening balances]</w:t>
      </w:r>
    </w:p>
    <w:p>
      <w:pPr>
        <w:pStyle w:val="Normal"/>
        <w:spacing w:lineRule="auto" w:line="276" w:before="0" w:after="120"/>
        <w:rPr/>
      </w:pPr>
      <w:r>
        <w:rPr>
          <w:rFonts w:eastAsia="Segoe UI" w:cs="Segoe UI" w:ascii="Segoe UI" w:hAnsi="Segoe UI"/>
          <w:b/>
          <w:color w:val="101820"/>
          <w:sz w:val="21"/>
        </w:rPr>
        <w:t>Current data</w:t>
      </w:r>
      <w:r>
        <w:rPr>
          <w:rFonts w:eastAsia="Segoe UI" w:cs="Segoe UI" w:ascii="Segoe UI" w:hAnsi="Segoe UI"/>
          <w:color w:val="101820"/>
          <w:sz w:val="21"/>
        </w:rPr>
        <w:t xml:space="preserve"> is also how configuration moves from one environment to the next (test, UAT, production): download it in the source environment and upload it in the target. Rows equal to the target are reported as unchanged, differences update the target and missing records are created. The go-live lock setting is never exported or loaded.</w:t>
      </w:r>
    </w:p>
    <w:p>
      <w:pPr>
        <w:pStyle w:val="Heading2"/>
        <w:rPr/>
      </w:pPr>
      <w:bookmarkStart w:id="47" w:name="__RefHeading___Toc21611_17926050"/>
      <w:bookmarkEnd w:id="47"/>
      <w:r>
        <w:rPr>
          <w:rFonts w:eastAsia="Segoe UI" w:cs="Segoe UI"/>
          <w:b/>
          <w:color w:val="0F4761"/>
          <w:sz w:val="26"/>
        </w:rPr>
        <w:t>7.3  Upload and validate</w:t>
      </w:r>
    </w:p>
    <w:p>
      <w:pPr>
        <w:pStyle w:val="Normal"/>
        <w:numPr>
          <w:ilvl w:val="0"/>
          <w:numId w:val="218"/>
        </w:numPr>
        <w:spacing w:before="0" w:after="60"/>
        <w:rPr/>
      </w:pPr>
      <w:r>
        <w:rPr>
          <w:rFonts w:eastAsia="Segoe UI" w:cs="Segoe UI" w:ascii="Segoe UI" w:hAnsi="Segoe UI"/>
          <w:color w:val="101820"/>
          <w:sz w:val="21"/>
        </w:rPr>
        <w:t>Fill in the workbook and save it as .xlsx.</w:t>
      </w:r>
    </w:p>
    <w:p>
      <w:pPr>
        <w:pStyle w:val="Normal"/>
        <w:numPr>
          <w:ilvl w:val="0"/>
          <w:numId w:val="219"/>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select </w:t>
      </w:r>
      <w:r>
        <w:rPr>
          <w:rFonts w:eastAsia="Segoe UI" w:cs="Segoe UI" w:ascii="Segoe UI" w:hAnsi="Segoe UI"/>
          <w:b/>
          <w:color w:val="101820"/>
          <w:sz w:val="21"/>
        </w:rPr>
        <w:t>Upload and validate</w:t>
      </w:r>
      <w:r>
        <w:rPr>
          <w:rFonts w:eastAsia="Segoe UI" w:cs="Segoe UI" w:ascii="Segoe UI" w:hAnsi="Segoe UI"/>
          <w:color w:val="101820"/>
          <w:sz w:val="21"/>
        </w:rPr>
        <w:t xml:space="preserve"> and choose the file.</w:t>
      </w:r>
    </w:p>
    <w:p>
      <w:pPr>
        <w:pStyle w:val="Normal"/>
        <w:numPr>
          <w:ilvl w:val="0"/>
          <w:numId w:val="220"/>
        </w:numPr>
        <w:spacing w:before="0" w:after="60"/>
        <w:rPr/>
      </w:pPr>
      <w:r>
        <w:rPr>
          <w:rFonts w:eastAsia="Segoe UI" w:cs="Segoe UI" w:ascii="Segoe UI" w:hAnsi="Segoe UI"/>
          <w:color w:val="101820"/>
          <w:sz w:val="21"/>
        </w:rPr>
        <w:t>BrokerVerse reads the workbook as a new batch (</w:t>
      </w:r>
      <w:r>
        <w:rPr>
          <w:rFonts w:eastAsia="Segoe UI" w:cs="Segoe UI" w:ascii="Segoe UI" w:hAnsi="Segoe UI"/>
          <w:b/>
          <w:color w:val="101820"/>
          <w:sz w:val="21"/>
        </w:rPr>
        <w:t>Batch 1</w:t>
      </w:r>
      <w:r>
        <w:rPr>
          <w:rFonts w:eastAsia="Segoe UI" w:cs="Segoe UI" w:ascii="Segoe UI" w:hAnsi="Segoe UI"/>
          <w:color w:val="101820"/>
          <w:sz w:val="21"/>
        </w:rPr>
        <w:t xml:space="preserve">, </w:t>
      </w:r>
      <w:r>
        <w:rPr>
          <w:rFonts w:eastAsia="Segoe UI" w:cs="Segoe UI" w:ascii="Segoe UI" w:hAnsi="Segoe UI"/>
          <w:b/>
          <w:color w:val="101820"/>
          <w:sz w:val="21"/>
        </w:rPr>
        <w:t>Batch 2</w:t>
      </w:r>
      <w:r>
        <w:rPr>
          <w:rFonts w:eastAsia="Segoe UI" w:cs="Segoe UI" w:ascii="Segoe UI" w:hAnsi="Segoe UI"/>
          <w:color w:val="101820"/>
          <w:sz w:val="21"/>
        </w:rPr>
        <w:t xml:space="preserve"> and so on) and validates every sheet in load order as a trial run. Nothing is saved yet. A policy may refer to a client or an insurer added by the same workbook: the trial run checks the sheets together, as they will load.</w:t>
      </w:r>
    </w:p>
    <w:p>
      <w:pPr>
        <w:pStyle w:val="Normal"/>
        <w:shd w:val="clear" w:color="auto" w:fill="EAF2FB"/>
        <w:spacing w:before="0" w:after="160"/>
        <w:ind w:left="170"/>
        <w:rPr/>
      </w:pPr>
      <w:r>
        <w:rPr>
          <w:rFonts w:eastAsia="Segoe UI" w:cs="Segoe UI" w:ascii="Segoe UI" w:hAnsi="Segoe UI"/>
          <w:color w:val="101820"/>
          <w:sz w:val="20"/>
        </w:rPr>
        <w:t>[Screen image not available: Upload and Validate: the result of a batch]</w:t>
      </w:r>
    </w:p>
    <w:p>
      <w:pPr>
        <w:pStyle w:val="Normal"/>
        <w:spacing w:lineRule="auto" w:line="276" w:before="0" w:after="120"/>
        <w:rPr/>
      </w:pPr>
      <w:r>
        <w:rPr>
          <w:rFonts w:eastAsia="Segoe UI" w:cs="Segoe UI" w:ascii="Segoe UI" w:hAnsi="Segoe UI"/>
          <w:color w:val="101820"/>
          <w:sz w:val="21"/>
        </w:rPr>
        <w:t xml:space="preserve">The result shows the batch number, the file name and the status, the cards </w:t>
      </w:r>
      <w:r>
        <w:rPr>
          <w:rFonts w:eastAsia="Segoe UI" w:cs="Segoe UI" w:ascii="Segoe UI" w:hAnsi="Segoe UI"/>
          <w:b/>
          <w:color w:val="101820"/>
          <w:sz w:val="21"/>
        </w:rPr>
        <w:t>Rows read</w:t>
      </w:r>
      <w:r>
        <w:rPr>
          <w:rFonts w:eastAsia="Segoe UI" w:cs="Segoe UI" w:ascii="Segoe UI" w:hAnsi="Segoe UI"/>
          <w:color w:val="101820"/>
          <w:sz w:val="21"/>
        </w:rPr>
        <w:t xml:space="preserve">, </w:t>
      </w:r>
      <w:r>
        <w:rPr>
          <w:rFonts w:eastAsia="Segoe UI" w:cs="Segoe UI" w:ascii="Segoe UI" w:hAnsi="Segoe UI"/>
          <w:b/>
          <w:color w:val="101820"/>
          <w:sz w:val="21"/>
        </w:rPr>
        <w:t>Valid rows</w:t>
      </w:r>
      <w:r>
        <w:rPr>
          <w:rFonts w:eastAsia="Segoe UI" w:cs="Segoe UI" w:ascii="Segoe UI" w:hAnsi="Segoe UI"/>
          <w:color w:val="101820"/>
          <w:sz w:val="21"/>
        </w:rPr>
        <w:t xml:space="preserve"> and </w:t>
      </w:r>
      <w:r>
        <w:rPr>
          <w:rFonts w:eastAsia="Segoe UI" w:cs="Segoe UI" w:ascii="Segoe UI" w:hAnsi="Segoe UI"/>
          <w:b/>
          <w:color w:val="101820"/>
          <w:sz w:val="21"/>
        </w:rPr>
        <w:t>Rows with errors</w:t>
      </w:r>
      <w:r>
        <w:rPr>
          <w:rFonts w:eastAsia="Segoe UI" w:cs="Segoe UI" w:ascii="Segoe UI" w:hAnsi="Segoe UI"/>
          <w:color w:val="101820"/>
          <w:sz w:val="21"/>
        </w:rPr>
        <w:t>, and a line per sheet: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Read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Errors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read from the sheet, rows that pass every check, rows with at least one error.</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that the load will create.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Existing records that the load will update.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Unchanged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equal to the record in BrokerVerse; they are not written.</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For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limits, which another System Administrator approves on Master &gt; Users and Access &gt; Authority Matrix.</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Skipped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Rows in error left out by a load with </w:t>
            </w:r>
            <w:r>
              <w:rPr>
                <w:rFonts w:eastAsia="Segoe UI" w:cs="Segoe UI" w:ascii="Segoe UI" w:hAnsi="Segoe UI"/>
                <w:b/>
                <w:color w:val="101820"/>
                <w:kern w:val="0"/>
                <w:sz w:val="18"/>
                <w:szCs w:val="24"/>
                <w:lang w:val="en-US" w:eastAsia="ja-JP" w:bidi="ar-SA"/>
              </w:rPr>
              <w:t>Load valid rows only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the sheets, </w:t>
      </w:r>
      <w:r>
        <w:rPr>
          <w:rFonts w:eastAsia="Segoe UI" w:cs="Segoe UI" w:ascii="Segoe UI" w:hAnsi="Segoe UI"/>
          <w:b/>
          <w:color w:val="101820"/>
          <w:sz w:val="21"/>
        </w:rPr>
        <w:t>Errors</w:t>
      </w:r>
      <w:r>
        <w:rPr>
          <w:rFonts w:eastAsia="Segoe UI" w:cs="Segoe UI" w:ascii="Segoe UI" w:hAnsi="Segoe UI"/>
          <w:color w:val="101820"/>
          <w:sz w:val="21"/>
        </w:rPr>
        <w:t xml:space="preserve"> lists each error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Row</w:t>
      </w:r>
      <w:r>
        <w:rPr>
          <w:rFonts w:eastAsia="Segoe UI" w:cs="Segoe UI" w:ascii="Segoe UI" w:hAnsi="Segoe UI"/>
          <w:color w:val="101820"/>
          <w:sz w:val="21"/>
        </w:rPr>
        <w:t xml:space="preserve"> (the row number in Excel), </w:t>
      </w:r>
      <w:r>
        <w:rPr>
          <w:rFonts w:eastAsia="Segoe UI" w:cs="Segoe UI" w:ascii="Segoe UI" w:hAnsi="Segoe UI"/>
          <w:b/>
          <w:color w:val="101820"/>
          <w:sz w:val="21"/>
        </w:rPr>
        <w:t>Column</w:t>
      </w:r>
      <w:r>
        <w:rPr>
          <w:rFonts w:eastAsia="Segoe UI" w:cs="Segoe UI" w:ascii="Segoe UI" w:hAnsi="Segoe UI"/>
          <w:color w:val="101820"/>
          <w:sz w:val="21"/>
        </w:rPr>
        <w:t xml:space="preserve"> and </w:t>
      </w:r>
      <w:r>
        <w:rPr>
          <w:rFonts w:eastAsia="Segoe UI" w:cs="Segoe UI" w:ascii="Segoe UI" w:hAnsi="Segoe UI"/>
          <w:b/>
          <w:color w:val="101820"/>
          <w:sz w:val="21"/>
        </w:rPr>
        <w:t>Message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Errors of a batch]</w:t>
      </w:r>
    </w:p>
    <w:p>
      <w:pPr>
        <w:pStyle w:val="Heading2"/>
        <w:rPr/>
      </w:pPr>
      <w:bookmarkStart w:id="48" w:name="__RefHeading___Toc21613_17926050"/>
      <w:bookmarkEnd w:id="48"/>
      <w:r>
        <w:rPr>
          <w:rFonts w:eastAsia="Segoe UI" w:cs="Segoe UI"/>
          <w:b/>
          <w:color w:val="0F4761"/>
          <w:sz w:val="26"/>
        </w:rPr>
        <w:t>7.4  Correct the errors</w:t>
      </w:r>
    </w:p>
    <w:p>
      <w:pPr>
        <w:pStyle w:val="Normal"/>
        <w:numPr>
          <w:ilvl w:val="0"/>
          <w:numId w:val="221"/>
        </w:numPr>
        <w:spacing w:before="0" w:after="60"/>
        <w:rPr/>
      </w:pPr>
      <w:r>
        <w:rPr>
          <w:rFonts w:eastAsia="Segoe UI" w:cs="Segoe UI" w:ascii="Segoe UI" w:hAnsi="Segoe UI"/>
          <w:color w:val="101820"/>
          <w:sz w:val="21"/>
        </w:rPr>
        <w:t>Select the Excel icon next to the batch (</w:t>
      </w:r>
      <w:r>
        <w:rPr>
          <w:rFonts w:eastAsia="Segoe UI" w:cs="Segoe UI" w:ascii="Segoe UI" w:hAnsi="Segoe UI"/>
          <w:b/>
          <w:color w:val="101820"/>
          <w:sz w:val="21"/>
        </w:rPr>
        <w:t>Download errors</w:t>
      </w:r>
      <w:r>
        <w:rPr>
          <w:rFonts w:eastAsia="Segoe UI" w:cs="Segoe UI" w:ascii="Segoe UI" w:hAnsi="Segoe UI"/>
          <w:color w:val="101820"/>
          <w:sz w:val="21"/>
        </w:rPr>
        <w:t xml:space="preserve">). The file has the same layout with only the rows in error and an </w:t>
      </w:r>
      <w:r>
        <w:rPr>
          <w:rFonts w:eastAsia="Segoe UI" w:cs="Segoe UI" w:ascii="Segoe UI" w:hAnsi="Segoe UI"/>
          <w:b/>
          <w:color w:val="101820"/>
          <w:sz w:val="21"/>
        </w:rPr>
        <w:t>Errors</w:t>
      </w:r>
      <w:r>
        <w:rPr>
          <w:rFonts w:eastAsia="Segoe UI" w:cs="Segoe UI" w:ascii="Segoe UI" w:hAnsi="Segoe UI"/>
          <w:color w:val="101820"/>
          <w:sz w:val="21"/>
        </w:rPr>
        <w:t xml:space="preserve"> column that gives the reason.</w:t>
      </w:r>
    </w:p>
    <w:p>
      <w:pPr>
        <w:pStyle w:val="Normal"/>
        <w:numPr>
          <w:ilvl w:val="0"/>
          <w:numId w:val="222"/>
        </w:numPr>
        <w:spacing w:before="0" w:after="60"/>
        <w:rPr/>
      </w:pPr>
      <w:r>
        <w:rPr>
          <w:rFonts w:eastAsia="Segoe UI" w:cs="Segoe UI" w:ascii="Segoe UI" w:hAnsi="Segoe UI"/>
          <w:color w:val="101820"/>
          <w:sz w:val="21"/>
        </w:rPr>
        <w:t>Correct those rows in the errors file or in the full workbook.</w:t>
      </w:r>
    </w:p>
    <w:p>
      <w:pPr>
        <w:pStyle w:val="Normal"/>
        <w:numPr>
          <w:ilvl w:val="0"/>
          <w:numId w:val="223"/>
        </w:numPr>
        <w:spacing w:before="0" w:after="60"/>
        <w:rPr/>
      </w:pPr>
      <w:r>
        <w:rPr>
          <w:rFonts w:eastAsia="Segoe UI" w:cs="Segoe UI" w:ascii="Segoe UI" w:hAnsi="Segoe UI"/>
          <w:color w:val="101820"/>
          <w:sz w:val="21"/>
        </w:rPr>
        <w:t xml:space="preserve">Upload the corrected file again with </w:t>
      </w:r>
      <w:r>
        <w:rPr>
          <w:rFonts w:eastAsia="Segoe UI" w:cs="Segoe UI" w:ascii="Segoe UI" w:hAnsi="Segoe UI"/>
          <w:b/>
          <w:color w:val="101820"/>
          <w:sz w:val="21"/>
        </w:rPr>
        <w:t>Upload and validate</w:t>
      </w:r>
      <w:r>
        <w:rPr>
          <w:rFonts w:eastAsia="Segoe UI" w:cs="Segoe UI" w:ascii="Segoe UI" w:hAnsi="Segoe UI"/>
          <w:color w:val="101820"/>
          <w:sz w:val="21"/>
        </w:rPr>
        <w:t>. A record is identified by its key (for example the branch code, the insurer code, the legacy policy number), so loading the same or a corrected workbook again updates the record and never creates a duplicate.</w:t>
      </w:r>
    </w:p>
    <w:p>
      <w:pPr>
        <w:pStyle w:val="Normal"/>
        <w:spacing w:lineRule="auto" w:line="276" w:before="0" w:after="120"/>
        <w:rPr/>
      </w:pPr>
      <w:r>
        <w:rPr>
          <w:rFonts w:eastAsia="Segoe UI" w:cs="Segoe UI" w:ascii="Segoe UI" w:hAnsi="Segoe UI"/>
          <w:b/>
          <w:color w:val="101820"/>
          <w:sz w:val="21"/>
        </w:rPr>
        <w:t>Validate again</w:t>
      </w:r>
      <w:r>
        <w:rPr>
          <w:rFonts w:eastAsia="Segoe UI" w:cs="Segoe UI" w:ascii="Segoe UI" w:hAnsi="Segoe UI"/>
          <w:color w:val="101820"/>
          <w:sz w:val="21"/>
        </w:rPr>
        <w:t xml:space="preserve"> (the circular arrow) runs the checks on the same batch once more, for example after a master was added on its own screen.</w:t>
      </w:r>
    </w:p>
    <w:p>
      <w:pPr>
        <w:pStyle w:val="Heading2"/>
        <w:rPr/>
      </w:pPr>
      <w:bookmarkStart w:id="49" w:name="__RefHeading___Toc21615_17926050"/>
      <w:bookmarkEnd w:id="49"/>
      <w:r>
        <w:rPr>
          <w:rFonts w:eastAsia="Segoe UI" w:cs="Segoe UI"/>
          <w:b/>
          <w:color w:val="0F4761"/>
          <w:sz w:val="26"/>
        </w:rPr>
        <w:t>7.5  Load</w:t>
      </w:r>
    </w:p>
    <w:p>
      <w:pPr>
        <w:pStyle w:val="Normal"/>
        <w:numPr>
          <w:ilvl w:val="0"/>
          <w:numId w:val="224"/>
        </w:numPr>
        <w:spacing w:before="0" w:after="60"/>
        <w:rPr/>
      </w:pPr>
      <w:r>
        <w:rPr>
          <w:rFonts w:eastAsia="Segoe UI" w:cs="Segoe UI" w:ascii="Segoe UI" w:hAnsi="Segoe UI"/>
          <w:color w:val="101820"/>
          <w:sz w:val="21"/>
        </w:rPr>
        <w:t xml:space="preserve">Open the batch on </w:t>
      </w:r>
      <w:r>
        <w:rPr>
          <w:rFonts w:eastAsia="Segoe UI" w:cs="Segoe UI" w:ascii="Segoe UI" w:hAnsi="Segoe UI"/>
          <w:b/>
          <w:color w:val="101820"/>
          <w:sz w:val="21"/>
        </w:rPr>
        <w:t>Upload and Validate</w:t>
      </w:r>
      <w:r>
        <w:rPr>
          <w:rFonts w:eastAsia="Segoe UI" w:cs="Segoe UI" w:ascii="Segoe UI" w:hAnsi="Segoe UI"/>
          <w:color w:val="101820"/>
          <w:sz w:val="21"/>
        </w:rPr>
        <w:t xml:space="preserve"> (or with the eye on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numPr>
          <w:ilvl w:val="0"/>
          <w:numId w:val="225"/>
        </w:numPr>
        <w:spacing w:before="0" w:after="60"/>
        <w:rPr/>
      </w:pPr>
      <w:r>
        <w:rPr>
          <w:rFonts w:eastAsia="Segoe UI" w:cs="Segoe UI" w:ascii="Segoe UI" w:hAnsi="Segoe UI"/>
          <w:color w:val="101820"/>
          <w:sz w:val="21"/>
        </w:rPr>
        <w:t xml:space="preserve">If some rows still have errors, decide whether to load the valid rows now: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for the configuration workbook and not for the migration workbook. Without it, a batch with errors cannot be loaded.</w:t>
      </w:r>
    </w:p>
    <w:p>
      <w:pPr>
        <w:pStyle w:val="Normal"/>
        <w:numPr>
          <w:ilvl w:val="0"/>
          <w:numId w:val="22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Load</w:t>
      </w:r>
      <w:r>
        <w:rPr>
          <w:rFonts w:eastAsia="Segoe UI" w:cs="Segoe UI" w:ascii="Segoe UI" w:hAnsi="Segoe UI"/>
          <w:color w:val="101820"/>
          <w:sz w:val="21"/>
        </w:rPr>
        <w:t xml:space="preserve">. The dialog </w:t>
      </w:r>
      <w:r>
        <w:rPr>
          <w:rFonts w:eastAsia="Segoe UI" w:cs="Segoe UI" w:ascii="Segoe UI" w:hAnsi="Segoe UI"/>
          <w:b/>
          <w:color w:val="101820"/>
          <w:sz w:val="21"/>
        </w:rPr>
        <w:t>Load the workbook</w:t>
      </w:r>
      <w:r>
        <w:rPr>
          <w:rFonts w:eastAsia="Segoe UI" w:cs="Segoe UI" w:ascii="Segoe UI" w:hAnsi="Segoe UI"/>
          <w:color w:val="101820"/>
          <w:sz w:val="21"/>
        </w:rPr>
        <w:t xml:space="preserve"> asks you to confirm the number of valid rows of the batch. Select </w:t>
      </w:r>
      <w:r>
        <w:rPr>
          <w:rFonts w:eastAsia="Segoe UI" w:cs="Segoe UI" w:ascii="Segoe UI" w:hAnsi="Segoe UI"/>
          <w:b/>
          <w:color w:val="101820"/>
          <w:sz w:val="21"/>
        </w:rPr>
        <w:t>Load</w:t>
      </w:r>
      <w:r>
        <w:rPr>
          <w:rFonts w:eastAsia="Segoe UI" w:cs="Segoe UI" w:ascii="Segoe UI" w:hAnsi="Segoe UI"/>
          <w:color w:val="101820"/>
          <w:sz w:val="21"/>
        </w:rPr>
        <w:t xml:space="preserve"> again, or </w:t>
      </w:r>
      <w:r>
        <w:rPr>
          <w:rFonts w:eastAsia="Segoe UI" w:cs="Segoe UI" w:ascii="Segoe UI" w:hAnsi="Segoe UI"/>
          <w:b/>
          <w:color w:val="101820"/>
          <w:sz w:val="21"/>
        </w:rPr>
        <w:t>Cancel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load runs in one transaction. If a row now fails because the data changed since the validation, nothing is saved and the errors are shown. The load is written to the audit trail and the batch status becomes </w:t>
      </w:r>
      <w:r>
        <w:rPr>
          <w:rFonts w:eastAsia="Segoe UI" w:cs="Segoe UI" w:ascii="Segoe UI" w:hAnsi="Segoe UI"/>
          <w:b/>
          <w:color w:val="101820"/>
          <w:sz w:val="21"/>
        </w:rPr>
        <w:t>Loaded</w:t>
      </w:r>
      <w:r>
        <w:rPr>
          <w:rFonts w:eastAsia="Segoe UI" w:cs="Segoe UI" w:ascii="Segoe UI" w:hAnsi="Segoe UI"/>
          <w:color w:val="101820"/>
          <w:sz w:val="21"/>
        </w:rPr>
        <w:t xml:space="preserve">. After a load of the valid rows only, the rows left out keep their errors: the batch still lists them and </w:t>
      </w:r>
      <w:r>
        <w:rPr>
          <w:rFonts w:eastAsia="Segoe UI" w:cs="Segoe UI" w:ascii="Segoe UI" w:hAnsi="Segoe UI"/>
          <w:b/>
          <w:color w:val="101820"/>
          <w:sz w:val="21"/>
        </w:rPr>
        <w:t>Download errors</w:t>
      </w:r>
      <w:r>
        <w:rPr>
          <w:rFonts w:eastAsia="Segoe UI" w:cs="Segoe UI" w:ascii="Segoe UI" w:hAnsi="Segoe UI"/>
          <w:color w:val="101820"/>
          <w:sz w:val="21"/>
        </w:rPr>
        <w:t xml:space="preserve"> still gives them, to correct and upload again.</w:t>
      </w:r>
    </w:p>
    <w:p>
      <w:pPr>
        <w:pStyle w:val="Normal"/>
        <w:spacing w:lineRule="auto" w:line="276" w:before="0" w:after="120"/>
        <w:rPr/>
      </w:pPr>
      <w:r>
        <w:rPr>
          <w:rFonts w:eastAsia="Segoe UI" w:cs="Segoe UI" w:ascii="Segoe UI" w:hAnsi="Segoe UI"/>
          <w:color w:val="101820"/>
          <w:sz w:val="21"/>
        </w:rPr>
        <w:t xml:space="preserve">When the configuration workbook creates users, the dialog </w:t>
      </w:r>
      <w:r>
        <w:rPr>
          <w:rFonts w:eastAsia="Segoe UI" w:cs="Segoe UI" w:ascii="Segoe UI" w:hAnsi="Segoe UI"/>
          <w:b/>
          <w:color w:val="101820"/>
          <w:sz w:val="21"/>
        </w:rPr>
        <w:t>Temporary passwords of the new users</w:t>
      </w:r>
      <w:r>
        <w:rPr>
          <w:rFonts w:eastAsia="Segoe UI" w:cs="Segoe UI" w:ascii="Segoe UI" w:hAnsi="Segoe UI"/>
          <w:color w:val="101820"/>
          <w:sz w:val="21"/>
        </w:rPr>
        <w:t xml:space="preserve"> shows each new user's temporary password once. The passwords are not stored: select </w:t>
      </w:r>
      <w:r>
        <w:rPr>
          <w:rFonts w:eastAsia="Segoe UI" w:cs="Segoe UI" w:ascii="Segoe UI" w:hAnsi="Segoe UI"/>
          <w:b/>
          <w:color w:val="101820"/>
          <w:sz w:val="21"/>
        </w:rPr>
        <w:t>Copy</w:t>
      </w:r>
      <w:r>
        <w:rPr>
          <w:rFonts w:eastAsia="Segoe UI" w:cs="Segoe UI" w:ascii="Segoe UI" w:hAnsi="Segoe UI"/>
          <w:color w:val="101820"/>
          <w:sz w:val="21"/>
        </w:rPr>
        <w:t xml:space="preserve">, hand each password to its user privately, then select </w:t>
      </w:r>
      <w:r>
        <w:rPr>
          <w:rFonts w:eastAsia="Segoe UI" w:cs="Segoe UI" w:ascii="Segoe UI" w:hAnsi="Segoe UI"/>
          <w:b/>
          <w:color w:val="101820"/>
          <w:sz w:val="21"/>
        </w:rPr>
        <w:t>Done</w:t>
      </w:r>
      <w:r>
        <w:rPr>
          <w:rFonts w:eastAsia="Segoe UI" w:cs="Segoe UI" w:ascii="Segoe UI" w:hAnsi="Segoe UI"/>
          <w:color w:val="101820"/>
          <w:sz w:val="21"/>
        </w:rPr>
        <w:t>. Each user chooses a new password at the first sign-in. A load cannot change your own account, and only a System Administrator can give the System Administrator role.</w:t>
      </w:r>
    </w:p>
    <w:p>
      <w:pPr>
        <w:pStyle w:val="Heading2"/>
        <w:rPr/>
      </w:pPr>
      <w:bookmarkStart w:id="50" w:name="__RefHeading___Toc21617_17926050"/>
      <w:bookmarkEnd w:id="50"/>
      <w:r>
        <w:rPr>
          <w:rFonts w:eastAsia="Segoe UI" w:cs="Segoe UI"/>
          <w:b/>
          <w:color w:val="0F4761"/>
          <w:sz w:val="26"/>
        </w:rPr>
        <w:t>7.6  History</w:t>
      </w:r>
    </w:p>
    <w:p>
      <w:pPr>
        <w:pStyle w:val="Normal"/>
        <w:shd w:val="clear" w:color="auto" w:fill="EAF2FB"/>
        <w:spacing w:before="0" w:after="160"/>
        <w:ind w:left="170"/>
        <w:rPr/>
      </w:pPr>
      <w:r>
        <w:rPr>
          <w:rFonts w:eastAsia="Segoe UI" w:cs="Segoe UI" w:ascii="Segoe UI" w:hAnsi="Segoe UI"/>
          <w:color w:val="101820"/>
          <w:sz w:val="20"/>
        </w:rPr>
        <w:t>[Screen image not available: History of the go-live batches]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History</w:t>
      </w:r>
      <w:r>
        <w:rPr>
          <w:rFonts w:eastAsia="Segoe UI" w:cs="Segoe UI" w:ascii="Segoe UI" w:hAnsi="Segoe UI"/>
          <w:color w:val="101820"/>
          <w:sz w:val="21"/>
        </w:rPr>
        <w:t xml:space="preserve"> lists the batches of the workbook chosen with </w:t>
      </w:r>
      <w:r>
        <w:rPr>
          <w:rFonts w:eastAsia="Segoe UI" w:cs="Segoe UI" w:ascii="Segoe UI" w:hAnsi="Segoe UI"/>
          <w:b/>
          <w:color w:val="101820"/>
          <w:sz w:val="21"/>
        </w:rPr>
        <w:t>Batch</w:t>
      </w:r>
      <w:r>
        <w:rPr>
          <w:rFonts w:eastAsia="Segoe UI" w:cs="Segoe UI" w:ascii="Segoe UI" w:hAnsi="Segoe UI"/>
          <w:color w:val="101820"/>
          <w:sz w:val="21"/>
        </w:rPr>
        <w:t xml:space="preserve">, </w:t>
      </w:r>
      <w:r>
        <w:rPr>
          <w:rFonts w:eastAsia="Segoe UI" w:cs="Segoe UI" w:ascii="Segoe UI" w:hAnsi="Segoe UI"/>
          <w:b/>
          <w:color w:val="101820"/>
          <w:sz w:val="21"/>
        </w:rPr>
        <w:t>File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Validated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or </w:t>
      </w:r>
      <w:r>
        <w:rPr>
          <w:rFonts w:eastAsia="Segoe UI" w:cs="Segoe UI" w:ascii="Segoe UI" w:hAnsi="Segoe UI"/>
          <w:b/>
          <w:color w:val="101820"/>
          <w:sz w:val="21"/>
        </w:rPr>
        <w:t>Loaded</w:t>
      </w:r>
      <w:r>
        <w:rPr>
          <w:rFonts w:eastAsia="Segoe UI" w:cs="Segoe UI" w:ascii="Segoe UI" w:hAnsi="Segoe UI"/>
          <w:color w:val="101820"/>
          <w:sz w:val="21"/>
        </w:rPr>
        <w:t xml:space="preserve">), </w:t>
      </w:r>
      <w:r>
        <w:rPr>
          <w:rFonts w:eastAsia="Segoe UI" w:cs="Segoe UI" w:ascii="Segoe UI" w:hAnsi="Segoe UI"/>
          <w:b/>
          <w:color w:val="101820"/>
          <w:sz w:val="21"/>
        </w:rPr>
        <w:t>Read</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w:t>
      </w:r>
      <w:r>
        <w:rPr>
          <w:rFonts w:eastAsia="Segoe UI" w:cs="Segoe UI" w:ascii="Segoe UI" w:hAnsi="Segoe UI"/>
          <w:b/>
          <w:color w:val="101820"/>
          <w:sz w:val="21"/>
        </w:rPr>
        <w:t>Uploaded</w:t>
      </w:r>
      <w:r>
        <w:rPr>
          <w:rFonts w:eastAsia="Segoe UI" w:cs="Segoe UI" w:ascii="Segoe UI" w:hAnsi="Segoe UI"/>
          <w:color w:val="101820"/>
          <w:sz w:val="21"/>
        </w:rPr>
        <w:t xml:space="preserve"> (user and time) and </w:t>
      </w:r>
      <w:r>
        <w:rPr>
          <w:rFonts w:eastAsia="Segoe UI" w:cs="Segoe UI" w:ascii="Segoe UI" w:hAnsi="Segoe UI"/>
          <w:b/>
          <w:color w:val="101820"/>
          <w:sz w:val="21"/>
        </w:rPr>
        <w:t>Loaded</w:t>
      </w:r>
      <w:r>
        <w:rPr>
          <w:rFonts w:eastAsia="Segoe UI" w:cs="Segoe UI" w:ascii="Segoe UI" w:hAnsi="Segoe UI"/>
          <w:color w:val="101820"/>
          <w:sz w:val="21"/>
        </w:rPr>
        <w:t xml:space="preserve"> (user and time). The eye (</w:t>
      </w:r>
      <w:r>
        <w:rPr>
          <w:rFonts w:eastAsia="Segoe UI" w:cs="Segoe UI" w:ascii="Segoe UI" w:hAnsi="Segoe UI"/>
          <w:b/>
          <w:color w:val="101820"/>
          <w:sz w:val="21"/>
        </w:rPr>
        <w:t>View result</w:t>
      </w:r>
      <w:r>
        <w:rPr>
          <w:rFonts w:eastAsia="Segoe UI" w:cs="Segoe UI" w:ascii="Segoe UI" w:hAnsi="Segoe UI"/>
          <w:color w:val="101820"/>
          <w:sz w:val="21"/>
        </w:rPr>
        <w:t>) opens the result of a batch, the Excel icon downloads its errors and, for the migration workbook, the chart icon downloads its reconciliation.</w:t>
      </w:r>
    </w:p>
    <w:p>
      <w:pPr>
        <w:pStyle w:val="Heading2"/>
        <w:rPr/>
      </w:pPr>
      <w:bookmarkStart w:id="51" w:name="__RefHeading___Toc21619_17926050"/>
      <w:bookmarkEnd w:id="51"/>
      <w:r>
        <w:rPr>
          <w:rFonts w:eastAsia="Segoe UI" w:cs="Segoe UI"/>
          <w:b/>
          <w:color w:val="0F4761"/>
          <w:sz w:val="26"/>
        </w:rPr>
        <w:t>7.7  Migration rules and reconciliation</w:t>
      </w:r>
    </w:p>
    <w:p>
      <w:pPr>
        <w:pStyle w:val="Normal"/>
        <w:spacing w:lineRule="auto" w:line="276" w:before="0" w:after="120"/>
        <w:rPr/>
      </w:pPr>
      <w:r>
        <w:rPr>
          <w:rFonts w:eastAsia="Segoe UI" w:cs="Segoe UI" w:ascii="Segoe UI" w:hAnsi="Segoe UI"/>
          <w:color w:val="101820"/>
          <w:sz w:val="21"/>
        </w:rPr>
        <w:t xml:space="preserve">The migration workbook is refused until the cutover date is set: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then says </w:t>
      </w:r>
      <w:r>
        <w:rPr>
          <w:rFonts w:eastAsia="Segoe UI" w:cs="Segoe UI" w:ascii="Segoe UI" w:hAnsi="Segoe UI"/>
          <w:b/>
          <w:color w:val="101820"/>
          <w:sz w:val="21"/>
        </w:rPr>
        <w:t>Set the cutover date (golive.cutover_date) first</w:t>
      </w:r>
      <w:r>
        <w:rPr>
          <w:rFonts w:eastAsia="Segoe UI" w:cs="Segoe UI" w:ascii="Segoe UI" w:hAnsi="Segoe UI"/>
          <w:color w:val="101820"/>
          <w:sz w:val="21"/>
        </w:rPr>
        <w:t xml:space="preserve">. The cutover date is the first day of live transactions and is set on Master &gt; Configuration, area Company &amp; Branding, group </w:t>
      </w:r>
      <w:r>
        <w:rPr>
          <w:rFonts w:eastAsia="Segoe UI" w:cs="Segoe UI" w:ascii="Segoe UI" w:hAnsi="Segoe UI"/>
          <w:b/>
          <w:color w:val="101820"/>
          <w:sz w:val="21"/>
        </w:rPr>
        <w:t>Go-live</w:t>
      </w:r>
      <w:r>
        <w:rPr>
          <w:rFonts w:eastAsia="Segoe UI" w:cs="Segoe UI" w:ascii="Segoe UI" w:hAnsi="Segoe UI"/>
          <w:color w:val="101820"/>
          <w:sz w:val="21"/>
        </w:rPr>
        <w:t>, or on the Settings sheet of the configuration workbook.</w:t>
      </w:r>
    </w:p>
    <w:p>
      <w:pPr>
        <w:pStyle w:val="Normal"/>
        <w:shd w:val="clear" w:color="auto" w:fill="EAF2FB"/>
        <w:spacing w:before="0" w:after="160"/>
        <w:ind w:left="170"/>
        <w:rPr/>
      </w:pPr>
      <w:r>
        <w:rPr>
          <w:rFonts w:eastAsia="Segoe UI" w:cs="Segoe UI" w:ascii="Segoe UI" w:hAnsi="Segoe UI"/>
          <w:color w:val="101820"/>
          <w:sz w:val="20"/>
        </w:rPr>
        <w:t>[Screen image not available: Master &gt; Configuration: the Go-live settings]</w:t>
      </w:r>
    </w:p>
    <w:p>
      <w:pPr>
        <w:pStyle w:val="Normal"/>
        <w:numPr>
          <w:ilvl w:val="0"/>
          <w:numId w:val="1"/>
        </w:numPr>
        <w:spacing w:before="0" w:after="60"/>
        <w:rPr/>
      </w:pPr>
      <w:r>
        <w:rPr>
          <w:rFonts w:eastAsia="Segoe UI" w:cs="Segoe UI" w:ascii="Segoe UI" w:hAnsi="Segoe UI"/>
          <w:color w:val="101820"/>
          <w:sz w:val="21"/>
        </w:rPr>
        <w:t>A line of business on the Commission Rates sheet of the configuration workbook, or on the Commission Rate Matrix screen, must be a code of the Line of Business master; a rate on an unknown line is refused.</w:t>
      </w:r>
    </w:p>
    <w:p>
      <w:pPr>
        <w:pStyle w:val="Normal"/>
        <w:numPr>
          <w:ilvl w:val="0"/>
          <w:numId w:val="1"/>
        </w:numPr>
        <w:spacing w:before="0" w:after="60"/>
        <w:rPr/>
      </w:pPr>
      <w:r>
        <w:rPr>
          <w:rFonts w:eastAsia="Segoe UI" w:cs="Segoe UI" w:ascii="Segoe UI" w:hAnsi="Segoe UI"/>
          <w:color w:val="101820"/>
          <w:sz w:val="21"/>
        </w:rPr>
        <w:t>Rows dated on or after the cutover date are refused: policy issue date, claim loss and reported dates, client birth date. Policies must still be in force at cutover. Open claims are registered or in review.</w:t>
      </w:r>
    </w:p>
    <w:p>
      <w:pPr>
        <w:pStyle w:val="Normal"/>
        <w:numPr>
          <w:ilvl w:val="0"/>
          <w:numId w:val="1"/>
        </w:numPr>
        <w:spacing w:before="0" w:after="60"/>
        <w:rPr/>
      </w:pPr>
      <w:r>
        <w:rPr>
          <w:rFonts w:eastAsia="Segoe UI" w:cs="Segoe UI" w:ascii="Segoe UI" w:hAnsi="Segoe UI"/>
          <w:color w:val="101820"/>
          <w:sz w:val="21"/>
        </w:rPr>
        <w:t xml:space="preserve">Opening balances are the trial balance of the old system at the close of the day before the cutover date. Debits must equal credits, and the fiscal year of the cutover date must have no journal posted before it. A row with no debit and no credit (an account whose movements net to zero) is accepted and ignored, with a note above the counts. The sheet loads all or nothing: when it fails, the rows in error show their own error, the other rows are counted as </w:t>
      </w:r>
      <w:r>
        <w:rPr>
          <w:rFonts w:eastAsia="Segoe UI" w:cs="Segoe UI" w:ascii="Segoe UI" w:hAnsi="Segoe UI"/>
          <w:b/>
          <w:color w:val="101820"/>
          <w:sz w:val="21"/>
        </w:rPr>
        <w:t>Held</w:t>
      </w:r>
      <w:r>
        <w:rPr>
          <w:rFonts w:eastAsia="Segoe UI" w:cs="Segoe UI" w:ascii="Segoe UI" w:hAnsi="Segoe UI"/>
          <w:color w:val="101820"/>
          <w:sz w:val="21"/>
        </w:rPr>
        <w:t xml:space="preserve">, and one message with the row </w:t>
      </w:r>
      <w:r>
        <w:rPr>
          <w:rFonts w:eastAsia="Segoe UI" w:cs="Segoe UI" w:ascii="Segoe UI" w:hAnsi="Segoe UI"/>
          <w:b/>
          <w:color w:val="101820"/>
          <w:sz w:val="21"/>
        </w:rPr>
        <w:t>Sheet</w:t>
      </w:r>
      <w:r>
        <w:rPr>
          <w:rFonts w:eastAsia="Segoe UI" w:cs="Segoe UI" w:ascii="Segoe UI" w:hAnsi="Segoe UI"/>
          <w:color w:val="101820"/>
          <w:sz w:val="21"/>
        </w:rPr>
        <w:t xml:space="preserve"> says why nothing was loaded.</w:t>
      </w:r>
    </w:p>
    <w:p>
      <w:pPr>
        <w:pStyle w:val="Normal"/>
        <w:numPr>
          <w:ilvl w:val="0"/>
          <w:numId w:val="1"/>
        </w:numPr>
        <w:spacing w:before="0" w:after="60"/>
        <w:rPr/>
      </w:pPr>
      <w:r>
        <w:rPr>
          <w:rFonts w:eastAsia="Segoe UI" w:cs="Segoe UI" w:ascii="Segoe UI" w:hAnsi="Segoe UI"/>
          <w:color w:val="101820"/>
          <w:sz w:val="21"/>
        </w:rPr>
        <w:t>Migrated records keep the numbers of the old system. New business takes the next number of its Document Numbering series, set on the Numbering sheet. Both workbooks refuse a number that the other side would also issue: raise the next number of the series above the old range first. A reset of test transactions restarts each series at the next number the Numbering sheet set, so the sheet need not be loaded again after a reset.</w:t>
      </w:r>
    </w:p>
    <w:p>
      <w:pPr>
        <w:pStyle w:val="Normal"/>
        <w:numPr>
          <w:ilvl w:val="0"/>
          <w:numId w:val="1"/>
        </w:numPr>
        <w:spacing w:before="0" w:after="60"/>
        <w:rPr/>
      </w:pPr>
      <w:r>
        <w:rPr>
          <w:rFonts w:eastAsia="Segoe UI" w:cs="Segoe UI" w:ascii="Segoe UI" w:hAnsi="Segoe UI"/>
          <w:color w:val="101820"/>
          <w:sz w:val="21"/>
        </w:rPr>
        <w:t>An open item keeps the bill number of the old system as its bill number. Only when another bill already has that number (one debit note over several policies) does it get the next BrokerVerse invoice number; the old number is then shown with it, for example INV-2026-00011 (old system DN-OLD-77), on Add Receipt and the billing statements, and the open receivables can be searched by it.</w:t>
      </w:r>
    </w:p>
    <w:p>
      <w:pPr>
        <w:pStyle w:val="Normal"/>
        <w:numPr>
          <w:ilvl w:val="0"/>
          <w:numId w:val="1"/>
        </w:numPr>
        <w:spacing w:before="0" w:after="60"/>
        <w:rPr/>
      </w:pPr>
      <w:r>
        <w:rPr>
          <w:rFonts w:eastAsia="Segoe UI" w:cs="Segoe UI" w:ascii="Segoe UI" w:hAnsi="Segoe UI"/>
          <w:color w:val="101820"/>
          <w:sz w:val="21"/>
        </w:rPr>
        <w:t>A migrated policy is renewed like any other policy; its renewal is new business in BrokerVerse.</w:t>
      </w:r>
    </w:p>
    <w:p>
      <w:pPr>
        <w:pStyle w:val="Normal"/>
        <w:numPr>
          <w:ilvl w:val="0"/>
          <w:numId w:val="1"/>
        </w:numPr>
        <w:spacing w:before="0" w:after="60"/>
        <w:rPr/>
      </w:pPr>
      <w:r>
        <w:rPr>
          <w:rFonts w:eastAsia="Segoe UI" w:cs="Segoe UI" w:ascii="Segoe UI" w:hAnsi="Segoe UI"/>
          <w:color w:val="101820"/>
          <w:sz w:val="21"/>
        </w:rPr>
        <w:t>Migrated records post nothing: no bill, booking journal or commission accrual for a policy, no booking journal for an open item (the GL carries it in the opening balance), no e-mail, notification or journal for an open claim. Migrated policies count as policies in force but not as premium written or new business on the Executive Dashboard.</w:t>
      </w:r>
    </w:p>
    <w:p>
      <w:pPr>
        <w:pStyle w:val="Normal"/>
        <w:spacing w:lineRule="auto" w:line="276" w:before="0" w:after="120"/>
        <w:rPr/>
      </w:pPr>
      <w:r>
        <w:rPr>
          <w:rFonts w:eastAsia="Segoe UI" w:cs="Segoe UI" w:ascii="Segoe UI" w:hAnsi="Segoe UI"/>
          <w:color w:val="101820"/>
          <w:sz w:val="21"/>
        </w:rPr>
        <w:t xml:space="preserve">Every validation and load of the migration workbook shows a </w:t>
      </w:r>
      <w:r>
        <w:rPr>
          <w:rFonts w:eastAsia="Segoe UI" w:cs="Segoe UI" w:ascii="Segoe UI" w:hAnsi="Segoe UI"/>
          <w:b/>
          <w:color w:val="101820"/>
          <w:sz w:val="21"/>
        </w:rPr>
        <w:t>Reconciliation</w:t>
      </w:r>
      <w:r>
        <w:rPr>
          <w:rFonts w:eastAsia="Segoe UI" w:cs="Segoe UI" w:ascii="Segoe UI" w:hAnsi="Segoe UI"/>
          <w:color w:val="101820"/>
          <w:sz w:val="21"/>
        </w:rPr>
        <w:t xml:space="preserve">: per sheet the </w:t>
      </w:r>
      <w:r>
        <w:rPr>
          <w:rFonts w:eastAsia="Segoe UI" w:cs="Segoe UI" w:ascii="Segoe UI" w:hAnsi="Segoe UI"/>
          <w:b/>
          <w:color w:val="101820"/>
          <w:sz w:val="21"/>
        </w:rPr>
        <w:t>Workbook rows</w:t>
      </w:r>
      <w:r>
        <w:rPr>
          <w:rFonts w:eastAsia="Segoe UI" w:cs="Segoe UI" w:ascii="Segoe UI" w:hAnsi="Segoe UI"/>
          <w:color w:val="101820"/>
          <w:sz w:val="21"/>
        </w:rPr>
        <w:t xml:space="preserve"> and </w:t>
      </w:r>
      <w:r>
        <w:rPr>
          <w:rFonts w:eastAsia="Segoe UI" w:cs="Segoe UI" w:ascii="Segoe UI" w:hAnsi="Segoe UI"/>
          <w:b/>
          <w:color w:val="101820"/>
          <w:sz w:val="21"/>
        </w:rPr>
        <w:t>Workbook totals</w:t>
      </w:r>
      <w:r>
        <w:rPr>
          <w:rFonts w:eastAsia="Segoe UI" w:cs="Segoe UI" w:ascii="Segoe UI" w:hAnsi="Segoe UI"/>
          <w:color w:val="101820"/>
          <w:sz w:val="21"/>
        </w:rPr>
        <w:t xml:space="preserve"> (premium, sum insured, open balance, claim estimate, debits and credits) against the records and totals </w:t>
      </w:r>
      <w:r>
        <w:rPr>
          <w:rFonts w:eastAsia="Segoe UI" w:cs="Segoe UI" w:ascii="Segoe UI" w:hAnsi="Segoe UI"/>
          <w:b/>
          <w:color w:val="101820"/>
          <w:sz w:val="21"/>
        </w:rPr>
        <w:t>In BrokerVerse</w:t>
      </w:r>
      <w:r>
        <w:rPr>
          <w:rFonts w:eastAsia="Segoe UI" w:cs="Segoe UI" w:ascii="Segoe UI" w:hAnsi="Segoe UI"/>
          <w:color w:val="101820"/>
          <w:sz w:val="21"/>
        </w:rPr>
        <w:t xml:space="preserve">, and the checks that the trial balance balances and that the premiums receivable control account equals the open items of the cutover date, each with </w:t>
      </w:r>
      <w:r>
        <w:rPr>
          <w:rFonts w:eastAsia="Segoe UI" w:cs="Segoe UI" w:ascii="Segoe UI" w:hAnsi="Segoe UI"/>
          <w:b/>
          <w:color w:val="101820"/>
          <w:sz w:val="21"/>
        </w:rPr>
        <w:t>Agrees</w:t>
      </w:r>
      <w:r>
        <w:rPr>
          <w:rFonts w:eastAsia="Segoe UI" w:cs="Segoe UI" w:ascii="Segoe UI" w:hAnsi="Segoe UI"/>
          <w:color w:val="101820"/>
          <w:sz w:val="21"/>
        </w:rPr>
        <w:t xml:space="preserve"> or </w:t>
      </w:r>
      <w:r>
        <w:rPr>
          <w:rFonts w:eastAsia="Segoe UI" w:cs="Segoe UI" w:ascii="Segoe UI" w:hAnsi="Segoe UI"/>
          <w:b/>
          <w:color w:val="101820"/>
          <w:sz w:val="21"/>
        </w:rPr>
        <w:t>Difference</w:t>
      </w:r>
      <w:r>
        <w:rPr>
          <w:rFonts w:eastAsia="Segoe UI" w:cs="Segoe UI" w:ascii="Segoe UI" w:hAnsi="Segoe UI"/>
          <w:color w:val="101820"/>
          <w:sz w:val="21"/>
        </w:rPr>
        <w:t xml:space="preserve">. Compare these totals with the old system before go-live; </w:t>
      </w:r>
      <w:r>
        <w:rPr>
          <w:rFonts w:eastAsia="Segoe UI" w:cs="Segoe UI" w:ascii="Segoe UI" w:hAnsi="Segoe UI"/>
          <w:b/>
          <w:color w:val="101820"/>
          <w:sz w:val="21"/>
        </w:rPr>
        <w:t>Download reconciliation</w:t>
      </w:r>
      <w:r>
        <w:rPr>
          <w:rFonts w:eastAsia="Segoe UI" w:cs="Segoe UI" w:ascii="Segoe UI" w:hAnsi="Segoe UI"/>
          <w:color w:val="101820"/>
          <w:sz w:val="21"/>
        </w:rPr>
        <w:t xml:space="preserve"> gives them as a workbook.</w:t>
      </w:r>
    </w:p>
    <w:p>
      <w:pPr>
        <w:pStyle w:val="Heading2"/>
        <w:rPr/>
      </w:pPr>
      <w:bookmarkStart w:id="52" w:name="__RefHeading___Toc21621_17926050"/>
      <w:bookmarkEnd w:id="52"/>
      <w:r>
        <w:rPr>
          <w:rFonts w:eastAsia="Segoe UI" w:cs="Segoe UI"/>
          <w:b/>
          <w:color w:val="0F4761"/>
          <w:sz w:val="26"/>
        </w:rPr>
        <w:t>7.8  Go-live lock</w:t>
      </w:r>
    </w:p>
    <w:p>
      <w:pPr>
        <w:pStyle w:val="Normal"/>
        <w:spacing w:lineRule="auto" w:line="276" w:before="0" w:after="120"/>
        <w:rPr/>
      </w:pPr>
      <w:r>
        <w:rPr>
          <w:rFonts w:eastAsia="Segoe UI" w:cs="Segoe UI" w:ascii="Segoe UI" w:hAnsi="Segoe UI"/>
          <w:color w:val="101820"/>
          <w:sz w:val="21"/>
        </w:rPr>
        <w:t xml:space="preserve">When the data is loaded and reconciled, switch on the go-live lock on Master &gt; Configuration, group </w:t>
      </w:r>
      <w:r>
        <w:rPr>
          <w:rFonts w:eastAsia="Segoe UI" w:cs="Segoe UI" w:ascii="Segoe UI" w:hAnsi="Segoe UI"/>
          <w:b/>
          <w:color w:val="101820"/>
          <w:sz w:val="21"/>
        </w:rPr>
        <w:t>Go-live</w:t>
      </w:r>
      <w:r>
        <w:rPr>
          <w:rFonts w:eastAsia="Segoe UI" w:cs="Segoe UI" w:ascii="Segoe UI" w:hAnsi="Segoe UI"/>
          <w:color w:val="101820"/>
          <w:sz w:val="21"/>
        </w:rPr>
        <w:t xml:space="preserve"> (</w:t>
      </w:r>
      <w:r>
        <w:rPr>
          <w:rFonts w:eastAsia="Consolas" w:cs="Consolas" w:ascii="Consolas" w:hAnsi="Consolas"/>
          <w:color w:val="101820"/>
          <w:sz w:val="19"/>
        </w:rPr>
        <w:t>golive.locked</w:t>
      </w:r>
      <w:r>
        <w:rPr>
          <w:rFonts w:eastAsia="Segoe UI" w:cs="Segoe UI" w:ascii="Segoe UI" w:hAnsi="Segoe UI"/>
          <w:color w:val="101820"/>
          <w:sz w:val="21"/>
        </w:rPr>
        <w:t>). From then on the migration workbook can no longer be uploaded, validated or loaded, and the reset of test transactions refuses to run. The configuration workbook stays available for new masters. Agree the moment with the project lead: the lock is the formal end of the migration.</w:t>
      </w:r>
      <w:r>
        <w:br w:type="page"/>
      </w:r>
    </w:p>
    <w:p>
      <w:pPr>
        <w:pStyle w:val="Heading1"/>
        <w:rPr/>
      </w:pPr>
      <w:bookmarkStart w:id="53" w:name="__RefHeading___Toc21623_17926050"/>
      <w:bookmarkEnd w:id="53"/>
      <w:r>
        <w:rPr>
          <w:rFonts w:eastAsia="Segoe UI" w:cs="Segoe UI" w:ascii="Segoe UI" w:hAnsi="Segoe UI"/>
          <w:b/>
          <w:color w:val="0F4761"/>
          <w:sz w:val="32"/>
        </w:rPr>
        <w:t>8.  Sales &amp; Marketing (Account Executive)</w:t>
      </w:r>
    </w:p>
    <w:p>
      <w:pPr>
        <w:pStyle w:val="Heading2"/>
        <w:rPr/>
      </w:pPr>
      <w:bookmarkStart w:id="54" w:name="__RefHeading___Toc21625_17926050"/>
      <w:bookmarkEnd w:id="54"/>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Sales Dashboard of an account executive]</w:t>
      </w:r>
    </w:p>
    <w:p>
      <w:pPr>
        <w:pStyle w:val="Heading2"/>
        <w:rPr/>
      </w:pPr>
      <w:bookmarkStart w:id="55" w:name="__RefHeading___Toc21627_17926050"/>
      <w:bookmarkEnd w:id="55"/>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Lead Assignment, Dealer Programmes, Comparison Reports, Campaigns, Sales Activities); Clients; Policy; Fleet Schedules; Marine Open Covers; Claims; Renewals (Renewal Policy, Renewal Batch, Renewal Queue, Retention Analytics, At-Risk Policies, Negotiations, Lapse Management, Performance);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 Dealer Production);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Lead Assignment, Dealer Programmes, Comparison Reports, Campaigns, Fleet Schedules and Marine Open Covers are described in the chapter Distribution, programmes and products; Cover Notes, Policy Cancellation and CTPL Authentication in the Operations chapter.</w:t>
      </w:r>
    </w:p>
    <w:p>
      <w:pPr>
        <w:pStyle w:val="Heading2"/>
        <w:rPr/>
      </w:pPr>
      <w:bookmarkStart w:id="56" w:name="__RefHeading___Toc21629_17926050"/>
      <w:bookmarkEnd w:id="56"/>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 log every call, meeting, e-mail and visit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Sales Activities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the client the comparison of the insurers' offers; follow up the campaigns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 Campaigns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57" w:name="__RefHeading___Toc21631_17926050"/>
      <w:bookmarkEnd w:id="57"/>
      <w:r>
        <w:rPr>
          <w:rFonts w:eastAsia="Segoe UI" w:cs="Segoe UI"/>
          <w:b/>
          <w:color w:val="0F4761"/>
          <w:sz w:val="26"/>
        </w:rPr>
        <w:t>8.4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58" w:name="__RefHeading___Toc21633_17926050"/>
      <w:bookmarkEnd w:id="58"/>
      <w:r>
        <w:rPr>
          <w:rFonts w:eastAsia="Segoe UI" w:cs="Segoe UI"/>
          <w:b/>
          <w:color w:val="0F4761"/>
          <w:sz w:val="26"/>
        </w:rPr>
        <w:t>8.5  Prospects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8.5.1  Create a prospect</w:t>
      </w:r>
    </w:p>
    <w:p>
      <w:pPr>
        <w:pStyle w:val="Normal"/>
        <w:numPr>
          <w:ilvl w:val="0"/>
          <w:numId w:val="2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228"/>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229"/>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230"/>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Create prospect: new customer or existing client]</w:t>
      </w:r>
    </w:p>
    <w:p>
      <w:pPr>
        <w:pStyle w:val="Normal"/>
        <w:shd w:val="clear" w:color="auto" w:fill="EAF2FB"/>
        <w:spacing w:before="0" w:after="160"/>
        <w:ind w:left="170"/>
        <w:rPr/>
      </w:pPr>
      <w:r>
        <w:rPr>
          <w:rFonts w:eastAsia="Segoe UI" w:cs="Segoe UI" w:ascii="Segoe UI" w:hAnsi="Segoe UI"/>
          <w:color w:val="101820"/>
          <w:sz w:val="20"/>
        </w:rPr>
        <w:t>[Screen image not available: Create prospect: the product the prospect is for]</w:t>
      </w:r>
    </w:p>
    <w:p>
      <w:pPr>
        <w:pStyle w:val="Normal"/>
        <w:shd w:val="clear" w:color="auto" w:fill="EAF2FB"/>
        <w:spacing w:before="0" w:after="160"/>
        <w:ind w:left="170"/>
        <w:rPr/>
      </w:pPr>
      <w:r>
        <w:rPr>
          <w:rFonts w:eastAsia="Segoe UI" w:cs="Segoe UI" w:ascii="Segoe UI" w:hAnsi="Segoe UI"/>
          <w:color w:val="101820"/>
          <w:sz w:val="20"/>
        </w:rPr>
        <w:t>[Screen image not available: Create Prospect form for a motor prospect]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98"/>
        <w:gridCol w:w="1617"/>
        <w:gridCol w:w="3699"/>
      </w:tblGrid>
      <w:tr>
        <w:trPr>
          <w:tblHeader w:val="true"/>
        </w:trPr>
        <w:tc>
          <w:tcPr>
            <w:tcW w:w="36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Region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(Region optional)</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PSGC address masters; choose the country first (Philippines by default), then the region or the province, then the city or municipality, then the barangay.</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 filled in from the barangay or city when known.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 Unit No.</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Street / Subdivision</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 / Unit No. 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8.5.2  View, edit or delete a prospect</w:t>
      </w:r>
    </w:p>
    <w:p>
      <w:pPr>
        <w:pStyle w:val="Normal"/>
        <w:shd w:val="clear" w:color="auto" w:fill="EAF2FB"/>
        <w:spacing w:before="0" w:after="160"/>
        <w:ind w:left="170"/>
        <w:rPr/>
      </w:pPr>
      <w:r>
        <w:rPr>
          <w:rFonts w:eastAsia="Segoe UI" w:cs="Segoe UI" w:ascii="Segoe UI" w:hAnsi="Segoe UI"/>
          <w:color w:val="101820"/>
          <w:sz w:val="20"/>
        </w:rPr>
        <w:t>[Screen image not available: Prospect Details]</w:t>
      </w:r>
    </w:p>
    <w:p>
      <w:pPr>
        <w:pStyle w:val="Normal"/>
        <w:spacing w:lineRule="auto" w:line="276" w:before="0" w:after="12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xml:space="preserve">) on a prospect row.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8.5.3  Upload many prospects</w:t>
      </w:r>
    </w:p>
    <w:p>
      <w:pPr>
        <w:pStyle w:val="Normal"/>
        <w:numPr>
          <w:ilvl w:val="0"/>
          <w:numId w:val="2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23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23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shd w:val="clear" w:color="auto" w:fill="EAF2FB"/>
        <w:spacing w:before="0" w:after="160"/>
        <w:ind w:left="170"/>
        <w:rPr/>
      </w:pPr>
      <w:r>
        <w:rPr>
          <w:rFonts w:eastAsia="Segoe UI" w:cs="Segoe UI" w:ascii="Segoe UI" w:hAnsi="Segoe UI"/>
          <w:color w:val="101820"/>
          <w:sz w:val="20"/>
        </w:rPr>
        <w:t>[Screen image not available: Bulk upload prospects]</w:t>
      </w:r>
    </w:p>
    <w:p>
      <w:pPr>
        <w:pStyle w:val="Heading2"/>
        <w:rPr/>
      </w:pPr>
      <w:bookmarkStart w:id="59" w:name="__RefHeading___Toc21635_17926050"/>
      <w:bookmarkEnd w:id="59"/>
      <w:r>
        <w:rPr>
          <w:rFonts w:eastAsia="Segoe UI" w:cs="Segoe UI"/>
          <w:b/>
          <w:color w:val="0F4761"/>
          <w:sz w:val="26"/>
        </w:rPr>
        <w:t>8.6  Quick Quote and Compare Insurers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shd w:val="clear" w:color="auto" w:fill="EAF2FB"/>
        <w:spacing w:before="0" w:after="160"/>
        <w:ind w:left="170"/>
        <w:rPr/>
      </w:pPr>
      <w:r>
        <w:rPr>
          <w:rFonts w:eastAsia="Segoe UI" w:cs="Segoe UI" w:ascii="Segoe UI" w:hAnsi="Segoe UI"/>
          <w:color w:val="101820"/>
          <w:sz w:val="20"/>
        </w:rPr>
        <w:t>[Screen image not available: Operations &gt; Sales &amp; Marketing &gt; Compare Insurers]</w:t>
      </w:r>
    </w:p>
    <w:p>
      <w:pPr>
        <w:pStyle w:val="Heading2"/>
        <w:rPr/>
      </w:pPr>
      <w:bookmarkStart w:id="60" w:name="__RefHeading___Toc21637_17926050"/>
      <w:bookmarkEnd w:id="60"/>
      <w:r>
        <w:rPr>
          <w:rFonts w:eastAsia="Segoe UI" w:cs="Segoe UI"/>
          <w:b/>
          <w:color w:val="0F4761"/>
          <w:sz w:val="26"/>
        </w:rPr>
        <w:t>8.7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34"/>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235"/>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36"/>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37"/>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38"/>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39"/>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those of the product template (Acts of Nature, excess Bodily Injury and Property Damage, Roadside Assistance, Personal Accident and Auto Passenger PA, limit per person x seats covered, with the delivered template; see Covers and risk details of the product below).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3"/>
        <w:rPr/>
      </w:pPr>
      <w:r>
        <w:rPr>
          <w:rFonts w:eastAsia="Segoe UI" w:cs="Segoe UI"/>
          <w:b/>
          <w:color w:val="0F4761"/>
          <w:sz w:val="23"/>
        </w:rPr>
        <w:t>8.7.1  Covers and risk details of the product</w:t>
      </w:r>
    </w:p>
    <w:p>
      <w:pPr>
        <w:pStyle w:val="Normal"/>
        <w:spacing w:lineRule="auto" w:line="276" w:before="0" w:after="120"/>
        <w:rPr/>
      </w:pPr>
      <w:r>
        <w:rPr>
          <w:rFonts w:eastAsia="Segoe UI" w:cs="Segoe UI" w:ascii="Segoe UI" w:hAnsi="Segoe UI"/>
          <w:color w:val="101820"/>
          <w:sz w:val="21"/>
        </w:rPr>
        <w:t xml:space="preserve">The quotation follows the product template that governs it (the motor pricing template, </w:t>
      </w:r>
      <w:r>
        <w:rPr>
          <w:rFonts w:eastAsia="Consolas" w:cs="Consolas" w:ascii="Consolas" w:hAnsi="Consolas"/>
          <w:color w:val="101820"/>
          <w:sz w:val="19"/>
        </w:rPr>
        <w:t>motor.pricing_template_code</w:t>
      </w:r>
      <w:r>
        <w:rPr>
          <w:rFonts w:eastAsia="Segoe UI" w:cs="Segoe UI" w:ascii="Segoe UI" w:hAnsi="Segoe UI"/>
          <w:color w:val="101820"/>
          <w:sz w:val="21"/>
        </w:rPr>
        <w:t>; Product Configurator &gt; Product Templates).</w:t>
      </w:r>
    </w:p>
    <w:p>
      <w:pPr>
        <w:pStyle w:val="Normal"/>
        <w:spacing w:lineRule="auto" w:line="276" w:before="0" w:after="120"/>
        <w:rPr/>
      </w:pPr>
      <w:r>
        <w:rPr>
          <w:rFonts w:eastAsia="Segoe UI" w:cs="Segoe UI" w:ascii="Segoe UI" w:hAnsi="Segoe UI"/>
          <w:b/>
          <w:color w:val="101820"/>
          <w:sz w:val="21"/>
        </w:rPr>
        <w:t>Risk details for the product rules</w:t>
      </w:r>
      <w:r>
        <w:rPr>
          <w:rFonts w:eastAsia="Segoe UI" w:cs="Segoe UI" w:ascii="Segoe UI" w:hAnsi="Segoe UI"/>
          <w:color w:val="101820"/>
          <w:sz w:val="21"/>
        </w:rPr>
        <w:t xml:space="preserve"> (step 1, below the vehicle): the wizard asks for the details the template's acceptance rules and rating factors test, so that every rule is checked when the quotation is priced. With the delivered motor template these are the </w:t>
      </w:r>
      <w:r>
        <w:rPr>
          <w:rFonts w:eastAsia="Segoe UI" w:cs="Segoe UI" w:ascii="Segoe UI" w:hAnsi="Segoe UI"/>
          <w:b/>
          <w:color w:val="101820"/>
          <w:sz w:val="21"/>
        </w:rPr>
        <w:t>Driver's date of birth</w:t>
      </w:r>
      <w:r>
        <w:rPr>
          <w:rFonts w:eastAsia="Segoe UI" w:cs="Segoe UI" w:ascii="Segoe UI" w:hAnsi="Segoe UI"/>
          <w:color w:val="101820"/>
          <w:sz w:val="21"/>
        </w:rPr>
        <w:t xml:space="preserve"> (the driver age is computed from it), </w:t>
      </w:r>
      <w:r>
        <w:rPr>
          <w:rFonts w:eastAsia="Segoe UI" w:cs="Segoe UI" w:ascii="Segoe UI" w:hAnsi="Segoe UI"/>
          <w:b/>
          <w:color w:val="101820"/>
          <w:sz w:val="21"/>
        </w:rPr>
        <w:t>Claims in the last 3 years</w:t>
      </w:r>
      <w:r>
        <w:rPr>
          <w:rFonts w:eastAsia="Segoe UI" w:cs="Segoe UI" w:ascii="Segoe UI" w:hAnsi="Segoe UI"/>
          <w:color w:val="101820"/>
          <w:sz w:val="21"/>
        </w:rPr>
        <w:t xml:space="preserve">, </w:t>
      </w:r>
      <w:r>
        <w:rPr>
          <w:rFonts w:eastAsia="Segoe UI" w:cs="Segoe UI" w:ascii="Segoe UI" w:hAnsi="Segoe UI"/>
          <w:b/>
          <w:color w:val="101820"/>
          <w:sz w:val="21"/>
        </w:rPr>
        <w:t>Fair market value of the vehicle</w:t>
      </w:r>
      <w:r>
        <w:rPr>
          <w:rFonts w:eastAsia="Segoe UI" w:cs="Segoe UI" w:ascii="Segoe UI" w:hAnsi="Segoe UI"/>
          <w:color w:val="101820"/>
          <w:sz w:val="21"/>
        </w:rPr>
        <w:t xml:space="preserve">, </w:t>
      </w:r>
      <w:r>
        <w:rPr>
          <w:rFonts w:eastAsia="Segoe UI" w:cs="Segoe UI" w:ascii="Segoe UI" w:hAnsi="Segoe UI"/>
          <w:b/>
          <w:color w:val="101820"/>
          <w:sz w:val="21"/>
        </w:rPr>
        <w:t>The vehicle has modifications</w:t>
      </w:r>
      <w:r>
        <w:rPr>
          <w:rFonts w:eastAsia="Segoe UI" w:cs="Segoe UI" w:ascii="Segoe UI" w:hAnsi="Segoe UI"/>
          <w:color w:val="101820"/>
          <w:sz w:val="21"/>
        </w:rPr>
        <w:t xml:space="preserve">, and the </w:t>
      </w:r>
      <w:r>
        <w:rPr>
          <w:rFonts w:eastAsia="Segoe UI" w:cs="Segoe UI" w:ascii="Segoe UI" w:hAnsi="Segoe UI"/>
          <w:b/>
          <w:color w:val="101820"/>
          <w:sz w:val="21"/>
        </w:rPr>
        <w:t>Claim-free years (NCB)</w:t>
      </w:r>
      <w:r>
        <w:rPr>
          <w:rFonts w:eastAsia="Segoe UI" w:cs="Segoe UI" w:ascii="Segoe UI" w:hAnsi="Segoe UI"/>
          <w:color w:val="101820"/>
          <w:sz w:val="21"/>
        </w:rPr>
        <w:t xml:space="preserve"> and </w:t>
      </w:r>
      <w:r>
        <w:rPr>
          <w:rFonts w:eastAsia="Segoe UI" w:cs="Segoe UI" w:ascii="Segoe UI" w:hAnsi="Segoe UI"/>
          <w:b/>
          <w:color w:val="101820"/>
          <w:sz w:val="21"/>
        </w:rPr>
        <w:t>Vehicles in the fleet</w:t>
      </w:r>
      <w:r>
        <w:rPr>
          <w:rFonts w:eastAsia="Segoe UI" w:cs="Segoe UI" w:ascii="Segoe UI" w:hAnsi="Segoe UI"/>
          <w:color w:val="101820"/>
          <w:sz w:val="21"/>
        </w:rPr>
        <w:t xml:space="preserve"> the rating factors use. A field marked * is tested by an acceptance rule and must be filled in before </w:t>
      </w:r>
      <w:r>
        <w:rPr>
          <w:rFonts w:eastAsia="Segoe UI" w:cs="Segoe UI" w:ascii="Segoe UI" w:hAnsi="Segoe UI"/>
          <w:b/>
          <w:color w:val="101820"/>
          <w:sz w:val="21"/>
        </w:rPr>
        <w:t>Next</w:t>
      </w:r>
      <w:r>
        <w:rPr>
          <w:rFonts w:eastAsia="Segoe UI" w:cs="Segoe UI" w:ascii="Segoe UI" w:hAnsi="Segoe UI"/>
          <w:color w:val="101820"/>
          <w:sz w:val="21"/>
        </w:rPr>
        <w:t xml:space="preserve">; a group or personal accident risk asks for the </w:t>
      </w:r>
      <w:r>
        <w:rPr>
          <w:rFonts w:eastAsia="Segoe UI" w:cs="Segoe UI" w:ascii="Segoe UI" w:hAnsi="Segoe UI"/>
          <w:b/>
          <w:color w:val="101820"/>
          <w:sz w:val="21"/>
        </w:rPr>
        <w:t>Number of members</w:t>
      </w:r>
      <w:r>
        <w:rPr>
          <w:rFonts w:eastAsia="Segoe UI" w:cs="Segoe UI" w:ascii="Segoe UI" w:hAnsi="Segoe UI"/>
          <w:color w:val="101820"/>
          <w:sz w:val="21"/>
        </w:rPr>
        <w:t>. The vehicle use, model year and sum insured are taken from the vehicle and cover fields. When a rule or factor is added on the Product Configurator, its field is asked for on the next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that uses it (delivered template)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Driver's date of birth</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 under 21: 15% loading; driver age rating factor</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in the last 3 years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claims: 20% loading</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Fair market value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above the fair market value by more than 10%: referred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vehicle has modifications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Modified vehicle: referred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use (step 1)</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utility vehicle: declined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Covers of the product</w:t>
      </w:r>
      <w:r>
        <w:rPr>
          <w:rFonts w:eastAsia="Segoe UI" w:cs="Segoe UI" w:ascii="Segoe UI" w:hAnsi="Segoe UI"/>
          <w:color w:val="101820"/>
          <w:sz w:val="21"/>
        </w:rPr>
        <w:t xml:space="preserve"> (coverage step, at the top): the covers of the template's Coverage Builder. A </w:t>
      </w:r>
      <w:r>
        <w:rPr>
          <w:rFonts w:eastAsia="Segoe UI" w:cs="Segoe UI" w:ascii="Segoe UI" w:hAnsi="Segoe UI"/>
          <w:b/>
          <w:color w:val="101820"/>
          <w:sz w:val="21"/>
        </w:rPr>
        <w:t>Mandatory</w:t>
      </w:r>
      <w:r>
        <w:rPr>
          <w:rFonts w:eastAsia="Segoe UI" w:cs="Segoe UI" w:ascii="Segoe UI" w:hAnsi="Segoe UI"/>
          <w:color w:val="101820"/>
          <w:sz w:val="21"/>
        </w:rPr>
        <w:t xml:space="preserve"> cover is always included and cannot be unticked; an </w:t>
      </w:r>
      <w:r>
        <w:rPr>
          <w:rFonts w:eastAsia="Segoe UI" w:cs="Segoe UI" w:ascii="Segoe UI" w:hAnsi="Segoe UI"/>
          <w:b/>
          <w:color w:val="101820"/>
          <w:sz w:val="21"/>
        </w:rPr>
        <w:t>Optional</w:t>
      </w:r>
      <w:r>
        <w:rPr>
          <w:rFonts w:eastAsia="Segoe UI" w:cs="Segoe UI" w:ascii="Segoe UI" w:hAnsi="Segoe UI"/>
          <w:color w:val="101820"/>
          <w:sz w:val="21"/>
        </w:rPr>
        <w:t xml:space="preserve"> cover is ticked to quote it and unticked to leave it out (its fields are then hidden and its premium is zero). Each cover is priced on the quotation premium of its </w:t>
      </w:r>
      <w:r>
        <w:rPr>
          <w:rFonts w:eastAsia="Segoe UI" w:cs="Segoe UI" w:ascii="Segoe UI" w:hAnsi="Segoe UI"/>
          <w:b/>
          <w:color w:val="101820"/>
          <w:sz w:val="21"/>
        </w:rPr>
        <w:t>Priced on quotation as</w:t>
      </w:r>
      <w:r>
        <w:rPr>
          <w:rFonts w:eastAsia="Segoe UI" w:cs="Segoe UI" w:ascii="Segoe UI" w:hAnsi="Segoe UI"/>
          <w:color w:val="101820"/>
          <w:sz w:val="21"/>
        </w:rPr>
        <w:t xml:space="preserve"> setting (own damage and theft, acts of nature, roadside assistance, personal accident, excess bodily injury, property damage, auto passenger PA, CTPL). A cover that the template does not list is not offered. A cover without a quotation premium is quoted for its terms only.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a change.</w:t>
      </w:r>
    </w:p>
    <w:p>
      <w:pPr>
        <w:pStyle w:val="Normal"/>
        <w:spacing w:lineRule="auto" w:line="276" w:before="0" w:after="120"/>
        <w:rPr/>
      </w:pPr>
      <w:r>
        <w:rPr>
          <w:rFonts w:eastAsia="Segoe UI" w:cs="Segoe UI" w:ascii="Segoe UI" w:hAnsi="Segoe UI"/>
          <w:color w:val="101820"/>
          <w:sz w:val="21"/>
        </w:rPr>
        <w:t xml:space="preserve">When the quotation is saved the server prices it on the same covers (a mandatory cover is added if missing; a cover that is not on the template is refused) and evaluates the acceptance rules on the risk details: none is left "not evaluated". With </w:t>
      </w:r>
      <w:r>
        <w:rPr>
          <w:rFonts w:eastAsia="Consolas" w:cs="Consolas" w:ascii="Consolas" w:hAnsi="Consolas"/>
          <w:color w:val="101820"/>
          <w:sz w:val="19"/>
        </w:rPr>
        <w:t>underwriting.require_rule_fields</w:t>
      </w:r>
      <w:r>
        <w:rPr>
          <w:rFonts w:eastAsia="Segoe UI" w:cs="Segoe UI" w:ascii="Segoe UI" w:hAnsi="Segoe UI"/>
          <w:color w:val="101820"/>
          <w:sz w:val="21"/>
        </w:rPr>
        <w:t xml:space="preserve"> on, the server also refuses a quotation that lacks a detail an acceptance rule tests (for example a quotation created by upload).</w:t>
      </w:r>
    </w:p>
    <w:p>
      <w:pPr>
        <w:pStyle w:val="Heading2"/>
        <w:rPr/>
      </w:pPr>
      <w:bookmarkStart w:id="61" w:name="__RefHeading___Toc21639_17926050"/>
      <w:bookmarkEnd w:id="61"/>
      <w:r>
        <w:rPr>
          <w:rFonts w:eastAsia="Segoe UI" w:cs="Segoe UI"/>
          <w:b/>
          <w:color w:val="0F4761"/>
          <w:sz w:val="26"/>
        </w:rPr>
        <w:t>8.8  Quotations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w:t>
      </w:r>
      <w:r>
        <w:rPr>
          <w:rFonts w:eastAsia="Segoe UI" w:cs="Segoe UI" w:ascii="Segoe UI" w:hAnsi="Segoe UI"/>
          <w:b/>
          <w:color w:val="101820"/>
          <w:sz w:val="21"/>
        </w:rPr>
        <w:t>Pending Review</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(with the approval rate) and </w:t>
      </w:r>
      <w:r>
        <w:rPr>
          <w:rFonts w:eastAsia="Segoe UI" w:cs="Segoe UI" w:ascii="Segoe UI" w:hAnsi="Segoe UI"/>
          <w:b/>
          <w:color w:val="101820"/>
          <w:sz w:val="21"/>
        </w:rPr>
        <w:t>Converted to Policy</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8.8.1  Send the quotation and record the customer's response</w:t>
      </w:r>
    </w:p>
    <w:p>
      <w:pPr>
        <w:pStyle w:val="Normal"/>
        <w:shd w:val="clear" w:color="auto" w:fill="EAF2FB"/>
        <w:spacing w:before="0" w:after="160"/>
        <w:ind w:left="170"/>
        <w:rPr/>
      </w:pPr>
      <w:r>
        <w:rPr>
          <w:rFonts w:eastAsia="Segoe UI" w:cs="Segoe UI" w:ascii="Segoe UI" w:hAnsi="Segoe UI"/>
          <w:color w:val="101820"/>
          <w:sz w:val="20"/>
        </w:rPr>
        <w:t>[Screen image not available: Quotation Slip details of a quotation waiting for the customer]</w:t>
      </w:r>
    </w:p>
    <w:p>
      <w:pPr>
        <w:pStyle w:val="Normal"/>
        <w:numPr>
          <w:ilvl w:val="0"/>
          <w:numId w:val="240"/>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241"/>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242"/>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243"/>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Share Quote]</w:t>
      </w:r>
    </w:p>
    <w:p>
      <w:pPr>
        <w:pStyle w:val="Heading3"/>
        <w:rPr/>
      </w:pPr>
      <w:r>
        <w:rPr>
          <w:rFonts w:eastAsia="Segoe UI" w:cs="Segoe UI"/>
          <w:b/>
          <w:color w:val="0F4761"/>
          <w:sz w:val="23"/>
        </w:rPr>
        <w:t>8.8.2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244"/>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245"/>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246"/>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247"/>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62" w:name="__RefHeading___Toc21641_17926050"/>
      <w:bookmarkEnd w:id="62"/>
      <w:r>
        <w:rPr>
          <w:rFonts w:eastAsia="Segoe UI" w:cs="Segoe UI"/>
          <w:b/>
          <w:color w:val="0F4761"/>
          <w:sz w:val="26"/>
        </w:rPr>
        <w:t>8.9  Sales activities</w:t>
      </w:r>
    </w:p>
    <w:p>
      <w:pPr>
        <w:pStyle w:val="Normal"/>
        <w:spacing w:lineRule="auto" w:line="276" w:before="0" w:after="120"/>
        <w:rPr/>
      </w:pPr>
      <w:r>
        <w:rPr>
          <w:rFonts w:eastAsia="Segoe UI" w:cs="Segoe UI" w:ascii="Segoe UI" w:hAnsi="Segoe UI"/>
          <w:color w:val="101820"/>
          <w:sz w:val="21"/>
        </w:rPr>
        <w:t>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w:pPr>
        <w:pStyle w:val="Normal"/>
        <w:spacing w:lineRule="auto" w:line="276" w:before="0" w:after="120"/>
        <w:rPr/>
      </w:pPr>
      <w:r>
        <w:rPr>
          <w:rFonts w:eastAsia="Segoe UI" w:cs="Segoe UI" w:ascii="Segoe UI" w:hAnsi="Segoe UI"/>
          <w:color w:val="101820"/>
          <w:sz w:val="21"/>
        </w:rPr>
        <w:t>To log an activity:</w:t>
      </w:r>
    </w:p>
    <w:p>
      <w:pPr>
        <w:pStyle w:val="Normal"/>
        <w:numPr>
          <w:ilvl w:val="0"/>
          <w:numId w:val="248"/>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the client (Clients &gt; </w:t>
      </w:r>
      <w:r>
        <w:rPr>
          <w:rFonts w:eastAsia="Segoe UI" w:cs="Segoe UI" w:ascii="Segoe UI" w:hAnsi="Segoe UI"/>
          <w:b/>
          <w:color w:val="101820"/>
          <w:sz w:val="21"/>
        </w:rPr>
        <w:t>View</w:t>
      </w:r>
      <w:r>
        <w:rPr>
          <w:rFonts w:eastAsia="Segoe UI" w:cs="Segoe UI" w:ascii="Segoe UI" w:hAnsi="Segoe UI"/>
          <w:color w:val="101820"/>
          <w:sz w:val="21"/>
        </w:rPr>
        <w:t xml:space="preserve">) or the quotation (Quotations &gt; </w:t>
      </w:r>
      <w:r>
        <w:rPr>
          <w:rFonts w:eastAsia="Segoe UI" w:cs="Segoe UI" w:ascii="Segoe UI" w:hAnsi="Segoe UI"/>
          <w:b/>
          <w:color w:val="101820"/>
          <w:sz w:val="21"/>
        </w:rPr>
        <w:t>View Details</w:t>
      </w:r>
      <w:r>
        <w:rPr>
          <w:rFonts w:eastAsia="Segoe UI" w:cs="Segoe UI" w:ascii="Segoe UI" w:hAnsi="Segoe UI"/>
          <w:color w:val="101820"/>
          <w:sz w:val="21"/>
        </w:rPr>
        <w:t xml:space="preserve"> &gt; </w:t>
      </w:r>
      <w:r>
        <w:rPr>
          <w:rFonts w:eastAsia="Segoe UI" w:cs="Segoe UI" w:ascii="Segoe UI" w:hAnsi="Segoe UI"/>
          <w:b/>
          <w:color w:val="101820"/>
          <w:sz w:val="21"/>
        </w:rPr>
        <w:t>Activities</w:t>
      </w:r>
      <w:r>
        <w:rPr>
          <w:rFonts w:eastAsia="Segoe UI" w:cs="Segoe UI" w:ascii="Segoe UI" w:hAnsi="Segoe UI"/>
          <w:color w:val="101820"/>
          <w:sz w:val="21"/>
        </w:rPr>
        <w:t xml:space="preserve"> tab).</w:t>
      </w:r>
    </w:p>
    <w:p>
      <w:pPr>
        <w:pStyle w:val="Normal"/>
        <w:numPr>
          <w:ilvl w:val="0"/>
          <w:numId w:val="249"/>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Activities</w:t>
      </w:r>
      <w:r>
        <w:rPr>
          <w:rFonts w:eastAsia="Segoe UI" w:cs="Segoe UI" w:ascii="Segoe UI" w:hAnsi="Segoe UI"/>
          <w:color w:val="101820"/>
          <w:sz w:val="21"/>
        </w:rPr>
        <w:t xml:space="preserve">, select </w:t>
      </w:r>
      <w:r>
        <w:rPr>
          <w:rFonts w:eastAsia="Segoe UI" w:cs="Segoe UI" w:ascii="Segoe UI" w:hAnsi="Segoe UI"/>
          <w:b/>
          <w:color w:val="101820"/>
          <w:sz w:val="21"/>
        </w:rPr>
        <w:t>Log activity</w:t>
      </w:r>
      <w:r>
        <w:rPr>
          <w:rFonts w:eastAsia="Segoe UI" w:cs="Segoe UI" w:ascii="Segoe UI" w:hAnsi="Segoe UI"/>
          <w:color w:val="101820"/>
          <w:sz w:val="21"/>
        </w:rPr>
        <w:t>.</w:t>
      </w:r>
    </w:p>
    <w:p>
      <w:pPr>
        <w:pStyle w:val="Normal"/>
        <w:numPr>
          <w:ilvl w:val="0"/>
          <w:numId w:val="250"/>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Activity type</w:t>
      </w:r>
      <w:r>
        <w:rPr>
          <w:rFonts w:eastAsia="Segoe UI" w:cs="Segoe UI" w:ascii="Segoe UI" w:hAnsi="Segoe UI"/>
          <w:color w:val="101820"/>
          <w:sz w:val="21"/>
        </w:rPr>
        <w:t xml:space="preserve"> (phone call, meeting, client or site visit, e-mail, video call, SMS or chat message, proposal presentation) and the </w:t>
      </w:r>
      <w:r>
        <w:rPr>
          <w:rFonts w:eastAsia="Segoe UI" w:cs="Segoe UI" w:ascii="Segoe UI" w:hAnsi="Segoe UI"/>
          <w:b/>
          <w:color w:val="101820"/>
          <w:sz w:val="21"/>
        </w:rPr>
        <w:t>Date and time</w:t>
      </w:r>
      <w:r>
        <w:rPr>
          <w:rFonts w:eastAsia="Segoe UI" w:cs="Segoe UI" w:ascii="Segoe UI" w:hAnsi="Segoe UI"/>
          <w:color w:val="101820"/>
          <w:sz w:val="21"/>
        </w:rPr>
        <w:t xml:space="preserve"> it took place. The subject takes the type's name unless you enter one.</w:t>
      </w:r>
    </w:p>
    <w:p>
      <w:pPr>
        <w:pStyle w:val="Normal"/>
        <w:numPr>
          <w:ilvl w:val="0"/>
          <w:numId w:val="251"/>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Duration</w:t>
      </w:r>
      <w:r>
        <w:rPr>
          <w:rFonts w:eastAsia="Segoe UI" w:cs="Segoe UI" w:ascii="Segoe UI" w:hAnsi="Segoe UI"/>
          <w:color w:val="101820"/>
          <w:sz w:val="21"/>
        </w:rPr>
        <w:t xml:space="preserve">, </w:t>
      </w:r>
      <w:r>
        <w:rPr>
          <w:rFonts w:eastAsia="Segoe UI" w:cs="Segoe UI" w:ascii="Segoe UI" w:hAnsi="Segoe UI"/>
          <w:b/>
          <w:color w:val="101820"/>
          <w:sz w:val="21"/>
        </w:rPr>
        <w:t>Contact person</w:t>
      </w:r>
      <w:r>
        <w:rPr>
          <w:rFonts w:eastAsia="Segoe UI" w:cs="Segoe UI" w:ascii="Segoe UI" w:hAnsi="Segoe UI"/>
          <w:color w:val="101820"/>
          <w:sz w:val="21"/>
        </w:rPr>
        <w:t xml:space="preserve">, </w:t>
      </w:r>
      <w:r>
        <w:rPr>
          <w:rFonts w:eastAsia="Segoe UI" w:cs="Segoe UI" w:ascii="Segoe UI" w:hAnsi="Segoe UI"/>
          <w:b/>
          <w:color w:val="101820"/>
          <w:sz w:val="21"/>
        </w:rPr>
        <w:t>Location</w:t>
      </w:r>
      <w:r>
        <w:rPr>
          <w:rFonts w:eastAsia="Segoe UI" w:cs="Segoe UI" w:ascii="Segoe UI" w:hAnsi="Segoe UI"/>
          <w:color w:val="101820"/>
          <w:sz w:val="21"/>
        </w:rPr>
        <w:t xml:space="preserve"> and </w:t>
      </w:r>
      <w:r>
        <w:rPr>
          <w:rFonts w:eastAsia="Segoe UI" w:cs="Segoe UI" w:ascii="Segoe UI" w:hAnsi="Segoe UI"/>
          <w:b/>
          <w:color w:val="101820"/>
          <w:sz w:val="21"/>
        </w:rPr>
        <w:t>Notes</w:t>
      </w:r>
      <w:r>
        <w:rPr>
          <w:rFonts w:eastAsia="Segoe UI" w:cs="Segoe UI" w:ascii="Segoe UI" w:hAnsi="Segoe UI"/>
          <w:color w:val="101820"/>
          <w:sz w:val="21"/>
        </w:rPr>
        <w:t xml:space="preserve"> as needed, and the </w:t>
      </w:r>
      <w:r>
        <w:rPr>
          <w:rFonts w:eastAsia="Segoe UI" w:cs="Segoe UI" w:ascii="Segoe UI" w:hAnsi="Segoe UI"/>
          <w:b/>
          <w:color w:val="101820"/>
          <w:sz w:val="21"/>
        </w:rPr>
        <w:t>Outcome</w:t>
      </w:r>
      <w:r>
        <w:rPr>
          <w:rFonts w:eastAsia="Segoe UI" w:cs="Segoe UI" w:ascii="Segoe UI" w:hAnsi="Segoe UI"/>
          <w:color w:val="101820"/>
          <w:sz w:val="21"/>
        </w:rPr>
        <w:t xml:space="preserve"> (interested, documents requested, quotation presented, accepted, call back, no answer, not interested, placed elsewhere).</w:t>
      </w:r>
    </w:p>
    <w:p>
      <w:pPr>
        <w:pStyle w:val="Normal"/>
        <w:numPr>
          <w:ilvl w:val="0"/>
          <w:numId w:val="252"/>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Next step</w:t>
      </w:r>
      <w:r>
        <w:rPr>
          <w:rFonts w:eastAsia="Segoe UI" w:cs="Segoe UI" w:ascii="Segoe UI" w:hAnsi="Segoe UI"/>
          <w:color w:val="101820"/>
          <w:sz w:val="21"/>
        </w:rPr>
        <w:t xml:space="preserve"> and its </w:t>
      </w:r>
      <w:r>
        <w:rPr>
          <w:rFonts w:eastAsia="Segoe UI" w:cs="Segoe UI" w:ascii="Segoe UI" w:hAnsi="Segoe UI"/>
          <w:b/>
          <w:color w:val="101820"/>
          <w:sz w:val="21"/>
        </w:rPr>
        <w:t>Next step date</w:t>
      </w:r>
      <w:r>
        <w:rPr>
          <w:rFonts w:eastAsia="Segoe UI" w:cs="Segoe UI" w:ascii="Segoe UI" w:hAnsi="Segoe UI"/>
          <w:color w:val="101820"/>
          <w:sz w:val="21"/>
        </w:rPr>
        <w:t xml:space="preserve"> (the date proposed is the type's default days to the next step). Select </w:t>
      </w:r>
      <w:r>
        <w:rPr>
          <w:rFonts w:eastAsia="Segoe UI" w:cs="Segoe UI" w:ascii="Segoe UI" w:hAnsi="Segoe UI"/>
          <w:b/>
          <w:color w:val="101820"/>
          <w:sz w:val="21"/>
        </w:rPr>
        <w:t>Save</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activity is logged once it has taken place, up to </w:t>
            </w:r>
            <w:r>
              <w:rPr>
                <w:rFonts w:eastAsia="Consolas" w:cs="Consolas" w:ascii="Consolas" w:hAnsi="Consolas"/>
                <w:color w:val="101820"/>
                <w:kern w:val="0"/>
                <w:sz w:val="16"/>
                <w:szCs w:val="24"/>
                <w:lang w:val="en-US" w:eastAsia="ja-JP" w:bidi="ar-SA"/>
              </w:rPr>
              <w:t>sales_activities.backdate_days</w:t>
            </w:r>
            <w:r>
              <w:rPr>
                <w:rFonts w:eastAsia="Segoe UI" w:cs="Segoe UI" w:ascii="Segoe UI" w:hAnsi="Segoe UI"/>
                <w:color w:val="101820"/>
                <w:kern w:val="0"/>
                <w:sz w:val="18"/>
                <w:szCs w:val="24"/>
                <w:lang w:val="en-US" w:eastAsia="ja-JP" w:bidi="ar-SA"/>
              </w:rPr>
              <w:t xml:space="preserve"> (30) days back.</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step</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next step with a date becomes a follow-up task in the account executive's My Work (source Sales activity next step), due on that date, with the usual reminder. A next step date needs the next step text; </w:t>
            </w:r>
            <w:r>
              <w:rPr>
                <w:rFonts w:eastAsia="Consolas" w:cs="Consolas" w:ascii="Consolas" w:hAnsi="Consolas"/>
                <w:color w:val="101820"/>
                <w:kern w:val="0"/>
                <w:sz w:val="16"/>
                <w:szCs w:val="24"/>
                <w:lang w:val="en-US" w:eastAsia="ja-JP" w:bidi="ar-SA"/>
              </w:rPr>
              <w:t>sales_activities.next_step_required</w:t>
            </w:r>
            <w:r>
              <w:rPr>
                <w:rFonts w:eastAsia="Segoe UI" w:cs="Segoe UI" w:ascii="Segoe UI" w:hAnsi="Segoe UI"/>
                <w:color w:val="101820"/>
                <w:kern w:val="0"/>
                <w:sz w:val="18"/>
                <w:szCs w:val="24"/>
                <w:lang w:val="en-US" w:eastAsia="ja-JP" w:bidi="ar-SA"/>
              </w:rPr>
              <w:t xml:space="preserve"> makes both compulsory.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Later activity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activity logged on the same record completes the open follow-up of the earlier activity (</w:t>
            </w:r>
            <w:r>
              <w:rPr>
                <w:rFonts w:eastAsia="Consolas" w:cs="Consolas" w:ascii="Consolas" w:hAnsi="Consolas"/>
                <w:color w:val="101820"/>
                <w:kern w:val="0"/>
                <w:sz w:val="16"/>
                <w:szCs w:val="24"/>
                <w:lang w:val="en-US" w:eastAsia="ja-JP" w:bidi="ar-SA"/>
              </w:rPr>
              <w:t>sales_activities.close_previous_follow_up</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or cancel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pencil changes an activity (a new next step date moves its task); the cross cancels an activity logged in error with a reason, and cancels its open task. Only the account executive, who logged it or their manager can do this.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status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prospect becomes Contacted with its first activity.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and Operations log activities (write:sales-activities); the Processing Team reads them; a scoped role sees only its own book.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follow-up task priority is </w:t>
      </w:r>
      <w:r>
        <w:rPr>
          <w:rFonts w:eastAsia="Consolas" w:cs="Consolas" w:ascii="Consolas" w:hAnsi="Consolas"/>
          <w:color w:val="101820"/>
          <w:sz w:val="19"/>
        </w:rPr>
        <w:t>sales_activities.follow_up_priority</w:t>
      </w:r>
      <w:r>
        <w:rPr>
          <w:rFonts w:eastAsia="Segoe UI" w:cs="Segoe UI" w:ascii="Segoe UI" w:hAnsi="Segoe UI"/>
          <w:color w:val="101820"/>
          <w:sz w:val="21"/>
        </w:rPr>
        <w:t xml:space="preserve"> (normal). The activity types (channel and default days to the next step) and outcomes (positive, neutral or negative, used by the report) are kept by the System Administrator on Master &gt; Organization &gt; </w:t>
      </w:r>
      <w:r>
        <w:rPr>
          <w:rFonts w:eastAsia="Segoe UI" w:cs="Segoe UI" w:ascii="Segoe UI" w:hAnsi="Segoe UI"/>
          <w:b/>
          <w:color w:val="101820"/>
          <w:sz w:val="21"/>
        </w:rPr>
        <w:t>Sales Activity Types</w:t>
      </w:r>
      <w:r>
        <w:rPr>
          <w:rFonts w:eastAsia="Segoe UI" w:cs="Segoe UI" w:ascii="Segoe UI" w:hAnsi="Segoe UI"/>
          <w:color w:val="101820"/>
          <w:sz w:val="21"/>
        </w:rPr>
        <w:t xml:space="preserve"> and </w:t>
      </w:r>
      <w:r>
        <w:rPr>
          <w:rFonts w:eastAsia="Segoe UI" w:cs="Segoe UI" w:ascii="Segoe UI" w:hAnsi="Segoe UI"/>
          <w:b/>
          <w:color w:val="101820"/>
          <w:sz w:val="21"/>
        </w:rPr>
        <w:t>Sales Activity Outcomes</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Operations &gt; Sales &amp; Marketing &gt; Sales Activities]</w:t>
      </w:r>
    </w:p>
    <w:p>
      <w:pPr>
        <w:pStyle w:val="Normal"/>
        <w:spacing w:lineRule="auto" w:line="276" w:before="0" w:after="120"/>
        <w:rPr/>
      </w:pPr>
      <w:r>
        <w:rPr>
          <w:rFonts w:eastAsia="Segoe UI" w:cs="Segoe UI" w:ascii="Segoe UI" w:hAnsi="Segoe UI"/>
          <w:color w:val="101820"/>
          <w:sz w:val="21"/>
        </w:rPr>
        <w:t xml:space="preserve">Operations &gt; Sales &amp; Marketing &gt; </w:t>
      </w:r>
      <w:r>
        <w:rPr>
          <w:rFonts w:eastAsia="Segoe UI" w:cs="Segoe UI" w:ascii="Segoe UI" w:hAnsi="Segoe UI"/>
          <w:b/>
          <w:color w:val="101820"/>
          <w:sz w:val="21"/>
        </w:rPr>
        <w:t>Sales Activities</w:t>
      </w:r>
      <w:r>
        <w:rPr>
          <w:rFonts w:eastAsia="Segoe UI" w:cs="Segoe UI" w:ascii="Segoe UI" w:hAnsi="Segoe UI"/>
          <w:color w:val="101820"/>
          <w:sz w:val="21"/>
        </w:rPr>
        <w:t xml:space="preserve"> lists the activities of a period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with filters for the account executive, type and outcome and a search; select a row to open the prospect, client or quotation. The </w:t>
      </w:r>
      <w:r>
        <w:rPr>
          <w:rFonts w:eastAsia="Segoe UI" w:cs="Segoe UI" w:ascii="Segoe UI" w:hAnsi="Segoe UI"/>
          <w:b/>
          <w:color w:val="101820"/>
          <w:sz w:val="21"/>
        </w:rPr>
        <w:t>Activity Report</w:t>
      </w:r>
      <w:r>
        <w:rPr>
          <w:rFonts w:eastAsia="Segoe UI" w:cs="Segoe UI" w:ascii="Segoe UI" w:hAnsi="Segoe UI"/>
          <w:color w:val="101820"/>
          <w:sz w:val="21"/>
        </w:rPr>
        <w:t xml:space="preserve"> tab sums, per account executive, the activities by channel (calls, meetings, e-mails, visits), the prospects, clients and quotations worked, the positive outcomes, the next steps set and their follow-ups done, open and overdue, with the totals by activity type and by outcome.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list or the report.</w:t>
      </w:r>
    </w:p>
    <w:p>
      <w:pPr>
        <w:pStyle w:val="Heading2"/>
        <w:rPr/>
      </w:pPr>
      <w:bookmarkStart w:id="63" w:name="__RefHeading___Toc21643_17926050"/>
      <w:bookmarkEnd w:id="63"/>
      <w:r>
        <w:rPr>
          <w:rFonts w:eastAsia="Segoe UI" w:cs="Segoe UI"/>
          <w:b/>
          <w:color w:val="0F4761"/>
          <w:sz w:val="26"/>
        </w:rPr>
        <w:t>8.10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64" w:name="__RefHeading___Toc21645_17926050"/>
      <w:bookmarkEnd w:id="64"/>
      <w:r>
        <w:rPr>
          <w:rFonts w:eastAsia="Segoe UI" w:cs="Segoe UI"/>
          <w:b/>
          <w:color w:val="0F4761"/>
          <w:sz w:val="26"/>
        </w:rPr>
        <w:t>8.11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shd w:val="clear" w:color="auto" w:fill="EAF2FB"/>
        <w:spacing w:before="0" w:after="160"/>
        <w:ind w:left="170"/>
        <w:rPr/>
      </w:pPr>
      <w:r>
        <w:rPr>
          <w:rFonts w:eastAsia="Segoe UI" w:cs="Segoe UI" w:ascii="Segoe UI" w:hAnsi="Segoe UI"/>
          <w:color w:val="101820"/>
          <w:sz w:val="20"/>
        </w:rPr>
        <w:t>[Screen image not available: Payment Confirmation: How does the client pay?]</w:t>
      </w:r>
    </w:p>
    <w:p>
      <w:pPr>
        <w:pStyle w:val="Normal"/>
        <w:numPr>
          <w:ilvl w:val="0"/>
          <w:numId w:val="253"/>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254"/>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25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256"/>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25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65" w:name="__RefHeading___Toc21647_17926050"/>
      <w:bookmarkEnd w:id="65"/>
      <w:r>
        <w:rPr>
          <w:rFonts w:eastAsia="Segoe UI" w:cs="Segoe UI"/>
          <w:b/>
          <w:color w:val="0F4761"/>
          <w:sz w:val="26"/>
        </w:rPr>
        <w:t>8.12  Policies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search box finds a policy by number or client.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eye on a row (</w:t>
      </w:r>
      <w:r>
        <w:rPr>
          <w:rFonts w:eastAsia="Segoe UI" w:cs="Segoe UI" w:ascii="Segoe UI" w:hAnsi="Segoe UI"/>
          <w:b/>
          <w:color w:val="101820"/>
          <w:sz w:val="21"/>
        </w:rPr>
        <w:t>View policy</w:t>
      </w:r>
      <w:r>
        <w:rPr>
          <w:rFonts w:eastAsia="Segoe UI" w:cs="Segoe UI" w:ascii="Segoe UI" w:hAnsi="Segoe UI"/>
          <w:color w:val="101820"/>
          <w:sz w:val="21"/>
        </w:rPr>
        <w:t>) opens the policy; the three dots (</w:t>
      </w:r>
      <w:r>
        <w:rPr>
          <w:rFonts w:eastAsia="Segoe UI" w:cs="Segoe UI" w:ascii="Segoe UI" w:hAnsi="Segoe UI"/>
          <w:b/>
          <w:color w:val="101820"/>
          <w:sz w:val="21"/>
        </w:rPr>
        <w:t>More actions</w:t>
      </w:r>
      <w:r>
        <w:rPr>
          <w:rFonts w:eastAsia="Segoe UI" w:cs="Segoe UI" w:ascii="Segoe UI" w:hAnsi="Segoe UI"/>
          <w:color w:val="101820"/>
          <w:sz w:val="21"/>
        </w:rPr>
        <w:t xml:space="preserve">) open </w:t>
      </w:r>
      <w:r>
        <w:rPr>
          <w:rFonts w:eastAsia="Segoe UI" w:cs="Segoe UI" w:ascii="Segoe UI" w:hAnsi="Segoe UI"/>
          <w:b/>
          <w:color w:val="101820"/>
          <w:sz w:val="21"/>
        </w:rPr>
        <w:t>Claim</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Both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shd w:val="clear" w:color="auto" w:fill="EAF2FB"/>
        <w:spacing w:before="0" w:after="160"/>
        <w:ind w:left="170"/>
        <w:rPr/>
      </w:pPr>
      <w:r>
        <w:rPr>
          <w:rFonts w:eastAsia="Segoe UI" w:cs="Segoe UI" w:ascii="Segoe UI" w:hAnsi="Segoe UI"/>
          <w:color w:val="101820"/>
          <w:sz w:val="20"/>
        </w:rPr>
        <w:t>[Screen image not available: More actions on a policy row]</w:t>
      </w:r>
    </w:p>
    <w:p>
      <w:pPr>
        <w:pStyle w:val="Normal"/>
        <w:shd w:val="clear" w:color="auto" w:fill="EAF2FB"/>
        <w:spacing w:before="0" w:after="160"/>
        <w:ind w:left="170"/>
        <w:rPr/>
      </w:pPr>
      <w:r>
        <w:rPr>
          <w:rFonts w:eastAsia="Segoe UI" w:cs="Segoe UI" w:ascii="Segoe UI" w:hAnsi="Segoe UI"/>
          <w:color w:val="101820"/>
          <w:sz w:val="20"/>
        </w:rPr>
        <w:t>[Screen image not available: 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66" w:name="__RefHeading___Toc21649_17926050"/>
      <w:bookmarkEnd w:id="66"/>
      <w:r>
        <w:rPr>
          <w:rFonts w:eastAsia="Segoe UI" w:cs="Segoe UI"/>
          <w:b/>
          <w:color w:val="0F4761"/>
          <w:sz w:val="26"/>
        </w:rPr>
        <w:t>8.13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My Work</w:t>
      </w:r>
      <w:r>
        <w:rPr>
          <w:rFonts w:eastAsia="Segoe UI" w:cs="Segoe UI" w:ascii="Segoe UI" w:hAnsi="Segoe UI"/>
          <w:color w:val="101820"/>
          <w:sz w:val="21"/>
        </w:rPr>
        <w:t xml:space="preserve"> shows your daily worklist (quotations, renewals, premiums due, collection follow-ups, claims, approvals and your tasks);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67" w:name="__RefHeading___Toc21651_17926050"/>
      <w:bookmarkEnd w:id="67"/>
      <w:r>
        <w:rPr>
          <w:rFonts w:eastAsia="Segoe UI" w:cs="Segoe UI"/>
          <w:b/>
          <w:color w:val="0F4761"/>
          <w:sz w:val="26"/>
        </w:rPr>
        <w:t>8.14  Commission and reports</w:t>
      </w:r>
    </w:p>
    <w:p>
      <w:pPr>
        <w:pStyle w:val="Normal"/>
        <w:shd w:val="clear" w:color="auto" w:fill="EAF2FB"/>
        <w:spacing w:before="0" w:after="160"/>
        <w:ind w:left="170"/>
        <w:rPr/>
      </w:pPr>
      <w:r>
        <w:rPr>
          <w:rFonts w:eastAsia="Segoe UI" w:cs="Segoe UI" w:ascii="Segoe UI" w:hAnsi="Segoe UI"/>
          <w:color w:val="101820"/>
          <w:sz w:val="20"/>
        </w:rPr>
        <w:t>[Screen image not available: 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Reports &gt; Report Builder answers ad hoc questions over the policies, clients, bills, claims and commissions of your own book (chapter Distribution, programmes and products);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68" w:name="__RefHeading___Toc21653_17926050"/>
      <w:bookmarkEnd w:id="68"/>
      <w:r>
        <w:rPr>
          <w:rFonts w:eastAsia="Segoe UI" w:cs="Segoe UI"/>
          <w:b/>
          <w:color w:val="0F4761"/>
          <w:sz w:val="26"/>
        </w:rPr>
        <w:t>8.15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69" w:name="__RefHeading___Toc21655_17926050"/>
      <w:bookmarkEnd w:id="69"/>
      <w:r>
        <w:rPr>
          <w:rFonts w:eastAsia="Segoe UI" w:cs="Segoe UI" w:ascii="Segoe UI" w:hAnsi="Segoe UI"/>
          <w:b/>
          <w:color w:val="0F4761"/>
          <w:sz w:val="32"/>
        </w:rPr>
        <w:t>9.  Processing Team</w:t>
      </w:r>
    </w:p>
    <w:p>
      <w:pPr>
        <w:pStyle w:val="Heading2"/>
        <w:rPr/>
      </w:pPr>
      <w:bookmarkStart w:id="70" w:name="__RefHeading___Toc21657_17926050"/>
      <w:bookmarkEnd w:id="70"/>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and maintains the product templates and the motor tariff.</w:t>
      </w:r>
    </w:p>
    <w:p>
      <w:pPr>
        <w:pStyle w:val="Normal"/>
        <w:shd w:val="clear" w:color="auto" w:fill="EAF2FB"/>
        <w:spacing w:before="0" w:after="160"/>
        <w:ind w:left="170"/>
        <w:rPr/>
      </w:pPr>
      <w:r>
        <w:rPr>
          <w:rFonts w:eastAsia="Segoe UI" w:cs="Segoe UI" w:ascii="Segoe UI" w:hAnsi="Segoe UI"/>
          <w:color w:val="101820"/>
          <w:sz w:val="20"/>
        </w:rPr>
        <w:t>[Screen image not available: Processing Dashboard (Processing Workbench)]</w:t>
      </w:r>
    </w:p>
    <w:p>
      <w:pPr>
        <w:pStyle w:val="Heading2"/>
        <w:rPr/>
      </w:pPr>
      <w:bookmarkStart w:id="71" w:name="__RefHeading___Toc21659_17926050"/>
      <w:bookmarkEnd w:id="71"/>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Dealer Programmes, Comparison Reports, Sales Activities); Clients; Policy; Fleet Schedules; Marine Open Covers; Claims; Renewals (all items);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and their sales activities but does not create them, and has no Quick Quote: Quick Quote creates prospects and quotations, which is Sales and Operations work. Dealer Programmes, Comparison Reports, Fleet Schedules, Marine Open Covers are described in the chapter Distribution, programmes and products.</w:t>
      </w:r>
    </w:p>
    <w:p>
      <w:pPr>
        <w:pStyle w:val="Heading2"/>
        <w:rPr/>
      </w:pPr>
      <w:bookmarkStart w:id="72" w:name="__RefHeading___Toc21661_17926050"/>
      <w:bookmarkEnd w:id="72"/>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5"/>
        <w:gridCol w:w="3829"/>
        <w:gridCol w:w="3830"/>
      </w:tblGrid>
      <w:tr>
        <w:trPr>
          <w:tblHeader w:val="true"/>
        </w:trPr>
        <w:tc>
          <w:tcPr>
            <w:tcW w:w="1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a cover note while the insurer issues the policy; issue a fleet schedule or a marine open cover</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Cover Notes, Fleet Schedules, Marine Open Covers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73" w:name="__RefHeading___Toc21663_17926050"/>
      <w:bookmarkEnd w:id="73"/>
      <w:r>
        <w:rPr>
          <w:rFonts w:eastAsia="Segoe UI" w:cs="Segoe UI"/>
          <w:b/>
          <w:color w:val="0F4761"/>
          <w:sz w:val="26"/>
        </w:rPr>
        <w:t>9.4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74" w:name="__RefHeading___Toc21665_17926050"/>
      <w:bookmarkEnd w:id="74"/>
      <w:r>
        <w:rPr>
          <w:rFonts w:eastAsia="Segoe UI" w:cs="Segoe UI"/>
          <w:b/>
          <w:color w:val="0F4761"/>
          <w:sz w:val="26"/>
        </w:rPr>
        <w:t>9.5  Requests for quotation (broker slips)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9.5.1  Create a request for quotation</w:t>
      </w:r>
    </w:p>
    <w:p>
      <w:pPr>
        <w:pStyle w:val="Normal"/>
        <w:shd w:val="clear" w:color="auto" w:fill="EAF2FB"/>
        <w:spacing w:before="0" w:after="160"/>
        <w:ind w:left="170"/>
        <w:rPr/>
      </w:pPr>
      <w:r>
        <w:rPr>
          <w:rFonts w:eastAsia="Segoe UI" w:cs="Segoe UI" w:ascii="Segoe UI" w:hAnsi="Segoe UI"/>
          <w:color w:val="101820"/>
          <w:sz w:val="20"/>
        </w:rPr>
        <w:t>[Screen image not available: New Request for Quotation (Broker Slip)]</w:t>
      </w:r>
    </w:p>
    <w:p>
      <w:pPr>
        <w:pStyle w:val="Normal"/>
        <w:numPr>
          <w:ilvl w:val="0"/>
          <w:numId w:val="25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25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260"/>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26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26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26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264"/>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2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9.5.2  Record the insurers' answers</w:t>
      </w:r>
    </w:p>
    <w:p>
      <w:pPr>
        <w:pStyle w:val="Normal"/>
        <w:shd w:val="clear" w:color="auto" w:fill="EAF2FB"/>
        <w:spacing w:before="0" w:after="160"/>
        <w:ind w:left="170"/>
        <w:rPr/>
      </w:pPr>
      <w:r>
        <w:rPr>
          <w:rFonts w:eastAsia="Segoe UI" w:cs="Segoe UI" w:ascii="Segoe UI" w:hAnsi="Segoe UI"/>
          <w:color w:val="101820"/>
          <w:sz w:val="20"/>
        </w:rPr>
        <w:t>[Screen image not available: 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266"/>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267"/>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268"/>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269"/>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27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9.5.3  Compare the offers and choose the security</w:t>
      </w:r>
    </w:p>
    <w:p>
      <w:pPr>
        <w:pStyle w:val="Normal"/>
        <w:shd w:val="clear" w:color="auto" w:fill="EAF2FB"/>
        <w:spacing w:before="0" w:after="160"/>
        <w:ind w:left="170"/>
        <w:rPr/>
      </w:pPr>
      <w:r>
        <w:rPr>
          <w:rFonts w:eastAsia="Segoe UI" w:cs="Segoe UI" w:ascii="Segoe UI" w:hAnsi="Segoe UI"/>
          <w:color w:val="101820"/>
          <w:sz w:val="20"/>
        </w:rPr>
        <w:t>[Screen image not available: 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271"/>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27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27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27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shd w:val="clear" w:color="auto" w:fill="EAF2FB"/>
        <w:spacing w:before="0" w:after="160"/>
        <w:ind w:left="170"/>
        <w:rPr/>
      </w:pPr>
      <w:r>
        <w:rPr>
          <w:rFonts w:eastAsia="Segoe UI" w:cs="Segoe UI" w:ascii="Segoe UI" w:hAnsi="Segoe UI"/>
          <w:color w:val="101820"/>
          <w:sz w:val="20"/>
        </w:rPr>
        <w:t>[Screen image not available: Risk and covers]</w:t>
      </w:r>
    </w:p>
    <w:p>
      <w:pPr>
        <w:pStyle w:val="Heading2"/>
        <w:rPr/>
      </w:pPr>
      <w:bookmarkStart w:id="75" w:name="__RefHeading___Toc21667_17926050"/>
      <w:bookmarkEnd w:id="75"/>
      <w:r>
        <w:rPr>
          <w:rFonts w:eastAsia="Segoe UI" w:cs="Segoe UI"/>
          <w:b/>
          <w:color w:val="0F4761"/>
          <w:sz w:val="26"/>
        </w:rPr>
        <w:t>9.6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shd w:val="clear" w:color="auto" w:fill="EAF2FB"/>
        <w:spacing w:before="0" w:after="160"/>
        <w:ind w:left="170"/>
        <w:rPr/>
      </w:pPr>
      <w:r>
        <w:rPr>
          <w:rFonts w:eastAsia="Segoe UI" w:cs="Segoe UI" w:ascii="Segoe UI" w:hAnsi="Segoe UI"/>
          <w:color w:val="101820"/>
          <w:sz w:val="20"/>
        </w:rPr>
        <w:t>[Screen image not available: A Quotation Slip converted to a policy, with its placement journey]</w:t>
      </w:r>
    </w:p>
    <w:p>
      <w:pPr>
        <w:pStyle w:val="Heading2"/>
        <w:rPr/>
      </w:pPr>
      <w:bookmarkStart w:id="76" w:name="__RefHeading___Toc21669_17926050"/>
      <w:bookmarkEnd w:id="76"/>
      <w:r>
        <w:rPr>
          <w:rFonts w:eastAsia="Segoe UI" w:cs="Segoe UI"/>
          <w:b/>
          <w:color w:val="0F4761"/>
          <w:sz w:val="26"/>
        </w:rPr>
        <w:t>9.7  Placement Slips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9.7.1  Create a direct placement</w:t>
      </w:r>
    </w:p>
    <w:p>
      <w:pPr>
        <w:pStyle w:val="Normal"/>
        <w:shd w:val="clear" w:color="auto" w:fill="EAF2FB"/>
        <w:spacing w:before="0" w:after="160"/>
        <w:ind w:left="170"/>
        <w:rPr/>
      </w:pPr>
      <w:r>
        <w:rPr>
          <w:rFonts w:eastAsia="Segoe UI" w:cs="Segoe UI" w:ascii="Segoe UI" w:hAnsi="Segoe UI"/>
          <w:color w:val="101820"/>
          <w:sz w:val="20"/>
        </w:rPr>
        <w:t>[Screen image not available: Direct Placement]</w:t>
      </w:r>
    </w:p>
    <w:p>
      <w:pPr>
        <w:pStyle w:val="Normal"/>
        <w:numPr>
          <w:ilvl w:val="0"/>
          <w:numId w:val="27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276"/>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27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27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2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9.7.2  Send the firm order and record confirmations</w:t>
      </w:r>
    </w:p>
    <w:p>
      <w:pPr>
        <w:pStyle w:val="Normal"/>
        <w:shd w:val="clear" w:color="auto" w:fill="EAF2FB"/>
        <w:spacing w:before="0" w:after="160"/>
        <w:ind w:left="170"/>
        <w:rPr/>
      </w:pPr>
      <w:r>
        <w:rPr>
          <w:rFonts w:eastAsia="Segoe UI" w:cs="Segoe UI" w:ascii="Segoe UI" w:hAnsi="Segoe UI"/>
          <w:color w:val="101820"/>
          <w:sz w:val="20"/>
        </w:rPr>
        <w:t>[Screen image not available: Placement Slip PS-2026-00023 with its security, premium and summary]</w:t>
      </w:r>
    </w:p>
    <w:p>
      <w:pPr>
        <w:pStyle w:val="Normal"/>
        <w:numPr>
          <w:ilvl w:val="0"/>
          <w:numId w:val="280"/>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28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282"/>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283"/>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9.7.3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77" w:name="__RefHeading___Toc21671_17926050"/>
      <w:bookmarkEnd w:id="77"/>
      <w:r>
        <w:rPr>
          <w:rFonts w:eastAsia="Segoe UI" w:cs="Segoe UI"/>
          <w:b/>
          <w:color w:val="0F4761"/>
          <w:sz w:val="26"/>
        </w:rPr>
        <w:t>9.8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shd w:val="clear" w:color="auto" w:fill="EAF2FB"/>
        <w:spacing w:before="0" w:after="160"/>
        <w:ind w:left="170"/>
        <w:rPr/>
      </w:pPr>
      <w:r>
        <w:rPr>
          <w:rFonts w:eastAsia="Segoe UI" w:cs="Segoe UI" w:ascii="Segoe UI" w:hAnsi="Segoe UI"/>
          <w:color w:val="101820"/>
          <w:sz w:val="20"/>
        </w:rPr>
        <w:t>[Screen image not available: Record Issued Policy]</w:t>
      </w:r>
    </w:p>
    <w:p>
      <w:pPr>
        <w:pStyle w:val="Normal"/>
        <w:numPr>
          <w:ilvl w:val="0"/>
          <w:numId w:val="284"/>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285"/>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28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28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2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78" w:name="__RefHeading___Toc21673_17926050"/>
      <w:bookmarkEnd w:id="78"/>
      <w:r>
        <w:rPr>
          <w:rFonts w:eastAsia="Segoe UI" w:cs="Segoe UI"/>
          <w:b/>
          <w:color w:val="0F4761"/>
          <w:sz w:val="26"/>
        </w:rPr>
        <w:t>9.9  Co-insured policies and premium accounting entries</w:t>
      </w:r>
    </w:p>
    <w:p>
      <w:pPr>
        <w:pStyle w:val="Normal"/>
        <w:shd w:val="clear" w:color="auto" w:fill="EAF2FB"/>
        <w:spacing w:before="0" w:after="160"/>
        <w:ind w:left="170"/>
        <w:rPr/>
      </w:pPr>
      <w:r>
        <w:rPr>
          <w:rFonts w:eastAsia="Segoe UI" w:cs="Segoe UI" w:ascii="Segoe UI" w:hAnsi="Segoe UI"/>
          <w:color w:val="101820"/>
          <w:sz w:val="20"/>
        </w:rPr>
        <w:t>[Screen image not available: Policy POL-2026-00052: a co-insured fire policy]</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of a co-insured policy shows </w:t>
      </w:r>
      <w:r>
        <w:rPr>
          <w:rFonts w:eastAsia="Segoe UI" w:cs="Segoe UI" w:ascii="Segoe UI" w:hAnsi="Segoe UI"/>
          <w:b/>
          <w:color w:val="101820"/>
          <w:sz w:val="21"/>
        </w:rPr>
        <w:t>CO-INSURANCE DETAILS</w:t>
      </w:r>
      <w:r>
        <w:rPr>
          <w:rFonts w:eastAsia="Segoe UI" w:cs="Segoe UI" w:ascii="Segoe UI" w:hAnsi="Segoe UI"/>
          <w:color w:val="101820"/>
          <w:sz w:val="21"/>
        </w:rPr>
        <w:t xml:space="preserve">: each insurer with </w:t>
      </w:r>
      <w:r>
        <w:rPr>
          <w:rFonts w:eastAsia="Segoe UI" w:cs="Segoe UI" w:ascii="Segoe UI" w:hAnsi="Segoe UI"/>
          <w:b/>
          <w:color w:val="101820"/>
          <w:sz w:val="21"/>
        </w:rPr>
        <w:t>Insurer share (%)</w:t>
      </w:r>
      <w:r>
        <w:rPr>
          <w:rFonts w:eastAsia="Segoe UI" w:cs="Segoe UI" w:ascii="Segoe UI" w:hAnsi="Segoe UI"/>
          <w:color w:val="101820"/>
          <w:sz w:val="21"/>
        </w:rPr>
        <w:t xml:space="preserve">, </w:t>
      </w:r>
      <w:r>
        <w:rPr>
          <w:rFonts w:eastAsia="Segoe UI" w:cs="Segoe UI" w:ascii="Segoe UI" w:hAnsi="Segoe UI"/>
          <w:b/>
          <w:color w:val="101820"/>
          <w:sz w:val="21"/>
        </w:rPr>
        <w:t>Premium allocation (LC)</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and the total. The placement slip of the policy shows each participant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shd w:val="clear" w:color="auto" w:fill="EAF2FB"/>
        <w:spacing w:before="0" w:after="160"/>
        <w:ind w:left="170"/>
        <w:rPr/>
      </w:pPr>
      <w:r>
        <w:rPr>
          <w:rFonts w:eastAsia="Segoe UI" w:cs="Segoe UI" w:ascii="Segoe UI" w:hAnsi="Segoe UI"/>
          <w:color w:val="101820"/>
          <w:sz w:val="20"/>
        </w:rPr>
        <w:t>[Screen image not available: Premium Accounting Entries of a co-insured policy]</w:t>
      </w:r>
    </w:p>
    <w:p>
      <w:pPr>
        <w:pStyle w:val="Heading2"/>
        <w:rPr/>
      </w:pPr>
      <w:bookmarkStart w:id="79" w:name="__RefHeading___Toc21675_17926050"/>
      <w:bookmarkEnd w:id="79"/>
      <w:r>
        <w:rPr>
          <w:rFonts w:eastAsia="Segoe UI" w:cs="Segoe UI"/>
          <w:b/>
          <w:color w:val="0F4761"/>
          <w:sz w:val="26"/>
        </w:rPr>
        <w:t>9.10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289"/>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29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291"/>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80" w:name="__RefHeading___Toc21677_17926050"/>
      <w:bookmarkEnd w:id="80"/>
      <w:r>
        <w:rPr>
          <w:rFonts w:eastAsia="Segoe UI" w:cs="Segoe UI"/>
          <w:b/>
          <w:color w:val="0F4761"/>
          <w:sz w:val="26"/>
        </w:rPr>
        <w:t>9.11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81" w:name="__RefHeading___Toc21679_17926050"/>
      <w:bookmarkEnd w:id="81"/>
      <w:r>
        <w:rPr>
          <w:rFonts w:eastAsia="Segoe UI" w:cs="Segoe UI"/>
          <w:b/>
          <w:color w:val="0F4761"/>
          <w:sz w:val="26"/>
        </w:rPr>
        <w:t>9.12  Product Configurator</w:t>
      </w:r>
    </w:p>
    <w:p>
      <w:pPr>
        <w:pStyle w:val="Normal"/>
        <w:shd w:val="clear" w:color="auto" w:fill="EAF2FB"/>
        <w:spacing w:before="0" w:after="160"/>
        <w:ind w:left="170"/>
        <w:rPr/>
      </w:pPr>
      <w:r>
        <w:rPr>
          <w:rFonts w:eastAsia="Segoe UI" w:cs="Segoe UI" w:ascii="Segoe UI" w:hAnsi="Segoe UI"/>
          <w:color w:val="101820"/>
          <w:sz w:val="20"/>
        </w:rPr>
        <w:t>[Screen image not available: 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lists of Coverage Builder, Rating Engine, Acceptance Rules and Document Manager have a </w:t>
      </w:r>
      <w:r>
        <w:rPr>
          <w:rFonts w:eastAsia="Segoe UI" w:cs="Segoe UI" w:ascii="Segoe UI" w:hAnsi="Segoe UI"/>
          <w:b/>
          <w:color w:val="101820"/>
          <w:sz w:val="21"/>
        </w:rPr>
        <w:t>Template</w:t>
      </w:r>
      <w:r>
        <w:rPr>
          <w:rFonts w:eastAsia="Segoe UI" w:cs="Segoe UI" w:ascii="Segoe UI" w:hAnsi="Segoe UI"/>
          <w:color w:val="101820"/>
          <w:sz w:val="21"/>
        </w:rPr>
        <w:t xml:space="preserve"> column: the code of the product template a cover, factor, rule or document belongs to, or </w:t>
      </w:r>
      <w:r>
        <w:rPr>
          <w:rFonts w:eastAsia="Segoe UI" w:cs="Segoe UI" w:ascii="Segoe UI" w:hAnsi="Segoe UI"/>
          <w:b/>
          <w:color w:val="101820"/>
          <w:sz w:val="21"/>
        </w:rPr>
        <w:t>All products</w:t>
      </w:r>
      <w:r>
        <w:rPr>
          <w:rFonts w:eastAsia="Segoe UI" w:cs="Segoe UI" w:ascii="Segoe UI" w:hAnsi="Segoe UI"/>
          <w:color w:val="101820"/>
          <w:sz w:val="21"/>
        </w:rPr>
        <w:t xml:space="preserve"> for one that applies to every product. Select the column heading to sort by template.</w:t>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82" w:name="__RefHeading___Toc21681_17926050"/>
      <w:bookmarkEnd w:id="82"/>
      <w:r>
        <w:rPr>
          <w:rFonts w:eastAsia="Segoe UI" w:cs="Segoe UI"/>
          <w:b/>
          <w:color w:val="0F4761"/>
          <w:sz w:val="26"/>
        </w:rPr>
        <w:t>9.13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bl>
    <w:p>
      <w:pPr>
        <w:pStyle w:val="Heading1"/>
        <w:rPr/>
      </w:pPr>
      <w:r>
        <w:br w:type="page"/>
      </w:r>
      <w:bookmarkStart w:id="83" w:name="__RefHeading___Toc21683_17926050"/>
      <w:bookmarkEnd w:id="83"/>
      <w:r>
        <w:rPr>
          <w:rFonts w:eastAsia="Segoe UI" w:cs="Segoe UI" w:ascii="Segoe UI" w:hAnsi="Segoe UI"/>
          <w:b/>
          <w:color w:val="0F4761"/>
          <w:sz w:val="32"/>
        </w:rPr>
        <w:t>10.  Operations (client servicing)</w:t>
      </w:r>
    </w:p>
    <w:p>
      <w:pPr>
        <w:pStyle w:val="Heading2"/>
        <w:rPr/>
      </w:pPr>
      <w:bookmarkStart w:id="84" w:name="__RefHeading___Toc21685_17926050"/>
      <w:bookmarkEnd w:id="84"/>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onboarding and due diligence, client records, endorsement requests, cover notes, cancellations, CTPL authentication, recording the client's payment, the daily worklist, renewals and the documents sent to clients. Operations can also record prospects and quote package products in the same way as Sales &amp; Marketing, and supports the Data Protection Officer.</w:t>
      </w:r>
    </w:p>
    <w:p>
      <w:pPr>
        <w:pStyle w:val="Normal"/>
        <w:shd w:val="clear" w:color="auto" w:fill="EAF2FB"/>
        <w:spacing w:before="0" w:after="160"/>
        <w:ind w:left="170"/>
        <w:rPr/>
      </w:pPr>
      <w:r>
        <w:rPr>
          <w:rFonts w:eastAsia="Segoe UI" w:cs="Segoe UI" w:ascii="Segoe UI" w:hAnsi="Segoe UI"/>
          <w:color w:val="101820"/>
          <w:sz w:val="20"/>
        </w:rPr>
        <w:t>[Screen image not available: Operations &gt; My Work, the daily worklist of the role]</w:t>
      </w:r>
    </w:p>
    <w:p>
      <w:pPr>
        <w:pStyle w:val="Heading2"/>
        <w:rPr/>
      </w:pPr>
      <w:bookmarkStart w:id="85" w:name="__RefHeading___Toc21687_17926050"/>
      <w:bookmarkEnd w:id="85"/>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Lead Assignment, Dealer Programmes, Comparison Reports, Campaigns, Sales Activities); Clients; Policy; Fleet Schedules; Marine Open Covers; Claims; Renewals (Renewal Policy, Renewal Batch, Renewal Queue, Retention Analytics, At-Risk Policies, Negotiations, Lapse Management, Performance);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 Data Privacy (Data Subject Requests, Consent Register)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Data Privacy is described in the System Administrator chapter, and Lead Assignment, Dealer Programmes, Comparison Reports, Campaigns, Fleet Schedules and Marine Open Covers in the chapter Distribution, programmes and products.</w:t>
      </w:r>
    </w:p>
    <w:p>
      <w:pPr>
        <w:pStyle w:val="Heading2"/>
        <w:rPr/>
      </w:pPr>
      <w:bookmarkStart w:id="86" w:name="__RefHeading___Toc21689_17926050"/>
      <w:bookmarkEnd w:id="86"/>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8"/>
        <w:gridCol w:w="40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 new clients and complete their identification</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Clients &gt; </w:t>
            </w:r>
            <w:r>
              <w:rPr>
                <w:rFonts w:eastAsia="Segoe UI" w:cs="Segoe UI" w:ascii="Segoe UI" w:hAnsi="Segoe UI"/>
                <w:b/>
                <w:color w:val="101820"/>
                <w:kern w:val="0"/>
                <w:sz w:val="18"/>
                <w:szCs w:val="24"/>
                <w:lang w:val="en-US" w:eastAsia="ja-JP" w:bidi="ar-SA"/>
              </w:rPr>
              <w:t>Onboard client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 compute cancellations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r>
              <w:rPr>
                <w:rFonts w:eastAsia="Segoe UI" w:cs="Segoe UI" w:ascii="Segoe UI" w:hAnsi="Segoe UI"/>
                <w:color w:val="101820"/>
                <w:kern w:val="0"/>
                <w:sz w:val="18"/>
                <w:szCs w:val="24"/>
                <w:lang w:val="en-US" w:eastAsia="ja-JP" w:bidi="ar-SA"/>
              </w:rPr>
              <w:t>; Policy Cancellation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cover notes while the insurer issues the policy</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every CTPL certificate of cover is authenticated</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bl>
    <w:p>
      <w:pPr>
        <w:pStyle w:val="Normal"/>
        <w:spacing w:before="0" w:after="80"/>
        <w:rPr/>
      </w:pPr>
      <w:r>
        <w:rPr/>
      </w:r>
    </w:p>
    <w:p>
      <w:pPr>
        <w:pStyle w:val="Heading2"/>
        <w:rPr/>
      </w:pPr>
      <w:bookmarkStart w:id="87" w:name="__RefHeading___Toc21691_17926050"/>
      <w:bookmarkEnd w:id="87"/>
      <w:r>
        <w:rPr>
          <w:rFonts w:eastAsia="Segoe UI" w:cs="Segoe UI"/>
          <w:b/>
          <w:color w:val="0F4761"/>
          <w:sz w:val="26"/>
        </w:rPr>
        <w:t>10.4  Home</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(the first item of the menu, and the page every role lands on after sign-in) is </w:t>
      </w:r>
      <w:r>
        <w:rPr>
          <w:rFonts w:eastAsia="Segoe UI" w:cs="Segoe UI" w:ascii="Segoe UI" w:hAnsi="Segoe UI"/>
          <w:b/>
          <w:color w:val="101820"/>
          <w:sz w:val="21"/>
        </w:rPr>
        <w:t>My Work</w:t>
      </w:r>
      <w:r>
        <w:rPr>
          <w:rFonts w:eastAsia="Segoe UI" w:cs="Segoe UI" w:ascii="Segoe UI" w:hAnsi="Segoe UI"/>
          <w:color w:val="101820"/>
          <w:sz w:val="21"/>
        </w:rPr>
        <w:t xml:space="preserve"> with a preset for the user's role, so that each user starts the day on what they have to do. The page is the same screen as Operations &gt; My Work (next section): the title </w:t>
      </w:r>
      <w:r>
        <w:rPr>
          <w:rFonts w:eastAsia="Segoe UI" w:cs="Segoe UI" w:ascii="Segoe UI" w:hAnsi="Segoe UI"/>
          <w:b/>
          <w:color w:val="101820"/>
          <w:sz w:val="21"/>
        </w:rPr>
        <w:t>My Work</w:t>
      </w:r>
      <w:r>
        <w:rPr>
          <w:rFonts w:eastAsia="Segoe UI" w:cs="Segoe UI" w:ascii="Segoe UI" w:hAnsi="Segoe UI"/>
          <w:color w:val="101820"/>
          <w:sz w:val="21"/>
        </w:rPr>
        <w:t xml:space="preserve">, a subtitle with the role, today's date and the user's branch (or the company when no branch is set), the five My Work figures followed by two or three plain figures of the role, and the tabs My Items, My Team (managers), My Tasks and Calendar. The address </w:t>
      </w:r>
      <w:r>
        <w:rPr>
          <w:rFonts w:eastAsia="Consolas" w:cs="Consolas" w:ascii="Consolas" w:hAnsi="Consolas"/>
          <w:color w:val="101820"/>
          <w:sz w:val="19"/>
        </w:rPr>
        <w:t>/agent/home</w:t>
      </w:r>
      <w:r>
        <w:rPr>
          <w:rFonts w:eastAsia="Segoe UI" w:cs="Segoe UI" w:ascii="Segoe UI" w:hAnsi="Segoe UI"/>
          <w:color w:val="101820"/>
          <w:sz w:val="21"/>
        </w:rPr>
        <w:t xml:space="preserve"> and the former Open Items and Upcoming Events addresses open Home.</w:t>
      </w:r>
    </w:p>
    <w:p>
      <w:pPr>
        <w:pStyle w:val="Normal"/>
        <w:spacing w:lineRule="auto" w:line="276" w:before="0" w:after="120"/>
        <w:rPr/>
      </w:pPr>
      <w:r>
        <w:rPr>
          <w:rFonts w:eastAsia="Segoe UI" w:cs="Segoe UI" w:ascii="Segoe UI" w:hAnsi="Segoe UI"/>
          <w:color w:val="101820"/>
          <w:sz w:val="21"/>
        </w:rPr>
        <w:t>The role preset decides which categories are listed first on My Items (the others follow, tasks last), whose items are shown by default (</w:t>
      </w:r>
      <w:r>
        <w:rPr>
          <w:rFonts w:eastAsia="Segoe UI" w:cs="Segoe UI" w:ascii="Segoe UI" w:hAnsi="Segoe UI"/>
          <w:b/>
          <w:color w:val="101820"/>
          <w:sz w:val="21"/>
        </w:rPr>
        <w:t>Mine</w:t>
      </w:r>
      <w:r>
        <w:rPr>
          <w:rFonts w:eastAsia="Segoe UI" w:cs="Segoe UI" w:ascii="Segoe UI" w:hAnsi="Segoe UI"/>
          <w:color w:val="101820"/>
          <w:sz w:val="21"/>
        </w:rPr>
        <w:t xml:space="preserve">; </w:t>
      </w:r>
      <w:r>
        <w:rPr>
          <w:rFonts w:eastAsia="Segoe UI" w:cs="Segoe UI" w:ascii="Segoe UI" w:hAnsi="Segoe UI"/>
          <w:b/>
          <w:color w:val="101820"/>
          <w:sz w:val="21"/>
        </w:rPr>
        <w:t>Everyone</w:t>
      </w:r>
      <w:r>
        <w:rPr>
          <w:rFonts w:eastAsia="Segoe UI" w:cs="Segoe UI" w:ascii="Segoe UI" w:hAnsi="Segoe UI"/>
          <w:color w:val="101820"/>
          <w:sz w:val="21"/>
        </w:rPr>
        <w:t xml:space="preserve"> for an oversight role; a manager also has </w:t>
      </w:r>
      <w:r>
        <w:rPr>
          <w:rFonts w:eastAsia="Segoe UI" w:cs="Segoe UI" w:ascii="Segoe UI" w:hAnsi="Segoe UI"/>
          <w:b/>
          <w:color w:val="101820"/>
          <w:sz w:val="21"/>
        </w:rPr>
        <w:t>My team</w:t>
      </w:r>
      <w:r>
        <w:rPr>
          <w:rFonts w:eastAsia="Segoe UI" w:cs="Segoe UI" w:ascii="Segoe UI" w:hAnsi="Segoe UI"/>
          <w:color w:val="101820"/>
          <w:sz w:val="21"/>
        </w:rPr>
        <w:t>), which categories the Calendar shows, the one primary button of the page and the role figures. A user with several roles gets the most specific preset (System Administrator, then Accounting Manager, Accounting, Claims, Processing Team, Operations, Sales); a custom role gets the plain My 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1783"/>
        <w:gridCol w:w="1002"/>
        <w:gridCol w:w="1783"/>
        <w:gridCol w:w="1517"/>
        <w:gridCol w:w="1505"/>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7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Categories first</w:t>
            </w:r>
          </w:p>
        </w:tc>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Default scope</w:t>
            </w:r>
          </w:p>
        </w:tc>
        <w:tc>
          <w:tcPr>
            <w:tcW w:w="17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Calendar shows</w:t>
            </w:r>
          </w:p>
        </w:tc>
        <w:tc>
          <w:tcPr>
            <w:tcW w:w="1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Primary button</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 figures</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&amp; Marketing</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Quotations, Renewals, Premiums due, Missing documents, Endorsements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Quotations, renewals, premiums due, endorsements, approvals</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New quote</w:t>
            </w:r>
            <w:r>
              <w:rPr>
                <w:rFonts w:eastAsia="Segoe UI" w:cs="Segoe UI" w:ascii="Segoe UI" w:hAnsi="Segoe UI"/>
                <w:color w:val="101820"/>
                <w:kern w:val="0"/>
                <w:sz w:val="16"/>
                <w:szCs w:val="24"/>
                <w:lang w:val="en-US" w:eastAsia="ja-JP" w:bidi="ar-SA"/>
              </w:rPr>
              <w:t xml:space="preserve"> (Quick Quote)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Quotes this month, Conversion (90 days), Renewals due in 30 days, over the user's own book</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Processing Team</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Requests for quotation, Placement slips, Quotations, Endorsements, Renewals, Approvals, Missing documents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Requests for quotation, placement slips, renewals, approvals</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Cover note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issued this month, Pending issuance (bound placements and approved quotations), RFQs with the insurers</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Renewals, Missing documents, Quotations, Premiums due, Approvals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endorsements, approvals</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Cover note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in progress, Renewals due in 30 days</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Approvals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approvals</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Register claim</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claims, Average days open, Registered this month</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Premiums due, Collection follow-ups, Approvals, Bank reconciliations, Period close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Premiums due, collections, approvals, bank reconciliations, period close</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Record receipt</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Overdue receivables, Collections this month</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Approvals, Period close, Bank reconciliations, Premiums due, Collection follow-ups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Everyone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Approvals, period close, bank reconciliations, premiums due</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Approvals</w:t>
            </w:r>
            <w:r>
              <w:rPr>
                <w:rFonts w:eastAsia="Segoe UI" w:cs="Segoe UI" w:ascii="Segoe UI" w:hAnsi="Segoe UI"/>
                <w:color w:val="101820"/>
                <w:kern w:val="0"/>
                <w:sz w:val="16"/>
                <w:szCs w:val="24"/>
                <w:lang w:val="en-US" w:eastAsia="ja-JP" w:bidi="ar-SA"/>
              </w:rPr>
              <w:t xml:space="preserve"> (shows the approvals waiting)</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Overdue receivables, Collections this month, Vouchers awaiting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and access, System health, Approvals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and access, system health, approvals</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New user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Active users, Failed jobs (24 h), Awaiting first sign-in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categories added for these presets are listed below with the other categories of My Items; every category is shown only to a role that may read its records, and the items follow the user's record scope.</w:t>
      </w:r>
    </w:p>
    <w:p>
      <w:pPr>
        <w:pStyle w:val="Heading2"/>
        <w:rPr/>
      </w:pPr>
      <w:bookmarkStart w:id="88" w:name="__RefHeading___Toc21693_17926050"/>
      <w:bookmarkEnd w:id="88"/>
      <w:r>
        <w:rPr>
          <w:rFonts w:eastAsia="Segoe UI" w:cs="Segoe UI"/>
          <w:b/>
          <w:color w:val="0F4761"/>
          <w:sz w:val="26"/>
        </w:rPr>
        <w:t>10.5  My Work</w:t>
      </w:r>
    </w:p>
    <w:p>
      <w:pPr>
        <w:pStyle w:val="Normal"/>
        <w:spacing w:lineRule="auto" w:line="276" w:before="0" w:after="120"/>
        <w:rPr/>
      </w:pPr>
      <w:r>
        <w:rPr>
          <w:rFonts w:eastAsia="Segoe UI" w:cs="Segoe UI" w:ascii="Segoe UI" w:hAnsi="Segoe UI"/>
          <w:b/>
          <w:color w:val="101820"/>
          <w:sz w:val="21"/>
        </w:rPr>
        <w:t>My Work</w:t>
      </w:r>
      <w:r>
        <w:rPr>
          <w:rFonts w:eastAsia="Segoe UI" w:cs="Segoe UI" w:ascii="Segoe UI" w:hAnsi="Segoe UI"/>
          <w:color w:val="101820"/>
          <w:sz w:val="21"/>
        </w:rPr>
        <w:t xml:space="preserve"> (Operations &gt; My Work, and Home with the role preset) is the one place where each user finds what is waiting for them. It replaces the former Open Items screen; its old addresses open My Work.</w:t>
      </w:r>
    </w:p>
    <w:p>
      <w:pPr>
        <w:pStyle w:val="Normal"/>
        <w:spacing w:lineRule="auto" w:line="276" w:before="0" w:after="120"/>
        <w:rPr/>
      </w:pPr>
      <w:r>
        <w:rPr>
          <w:rFonts w:eastAsia="Segoe UI" w:cs="Segoe UI" w:ascii="Segoe UI" w:hAnsi="Segoe UI"/>
          <w:color w:val="101820"/>
          <w:sz w:val="21"/>
        </w:rPr>
        <w:t xml:space="preserve">The header shows five figures: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Due today</w:t>
      </w:r>
      <w:r>
        <w:rPr>
          <w:rFonts w:eastAsia="Segoe UI" w:cs="Segoe UI" w:ascii="Segoe UI" w:hAnsi="Segoe UI"/>
          <w:color w:val="101820"/>
          <w:sz w:val="21"/>
        </w:rPr>
        <w:t xml:space="preserve">, </w:t>
      </w:r>
      <w:r>
        <w:rPr>
          <w:rFonts w:eastAsia="Segoe UI" w:cs="Segoe UI" w:ascii="Segoe UI" w:hAnsi="Segoe UI"/>
          <w:b/>
          <w:color w:val="101820"/>
          <w:sz w:val="21"/>
        </w:rPr>
        <w:t>Next 7 days</w:t>
      </w:r>
      <w:r>
        <w:rPr>
          <w:rFonts w:eastAsia="Segoe UI" w:cs="Segoe UI" w:ascii="Segoe UI" w:hAnsi="Segoe UI"/>
          <w:color w:val="101820"/>
          <w:sz w:val="21"/>
        </w:rPr>
        <w:t xml:space="preserve"> (the number of days is the setting </w:t>
      </w:r>
      <w:r>
        <w:rPr>
          <w:rFonts w:eastAsia="Consolas" w:cs="Consolas" w:ascii="Consolas" w:hAnsi="Consolas"/>
          <w:color w:val="101820"/>
          <w:sz w:val="19"/>
        </w:rPr>
        <w:t>myWork.due_soon_days</w:t>
      </w:r>
      <w:r>
        <w:rPr>
          <w:rFonts w:eastAsia="Segoe UI" w:cs="Segoe UI" w:ascii="Segoe UI" w:hAnsi="Segoe UI"/>
          <w:color w:val="101820"/>
          <w:sz w:val="21"/>
        </w:rPr>
        <w:t xml:space="preserve">), </w:t>
      </w:r>
      <w:r>
        <w:rPr>
          <w:rFonts w:eastAsia="Segoe UI" w:cs="Segoe UI" w:ascii="Segoe UI" w:hAnsi="Segoe UI"/>
          <w:b/>
          <w:color w:val="101820"/>
          <w:sz w:val="21"/>
        </w:rPr>
        <w:t>Open items</w:t>
      </w:r>
      <w:r>
        <w:rPr>
          <w:rFonts w:eastAsia="Segoe UI" w:cs="Segoe UI" w:ascii="Segoe UI" w:hAnsi="Segoe UI"/>
          <w:color w:val="101820"/>
          <w:sz w:val="21"/>
        </w:rPr>
        <w:t xml:space="preserve"> (with the number of high-priority items) and </w:t>
      </w:r>
      <w:r>
        <w:rPr>
          <w:rFonts w:eastAsia="Segoe UI" w:cs="Segoe UI" w:ascii="Segoe UI" w:hAnsi="Segoe UI"/>
          <w:b/>
          <w:color w:val="101820"/>
          <w:sz w:val="21"/>
        </w:rPr>
        <w:t>Open tasks</w:t>
      </w:r>
      <w:r>
        <w:rPr>
          <w:rFonts w:eastAsia="Segoe UI" w:cs="Segoe UI" w:ascii="Segoe UI" w:hAnsi="Segoe UI"/>
          <w:color w:val="101820"/>
          <w:sz w:val="21"/>
        </w:rPr>
        <w:t>. Select a figure to filter the list.</w:t>
      </w:r>
    </w:p>
    <w:p>
      <w:pPr>
        <w:pStyle w:val="Normal"/>
        <w:spacing w:lineRule="auto" w:line="276" w:before="0" w:after="120"/>
        <w:rPr/>
      </w:pPr>
      <w:r>
        <w:rPr>
          <w:rFonts w:eastAsia="Segoe UI" w:cs="Segoe UI" w:ascii="Segoe UI" w:hAnsi="Segoe UI"/>
          <w:color w:val="101820"/>
          <w:sz w:val="21"/>
        </w:rPr>
        <w:t>The screen has four tabs: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open item you own or may act on, by category: quotations, Requests for Quotation, placement slips, renewals and expiring policies, premiums due, collection follow-ups, endorsements, claims, approvals waiting for you, missing documents, bank reconciliations in progress, period close (checklist items to sign off and failed checks of the open close runs), users and access (open access reviews, users who have not signed in since their account was created), system health (scheduled jobs whose last run failed, failed integration messages) and your tasks. Only the categories your role may read appear; the role preset of Home puts the categories of the role first.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Team</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managers only: one row per person reporting to you (directly or below), with open, overdue and due-today counts, and the team's items. </w:t>
            </w:r>
            <w:r>
              <w:rPr>
                <w:rFonts w:eastAsia="Segoe UI" w:cs="Segoe UI" w:ascii="Segoe UI" w:hAnsi="Segoe UI"/>
                <w:b/>
                <w:color w:val="101820"/>
                <w:kern w:val="0"/>
                <w:sz w:val="18"/>
                <w:szCs w:val="24"/>
                <w:lang w:val="en-US" w:eastAsia="ja-JP" w:bidi="ar-SA"/>
              </w:rPr>
              <w:t>Reassign</w:t>
            </w:r>
            <w:r>
              <w:rPr>
                <w:rFonts w:eastAsia="Segoe UI" w:cs="Segoe UI" w:ascii="Segoe UI" w:hAnsi="Segoe UI"/>
                <w:color w:val="101820"/>
                <w:kern w:val="0"/>
                <w:sz w:val="18"/>
                <w:szCs w:val="24"/>
                <w:lang w:val="en-US" w:eastAsia="ja-JP" w:bidi="ar-SA"/>
              </w:rPr>
              <w:t xml:space="preserve"> moves a claim, a data subject request or a task to yourself or to someone in your team.</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Tasks</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work diary: tasks you created, tasks given to you and, for managers, tasks given to others.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tasks and items falling due by day, for one day or the next 7 days, with an </w:t>
            </w:r>
            <w:r>
              <w:rPr>
                <w:rFonts w:eastAsia="Segoe UI" w:cs="Segoe UI" w:ascii="Segoe UI" w:hAnsi="Segoe UI"/>
                <w:b/>
                <w:color w:val="101820"/>
                <w:kern w:val="0"/>
                <w:sz w:val="18"/>
                <w:szCs w:val="24"/>
                <w:lang w:val="en-US" w:eastAsia="ja-JP" w:bidi="ar-SA"/>
              </w:rPr>
              <w:t>Overdue</w:t>
            </w:r>
            <w:r>
              <w:rPr>
                <w:rFonts w:eastAsia="Segoe UI" w:cs="Segoe UI" w:ascii="Segoe UI" w:hAnsi="Segoe UI"/>
                <w:color w:val="101820"/>
                <w:kern w:val="0"/>
                <w:sz w:val="18"/>
                <w:szCs w:val="24"/>
                <w:lang w:val="en-US" w:eastAsia="ja-JP" w:bidi="ar-SA"/>
              </w:rPr>
              <w:t xml:space="preserve"> strip above.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work your items:</w:t>
      </w:r>
    </w:p>
    <w:p>
      <w:pPr>
        <w:pStyle w:val="Normal"/>
        <w:numPr>
          <w:ilvl w:val="0"/>
          <w:numId w:val="292"/>
        </w:numPr>
        <w:spacing w:before="0" w:after="60"/>
        <w:rPr/>
      </w:pPr>
      <w:r>
        <w:rPr>
          <w:rFonts w:eastAsia="Segoe UI" w:cs="Segoe UI" w:ascii="Segoe UI" w:hAnsi="Segoe UI"/>
          <w:color w:val="101820"/>
          <w:sz w:val="21"/>
        </w:rPr>
        <w:t xml:space="preserve">Choose Home or Operations &gt; My Work. </w:t>
      </w:r>
      <w:r>
        <w:rPr>
          <w:rFonts w:eastAsia="Segoe UI" w:cs="Segoe UI" w:ascii="Segoe UI" w:hAnsi="Segoe UI"/>
          <w:b/>
          <w:color w:val="101820"/>
          <w:sz w:val="21"/>
        </w:rPr>
        <w:t>My Items</w:t>
      </w:r>
      <w:r>
        <w:rPr>
          <w:rFonts w:eastAsia="Segoe UI" w:cs="Segoe UI" w:ascii="Segoe UI" w:hAnsi="Segoe UI"/>
          <w:color w:val="101820"/>
          <w:sz w:val="21"/>
        </w:rPr>
        <w:t xml:space="preserve"> opens with the scope of your role preset (</w:t>
      </w:r>
      <w:r>
        <w:rPr>
          <w:rFonts w:eastAsia="Segoe UI" w:cs="Segoe UI" w:ascii="Segoe UI" w:hAnsi="Segoe UI"/>
          <w:b/>
          <w:color w:val="101820"/>
          <w:sz w:val="21"/>
        </w:rPr>
        <w:t>Mine</w:t>
      </w:r>
      <w:r>
        <w:rPr>
          <w:rFonts w:eastAsia="Segoe UI" w:cs="Segoe UI" w:ascii="Segoe UI" w:hAnsi="Segoe UI"/>
          <w:color w:val="101820"/>
          <w:sz w:val="21"/>
        </w:rPr>
        <w:t xml:space="preserve">, or </w:t>
      </w:r>
      <w:r>
        <w:rPr>
          <w:rFonts w:eastAsia="Segoe UI" w:cs="Segoe UI" w:ascii="Segoe UI" w:hAnsi="Segoe UI"/>
          <w:b/>
          <w:color w:val="101820"/>
          <w:sz w:val="21"/>
        </w:rPr>
        <w:t>Everyone</w:t>
      </w:r>
      <w:r>
        <w:rPr>
          <w:rFonts w:eastAsia="Segoe UI" w:cs="Segoe UI" w:ascii="Segoe UI" w:hAnsi="Segoe UI"/>
          <w:color w:val="101820"/>
          <w:sz w:val="21"/>
        </w:rPr>
        <w:t xml:space="preserve"> for the Accounting Manager); a manager can switch to </w:t>
      </w:r>
      <w:r>
        <w:rPr>
          <w:rFonts w:eastAsia="Segoe UI" w:cs="Segoe UI" w:ascii="Segoe UI" w:hAnsi="Segoe UI"/>
          <w:b/>
          <w:color w:val="101820"/>
          <w:sz w:val="21"/>
        </w:rPr>
        <w:t>My team</w:t>
      </w:r>
      <w:r>
        <w:rPr>
          <w:rFonts w:eastAsia="Segoe UI" w:cs="Segoe UI" w:ascii="Segoe UI" w:hAnsi="Segoe UI"/>
          <w:color w:val="101820"/>
          <w:sz w:val="21"/>
        </w:rPr>
        <w:t xml:space="preserve">, and anyone to </w:t>
      </w:r>
      <w:r>
        <w:rPr>
          <w:rFonts w:eastAsia="Segoe UI" w:cs="Segoe UI" w:ascii="Segoe UI" w:hAnsi="Segoe UI"/>
          <w:b/>
          <w:color w:val="101820"/>
          <w:sz w:val="21"/>
        </w:rPr>
        <w:t>Everyone</w:t>
      </w:r>
      <w:r>
        <w:rPr>
          <w:rFonts w:eastAsia="Segoe UI" w:cs="Segoe UI" w:ascii="Segoe UI" w:hAnsi="Segoe UI"/>
          <w:color w:val="101820"/>
          <w:sz w:val="21"/>
        </w:rPr>
        <w:t xml:space="preserve"> within their permissions.</w:t>
      </w:r>
    </w:p>
    <w:p>
      <w:pPr>
        <w:pStyle w:val="Normal"/>
        <w:numPr>
          <w:ilvl w:val="0"/>
          <w:numId w:val="293"/>
        </w:numPr>
        <w:spacing w:before="0" w:after="60"/>
        <w:rPr/>
      </w:pPr>
      <w:r>
        <w:rPr>
          <w:rFonts w:eastAsia="Segoe UI" w:cs="Segoe UI" w:ascii="Segoe UI" w:hAnsi="Segoe UI"/>
          <w:color w:val="101820"/>
          <w:sz w:val="21"/>
        </w:rPr>
        <w:t xml:space="preserve">Pick a category on the left (the red badge is the number overdue), or use </w:t>
      </w:r>
      <w:r>
        <w:rPr>
          <w:rFonts w:eastAsia="Segoe UI" w:cs="Segoe UI" w:ascii="Segoe UI" w:hAnsi="Segoe UI"/>
          <w:b/>
          <w:color w:val="101820"/>
          <w:sz w:val="21"/>
        </w:rPr>
        <w:t>Search</w:t>
      </w:r>
      <w:r>
        <w:rPr>
          <w:rFonts w:eastAsia="Segoe UI" w:cs="Segoe UI" w:ascii="Segoe UI" w:hAnsi="Segoe UI"/>
          <w:color w:val="101820"/>
          <w:sz w:val="21"/>
        </w:rPr>
        <w:t xml:space="preserve">, </w:t>
      </w:r>
      <w:r>
        <w:rPr>
          <w:rFonts w:eastAsia="Segoe UI" w:cs="Segoe UI" w:ascii="Segoe UI" w:hAnsi="Segoe UI"/>
          <w:b/>
          <w:color w:val="101820"/>
          <w:sz w:val="21"/>
        </w:rPr>
        <w:t>Due</w:t>
      </w:r>
      <w:r>
        <w:rPr>
          <w:rFonts w:eastAsia="Segoe UI" w:cs="Segoe UI" w:ascii="Segoe UI" w:hAnsi="Segoe UI"/>
          <w:color w:val="101820"/>
          <w:sz w:val="21"/>
        </w:rPr>
        <w:t xml:space="preserve">, </w:t>
      </w:r>
      <w:r>
        <w:rPr>
          <w:rFonts w:eastAsia="Segoe UI" w:cs="Segoe UI" w:ascii="Segoe UI" w:hAnsi="Segoe UI"/>
          <w:b/>
          <w:color w:val="101820"/>
          <w:sz w:val="21"/>
        </w:rPr>
        <w:t>Priority</w:t>
      </w:r>
      <w:r>
        <w:rPr>
          <w:rFonts w:eastAsia="Segoe UI" w:cs="Segoe UI" w:ascii="Segoe UI" w:hAnsi="Segoe UI"/>
          <w:color w:val="101820"/>
          <w:sz w:val="21"/>
        </w:rPr>
        <w:t xml:space="preserve"> and </w:t>
      </w:r>
      <w:r>
        <w:rPr>
          <w:rFonts w:eastAsia="Segoe UI" w:cs="Segoe UI" w:ascii="Segoe UI" w:hAnsi="Segoe UI"/>
          <w:b/>
          <w:color w:val="101820"/>
          <w:sz w:val="21"/>
        </w:rPr>
        <w:t>Sort</w:t>
      </w:r>
      <w:r>
        <w:rPr>
          <w:rFonts w:eastAsia="Segoe UI" w:cs="Segoe UI" w:ascii="Segoe UI" w:hAnsi="Segoe UI"/>
          <w:color w:val="101820"/>
          <w:sz w:val="21"/>
        </w:rPr>
        <w:t>.</w:t>
      </w:r>
    </w:p>
    <w:p>
      <w:pPr>
        <w:pStyle w:val="Normal"/>
        <w:numPr>
          <w:ilvl w:val="0"/>
          <w:numId w:val="294"/>
        </w:numPr>
        <w:spacing w:before="0" w:after="60"/>
        <w:rPr/>
      </w:pPr>
      <w:r>
        <w:rPr>
          <w:rFonts w:eastAsia="Segoe UI" w:cs="Segoe UI" w:ascii="Segoe UI" w:hAnsi="Segoe UI"/>
          <w:color w:val="101820"/>
          <w:sz w:val="21"/>
        </w:rPr>
        <w:t>Select a row to open the record (quotation, bill, claim, approval) and act on it there. When the record is done it leaves the list.</w:t>
      </w:r>
    </w:p>
    <w:p>
      <w:pPr>
        <w:pStyle w:val="Normal"/>
        <w:shd w:val="clear" w:color="auto" w:fill="EAF2FB"/>
        <w:spacing w:before="0" w:after="160"/>
        <w:ind w:left="170"/>
        <w:rPr/>
      </w:pPr>
      <w:r>
        <w:rPr>
          <w:rFonts w:eastAsia="Segoe UI" w:cs="Segoe UI" w:ascii="Segoe UI" w:hAnsi="Segoe UI"/>
          <w:color w:val="101820"/>
          <w:sz w:val="20"/>
        </w:rPr>
        <w:t>[Screen image not available: My Work: New task]</w:t>
      </w:r>
    </w:p>
    <w:p>
      <w:pPr>
        <w:pStyle w:val="Normal"/>
        <w:spacing w:lineRule="auto" w:line="276" w:before="0" w:after="120"/>
        <w:rPr/>
      </w:pPr>
      <w:r>
        <w:rPr>
          <w:rFonts w:eastAsia="Segoe UI" w:cs="Segoe UI" w:ascii="Segoe UI" w:hAnsi="Segoe UI"/>
          <w:color w:val="101820"/>
          <w:sz w:val="21"/>
        </w:rPr>
        <w:t>To add a task:</w:t>
      </w:r>
    </w:p>
    <w:p>
      <w:pPr>
        <w:pStyle w:val="Normal"/>
        <w:numPr>
          <w:ilvl w:val="0"/>
          <w:numId w:val="2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task</w:t>
      </w:r>
      <w:r>
        <w:rPr>
          <w:rFonts w:eastAsia="Segoe UI" w:cs="Segoe UI" w:ascii="Segoe UI" w:hAnsi="Segoe UI"/>
          <w:color w:val="101820"/>
          <w:sz w:val="21"/>
        </w:rPr>
        <w:t>.</w:t>
      </w:r>
    </w:p>
    <w:p>
      <w:pPr>
        <w:pStyle w:val="Normal"/>
        <w:numPr>
          <w:ilvl w:val="0"/>
          <w:numId w:val="296"/>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Title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and optional </w:t>
      </w:r>
      <w:r>
        <w:rPr>
          <w:rFonts w:eastAsia="Segoe UI" w:cs="Segoe UI" w:ascii="Segoe UI" w:hAnsi="Segoe UI"/>
          <w:b/>
          <w:color w:val="101820"/>
          <w:sz w:val="21"/>
        </w:rPr>
        <w:t>Time</w:t>
      </w:r>
      <w:r>
        <w:rPr>
          <w:rFonts w:eastAsia="Segoe UI" w:cs="Segoe UI" w:ascii="Segoe UI" w:hAnsi="Segoe UI"/>
          <w:color w:val="101820"/>
          <w:sz w:val="21"/>
        </w:rPr>
        <w:t xml:space="preserve">, </w:t>
      </w:r>
      <w:r>
        <w:rPr>
          <w:rFonts w:eastAsia="Segoe UI" w:cs="Segoe UI" w:ascii="Segoe UI" w:hAnsi="Segoe UI"/>
          <w:b/>
          <w:color w:val="101820"/>
          <w:sz w:val="21"/>
        </w:rPr>
        <w:t>Priority</w:t>
      </w:r>
      <w:r>
        <w:rPr>
          <w:rFonts w:eastAsia="Segoe UI" w:cs="Segoe UI" w:ascii="Segoe UI" w:hAnsi="Segoe UI"/>
          <w:color w:val="101820"/>
          <w:sz w:val="21"/>
        </w:rPr>
        <w:t xml:space="preserve">, </w:t>
      </w:r>
      <w:r>
        <w:rPr>
          <w:rFonts w:eastAsia="Segoe UI" w:cs="Segoe UI" w:ascii="Segoe UI" w:hAnsi="Segoe UI"/>
          <w:b/>
          <w:color w:val="101820"/>
          <w:sz w:val="21"/>
        </w:rPr>
        <w:t>Reminder</w:t>
      </w:r>
      <w:r>
        <w:rPr>
          <w:rFonts w:eastAsia="Segoe UI" w:cs="Segoe UI" w:ascii="Segoe UI" w:hAnsi="Segoe UI"/>
          <w:color w:val="101820"/>
          <w:sz w:val="21"/>
        </w:rPr>
        <w:t xml:space="preserve"> (minutes before) and </w:t>
      </w:r>
      <w:r>
        <w:rPr>
          <w:rFonts w:eastAsia="Segoe UI" w:cs="Segoe UI" w:ascii="Segoe UI" w:hAnsi="Segoe UI"/>
          <w:b/>
          <w:color w:val="101820"/>
          <w:sz w:val="21"/>
        </w:rPr>
        <w:t>Notes</w:t>
      </w:r>
      <w:r>
        <w:rPr>
          <w:rFonts w:eastAsia="Segoe UI" w:cs="Segoe UI" w:ascii="Segoe UI" w:hAnsi="Segoe UI"/>
          <w:color w:val="101820"/>
          <w:sz w:val="21"/>
        </w:rPr>
        <w:t xml:space="preserve">. A manager can choose </w:t>
      </w:r>
      <w:r>
        <w:rPr>
          <w:rFonts w:eastAsia="Segoe UI" w:cs="Segoe UI" w:ascii="Segoe UI" w:hAnsi="Segoe UI"/>
          <w:b/>
          <w:color w:val="101820"/>
          <w:sz w:val="21"/>
        </w:rPr>
        <w:t>Assigned to</w:t>
      </w:r>
      <w:r>
        <w:rPr>
          <w:rFonts w:eastAsia="Segoe UI" w:cs="Segoe UI" w:ascii="Segoe UI" w:hAnsi="Segoe UI"/>
          <w:color w:val="101820"/>
          <w:sz w:val="21"/>
        </w:rPr>
        <w:t xml:space="preserve"> from the team.</w:t>
      </w:r>
    </w:p>
    <w:p>
      <w:pPr>
        <w:pStyle w:val="Normal"/>
        <w:numPr>
          <w:ilvl w:val="0"/>
          <w:numId w:val="297"/>
        </w:numPr>
        <w:spacing w:before="0" w:after="60"/>
        <w:rPr/>
      </w:pPr>
      <w:r>
        <w:rPr>
          <w:rFonts w:eastAsia="Segoe UI" w:cs="Segoe UI" w:ascii="Segoe UI" w:hAnsi="Segoe UI"/>
          <w:color w:val="101820"/>
          <w:sz w:val="21"/>
        </w:rPr>
        <w:t xml:space="preserve">Optionally link a </w:t>
      </w:r>
      <w:r>
        <w:rPr>
          <w:rFonts w:eastAsia="Segoe UI" w:cs="Segoe UI" w:ascii="Segoe UI" w:hAnsi="Segoe UI"/>
          <w:b/>
          <w:color w:val="101820"/>
          <w:sz w:val="21"/>
        </w:rPr>
        <w:t>Related record</w:t>
      </w:r>
      <w:r>
        <w:rPr>
          <w:rFonts w:eastAsia="Segoe UI" w:cs="Segoe UI" w:ascii="Segoe UI" w:hAnsi="Segoe UI"/>
          <w:color w:val="101820"/>
          <w:sz w:val="21"/>
        </w:rPr>
        <w:t xml:space="preserve"> (search by number or client name).</w:t>
      </w:r>
    </w:p>
    <w:p>
      <w:pPr>
        <w:pStyle w:val="Normal"/>
        <w:numPr>
          <w:ilvl w:val="0"/>
          <w:numId w:val="29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reminder arrives as a notification at the time chosen; the notification opens the task.</w:t>
      </w:r>
    </w:p>
    <w:p>
      <w:pPr>
        <w:pStyle w:val="Normal"/>
        <w:spacing w:lineRule="auto" w:line="276" w:before="0" w:after="120"/>
        <w:rPr/>
      </w:pPr>
      <w:r>
        <w:rPr>
          <w:rFonts w:eastAsia="Segoe UI" w:cs="Segoe UI" w:ascii="Segoe UI" w:hAnsi="Segoe UI"/>
          <w:color w:val="101820"/>
          <w:sz w:val="21"/>
        </w:rPr>
        <w:t xml:space="preserve">Mark a task </w:t>
      </w:r>
      <w:r>
        <w:rPr>
          <w:rFonts w:eastAsia="Segoe UI" w:cs="Segoe UI" w:ascii="Segoe UI" w:hAnsi="Segoe UI"/>
          <w:b/>
          <w:color w:val="101820"/>
          <w:sz w:val="21"/>
        </w:rPr>
        <w:t>Done</w:t>
      </w:r>
      <w:r>
        <w:rPr>
          <w:rFonts w:eastAsia="Segoe UI" w:cs="Segoe UI" w:ascii="Segoe UI" w:hAnsi="Segoe UI"/>
          <w:color w:val="101820"/>
          <w:sz w:val="21"/>
        </w:rPr>
        <w:t xml:space="preserve"> when finished (</w:t>
      </w:r>
      <w:r>
        <w:rPr>
          <w:rFonts w:eastAsia="Segoe UI" w:cs="Segoe UI" w:ascii="Segoe UI" w:hAnsi="Segoe UI"/>
          <w:b/>
          <w:color w:val="101820"/>
          <w:sz w:val="21"/>
        </w:rPr>
        <w:t>Reopen</w:t>
      </w:r>
      <w:r>
        <w:rPr>
          <w:rFonts w:eastAsia="Segoe UI" w:cs="Segoe UI" w:ascii="Segoe UI" w:hAnsi="Segoe UI"/>
          <w:color w:val="101820"/>
          <w:sz w:val="21"/>
        </w:rPr>
        <w:t xml:space="preserve"> if needed). Follow-up tasks are also created by the system from collection promises to pay, renewal next steps and claim follow-up dates, and close by themselves when the record closes (setting </w:t>
      </w:r>
      <w:r>
        <w:rPr>
          <w:rFonts w:eastAsia="Consolas" w:cs="Consolas" w:ascii="Consolas" w:hAnsi="Consolas"/>
          <w:color w:val="101820"/>
          <w:sz w:val="19"/>
        </w:rPr>
        <w:t>myWork.auto_tasks</w:t>
      </w:r>
      <w:r>
        <w:rPr>
          <w:rFonts w:eastAsia="Segoe UI" w:cs="Segoe UI" w:ascii="Segoe UI" w:hAnsi="Segoe UI"/>
          <w:color w:val="101820"/>
          <w:sz w:val="21"/>
        </w:rPr>
        <w:t xml:space="preserve">). An overdue task sends one alert to its owner (setting </w:t>
      </w:r>
      <w:r>
        <w:rPr>
          <w:rFonts w:eastAsia="Consolas" w:cs="Consolas" w:ascii="Consolas" w:hAnsi="Consolas"/>
          <w:color w:val="101820"/>
          <w:sz w:val="19"/>
        </w:rPr>
        <w:t>myWork.overdue_task_alert</w:t>
      </w:r>
      <w:r>
        <w:rPr>
          <w:rFonts w:eastAsia="Segoe UI" w:cs="Segoe UI" w:ascii="Segoe UI" w:hAnsi="Segoe UI"/>
          <w:color w:val="101820"/>
          <w:sz w:val="21"/>
        </w:rPr>
        <w:t>).</w:t>
      </w:r>
    </w:p>
    <w:p>
      <w:pPr>
        <w:pStyle w:val="Heading2"/>
        <w:rPr/>
      </w:pPr>
      <w:bookmarkStart w:id="89" w:name="__RefHeading___Toc21695_17926050"/>
      <w:bookmarkEnd w:id="89"/>
      <w:r>
        <w:rPr>
          <w:rFonts w:eastAsia="Segoe UI" w:cs="Segoe UI"/>
          <w:b/>
          <w:color w:val="0F4761"/>
          <w:sz w:val="26"/>
        </w:rPr>
        <w:t>10.6  Clients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Clients]</w:t>
      </w:r>
    </w:p>
    <w:p>
      <w:pPr>
        <w:pStyle w:val="Normal"/>
        <w:spacing w:lineRule="auto" w:line="276" w:before="0" w:after="120"/>
        <w:rPr/>
      </w:pPr>
      <w:r>
        <w:rPr>
          <w:rFonts w:eastAsia="Segoe UI" w:cs="Segoe UI" w:ascii="Segoe UI" w:hAnsi="Segoe UI"/>
          <w:color w:val="101820"/>
          <w:sz w:val="21"/>
        </w:rPr>
        <w:t xml:space="preserve">A client is a person or company that holds or has held a policy, or that was onboarded before its first policy. BrokerVerse creates the client, with its client code CL-YYYY-NNNNN, on </w:t>
      </w:r>
      <w:r>
        <w:rPr>
          <w:rFonts w:eastAsia="Segoe UI" w:cs="Segoe UI" w:ascii="Segoe UI" w:hAnsi="Segoe UI"/>
          <w:b/>
          <w:color w:val="101820"/>
          <w:sz w:val="21"/>
        </w:rPr>
        <w:t>Onboard client</w:t>
      </w:r>
      <w:r>
        <w:rPr>
          <w:rFonts w:eastAsia="Segoe UI" w:cs="Segoe UI" w:ascii="Segoe UI" w:hAnsi="Segoe UI"/>
          <w:color w:val="101820"/>
          <w:sz w:val="21"/>
        </w:rPr>
        <w:t xml:space="preserve"> (below) or, for a new insured, when the first policy is issued.</w:t>
      </w:r>
    </w:p>
    <w:p>
      <w:pPr>
        <w:pStyle w:val="Normal"/>
        <w:numPr>
          <w:ilvl w:val="0"/>
          <w:numId w:val="299"/>
        </w:numPr>
        <w:spacing w:before="0" w:after="60"/>
        <w:rPr/>
      </w:pPr>
      <w:r>
        <w:rPr>
          <w:rFonts w:eastAsia="Segoe UI" w:cs="Segoe UI" w:ascii="Segoe UI" w:hAnsi="Segoe UI"/>
          <w:color w:val="101820"/>
          <w:sz w:val="21"/>
        </w:rPr>
        <w:t>Choose Operations &gt; Clients.</w:t>
      </w:r>
    </w:p>
    <w:p>
      <w:pPr>
        <w:pStyle w:val="Normal"/>
        <w:numPr>
          <w:ilvl w:val="0"/>
          <w:numId w:val="300"/>
        </w:numPr>
        <w:spacing w:before="0" w:after="60"/>
        <w:rPr/>
      </w:pPr>
      <w:r>
        <w:rPr>
          <w:rFonts w:eastAsia="Segoe UI" w:cs="Segoe UI" w:ascii="Segoe UI" w:hAnsi="Segoe UI"/>
          <w:color w:val="101820"/>
          <w:sz w:val="21"/>
        </w:rPr>
        <w:t>Use the tabs (</w:t>
      </w:r>
      <w:r>
        <w:rPr>
          <w:rFonts w:eastAsia="Segoe UI" w:cs="Segoe UI" w:ascii="Segoe UI" w:hAnsi="Segoe UI"/>
          <w:b/>
          <w:color w:val="101820"/>
          <w:sz w:val="21"/>
        </w:rPr>
        <w:t>All</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w:t>
      </w:r>
      <w:r>
        <w:rPr>
          <w:rFonts w:eastAsia="Segoe UI" w:cs="Segoe UI" w:ascii="Segoe UI" w:hAnsi="Segoe UI"/>
          <w:b/>
          <w:color w:val="101820"/>
          <w:sz w:val="21"/>
        </w:rPr>
        <w:t>Corporate</w:t>
      </w:r>
      <w:r>
        <w:rPr>
          <w:rFonts w:eastAsia="Segoe UI" w:cs="Segoe UI" w:ascii="Segoe UI" w:hAnsi="Segoe UI"/>
          <w:color w:val="101820"/>
          <w:sz w:val="21"/>
        </w:rPr>
        <w:t xml:space="preserve">) or the search box to find the client. The list shows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Assured 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Client Since</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the latest policy status.</w:t>
      </w:r>
    </w:p>
    <w:p>
      <w:pPr>
        <w:pStyle w:val="Normal"/>
        <w:numPr>
          <w:ilvl w:val="0"/>
          <w:numId w:val="301"/>
        </w:numPr>
        <w:spacing w:before="0" w:after="6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at the end of the row to open the client; the pencil (</w:t>
      </w:r>
      <w:r>
        <w:rPr>
          <w:rFonts w:eastAsia="Segoe UI" w:cs="Segoe UI" w:ascii="Segoe UI" w:hAnsi="Segoe UI"/>
          <w:b/>
          <w:color w:val="101820"/>
          <w:sz w:val="21"/>
        </w:rPr>
        <w:t>Edit</w:t>
      </w:r>
      <w:r>
        <w:rPr>
          <w:rFonts w:eastAsia="Segoe UI" w:cs="Segoe UI" w:ascii="Segoe UI" w:hAnsi="Segoe UI"/>
          <w:color w:val="101820"/>
          <w:sz w:val="21"/>
        </w:rPr>
        <w:t>) edits it.</w:t>
      </w:r>
    </w:p>
    <w:p>
      <w:pPr>
        <w:pStyle w:val="Normal"/>
        <w:shd w:val="clear" w:color="auto" w:fill="EAF2FB"/>
        <w:spacing w:before="0" w:after="160"/>
        <w:ind w:left="170"/>
        <w:rPr/>
      </w:pPr>
      <w:r>
        <w:rPr>
          <w:rFonts w:eastAsia="Segoe UI" w:cs="Segoe UI" w:ascii="Segoe UI" w:hAnsi="Segoe UI"/>
          <w:color w:val="101820"/>
          <w:sz w:val="20"/>
        </w:rPr>
        <w:t>[Screen image not available: 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3"/>
        <w:rPr/>
      </w:pPr>
      <w:r>
        <w:rPr>
          <w:rFonts w:eastAsia="Segoe UI" w:cs="Segoe UI"/>
          <w:b/>
          <w:color w:val="0F4761"/>
          <w:sz w:val="23"/>
        </w:rPr>
        <w:t>10.6.1  Onboard a client before the first policy</w:t>
      </w:r>
    </w:p>
    <w:p>
      <w:pPr>
        <w:pStyle w:val="Normal"/>
        <w:spacing w:lineRule="auto" w:line="276" w:before="0" w:after="120"/>
        <w:rPr/>
      </w:pPr>
      <w:r>
        <w:rPr>
          <w:rFonts w:eastAsia="Segoe UI" w:cs="Segoe UI" w:ascii="Segoe UI" w:hAnsi="Segoe UI"/>
          <w:color w:val="101820"/>
          <w:sz w:val="21"/>
        </w:rPr>
        <w:t xml:space="preserve">A client can be created, identified and checked before any quotation or policy, as customer due diligence requires. A client created by the first policy (a prospect converted, a direct placement) is completed the same way, from </w:t>
      </w:r>
      <w:r>
        <w:rPr>
          <w:rFonts w:eastAsia="Segoe UI" w:cs="Segoe UI" w:ascii="Segoe UI" w:hAnsi="Segoe UI"/>
          <w:b/>
          <w:color w:val="101820"/>
          <w:sz w:val="21"/>
        </w:rPr>
        <w:t>Identification and due diligence</w:t>
      </w:r>
      <w:r>
        <w:rPr>
          <w:rFonts w:eastAsia="Segoe UI" w:cs="Segoe UI" w:ascii="Segoe UI" w:hAnsi="Segoe UI"/>
          <w:color w:val="101820"/>
          <w:sz w:val="21"/>
        </w:rPr>
        <w:t xml:space="preserve"> on the client view.</w:t>
      </w:r>
    </w:p>
    <w:p>
      <w:pPr>
        <w:pStyle w:val="Normal"/>
        <w:shd w:val="clear" w:color="auto" w:fill="EAF2FB"/>
        <w:spacing w:before="0" w:after="160"/>
        <w:ind w:left="170"/>
        <w:rPr/>
      </w:pPr>
      <w:r>
        <w:rPr>
          <w:rFonts w:eastAsia="Segoe UI" w:cs="Segoe UI" w:ascii="Segoe UI" w:hAnsi="Segoe UI"/>
          <w:color w:val="101820"/>
          <w:sz w:val="20"/>
        </w:rPr>
        <w:t>[Screen image not available: Operations &gt; Clients &gt; Onboard client]</w:t>
      </w:r>
    </w:p>
    <w:p>
      <w:pPr>
        <w:pStyle w:val="Normal"/>
        <w:numPr>
          <w:ilvl w:val="0"/>
          <w:numId w:val="302"/>
        </w:numPr>
        <w:spacing w:before="0" w:after="60"/>
        <w:rPr/>
      </w:pPr>
      <w:r>
        <w:rPr>
          <w:rFonts w:eastAsia="Segoe UI" w:cs="Segoe UI" w:ascii="Segoe UI" w:hAnsi="Segoe UI"/>
          <w:color w:val="101820"/>
          <w:sz w:val="21"/>
        </w:rPr>
        <w:t xml:space="preserve">Choose Operations &gt; Clients and select </w:t>
      </w:r>
      <w:r>
        <w:rPr>
          <w:rFonts w:eastAsia="Segoe UI" w:cs="Segoe UI" w:ascii="Segoe UI" w:hAnsi="Segoe UI"/>
          <w:b/>
          <w:color w:val="101820"/>
          <w:sz w:val="21"/>
        </w:rPr>
        <w:t>Onboard client</w:t>
      </w:r>
      <w:r>
        <w:rPr>
          <w:rFonts w:eastAsia="Segoe UI" w:cs="Segoe UI" w:ascii="Segoe UI" w:hAnsi="Segoe UI"/>
          <w:color w:val="101820"/>
          <w:sz w:val="21"/>
        </w:rPr>
        <w:t xml:space="preserve"> (or, on a client view, </w:t>
      </w:r>
      <w:r>
        <w:rPr>
          <w:rFonts w:eastAsia="Segoe UI" w:cs="Segoe UI" w:ascii="Segoe UI" w:hAnsi="Segoe UI"/>
          <w:b/>
          <w:color w:val="101820"/>
          <w:sz w:val="21"/>
        </w:rPr>
        <w:t>Identification and due diligence</w:t>
      </w:r>
      <w:r>
        <w:rPr>
          <w:rFonts w:eastAsia="Segoe UI" w:cs="Segoe UI" w:ascii="Segoe UI" w:hAnsi="Segoe UI"/>
          <w:color w:val="101820"/>
          <w:sz w:val="21"/>
        </w:rPr>
        <w:t>).</w:t>
      </w:r>
    </w:p>
    <w:p>
      <w:pPr>
        <w:pStyle w:val="Normal"/>
        <w:numPr>
          <w:ilvl w:val="0"/>
          <w:numId w:val="30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Client type</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or </w:t>
      </w:r>
      <w:r>
        <w:rPr>
          <w:rFonts w:eastAsia="Segoe UI" w:cs="Segoe UI" w:ascii="Segoe UI" w:hAnsi="Segoe UI"/>
          <w:b/>
          <w:color w:val="101820"/>
          <w:sz w:val="21"/>
        </w:rPr>
        <w:t>Juridical</w:t>
      </w:r>
      <w:r>
        <w:rPr>
          <w:rFonts w:eastAsia="Segoe UI" w:cs="Segoe UI" w:ascii="Segoe UI" w:hAnsi="Segoe UI"/>
          <w:color w:val="101820"/>
          <w:sz w:val="21"/>
        </w:rPr>
        <w:t xml:space="preserve"> for a company, cooperative, partnership or sole proprietorship.</w:t>
      </w:r>
    </w:p>
    <w:p>
      <w:pPr>
        <w:pStyle w:val="Normal"/>
        <w:numPr>
          <w:ilvl w:val="0"/>
          <w:numId w:val="304"/>
        </w:numPr>
        <w:spacing w:before="0" w:after="60"/>
        <w:rPr/>
      </w:pPr>
      <w:r>
        <w:rPr>
          <w:rFonts w:eastAsia="Segoe UI" w:cs="Segoe UI" w:ascii="Segoe UI" w:hAnsi="Segoe UI"/>
          <w:color w:val="101820"/>
          <w:sz w:val="21"/>
        </w:rPr>
        <w:t xml:space="preserve">Individual: enter </w:t>
      </w:r>
      <w:r>
        <w:rPr>
          <w:rFonts w:eastAsia="Segoe UI" w:cs="Segoe UI" w:ascii="Segoe UI" w:hAnsi="Segoe UI"/>
          <w:b/>
          <w:color w:val="101820"/>
          <w:sz w:val="21"/>
        </w:rPr>
        <w:t>First name</w:t>
      </w:r>
      <w:r>
        <w:rPr>
          <w:rFonts w:eastAsia="Segoe UI" w:cs="Segoe UI" w:ascii="Segoe UI" w:hAnsi="Segoe UI"/>
          <w:color w:val="101820"/>
          <w:sz w:val="21"/>
        </w:rPr>
        <w:t xml:space="preserve">, </w:t>
      </w:r>
      <w:r>
        <w:rPr>
          <w:rFonts w:eastAsia="Segoe UI" w:cs="Segoe UI" w:ascii="Segoe UI" w:hAnsi="Segoe UI"/>
          <w:b/>
          <w:color w:val="101820"/>
          <w:sz w:val="21"/>
        </w:rPr>
        <w:t>Middle name</w:t>
      </w:r>
      <w:r>
        <w:rPr>
          <w:rFonts w:eastAsia="Segoe UI" w:cs="Segoe UI" w:ascii="Segoe UI" w:hAnsi="Segoe UI"/>
          <w:color w:val="101820"/>
          <w:sz w:val="21"/>
        </w:rPr>
        <w:t xml:space="preserve">, </w:t>
      </w:r>
      <w:r>
        <w:rPr>
          <w:rFonts w:eastAsia="Segoe UI" w:cs="Segoe UI" w:ascii="Segoe UI" w:hAnsi="Segoe UI"/>
          <w:b/>
          <w:color w:val="101820"/>
          <w:sz w:val="21"/>
        </w:rPr>
        <w:t>Last name</w:t>
      </w:r>
      <w:r>
        <w:rPr>
          <w:rFonts w:eastAsia="Segoe UI" w:cs="Segoe UI" w:ascii="Segoe UI" w:hAnsi="Segoe UI"/>
          <w:color w:val="101820"/>
          <w:sz w:val="21"/>
        </w:rPr>
        <w:t xml:space="preserve">, </w:t>
      </w:r>
      <w:r>
        <w:rPr>
          <w:rFonts w:eastAsia="Segoe UI" w:cs="Segoe UI" w:ascii="Segoe UI" w:hAnsi="Segoe UI"/>
          <w:b/>
          <w:color w:val="101820"/>
          <w:sz w:val="21"/>
        </w:rPr>
        <w:t>Date of birth</w:t>
      </w:r>
      <w:r>
        <w:rPr>
          <w:rFonts w:eastAsia="Segoe UI" w:cs="Segoe UI" w:ascii="Segoe UI" w:hAnsi="Segoe UI"/>
          <w:color w:val="101820"/>
          <w:sz w:val="21"/>
        </w:rPr>
        <w:t xml:space="preserve">, </w:t>
      </w:r>
      <w:r>
        <w:rPr>
          <w:rFonts w:eastAsia="Segoe UI" w:cs="Segoe UI" w:ascii="Segoe UI" w:hAnsi="Segoe UI"/>
          <w:b/>
          <w:color w:val="101820"/>
          <w:sz w:val="21"/>
        </w:rPr>
        <w:t>Place of birth</w:t>
      </w:r>
      <w:r>
        <w:rPr>
          <w:rFonts w:eastAsia="Segoe UI" w:cs="Segoe UI" w:ascii="Segoe UI" w:hAnsi="Segoe UI"/>
          <w:color w:val="101820"/>
          <w:sz w:val="21"/>
        </w:rPr>
        <w:t xml:space="preserve">, </w:t>
      </w:r>
      <w:r>
        <w:rPr>
          <w:rFonts w:eastAsia="Segoe UI" w:cs="Segoe UI" w:ascii="Segoe UI" w:hAnsi="Segoe UI"/>
          <w:b/>
          <w:color w:val="101820"/>
          <w:sz w:val="21"/>
        </w:rPr>
        <w:t>Civil status</w:t>
      </w:r>
      <w:r>
        <w:rPr>
          <w:rFonts w:eastAsia="Segoe UI" w:cs="Segoe UI" w:ascii="Segoe UI" w:hAnsi="Segoe UI"/>
          <w:color w:val="101820"/>
          <w:sz w:val="21"/>
        </w:rPr>
        <w:t xml:space="preserve">, </w:t>
      </w:r>
      <w:r>
        <w:rPr>
          <w:rFonts w:eastAsia="Segoe UI" w:cs="Segoe UI" w:ascii="Segoe UI" w:hAnsi="Segoe UI"/>
          <w:b/>
          <w:color w:val="101820"/>
          <w:sz w:val="21"/>
        </w:rPr>
        <w:t>Nationality</w:t>
      </w:r>
      <w:r>
        <w:rPr>
          <w:rFonts w:eastAsia="Segoe UI" w:cs="Segoe UI" w:ascii="Segoe UI" w:hAnsi="Segoe UI"/>
          <w:color w:val="101820"/>
          <w:sz w:val="21"/>
        </w:rPr>
        <w:t xml:space="preserve">, </w:t>
      </w:r>
      <w:r>
        <w:rPr>
          <w:rFonts w:eastAsia="Segoe UI" w:cs="Segoe UI" w:ascii="Segoe UI" w:hAnsi="Segoe UI"/>
          <w:b/>
          <w:color w:val="101820"/>
          <w:sz w:val="21"/>
        </w:rPr>
        <w:t>Occupation or nature of work</w:t>
      </w:r>
      <w:r>
        <w:rPr>
          <w:rFonts w:eastAsia="Segoe UI" w:cs="Segoe UI" w:ascii="Segoe UI" w:hAnsi="Segoe UI"/>
          <w:color w:val="101820"/>
          <w:sz w:val="21"/>
        </w:rPr>
        <w:t xml:space="preserve">, </w:t>
      </w:r>
      <w:r>
        <w:rPr>
          <w:rFonts w:eastAsia="Segoe UI" w:cs="Segoe UI" w:ascii="Segoe UI" w:hAnsi="Segoe UI"/>
          <w:b/>
          <w:color w:val="101820"/>
          <w:sz w:val="21"/>
        </w:rPr>
        <w:t>Employer or business name</w:t>
      </w:r>
      <w:r>
        <w:rPr>
          <w:rFonts w:eastAsia="Segoe UI" w:cs="Segoe UI" w:ascii="Segoe UI" w:hAnsi="Segoe UI"/>
          <w:color w:val="101820"/>
          <w:sz w:val="21"/>
        </w:rPr>
        <w:t xml:space="preserve">, </w:t>
      </w:r>
      <w:r>
        <w:rPr>
          <w:rFonts w:eastAsia="Segoe UI" w:cs="Segoe UI" w:ascii="Segoe UI" w:hAnsi="Segoe UI"/>
          <w:b/>
          <w:color w:val="101820"/>
          <w:sz w:val="21"/>
        </w:rPr>
        <w:t>Source of funds</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 xml:space="preserve">, then the </w:t>
      </w:r>
      <w:r>
        <w:rPr>
          <w:rFonts w:eastAsia="Segoe UI" w:cs="Segoe UI" w:ascii="Segoe UI" w:hAnsi="Segoe UI"/>
          <w:b/>
          <w:color w:val="101820"/>
          <w:sz w:val="21"/>
        </w:rPr>
        <w:t>Government ID presented</w:t>
      </w:r>
      <w:r>
        <w:rPr>
          <w:rFonts w:eastAsia="Segoe UI" w:cs="Segoe UI" w:ascii="Segoe UI" w:hAnsi="Segoe UI"/>
          <w:color w:val="101820"/>
          <w:sz w:val="21"/>
        </w:rPr>
        <w:t xml:space="preserve"> (ID type from the Government ID Type master, </w:t>
      </w:r>
      <w:r>
        <w:rPr>
          <w:rFonts w:eastAsia="Segoe UI" w:cs="Segoe UI" w:ascii="Segoe UI" w:hAnsi="Segoe UI"/>
          <w:b/>
          <w:color w:val="101820"/>
          <w:sz w:val="21"/>
        </w:rPr>
        <w:t>ID number</w:t>
      </w:r>
      <w:r>
        <w:rPr>
          <w:rFonts w:eastAsia="Segoe UI" w:cs="Segoe UI" w:ascii="Segoe UI" w:hAnsi="Segoe UI"/>
          <w:color w:val="101820"/>
          <w:sz w:val="21"/>
        </w:rPr>
        <w:t xml:space="preserve">, </w:t>
      </w:r>
      <w:r>
        <w:rPr>
          <w:rFonts w:eastAsia="Segoe UI" w:cs="Segoe UI" w:ascii="Segoe UI" w:hAnsi="Segoe UI"/>
          <w:b/>
          <w:color w:val="101820"/>
          <w:sz w:val="21"/>
        </w:rPr>
        <w:t>ID expiry date</w:t>
      </w:r>
      <w:r>
        <w:rPr>
          <w:rFonts w:eastAsia="Segoe UI" w:cs="Segoe UI" w:ascii="Segoe UI" w:hAnsi="Segoe UI"/>
          <w:color w:val="101820"/>
          <w:sz w:val="21"/>
        </w:rPr>
        <w:t xml:space="preserve">). Juridical: enter the </w:t>
      </w:r>
      <w:r>
        <w:rPr>
          <w:rFonts w:eastAsia="Segoe UI" w:cs="Segoe UI" w:ascii="Segoe UI" w:hAnsi="Segoe UI"/>
          <w:b/>
          <w:color w:val="101820"/>
          <w:sz w:val="21"/>
        </w:rPr>
        <w:t>Registered name</w:t>
      </w:r>
      <w:r>
        <w:rPr>
          <w:rFonts w:eastAsia="Segoe UI" w:cs="Segoe UI" w:ascii="Segoe UI" w:hAnsi="Segoe UI"/>
          <w:color w:val="101820"/>
          <w:sz w:val="21"/>
        </w:rPr>
        <w:t xml:space="preserve">, </w:t>
      </w:r>
      <w:r>
        <w:rPr>
          <w:rFonts w:eastAsia="Segoe UI" w:cs="Segoe UI" w:ascii="Segoe UI" w:hAnsi="Segoe UI"/>
          <w:b/>
          <w:color w:val="101820"/>
          <w:sz w:val="21"/>
        </w:rPr>
        <w:t>Trade name</w:t>
      </w:r>
      <w:r>
        <w:rPr>
          <w:rFonts w:eastAsia="Segoe UI" w:cs="Segoe UI" w:ascii="Segoe UI" w:hAnsi="Segoe UI"/>
          <w:color w:val="101820"/>
          <w:sz w:val="21"/>
        </w:rPr>
        <w:t xml:space="preserve">, </w:t>
      </w:r>
      <w:r>
        <w:rPr>
          <w:rFonts w:eastAsia="Segoe UI" w:cs="Segoe UI" w:ascii="Segoe UI" w:hAnsi="Segoe UI"/>
          <w:b/>
          <w:color w:val="101820"/>
          <w:sz w:val="21"/>
        </w:rPr>
        <w:t>Customer type</w:t>
      </w:r>
      <w:r>
        <w:rPr>
          <w:rFonts w:eastAsia="Segoe UI" w:cs="Segoe UI" w:ascii="Segoe UI" w:hAnsi="Segoe UI"/>
          <w:color w:val="101820"/>
          <w:sz w:val="21"/>
        </w:rPr>
        <w:t xml:space="preserve">, </w:t>
      </w:r>
      <w:r>
        <w:rPr>
          <w:rFonts w:eastAsia="Segoe UI" w:cs="Segoe UI" w:ascii="Segoe UI" w:hAnsi="Segoe UI"/>
          <w:b/>
          <w:color w:val="101820"/>
          <w:sz w:val="21"/>
        </w:rPr>
        <w:t>Registered with</w:t>
      </w:r>
      <w:r>
        <w:rPr>
          <w:rFonts w:eastAsia="Segoe UI" w:cs="Segoe UI" w:ascii="Segoe UI" w:hAnsi="Segoe UI"/>
          <w:color w:val="101820"/>
          <w:sz w:val="21"/>
        </w:rPr>
        <w:t xml:space="preserve"> (SEC, DTI or CDA), </w:t>
      </w:r>
      <w:r>
        <w:rPr>
          <w:rFonts w:eastAsia="Segoe UI" w:cs="Segoe UI" w:ascii="Segoe UI" w:hAnsi="Segoe UI"/>
          <w:b/>
          <w:color w:val="101820"/>
          <w:sz w:val="21"/>
        </w:rPr>
        <w:t>Registration number</w:t>
      </w:r>
      <w:r>
        <w:rPr>
          <w:rFonts w:eastAsia="Segoe UI" w:cs="Segoe UI" w:ascii="Segoe UI" w:hAnsi="Segoe UI"/>
          <w:color w:val="101820"/>
          <w:sz w:val="21"/>
        </w:rPr>
        <w:t xml:space="preserve">, </w:t>
      </w:r>
      <w:r>
        <w:rPr>
          <w:rFonts w:eastAsia="Segoe UI" w:cs="Segoe UI" w:ascii="Segoe UI" w:hAnsi="Segoe UI"/>
          <w:b/>
          <w:color w:val="101820"/>
          <w:sz w:val="21"/>
        </w:rPr>
        <w:t>Date of registration</w:t>
      </w:r>
      <w:r>
        <w:rPr>
          <w:rFonts w:eastAsia="Segoe UI" w:cs="Segoe UI" w:ascii="Segoe UI" w:hAnsi="Segoe UI"/>
          <w:color w:val="101820"/>
          <w:sz w:val="21"/>
        </w:rPr>
        <w:t xml:space="preserve">, </w:t>
      </w:r>
      <w:r>
        <w:rPr>
          <w:rFonts w:eastAsia="Segoe UI" w:cs="Segoe UI" w:ascii="Segoe UI" w:hAnsi="Segoe UI"/>
          <w:b/>
          <w:color w:val="101820"/>
          <w:sz w:val="21"/>
        </w:rPr>
        <w:t>Nature of business</w:t>
      </w:r>
      <w:r>
        <w:rPr>
          <w:rFonts w:eastAsia="Segoe UI" w:cs="Segoe UI" w:ascii="Segoe UI" w:hAnsi="Segoe UI"/>
          <w:color w:val="101820"/>
          <w:sz w:val="21"/>
        </w:rPr>
        <w:t xml:space="preserve">, </w:t>
      </w:r>
      <w:r>
        <w:rPr>
          <w:rFonts w:eastAsia="Segoe UI" w:cs="Segoe UI" w:ascii="Segoe UI" w:hAnsi="Segoe UI"/>
          <w:b/>
          <w:color w:val="101820"/>
          <w:sz w:val="21"/>
        </w:rPr>
        <w:t>Country of incorporation</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305"/>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Mobile number</w:t>
      </w:r>
      <w:r>
        <w:rPr>
          <w:rFonts w:eastAsia="Segoe UI" w:cs="Segoe UI" w:ascii="Segoe UI" w:hAnsi="Segoe UI"/>
          <w:color w:val="101820"/>
          <w:sz w:val="21"/>
        </w:rPr>
        <w:t xml:space="preserve"> (09XXXXXXXXX or +639XXXXXXXXX), the e-mail and the Philippine address: ZIP code, region, province, city or municipality and barangay come from the PSGC masters.</w:t>
      </w:r>
    </w:p>
    <w:p>
      <w:pPr>
        <w:pStyle w:val="Normal"/>
        <w:numPr>
          <w:ilvl w:val="0"/>
          <w:numId w:val="30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Expected business and PEP</w:t>
      </w:r>
      <w:r>
        <w:rPr>
          <w:rFonts w:eastAsia="Segoe UI" w:cs="Segoe UI" w:ascii="Segoe UI" w:hAnsi="Segoe UI"/>
          <w:color w:val="101820"/>
          <w:sz w:val="21"/>
        </w:rPr>
        <w:t xml:space="preserve"> enter the lines of business expected, the usual payment mode and the expected annual premium, and switch on </w:t>
      </w:r>
      <w:r>
        <w:rPr>
          <w:rFonts w:eastAsia="Segoe UI" w:cs="Segoe UI" w:ascii="Segoe UI" w:hAnsi="Segoe UI"/>
          <w:b/>
          <w:color w:val="101820"/>
          <w:sz w:val="21"/>
        </w:rPr>
        <w:t>Politically exposed person</w:t>
      </w:r>
      <w:r>
        <w:rPr>
          <w:rFonts w:eastAsia="Segoe UI" w:cs="Segoe UI" w:ascii="Segoe UI" w:hAnsi="Segoe UI"/>
          <w:color w:val="101820"/>
          <w:sz w:val="21"/>
        </w:rPr>
        <w:t xml:space="preserve"> with the details when the client, a family member or a close associate holds a prominent public position.</w:t>
      </w:r>
    </w:p>
    <w:p>
      <w:pPr>
        <w:pStyle w:val="Normal"/>
        <w:numPr>
          <w:ilvl w:val="0"/>
          <w:numId w:val="307"/>
        </w:numPr>
        <w:spacing w:before="0" w:after="60"/>
        <w:rPr/>
      </w:pPr>
      <w:r>
        <w:rPr>
          <w:rFonts w:eastAsia="Segoe UI" w:cs="Segoe UI" w:ascii="Segoe UI" w:hAnsi="Segoe UI"/>
          <w:color w:val="101820"/>
          <w:sz w:val="21"/>
        </w:rPr>
        <w:t xml:space="preserve">Juridical client: </w:t>
      </w:r>
      <w:r>
        <w:rPr>
          <w:rFonts w:eastAsia="Segoe UI" w:cs="Segoe UI" w:ascii="Segoe UI" w:hAnsi="Segoe UI"/>
          <w:b/>
          <w:color w:val="101820"/>
          <w:sz w:val="21"/>
        </w:rPr>
        <w:t>Add signatory</w:t>
      </w:r>
      <w:r>
        <w:rPr>
          <w:rFonts w:eastAsia="Segoe UI" w:cs="Segoe UI" w:ascii="Segoe UI" w:hAnsi="Segoe UI"/>
          <w:color w:val="101820"/>
          <w:sz w:val="21"/>
        </w:rPr>
        <w:t xml:space="preserve"> for each authorised signatory with the board resolution or secretary's certificate that authorises him or her (number and date), and </w:t>
      </w:r>
      <w:r>
        <w:rPr>
          <w:rFonts w:eastAsia="Segoe UI" w:cs="Segoe UI" w:ascii="Segoe UI" w:hAnsi="Segoe UI"/>
          <w:b/>
          <w:color w:val="101820"/>
          <w:sz w:val="21"/>
        </w:rPr>
        <w:t>Add beneficial owner</w:t>
      </w:r>
      <w:r>
        <w:rPr>
          <w:rFonts w:eastAsia="Segoe UI" w:cs="Segoe UI" w:ascii="Segoe UI" w:hAnsi="Segoe UI"/>
          <w:color w:val="101820"/>
          <w:sz w:val="21"/>
        </w:rPr>
        <w:t xml:space="preserve"> for each natural person who owns at least the beneficial owner threshold (25% by default, </w:t>
      </w:r>
      <w:r>
        <w:rPr>
          <w:rFonts w:eastAsia="Consolas" w:cs="Consolas" w:ascii="Consolas" w:hAnsi="Consolas"/>
          <w:color w:val="101820"/>
          <w:sz w:val="19"/>
        </w:rPr>
        <w:t>clients.beneficial_owner_threshold</w:t>
      </w:r>
      <w:r>
        <w:rPr>
          <w:rFonts w:eastAsia="Segoe UI" w:cs="Segoe UI" w:ascii="Segoe UI" w:hAnsi="Segoe UI"/>
          <w:color w:val="101820"/>
          <w:sz w:val="21"/>
        </w:rPr>
        <w:t>) or controls the client by other means; when no one does, record the senior managing official.</w:t>
      </w:r>
    </w:p>
    <w:p>
      <w:pPr>
        <w:pStyle w:val="Normal"/>
        <w:numPr>
          <w:ilvl w:val="0"/>
          <w:numId w:val="30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Onboard client</w:t>
      </w:r>
      <w:r>
        <w:rPr>
          <w:rFonts w:eastAsia="Segoe UI" w:cs="Segoe UI" w:ascii="Segoe UI" w:hAnsi="Segoe UI"/>
          <w:color w:val="101820"/>
          <w:sz w:val="21"/>
        </w:rPr>
        <w:t xml:space="preserve">. The client gets its client code; its KYC status shows at the top: </w:t>
      </w:r>
      <w:r>
        <w:rPr>
          <w:rFonts w:eastAsia="Segoe UI" w:cs="Segoe UI" w:ascii="Segoe UI" w:hAnsi="Segoe UI"/>
          <w:b/>
          <w:color w:val="101820"/>
          <w:sz w:val="21"/>
        </w:rPr>
        <w:t>Complete</w:t>
      </w:r>
      <w:r>
        <w:rPr>
          <w:rFonts w:eastAsia="Segoe UI" w:cs="Segoe UI" w:ascii="Segoe UI" w:hAnsi="Segoe UI"/>
          <w:color w:val="101820"/>
          <w:sz w:val="21"/>
        </w:rPr>
        <w:t xml:space="preserve">, or </w:t>
      </w:r>
      <w:r>
        <w:rPr>
          <w:rFonts w:eastAsia="Segoe UI" w:cs="Segoe UI" w:ascii="Segoe UI" w:hAnsi="Segoe UI"/>
          <w:b/>
          <w:color w:val="101820"/>
          <w:sz w:val="21"/>
        </w:rPr>
        <w:t>Incomplete</w:t>
      </w:r>
      <w:r>
        <w:rPr>
          <w:rFonts w:eastAsia="Segoe UI" w:cs="Segoe UI" w:ascii="Segoe UI" w:hAnsi="Segoe UI"/>
          <w:color w:val="101820"/>
          <w:sz w:val="21"/>
        </w:rPr>
        <w:t xml:space="preserve"> with the identification still missing listed under it.</w:t>
      </w:r>
    </w:p>
    <w:p>
      <w:pPr>
        <w:pStyle w:val="Normal"/>
        <w:numPr>
          <w:ilvl w:val="0"/>
          <w:numId w:val="309"/>
        </w:numPr>
        <w:spacing w:before="0" w:after="60"/>
        <w:rPr/>
      </w:pPr>
      <w:r>
        <w:rPr>
          <w:rFonts w:eastAsia="Segoe UI" w:cs="Segoe UI" w:ascii="Segoe UI" w:hAnsi="Segoe UI"/>
          <w:color w:val="101820"/>
          <w:sz w:val="21"/>
        </w:rPr>
        <w:t xml:space="preserve">Upload the ID, the registration certificate, the General Information Sheet and the board resolution or secretary's certificate under </w:t>
      </w:r>
      <w:r>
        <w:rPr>
          <w:rFonts w:eastAsia="Segoe UI" w:cs="Segoe UI" w:ascii="Segoe UI" w:hAnsi="Segoe UI"/>
          <w:b/>
          <w:color w:val="101820"/>
          <w:sz w:val="21"/>
        </w:rPr>
        <w:t>KYC documents</w:t>
      </w:r>
      <w:r>
        <w:rPr>
          <w:rFonts w:eastAsia="Segoe UI" w:cs="Segoe UI" w:ascii="Segoe UI" w:hAnsi="Segoe UI"/>
          <w:color w:val="101820"/>
          <w:sz w:val="21"/>
        </w:rPr>
        <w:t xml:space="preserve">: choose the document type, what it relates to (client, signatory or owner), an expiry date when there is one, the file, and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mobile number, TIN and the identification required for the client type are checked when you save. For a juridical client, the beneficial owners are checked as well: owners declared above 100% in total, or an owner below the threshold recorded as owning the client, are shown as warnings.</w:t>
      </w:r>
    </w:p>
    <w:p>
      <w:pPr>
        <w:pStyle w:val="Heading2"/>
        <w:rPr/>
      </w:pPr>
      <w:bookmarkStart w:id="90" w:name="__RefHeading___Toc21697_17926050"/>
      <w:bookmarkEnd w:id="90"/>
      <w:r>
        <w:rPr>
          <w:rFonts w:eastAsia="Segoe UI" w:cs="Segoe UI"/>
          <w:b/>
          <w:color w:val="0F4761"/>
          <w:sz w:val="26"/>
        </w:rPr>
        <w:t>10.7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310"/>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311"/>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312"/>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313"/>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31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shd w:val="clear" w:color="auto" w:fill="EAF2FB"/>
        <w:spacing w:before="0" w:after="160"/>
        <w:ind w:left="170"/>
        <w:rPr/>
      </w:pPr>
      <w:r>
        <w:rPr>
          <w:rFonts w:eastAsia="Segoe UI" w:cs="Segoe UI" w:ascii="Segoe UI" w:hAnsi="Segoe UI"/>
          <w:color w:val="101820"/>
          <w:sz w:val="20"/>
        </w:rPr>
        <w:t>[Screen image not available: 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[Screen image not available: 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shd w:val="clear" w:color="auto" w:fill="EAF2FB"/>
        <w:spacing w:before="0" w:after="160"/>
        <w:ind w:left="170"/>
        <w:rPr/>
      </w:pPr>
      <w:r>
        <w:rPr>
          <w:rFonts w:eastAsia="Segoe UI" w:cs="Segoe UI" w:ascii="Segoe UI" w:hAnsi="Segoe UI"/>
          <w:color w:val="101820"/>
          <w:sz w:val="20"/>
        </w:rPr>
        <w:t>[Screen image not available: 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91" w:name="__RefHeading___Toc21699_17926050"/>
      <w:bookmarkEnd w:id="91"/>
      <w:r>
        <w:rPr>
          <w:rFonts w:eastAsia="Segoe UI" w:cs="Segoe UI"/>
          <w:b/>
          <w:color w:val="0F4761"/>
          <w:sz w:val="26"/>
        </w:rPr>
        <w:t>10.8  Cover notes (binders)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Cover Notes]</w:t>
      </w:r>
    </w:p>
    <w:p>
      <w:pPr>
        <w:pStyle w:val="Normal"/>
        <w:spacing w:lineRule="auto" w:line="276" w:before="0" w:after="120"/>
        <w:rPr/>
      </w:pPr>
      <w:r>
        <w:rPr>
          <w:rFonts w:eastAsia="Segoe UI" w:cs="Segoe UI" w:ascii="Segoe UI" w:hAnsi="Segoe UI"/>
          <w:color w:val="101820"/>
          <w:sz w:val="21"/>
        </w:rPr>
        <w:t xml:space="preserve">A cover note is temporary evidence of cover that the broker gives the client while the insurer issues the policy. It is issued from a quotation the customer accepted or from a placement slip sent to (or bound by) the insurers, and it stays in force for the cover period (30 days by default, setting </w:t>
      </w:r>
      <w:r>
        <w:rPr>
          <w:rFonts w:eastAsia="Consolas" w:cs="Consolas" w:ascii="Consolas" w:hAnsi="Consolas"/>
          <w:color w:val="101820"/>
          <w:sz w:val="19"/>
        </w:rPr>
        <w:t>cover_note.validity_days</w:t>
      </w:r>
      <w:r>
        <w:rPr>
          <w:rFonts w:eastAsia="Segoe UI" w:cs="Segoe UI" w:ascii="Segoe UI" w:hAnsi="Segoe UI"/>
          <w:color w:val="101820"/>
          <w:sz w:val="21"/>
        </w:rPr>
        <w:t>).</w:t>
      </w:r>
    </w:p>
    <w:p>
      <w:pPr>
        <w:pStyle w:val="Normal"/>
        <w:numPr>
          <w:ilvl w:val="0"/>
          <w:numId w:val="315"/>
        </w:numPr>
        <w:spacing w:before="0" w:after="60"/>
        <w:rPr/>
      </w:pPr>
      <w:r>
        <w:rPr>
          <w:rFonts w:eastAsia="Segoe UI" w:cs="Segoe UI" w:ascii="Segoe UI" w:hAnsi="Segoe UI"/>
          <w:color w:val="101820"/>
          <w:sz w:val="21"/>
        </w:rPr>
        <w:t xml:space="preserve">Choose Operations &gt; Cover Notes and select </w:t>
      </w:r>
      <w:r>
        <w:rPr>
          <w:rFonts w:eastAsia="Segoe UI" w:cs="Segoe UI" w:ascii="Segoe UI" w:hAnsi="Segoe UI"/>
          <w:b/>
          <w:color w:val="101820"/>
          <w:sz w:val="21"/>
        </w:rPr>
        <w:t>Issue cover note</w:t>
      </w:r>
      <w:r>
        <w:rPr>
          <w:rFonts w:eastAsia="Segoe UI" w:cs="Segoe UI" w:ascii="Segoe UI" w:hAnsi="Segoe UI"/>
          <w:color w:val="101820"/>
          <w:sz w:val="21"/>
        </w:rPr>
        <w:t>.</w:t>
      </w:r>
    </w:p>
    <w:p>
      <w:pPr>
        <w:pStyle w:val="Normal"/>
        <w:numPr>
          <w:ilvl w:val="0"/>
          <w:numId w:val="316"/>
        </w:numPr>
        <w:spacing w:before="0" w:after="60"/>
        <w:rPr/>
      </w:pPr>
      <w:r>
        <w:rPr>
          <w:rFonts w:eastAsia="Segoe UI" w:cs="Segoe UI" w:ascii="Segoe UI" w:hAnsi="Segoe UI"/>
          <w:color w:val="101820"/>
          <w:sz w:val="21"/>
        </w:rPr>
        <w:t xml:space="preserve">Search the quotation, placement slip or client and select the row. Only quotations whose status is in </w:t>
      </w:r>
      <w:r>
        <w:rPr>
          <w:rFonts w:eastAsia="Consolas" w:cs="Consolas" w:ascii="Consolas" w:hAnsi="Consolas"/>
          <w:color w:val="101820"/>
          <w:sz w:val="19"/>
        </w:rPr>
        <w:t>cover_note.quote_statuses</w:t>
      </w:r>
      <w:r>
        <w:rPr>
          <w:rFonts w:eastAsia="Segoe UI" w:cs="Segoe UI" w:ascii="Segoe UI" w:hAnsi="Segoe UI"/>
          <w:color w:val="101820"/>
          <w:sz w:val="21"/>
        </w:rPr>
        <w:t xml:space="preserve"> (accepted, approved, submitted) and placement slips in </w:t>
      </w:r>
      <w:r>
        <w:rPr>
          <w:rFonts w:eastAsia="Consolas" w:cs="Consolas" w:ascii="Consolas" w:hAnsi="Consolas"/>
          <w:color w:val="101820"/>
          <w:sz w:val="19"/>
        </w:rPr>
        <w:t>cover_note.placement_statuses</w:t>
      </w:r>
      <w:r>
        <w:rPr>
          <w:rFonts w:eastAsia="Segoe UI" w:cs="Segoe UI" w:ascii="Segoe UI" w:hAnsi="Segoe UI"/>
          <w:color w:val="101820"/>
          <w:sz w:val="21"/>
        </w:rPr>
        <w:t xml:space="preserve"> (sent, bound) without a policy or an active cover note are listed.</w:t>
      </w:r>
    </w:p>
    <w:p>
      <w:pPr>
        <w:pStyle w:val="Normal"/>
        <w:numPr>
          <w:ilvl w:val="0"/>
          <w:numId w:val="317"/>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Cover from</w:t>
      </w:r>
      <w:r>
        <w:rPr>
          <w:rFonts w:eastAsia="Segoe UI" w:cs="Segoe UI" w:ascii="Segoe UI" w:hAnsi="Segoe UI"/>
          <w:color w:val="101820"/>
          <w:sz w:val="21"/>
        </w:rPr>
        <w:t xml:space="preserve"> (the inception of the placement, else today), the </w:t>
      </w:r>
      <w:r>
        <w:rPr>
          <w:rFonts w:eastAsia="Segoe UI" w:cs="Segoe UI" w:ascii="Segoe UI" w:hAnsi="Segoe UI"/>
          <w:b/>
          <w:color w:val="101820"/>
          <w:sz w:val="21"/>
        </w:rPr>
        <w:t>Cover period (days)</w:t>
      </w:r>
      <w:r>
        <w:rPr>
          <w:rFonts w:eastAsia="Segoe UI" w:cs="Segoe UI" w:ascii="Segoe UI" w:hAnsi="Segoe UI"/>
          <w:color w:val="101820"/>
          <w:sz w:val="21"/>
        </w:rPr>
        <w:t xml:space="preserve"> (empty: the default; at most </w:t>
      </w:r>
      <w:r>
        <w:rPr>
          <w:rFonts w:eastAsia="Consolas" w:cs="Consolas" w:ascii="Consolas" w:hAnsi="Consolas"/>
          <w:color w:val="101820"/>
          <w:sz w:val="19"/>
        </w:rPr>
        <w:t>cover_note.max_validity_days</w:t>
      </w:r>
      <w:r>
        <w:rPr>
          <w:rFonts w:eastAsia="Segoe UI" w:cs="Segoe UI" w:ascii="Segoe UI" w:hAnsi="Segoe UI"/>
          <w:color w:val="101820"/>
          <w:sz w:val="21"/>
        </w:rPr>
        <w:t xml:space="preserve">), the </w:t>
      </w:r>
      <w:r>
        <w:rPr>
          <w:rFonts w:eastAsia="Segoe UI" w:cs="Segoe UI" w:ascii="Segoe UI" w:hAnsi="Segoe UI"/>
          <w:b/>
          <w:color w:val="101820"/>
          <w:sz w:val="21"/>
        </w:rPr>
        <w:t>Insurer binder reference</w:t>
      </w:r>
      <w:r>
        <w:rPr>
          <w:rFonts w:eastAsia="Segoe UI" w:cs="Segoe UI" w:ascii="Segoe UI" w:hAnsi="Segoe UI"/>
          <w:color w:val="101820"/>
          <w:sz w:val="21"/>
        </w:rPr>
        <w:t xml:space="preserve"> and any </w:t>
      </w:r>
      <w:r>
        <w:rPr>
          <w:rFonts w:eastAsia="Segoe UI" w:cs="Segoe UI" w:ascii="Segoe UI" w:hAnsi="Segoe UI"/>
          <w:b/>
          <w:color w:val="101820"/>
          <w:sz w:val="21"/>
        </w:rPr>
        <w:t>Special conditions</w:t>
      </w:r>
      <w:r>
        <w:rPr>
          <w:rFonts w:eastAsia="Segoe UI" w:cs="Segoe UI" w:ascii="Segoe UI" w:hAnsi="Segoe UI"/>
          <w:color w:val="101820"/>
          <w:sz w:val="21"/>
        </w:rPr>
        <w:t>.</w:t>
      </w:r>
    </w:p>
    <w:p>
      <w:pPr>
        <w:pStyle w:val="Normal"/>
        <w:numPr>
          <w:ilvl w:val="0"/>
          <w:numId w:val="31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cover note</w:t>
      </w:r>
      <w:r>
        <w:rPr>
          <w:rFonts w:eastAsia="Segoe UI" w:cs="Segoe UI" w:ascii="Segoe UI" w:hAnsi="Segoe UI"/>
          <w:color w:val="101820"/>
          <w:sz w:val="21"/>
        </w:rPr>
        <w:t>. The number is CVN-YYYY-NNNNN (Master &gt; Document Numbering, series cover_note).</w:t>
      </w:r>
    </w:p>
    <w:p>
      <w:pPr>
        <w:pStyle w:val="Normal"/>
        <w:spacing w:lineRule="auto" w:line="276" w:before="0" w:after="120"/>
        <w:rPr/>
      </w:pPr>
      <w:r>
        <w:rPr>
          <w:rFonts w:eastAsia="Segoe UI" w:cs="Segoe UI" w:ascii="Segoe UI" w:hAnsi="Segoe UI"/>
          <w:color w:val="101820"/>
          <w:sz w:val="21"/>
        </w:rPr>
        <w:t xml:space="preserve">On the list, </w:t>
      </w:r>
      <w:r>
        <w:rPr>
          <w:rFonts w:eastAsia="Segoe UI" w:cs="Segoe UI" w:ascii="Segoe UI" w:hAnsi="Segoe UI"/>
          <w:b/>
          <w:color w:val="101820"/>
          <w:sz w:val="21"/>
        </w:rPr>
        <w:t>Print</w:t>
      </w:r>
      <w:r>
        <w:rPr>
          <w:rFonts w:eastAsia="Segoe UI" w:cs="Segoe UI" w:ascii="Segoe UI" w:hAnsi="Segoe UI"/>
          <w:color w:val="101820"/>
          <w:sz w:val="21"/>
        </w:rPr>
        <w:t xml:space="preserve"> opens the cover note with the company letterhead, the cover, the risk, the wording of </w:t>
      </w:r>
      <w:r>
        <w:rPr>
          <w:rFonts w:eastAsia="Consolas" w:cs="Consolas" w:ascii="Consolas" w:hAnsi="Consolas"/>
          <w:color w:val="101820"/>
          <w:sz w:val="19"/>
        </w:rPr>
        <w:t>cover_note.wording</w:t>
      </w:r>
      <w:r>
        <w:rPr>
          <w:rFonts w:eastAsia="Segoe UI" w:cs="Segoe UI" w:ascii="Segoe UI" w:hAnsi="Segoe UI"/>
          <w:color w:val="101820"/>
          <w:sz w:val="21"/>
        </w:rPr>
        <w:t xml:space="preserve"> and the signature block; </w:t>
      </w:r>
      <w:r>
        <w:rPr>
          <w:rFonts w:eastAsia="Segoe UI" w:cs="Segoe UI" w:ascii="Segoe UI" w:hAnsi="Segoe UI"/>
          <w:b/>
          <w:color w:val="101820"/>
          <w:sz w:val="21"/>
        </w:rPr>
        <w:t>E-mail to the client</w:t>
      </w:r>
      <w:r>
        <w:rPr>
          <w:rFonts w:eastAsia="Segoe UI" w:cs="Segoe UI" w:ascii="Segoe UI" w:hAnsi="Segoe UI"/>
          <w:color w:val="101820"/>
          <w:sz w:val="21"/>
        </w:rPr>
        <w:t xml:space="preserve"> sends the PDF (e-mail template </w:t>
      </w:r>
      <w:r>
        <w:rPr>
          <w:rFonts w:eastAsia="Consolas" w:cs="Consolas" w:ascii="Consolas" w:hAnsi="Consolas"/>
          <w:color w:val="101820"/>
          <w:sz w:val="19"/>
        </w:rPr>
        <w:t>cover_note</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asks for a reason.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 note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 until the end of the cover period.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Superseded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of the quotation or placement slip was issued; the policy number is shown and the cover note ends.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cover period ended before the policy was issued. The policy is still linked when it is issued later.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a user (reason kept in the audit trail).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daily job </w:t>
      </w:r>
      <w:r>
        <w:rPr>
          <w:rFonts w:eastAsia="Segoe UI" w:cs="Segoe UI" w:ascii="Segoe UI" w:hAnsi="Segoe UI"/>
          <w:b/>
          <w:color w:val="101820"/>
          <w:sz w:val="21"/>
        </w:rPr>
        <w:t>Cover note expiry</w:t>
      </w:r>
      <w:r>
        <w:rPr>
          <w:rFonts w:eastAsia="Segoe UI" w:cs="Segoe UI" w:ascii="Segoe UI" w:hAnsi="Segoe UI"/>
          <w:color w:val="101820"/>
          <w:sz w:val="21"/>
        </w:rPr>
        <w:t xml:space="preserve"> (Master &gt; Schedules) reminds the owner of the quotation or placement </w:t>
      </w:r>
      <w:r>
        <w:rPr>
          <w:rFonts w:eastAsia="Consolas" w:cs="Consolas" w:ascii="Consolas" w:hAnsi="Consolas"/>
          <w:color w:val="101820"/>
          <w:sz w:val="19"/>
        </w:rPr>
        <w:t>cover_note.reminder_days_before</w:t>
      </w:r>
      <w:r>
        <w:rPr>
          <w:rFonts w:eastAsia="Segoe UI" w:cs="Segoe UI" w:ascii="Segoe UI" w:hAnsi="Segoe UI"/>
          <w:color w:val="101820"/>
          <w:sz w:val="21"/>
        </w:rPr>
        <w:t xml:space="preserve"> days (7) before the end date, expires cover notes past their end date and links issued policies.</w:t>
      </w:r>
    </w:p>
    <w:p>
      <w:pPr>
        <w:pStyle w:val="Heading2"/>
        <w:rPr/>
      </w:pPr>
      <w:bookmarkStart w:id="92" w:name="__RefHeading___Toc21701_17926050"/>
      <w:bookmarkEnd w:id="92"/>
      <w:r>
        <w:rPr>
          <w:rFonts w:eastAsia="Segoe UI" w:cs="Segoe UI"/>
          <w:b/>
          <w:color w:val="0F4761"/>
          <w:sz w:val="26"/>
        </w:rPr>
        <w:t>10.9  Cancel a policy: computed return premium</w:t>
      </w:r>
    </w:p>
    <w:p>
      <w:pPr>
        <w:pStyle w:val="Normal"/>
        <w:spacing w:lineRule="auto" w:line="276" w:before="0" w:after="120"/>
        <w:rPr/>
      </w:pPr>
      <w:r>
        <w:rPr>
          <w:rFonts w:eastAsia="Segoe UI" w:cs="Segoe UI" w:ascii="Segoe UI" w:hAnsi="Segoe UI"/>
          <w:color w:val="101820"/>
          <w:sz w:val="21"/>
        </w:rPr>
        <w:t xml:space="preserve">The return premium of a cancellation is computed from the days left, never typed in (setting </w:t>
      </w:r>
      <w:r>
        <w:rPr>
          <w:rFonts w:eastAsia="Consolas" w:cs="Consolas" w:ascii="Consolas" w:hAnsi="Consolas"/>
          <w:color w:val="101820"/>
          <w:sz w:val="19"/>
        </w:rPr>
        <w:t>endorsements.compute_cancellation_return</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Operations &gt; Policy Cancellation]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6"/>
        <w:gridCol w:w="3857"/>
        <w:gridCol w:w="3831"/>
      </w:tblGrid>
      <w:tr>
        <w:trPr>
          <w:tblHeader w:val="true"/>
        </w:trPr>
        <w:tc>
          <w:tcPr>
            <w:tcW w:w="1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Method</w:t>
            </w:r>
          </w:p>
        </w:tc>
        <w:tc>
          <w:tcPr>
            <w:tcW w:w="38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Return net premium</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Pro-rata</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cancels (reason initiated by the insurer, for example non-payment)</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x days left / days of the policy period.</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Short-period</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insured cancels (</w:t>
            </w:r>
            <w:r>
              <w:rPr>
                <w:rFonts w:eastAsia="Consolas" w:cs="Consolas" w:ascii="Consolas" w:hAnsi="Consolas"/>
                <w:color w:val="101820"/>
                <w:kern w:val="0"/>
                <w:sz w:val="16"/>
                <w:szCs w:val="24"/>
                <w:lang w:val="en-US" w:eastAsia="ja-JP" w:bidi="ar-SA"/>
              </w:rPr>
              <w:t>endorsements.short_period_for_insured</w:t>
            </w:r>
            <w:r>
              <w:rPr>
                <w:rFonts w:eastAsia="Segoe UI" w:cs="Segoe UI" w:ascii="Segoe UI" w:hAnsi="Segoe UI"/>
                <w:color w:val="101820"/>
                <w:kern w:val="0"/>
                <w:sz w:val="18"/>
                <w:szCs w:val="24"/>
                <w:lang w:val="en-US" w:eastAsia="ja-JP" w:bidi="ar-SA"/>
              </w:rPr>
              <w:t>)</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less the percentage the insurer keeps for the days in force, from Master &gt; Insurance &gt; Short-Period Rates (a shorter term is scaled to a year).</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Flat</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from inception, or a reason whose method is flat (not taken up, duplicate)</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whole net premium.</w:t>
            </w:r>
          </w:p>
        </w:tc>
      </w:tr>
    </w:tbl>
    <w:p>
      <w:pPr>
        <w:pStyle w:val="Normal"/>
        <w:spacing w:before="0" w:after="80"/>
        <w:rPr/>
      </w:pPr>
      <w:r>
        <w:rPr/>
      </w:r>
    </w:p>
    <w:p>
      <w:pPr>
        <w:pStyle w:val="Normal"/>
        <w:numPr>
          <w:ilvl w:val="0"/>
          <w:numId w:val="319"/>
        </w:numPr>
        <w:spacing w:before="0" w:after="60"/>
        <w:rPr/>
      </w:pPr>
      <w:r>
        <w:rPr>
          <w:rFonts w:eastAsia="Segoe UI" w:cs="Segoe UI" w:ascii="Segoe UI" w:hAnsi="Segoe UI"/>
          <w:color w:val="101820"/>
          <w:sz w:val="21"/>
        </w:rPr>
        <w:t>Choose Operations &gt; Policy Cancellation and enter the policy number.</w:t>
      </w:r>
    </w:p>
    <w:p>
      <w:pPr>
        <w:pStyle w:val="Normal"/>
        <w:numPr>
          <w:ilvl w:val="0"/>
          <w:numId w:val="320"/>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Cancellation date</w:t>
      </w:r>
      <w:r>
        <w:rPr>
          <w:rFonts w:eastAsia="Segoe UI" w:cs="Segoe UI" w:ascii="Segoe UI" w:hAnsi="Segoe UI"/>
          <w:color w:val="101820"/>
          <w:sz w:val="21"/>
        </w:rPr>
        <w:t xml:space="preserve"> and choose the </w:t>
      </w:r>
      <w:r>
        <w:rPr>
          <w:rFonts w:eastAsia="Segoe UI" w:cs="Segoe UI" w:ascii="Segoe UI" w:hAnsi="Segoe UI"/>
          <w:b/>
          <w:color w:val="101820"/>
          <w:sz w:val="21"/>
        </w:rPr>
        <w:t>Reason</w:t>
      </w:r>
      <w:r>
        <w:rPr>
          <w:rFonts w:eastAsia="Segoe UI" w:cs="Segoe UI" w:ascii="Segoe UI" w:hAnsi="Segoe UI"/>
          <w:color w:val="101820"/>
          <w:sz w:val="21"/>
        </w:rPr>
        <w:t xml:space="preserve"> (Master &gt; Insurance &gt; Cancellation Reasons says who initiates it and the method). </w:t>
      </w:r>
      <w:r>
        <w:rPr>
          <w:rFonts w:eastAsia="Segoe UI" w:cs="Segoe UI" w:ascii="Segoe UI" w:hAnsi="Segoe UI"/>
          <w:b/>
          <w:color w:val="101820"/>
          <w:sz w:val="21"/>
        </w:rPr>
        <w:t>Return premium method</w:t>
      </w:r>
      <w:r>
        <w:rPr>
          <w:rFonts w:eastAsia="Segoe UI" w:cs="Segoe UI" w:ascii="Segoe UI" w:hAnsi="Segoe UI"/>
          <w:color w:val="101820"/>
          <w:sz w:val="21"/>
        </w:rPr>
        <w:t xml:space="preserve"> = From the reason, unless you choose another one.</w:t>
      </w:r>
    </w:p>
    <w:p>
      <w:pPr>
        <w:pStyle w:val="Normal"/>
        <w:numPr>
          <w:ilvl w:val="0"/>
          <w:numId w:val="321"/>
        </w:numPr>
        <w:spacing w:before="0" w:after="60"/>
        <w:rPr/>
      </w:pPr>
      <w:r>
        <w:rPr>
          <w:rFonts w:eastAsia="Segoe UI" w:cs="Segoe UI" w:ascii="Segoe UI" w:hAnsi="Segoe UI"/>
          <w:color w:val="101820"/>
          <w:sz w:val="21"/>
        </w:rPr>
        <w:t xml:space="preserve">For a cancellation of part of the cover choose </w:t>
      </w:r>
      <w:r>
        <w:rPr>
          <w:rFonts w:eastAsia="Segoe UI" w:cs="Segoe UI" w:ascii="Segoe UI" w:hAnsi="Segoe UI"/>
          <w:b/>
          <w:color w:val="101820"/>
          <w:sz w:val="21"/>
        </w:rPr>
        <w:t>Part of the cover</w:t>
      </w:r>
      <w:r>
        <w:rPr>
          <w:rFonts w:eastAsia="Segoe UI" w:cs="Segoe UI" w:ascii="Segoe UI" w:hAnsi="Segoe UI"/>
          <w:color w:val="101820"/>
          <w:sz w:val="21"/>
        </w:rPr>
        <w:t xml:space="preserve"> and enter the percentage or the net premium of the part cancelled; the policy stays in force.</w:t>
      </w:r>
    </w:p>
    <w:p>
      <w:pPr>
        <w:pStyle w:val="Normal"/>
        <w:numPr>
          <w:ilvl w:val="0"/>
          <w:numId w:val="3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Compute return premium</w:t>
      </w:r>
      <w:r>
        <w:rPr>
          <w:rFonts w:eastAsia="Segoe UI" w:cs="Segoe UI" w:ascii="Segoe UI" w:hAnsi="Segoe UI"/>
          <w:color w:val="101820"/>
          <w:sz w:val="21"/>
        </w:rPr>
        <w:t xml:space="preserve">. The page shows the days in force and left, the premium kept by the insurer, the return net premium, the premium taxes returned (from Master &gt; Finance &gt; Premium Taxes &amp; LGU Rates on the return premium; the taxes returned are set in </w:t>
      </w:r>
      <w:r>
        <w:rPr>
          <w:rFonts w:eastAsia="Consolas" w:cs="Consolas" w:ascii="Consolas" w:hAnsi="Consolas"/>
          <w:color w:val="101820"/>
          <w:sz w:val="19"/>
        </w:rPr>
        <w:t>endorsements.cancellation_returned_taxes</w:t>
      </w:r>
      <w:r>
        <w:rPr>
          <w:rFonts w:eastAsia="Segoe UI" w:cs="Segoe UI" w:ascii="Segoe UI" w:hAnsi="Segoe UI"/>
          <w:color w:val="101820"/>
          <w:sz w:val="21"/>
        </w:rPr>
        <w:t>, documentary stamp tax is not refundable by default), the return premium and the commission taken back.</w:t>
      </w:r>
    </w:p>
    <w:p>
      <w:pPr>
        <w:pStyle w:val="Normal"/>
        <w:numPr>
          <w:ilvl w:val="0"/>
          <w:numId w:val="32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cancellation endorsement</w:t>
      </w:r>
      <w:r>
        <w:rPr>
          <w:rFonts w:eastAsia="Segoe UI" w:cs="Segoe UI" w:ascii="Segoe UI" w:hAnsi="Segoe UI"/>
          <w:color w:val="101820"/>
          <w:sz w:val="21"/>
        </w:rPr>
        <w:t>. The endorsement summary opens; send it to the customer and complete it as any cancellation (Processing Team chapter). The server computes the same figures again, so a figure changed on the screen is not used.</w:t>
      </w:r>
    </w:p>
    <w:p>
      <w:pPr>
        <w:pStyle w:val="Normal"/>
        <w:spacing w:lineRule="auto" w:line="276" w:before="0" w:after="120"/>
        <w:rPr/>
      </w:pPr>
      <w:r>
        <w:rPr>
          <w:rFonts w:eastAsia="Segoe UI" w:cs="Segoe UI" w:ascii="Segoe UI" w:hAnsi="Segoe UI"/>
          <w:color w:val="101820"/>
          <w:sz w:val="21"/>
        </w:rPr>
        <w:t>When the endorsement is completed the open bills are credited with the return premium (what the client already paid becomes a refund), and the journal (posting rule policy.cancel, or endorsement.return_premium for a partial cancellation) reverses the premium due to the insurer, the premium taxes and the commission at the computed amounts. A cancellation raised from the endorsement screens is computed the same way.</w:t>
      </w:r>
    </w:p>
    <w:p>
      <w:pPr>
        <w:pStyle w:val="Heading2"/>
        <w:rPr/>
      </w:pPr>
      <w:bookmarkStart w:id="93" w:name="__RefHeading___Toc21703_17926050"/>
      <w:bookmarkEnd w:id="93"/>
      <w:r>
        <w:rPr>
          <w:rFonts w:eastAsia="Segoe UI" w:cs="Segoe UI"/>
          <w:b/>
          <w:color w:val="0F4761"/>
          <w:sz w:val="26"/>
        </w:rPr>
        <w:t>10.10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94" w:name="__RefHeading___Toc21705_17926050"/>
      <w:bookmarkEnd w:id="94"/>
      <w:r>
        <w:rPr>
          <w:rFonts w:eastAsia="Segoe UI" w:cs="Segoe UI"/>
          <w:b/>
          <w:color w:val="0F4761"/>
          <w:sz w:val="26"/>
        </w:rPr>
        <w:t>10.11  Payments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w:t>
      </w:r>
      <w:r>
        <w:rPr>
          <w:rFonts w:eastAsia="Segoe UI" w:cs="Segoe UI" w:ascii="Segoe UI" w:hAnsi="Segoe UI"/>
          <w:b/>
          <w:color w:val="101820"/>
          <w:sz w:val="21"/>
        </w:rPr>
        <w:t>Policy</w:t>
      </w:r>
      <w:r>
        <w:rPr>
          <w:rFonts w:eastAsia="Segoe UI" w:cs="Segoe UI" w:ascii="Segoe UI" w:hAnsi="Segoe UI"/>
          <w:color w:val="101820"/>
          <w:sz w:val="21"/>
        </w:rPr>
        <w:t xml:space="preserve">, a </w:t>
      </w:r>
      <w:r>
        <w:rPr>
          <w:rFonts w:eastAsia="Segoe UI" w:cs="Segoe UI" w:ascii="Segoe UI" w:hAnsi="Segoe UI"/>
          <w:b/>
          <w:color w:val="101820"/>
          <w:sz w:val="21"/>
        </w:rPr>
        <w:t>Renewal Policy</w:t>
      </w:r>
      <w:r>
        <w:rPr>
          <w:rFonts w:eastAsia="Segoe UI" w:cs="Segoe UI" w:ascii="Segoe UI" w:hAnsi="Segoe UI"/>
          <w:color w:val="101820"/>
          <w:sz w:val="21"/>
        </w:rPr>
        <w:t xml:space="preserve"> or an </w:t>
      </w:r>
      <w:r>
        <w:rPr>
          <w:rFonts w:eastAsia="Segoe UI" w:cs="Segoe UI" w:ascii="Segoe UI" w:hAnsi="Segoe UI"/>
          <w:b/>
          <w:color w:val="101820"/>
          <w:sz w:val="21"/>
        </w:rPr>
        <w:t>Endorsement</w:t>
      </w:r>
      <w:r>
        <w:rPr>
          <w:rFonts w:eastAsia="Segoe UI" w:cs="Segoe UI" w:ascii="Segoe UI" w:hAnsi="Segoe UI"/>
          <w:color w:val="101820"/>
          <w:sz w:val="21"/>
        </w:rPr>
        <w:t>. Receipts are posted by Accounting; this screen shows the result.</w:t>
      </w:r>
    </w:p>
    <w:p>
      <w:pPr>
        <w:pStyle w:val="Heading2"/>
        <w:rPr/>
      </w:pPr>
      <w:bookmarkStart w:id="95" w:name="__RefHeading___Toc21707_17926050"/>
      <w:bookmarkEnd w:id="95"/>
      <w:r>
        <w:rPr>
          <w:rFonts w:eastAsia="Segoe UI" w:cs="Segoe UI"/>
          <w:b/>
          <w:color w:val="0F4761"/>
          <w:sz w:val="26"/>
        </w:rPr>
        <w:t>10.12  CTPL authentication</w:t>
      </w:r>
    </w:p>
    <w:p>
      <w:pPr>
        <w:pStyle w:val="Normal"/>
        <w:spacing w:lineRule="auto" w:line="276" w:before="0" w:after="120"/>
        <w:rPr/>
      </w:pPr>
      <w:r>
        <w:rPr>
          <w:rFonts w:eastAsia="Segoe UI" w:cs="Segoe UI" w:ascii="Segoe UI" w:hAnsi="Segoe UI"/>
          <w:color w:val="101820"/>
          <w:sz w:val="21"/>
        </w:rPr>
        <w:t>Every CTPL certificate of cover (COC) must be authenticated with the IC-accredited authentication provider before it is released. Operations &gt; CTPL Authentication does it for every CTPL cover issued.</w:t>
      </w:r>
    </w:p>
    <w:p>
      <w:pPr>
        <w:pStyle w:val="Normal"/>
        <w:shd w:val="clear" w:color="auto" w:fill="EAF2FB"/>
        <w:spacing w:before="0" w:after="160"/>
        <w:ind w:left="170"/>
        <w:rPr/>
      </w:pPr>
      <w:r>
        <w:rPr>
          <w:rFonts w:eastAsia="Segoe UI" w:cs="Segoe UI" w:ascii="Segoe UI" w:hAnsi="Segoe UI"/>
          <w:color w:val="101820"/>
          <w:sz w:val="20"/>
        </w:rPr>
        <w:t>[Screen image not available: Operations &gt; CTPL Authentication]</w:t>
      </w:r>
    </w:p>
    <w:p>
      <w:pPr>
        <w:pStyle w:val="Normal"/>
        <w:spacing w:lineRule="auto" w:line="276" w:before="0" w:after="120"/>
        <w:rPr/>
      </w:pPr>
      <w:r>
        <w:rPr>
          <w:rFonts w:eastAsia="Segoe UI" w:cs="Segoe UI" w:ascii="Segoe UI" w:hAnsi="Segoe UI"/>
          <w:b/>
          <w:color w:val="101820"/>
          <w:sz w:val="21"/>
        </w:rPr>
        <w:t>COC series.</w:t>
      </w:r>
      <w:r>
        <w:rPr>
          <w:rFonts w:eastAsia="Segoe UI" w:cs="Segoe UI" w:ascii="Segoe UI" w:hAnsi="Segoe UI"/>
          <w:color w:val="101820"/>
          <w:sz w:val="21"/>
        </w:rPr>
        <w:t xml:space="preserve"> On the </w:t>
      </w:r>
      <w:r>
        <w:rPr>
          <w:rFonts w:eastAsia="Segoe UI" w:cs="Segoe UI" w:ascii="Segoe UI" w:hAnsi="Segoe UI"/>
          <w:b/>
          <w:color w:val="101820"/>
          <w:sz w:val="21"/>
        </w:rPr>
        <w:t>COC series</w:t>
      </w:r>
      <w:r>
        <w:rPr>
          <w:rFonts w:eastAsia="Segoe UI" w:cs="Segoe UI" w:ascii="Segoe UI" w:hAnsi="Segoe UI"/>
          <w:color w:val="101820"/>
          <w:sz w:val="21"/>
        </w:rPr>
        <w:t xml:space="preserve"> tab, record each series of COC numbers received from an insurer: </w:t>
      </w:r>
      <w:r>
        <w:rPr>
          <w:rFonts w:eastAsia="Segoe UI" w:cs="Segoe UI" w:ascii="Segoe UI" w:hAnsi="Segoe UI"/>
          <w:b/>
          <w:color w:val="101820"/>
          <w:sz w:val="21"/>
        </w:rPr>
        <w:t>New COC series</w:t>
      </w:r>
      <w:r>
        <w:rPr>
          <w:rFonts w:eastAsia="Segoe UI" w:cs="Segoe UI" w:ascii="Segoe UI" w:hAnsi="Segoe UI"/>
          <w:color w:val="101820"/>
          <w:sz w:val="21"/>
        </w:rPr>
        <w:t xml:space="preserv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Branch</w:t>
      </w:r>
      <w:r>
        <w:rPr>
          <w:rFonts w:eastAsia="Segoe UI" w:cs="Segoe UI" w:ascii="Segoe UI" w:hAnsi="Segoe UI"/>
          <w:color w:val="101820"/>
          <w:sz w:val="21"/>
        </w:rPr>
        <w:t xml:space="preserve"> (empty for every branch), the </w:t>
      </w:r>
      <w:r>
        <w:rPr>
          <w:rFonts w:eastAsia="Segoe UI" w:cs="Segoe UI" w:ascii="Segoe UI" w:hAnsi="Segoe UI"/>
          <w:b/>
          <w:color w:val="101820"/>
          <w:sz w:val="21"/>
        </w:rPr>
        <w:t>Prefix</w:t>
      </w:r>
      <w:r>
        <w:rPr>
          <w:rFonts w:eastAsia="Segoe UI" w:cs="Segoe UI" w:ascii="Segoe UI" w:hAnsi="Segoe UI"/>
          <w:color w:val="101820"/>
          <w:sz w:val="21"/>
        </w:rPr>
        <w:t xml:space="preserve">, the first and last number and the number of digits. Numbers may not overlap another series of the insurer. The list shows the numbers </w:t>
      </w:r>
      <w:r>
        <w:rPr>
          <w:rFonts w:eastAsia="Segoe UI" w:cs="Segoe UI" w:ascii="Segoe UI" w:hAnsi="Segoe UI"/>
          <w:b/>
          <w:color w:val="101820"/>
          <w:sz w:val="21"/>
        </w:rPr>
        <w:t>Used</w:t>
      </w:r>
      <w:r>
        <w:rPr>
          <w:rFonts w:eastAsia="Segoe UI" w:cs="Segoe UI" w:ascii="Segoe UI" w:hAnsi="Segoe UI"/>
          <w:color w:val="101820"/>
          <w:sz w:val="21"/>
        </w:rPr>
        <w:t xml:space="preserve"> and </w:t>
      </w:r>
      <w:r>
        <w:rPr>
          <w:rFonts w:eastAsia="Segoe UI" w:cs="Segoe UI" w:ascii="Segoe UI" w:hAnsi="Segoe UI"/>
          <w:b/>
          <w:color w:val="101820"/>
          <w:sz w:val="21"/>
        </w:rPr>
        <w:t>Left</w:t>
      </w:r>
      <w:r>
        <w:rPr>
          <w:rFonts w:eastAsia="Segoe UI" w:cs="Segoe UI" w:ascii="Segoe UI" w:hAnsi="Segoe UI"/>
          <w:color w:val="101820"/>
          <w:sz w:val="21"/>
        </w:rPr>
        <w:t xml:space="preserve">, in orange below the low-stock threshold; a series whose numbers are all used becomes </w:t>
      </w:r>
      <w:r>
        <w:rPr>
          <w:rFonts w:eastAsia="Segoe UI" w:cs="Segoe UI" w:ascii="Segoe UI" w:hAnsi="Segoe UI"/>
          <w:b/>
          <w:color w:val="101820"/>
          <w:sz w:val="21"/>
        </w:rPr>
        <w:t>Used up</w:t>
      </w:r>
      <w:r>
        <w:rPr>
          <w:rFonts w:eastAsia="Segoe UI" w:cs="Segoe UI" w:ascii="Segoe UI" w:hAnsi="Segoe UI"/>
          <w:color w:val="101820"/>
          <w:sz w:val="21"/>
        </w:rPr>
        <w:t xml:space="preserve">. </w:t>
      </w:r>
      <w:r>
        <w:rPr>
          <w:rFonts w:eastAsia="Segoe UI" w:cs="Segoe UI" w:ascii="Segoe UI" w:hAnsi="Segoe UI"/>
          <w:b/>
          <w:color w:val="101820"/>
          <w:sz w:val="21"/>
        </w:rPr>
        <w:t>Make inactive</w:t>
      </w:r>
      <w:r>
        <w:rPr>
          <w:rFonts w:eastAsia="Segoe UI" w:cs="Segoe UI" w:ascii="Segoe UI" w:hAnsi="Segoe UI"/>
          <w:color w:val="101820"/>
          <w:sz w:val="21"/>
        </w:rPr>
        <w:t xml:space="preserve"> stops a series (for example numbers returned to the insurer).</w:t>
      </w:r>
    </w:p>
    <w:p>
      <w:pPr>
        <w:pStyle w:val="Normal"/>
        <w:spacing w:lineRule="auto" w:line="276" w:before="0" w:after="120"/>
        <w:rPr/>
      </w:pPr>
      <w:r>
        <w:rPr>
          <w:rFonts w:eastAsia="Segoe UI" w:cs="Segoe UI" w:ascii="Segoe UI" w:hAnsi="Segoe UI"/>
          <w:b/>
          <w:color w:val="101820"/>
          <w:sz w:val="21"/>
        </w:rPr>
        <w:t>At issue.</w:t>
      </w:r>
      <w:r>
        <w:rPr>
          <w:rFonts w:eastAsia="Segoe UI" w:cs="Segoe UI" w:ascii="Segoe UI" w:hAnsi="Segoe UI"/>
          <w:color w:val="101820"/>
          <w:sz w:val="21"/>
        </w:rPr>
        <w:t xml:space="preserve"> When a motor policy with CTPL is issued (</w:t>
      </w:r>
      <w:r>
        <w:rPr>
          <w:rFonts w:eastAsia="Consolas" w:cs="Consolas" w:ascii="Consolas" w:hAnsi="Consolas"/>
          <w:color w:val="101820"/>
          <w:sz w:val="19"/>
        </w:rPr>
        <w:t>ctpl.register_on_issue</w:t>
      </w:r>
      <w:r>
        <w:rPr>
          <w:rFonts w:eastAsia="Segoe UI" w:cs="Segoe UI" w:ascii="Segoe UI" w:hAnsi="Segoe UI"/>
          <w:color w:val="101820"/>
          <w:sz w:val="21"/>
        </w:rPr>
        <w:t>):</w:t>
      </w:r>
    </w:p>
    <w:p>
      <w:pPr>
        <w:pStyle w:val="Normal"/>
        <w:numPr>
          <w:ilvl w:val="0"/>
          <w:numId w:val="324"/>
        </w:numPr>
        <w:spacing w:before="0" w:after="60"/>
        <w:rPr/>
      </w:pPr>
      <w:r>
        <w:rPr>
          <w:rFonts w:eastAsia="Segoe UI" w:cs="Segoe UI" w:ascii="Segoe UI" w:hAnsi="Segoe UI"/>
          <w:color w:val="101820"/>
          <w:sz w:val="21"/>
        </w:rPr>
        <w:t>The next COC number of the insurer's series is allocated (the branch of the issuing user first) and written on the policy.</w:t>
      </w:r>
    </w:p>
    <w:p>
      <w:pPr>
        <w:pStyle w:val="Normal"/>
        <w:numPr>
          <w:ilvl w:val="0"/>
          <w:numId w:val="325"/>
        </w:numPr>
        <w:spacing w:before="0" w:after="60"/>
        <w:rPr/>
      </w:pPr>
      <w:r>
        <w:rPr>
          <w:rFonts w:eastAsia="Segoe UI" w:cs="Segoe UI" w:ascii="Segoe UI" w:hAnsi="Segoe UI"/>
          <w:color w:val="101820"/>
          <w:sz w:val="21"/>
        </w:rPr>
        <w:t>The plate number or MV file number, chassis and engine numbers are copied from the policy.</w:t>
      </w:r>
    </w:p>
    <w:p>
      <w:pPr>
        <w:pStyle w:val="Normal"/>
        <w:numPr>
          <w:ilvl w:val="0"/>
          <w:numId w:val="326"/>
        </w:numPr>
        <w:spacing w:before="0" w:after="60"/>
        <w:rPr/>
      </w:pPr>
      <w:r>
        <w:rPr>
          <w:rFonts w:eastAsia="Segoe UI" w:cs="Segoe UI" w:ascii="Segoe UI" w:hAnsi="Segoe UI"/>
          <w:color w:val="101820"/>
          <w:sz w:val="21"/>
        </w:rPr>
        <w:t>The authentication request is sent to the provider (</w:t>
      </w:r>
      <w:r>
        <w:rPr>
          <w:rFonts w:eastAsia="Consolas" w:cs="Consolas" w:ascii="Consolas" w:hAnsi="Consolas"/>
          <w:color w:val="101820"/>
          <w:sz w:val="19"/>
        </w:rPr>
        <w:t>ctpl.authenticate_on_issue</w:t>
      </w:r>
      <w:r>
        <w:rPr>
          <w:rFonts w:eastAsia="Segoe UI" w:cs="Segoe UI" w:ascii="Segoe UI" w:hAnsi="Segoe UI"/>
          <w:color w:val="101820"/>
          <w:sz w:val="21"/>
        </w:rPr>
        <w:t>). The answer's authentication code is stored, and the COC number and the code are printed on the policy schedule.</w:t>
      </w:r>
    </w:p>
    <w:p>
      <w:pPr>
        <w:pStyle w:val="Normal"/>
        <w:spacing w:lineRule="auto" w:line="276" w:before="0" w:after="120"/>
        <w:rPr/>
      </w:pPr>
      <w:r>
        <w:rPr>
          <w:rFonts w:eastAsia="Segoe UI" w:cs="Segoe UI" w:ascii="Segoe UI" w:hAnsi="Segoe UI"/>
          <w:b/>
          <w:color w:val="101820"/>
          <w:sz w:val="21"/>
        </w:rPr>
        <w:t>The list.</w:t>
      </w:r>
      <w:r>
        <w:rPr>
          <w:rFonts w:eastAsia="Segoe UI" w:cs="Segoe UI" w:ascii="Segoe UI" w:hAnsi="Segoe UI"/>
          <w:color w:val="101820"/>
          <w:sz w:val="21"/>
        </w:rPr>
        <w:t xml:space="preserve"> The cards count the covers </w:t>
      </w:r>
      <w:r>
        <w:rPr>
          <w:rFonts w:eastAsia="Segoe UI" w:cs="Segoe UI" w:ascii="Segoe UI" w:hAnsi="Segoe UI"/>
          <w:b/>
          <w:color w:val="101820"/>
          <w:sz w:val="21"/>
        </w:rPr>
        <w:t>Pending</w:t>
      </w:r>
      <w:r>
        <w:rPr>
          <w:rFonts w:eastAsia="Segoe UI" w:cs="Segoe UI" w:ascii="Segoe UI" w:hAnsi="Segoe UI"/>
          <w:color w:val="101820"/>
          <w:sz w:val="21"/>
        </w:rPr>
        <w:t xml:space="preserve">, </w:t>
      </w:r>
      <w:r>
        <w:rPr>
          <w:rFonts w:eastAsia="Segoe UI" w:cs="Segoe UI" w:ascii="Segoe UI" w:hAnsi="Segoe UI"/>
          <w:b/>
          <w:color w:val="101820"/>
          <w:sz w:val="21"/>
        </w:rPr>
        <w:t>Requested</w:t>
      </w:r>
      <w:r>
        <w:rPr>
          <w:rFonts w:eastAsia="Segoe UI" w:cs="Segoe UI" w:ascii="Segoe UI" w:hAnsi="Segoe UI"/>
          <w:color w:val="101820"/>
          <w:sz w:val="21"/>
        </w:rPr>
        <w:t xml:space="preserve">, </w:t>
      </w:r>
      <w:r>
        <w:rPr>
          <w:rFonts w:eastAsia="Segoe UI" w:cs="Segoe UI" w:ascii="Segoe UI" w:hAnsi="Segoe UI"/>
          <w:b/>
          <w:color w:val="101820"/>
          <w:sz w:val="21"/>
        </w:rPr>
        <w:t>Authenticated</w:t>
      </w:r>
      <w:r>
        <w:rPr>
          <w:rFonts w:eastAsia="Segoe UI" w:cs="Segoe UI" w:ascii="Segoe UI" w:hAnsi="Segoe UI"/>
          <w:color w:val="101820"/>
          <w:sz w:val="21"/>
        </w:rPr>
        <w:t xml:space="preserve"> and </w:t>
      </w:r>
      <w:r>
        <w:rPr>
          <w:rFonts w:eastAsia="Segoe UI" w:cs="Segoe UI" w:ascii="Segoe UI" w:hAnsi="Segoe UI"/>
          <w:b/>
          <w:color w:val="101820"/>
          <w:sz w:val="21"/>
        </w:rPr>
        <w:t>Failed</w:t>
      </w:r>
      <w:r>
        <w:rPr>
          <w:rFonts w:eastAsia="Segoe UI" w:cs="Segoe UI" w:ascii="Segoe UI" w:hAnsi="Segoe UI"/>
          <w:color w:val="101820"/>
          <w:sz w:val="21"/>
        </w:rPr>
        <w:t xml:space="preserve">; </w:t>
      </w:r>
      <w:r>
        <w:rPr>
          <w:rFonts w:eastAsia="Segoe UI" w:cs="Segoe UI" w:ascii="Segoe UI" w:hAnsi="Segoe UI"/>
          <w:b/>
          <w:color w:val="101820"/>
          <w:sz w:val="21"/>
        </w:rPr>
        <w:t>Not yet authenticated only</w:t>
      </w:r>
      <w:r>
        <w:rPr>
          <w:rFonts w:eastAsia="Segoe UI" w:cs="Segoe UI" w:ascii="Segoe UI" w:hAnsi="Segoe UI"/>
          <w:color w:val="101820"/>
          <w:sz w:val="21"/>
        </w:rPr>
        <w:t xml:space="preserve"> shows the covers still waiting, flagged when they wait longer than </w:t>
      </w:r>
      <w:r>
        <w:rPr>
          <w:rFonts w:eastAsia="Consolas" w:cs="Consolas" w:ascii="Consolas" w:hAnsi="Consolas"/>
          <w:color w:val="101820"/>
          <w:sz w:val="19"/>
        </w:rPr>
        <w:t>ctpl.unauthenticated_alert_hours</w:t>
      </w:r>
      <w:r>
        <w:rPr>
          <w:rFonts w:eastAsia="Segoe UI" w:cs="Segoe UI" w:ascii="Segoe UI" w:hAnsi="Segoe UI"/>
          <w:color w:val="101820"/>
          <w:sz w:val="21"/>
        </w:rPr>
        <w:t xml:space="preserve"> (24). On a cover not yet authenticated:</w:t>
      </w:r>
    </w:p>
    <w:p>
      <w:pPr>
        <w:pStyle w:val="Normal"/>
        <w:numPr>
          <w:ilvl w:val="0"/>
          <w:numId w:val="1"/>
        </w:numPr>
        <w:spacing w:before="0" w:after="60"/>
        <w:rPr/>
      </w:pPr>
      <w:r>
        <w:rPr>
          <w:rFonts w:eastAsia="Segoe UI" w:cs="Segoe UI" w:ascii="Segoe UI" w:hAnsi="Segoe UI"/>
          <w:b/>
          <w:color w:val="101820"/>
          <w:sz w:val="21"/>
        </w:rPr>
        <w:t>Authenticate now</w:t>
      </w:r>
      <w:r>
        <w:rPr>
          <w:rFonts w:eastAsia="Segoe UI" w:cs="Segoe UI" w:ascii="Segoe UI" w:hAnsi="Segoe UI"/>
          <w:color w:val="101820"/>
          <w:sz w:val="21"/>
        </w:rPr>
        <w:t xml:space="preserve"> sends the request (again).</w:t>
      </w:r>
    </w:p>
    <w:p>
      <w:pPr>
        <w:pStyle w:val="Normal"/>
        <w:numPr>
          <w:ilvl w:val="0"/>
          <w:numId w:val="1"/>
        </w:numPr>
        <w:spacing w:before="0" w:after="60"/>
        <w:rPr/>
      </w:pPr>
      <w:r>
        <w:rPr>
          <w:rFonts w:eastAsia="Segoe UI" w:cs="Segoe UI" w:ascii="Segoe UI" w:hAnsi="Segoe UI"/>
          <w:b/>
          <w:color w:val="101820"/>
          <w:sz w:val="21"/>
        </w:rPr>
        <w:t>Vehicle details</w:t>
      </w:r>
      <w:r>
        <w:rPr>
          <w:rFonts w:eastAsia="Segoe UI" w:cs="Segoe UI" w:ascii="Segoe UI" w:hAnsi="Segoe UI"/>
          <w:color w:val="101820"/>
          <w:sz w:val="21"/>
        </w:rPr>
        <w:t xml:space="preserve"> corrects the plate, MV file, chassis or engine number, or enters the COC number when no series had numbers left. A request is not sent while the plate (or MV file) and chassis numbers are missing (</w:t>
      </w:r>
      <w:r>
        <w:rPr>
          <w:rFonts w:eastAsia="Consolas" w:cs="Consolas" w:ascii="Consolas" w:hAnsi="Consolas"/>
          <w:color w:val="101820"/>
          <w:sz w:val="19"/>
        </w:rPr>
        <w:t>ctpl.require_vehicle_ids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Enter code from the provider portal</w:t>
      </w:r>
      <w:r>
        <w:rPr>
          <w:rFonts w:eastAsia="Segoe UI" w:cs="Segoe UI" w:ascii="Segoe UI" w:hAnsi="Segoe UI"/>
          <w:color w:val="101820"/>
          <w:sz w:val="21"/>
        </w:rPr>
        <w:t xml:space="preserve"> is the fallback when the COC was authenticated on the provider's own portal: enter the authentication code, the provider's reference and the date. The code is stored and printed like one received by the system (method </w:t>
      </w:r>
      <w:r>
        <w:rPr>
          <w:rFonts w:eastAsia="Segoe UI" w:cs="Segoe UI" w:ascii="Segoe UI" w:hAnsi="Segoe UI"/>
          <w:b/>
          <w:color w:val="101820"/>
          <w:sz w:val="21"/>
        </w:rPr>
        <w:t>Keyed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Register a policy</w:t>
      </w:r>
      <w:r>
        <w:rPr>
          <w:rFonts w:eastAsia="Segoe UI" w:cs="Segoe UI" w:ascii="Segoe UI" w:hAnsi="Segoe UI"/>
          <w:color w:val="101820"/>
          <w:sz w:val="21"/>
        </w:rPr>
        <w:t xml:space="preserve"> adds a CTPL cover issued before the automatic registration (for example a policy uploaded at go-live). </w:t>
      </w:r>
      <w:r>
        <w:rPr>
          <w:rFonts w:eastAsia="Segoe UI" w:cs="Segoe UI" w:ascii="Segoe UI" w:hAnsi="Segoe UI"/>
          <w:b/>
          <w:color w:val="101820"/>
          <w:sz w:val="21"/>
        </w:rPr>
        <w:t>Unauthenticated CTPL report</w:t>
      </w:r>
      <w:r>
        <w:rPr>
          <w:rFonts w:eastAsia="Segoe UI" w:cs="Segoe UI" w:ascii="Segoe UI" w:hAnsi="Segoe UI"/>
          <w:color w:val="101820"/>
          <w:sz w:val="21"/>
        </w:rPr>
        <w:t xml:space="preserve"> downloads the covers still waiting as Excel. When the provider does not transmit to the LTO itself, switch on </w:t>
      </w:r>
      <w:r>
        <w:rPr>
          <w:rFonts w:eastAsia="Consolas" w:cs="Consolas" w:ascii="Consolas" w:hAnsi="Consolas"/>
          <w:color w:val="101820"/>
          <w:sz w:val="19"/>
        </w:rPr>
        <w:t>ctpl.lto_feed</w:t>
      </w:r>
      <w:r>
        <w:rPr>
          <w:rFonts w:eastAsia="Segoe UI" w:cs="Segoe UI" w:ascii="Segoe UI" w:hAnsi="Segoe UI"/>
          <w:color w:val="101820"/>
          <w:sz w:val="21"/>
        </w:rPr>
        <w:t xml:space="preserve"> and the LTO_FEED connector: each authenticated COC is sent to the LTO and the </w:t>
      </w:r>
      <w:r>
        <w:rPr>
          <w:rFonts w:eastAsia="Segoe UI" w:cs="Segoe UI" w:ascii="Segoe UI" w:hAnsi="Segoe UI"/>
          <w:b/>
          <w:color w:val="101820"/>
          <w:sz w:val="21"/>
        </w:rPr>
        <w:t>LTO</w:t>
      </w:r>
      <w:r>
        <w:rPr>
          <w:rFonts w:eastAsia="Segoe UI" w:cs="Segoe UI" w:ascii="Segoe UI" w:hAnsi="Segoe UI"/>
          <w:color w:val="101820"/>
          <w:sz w:val="21"/>
        </w:rPr>
        <w:t xml:space="preserve"> column shows the result.</w:t>
      </w:r>
    </w:p>
    <w:p>
      <w:pPr>
        <w:pStyle w:val="Heading2"/>
        <w:rPr/>
      </w:pPr>
      <w:bookmarkStart w:id="96" w:name="__RefHeading___Toc21709_17926050"/>
      <w:bookmarkEnd w:id="96"/>
      <w:r>
        <w:rPr>
          <w:rFonts w:eastAsia="Segoe UI" w:cs="Segoe UI"/>
          <w:b/>
          <w:color w:val="0F4761"/>
          <w:sz w:val="26"/>
        </w:rPr>
        <w:t>10.13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10.13.1  Renew a policy</w:t>
      </w:r>
    </w:p>
    <w:p>
      <w:pPr>
        <w:pStyle w:val="Normal"/>
        <w:shd w:val="clear" w:color="auto" w:fill="EAF2FB"/>
        <w:spacing w:before="0" w:after="160"/>
        <w:ind w:left="170"/>
        <w:rPr/>
      </w:pPr>
      <w:r>
        <w:rPr>
          <w:rFonts w:eastAsia="Segoe UI" w:cs="Segoe UI" w:ascii="Segoe UI" w:hAnsi="Segoe UI"/>
          <w:color w:val="101820"/>
          <w:sz w:val="20"/>
        </w:rPr>
        <w:t>[Screen image not available: Operations &gt; Renewals &gt; Renewal Policy]</w:t>
      </w:r>
    </w:p>
    <w:p>
      <w:pPr>
        <w:pStyle w:val="Normal"/>
        <w:numPr>
          <w:ilvl w:val="0"/>
          <w:numId w:val="327"/>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3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329"/>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330"/>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331"/>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10.13.2  Renewal Queue and At-Risk Policies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10.13.3  Negotiations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shd w:val="clear" w:color="auto" w:fill="EAF2FB"/>
        <w:spacing w:before="0" w:after="160"/>
        <w:ind w:left="170"/>
        <w:rPr/>
      </w:pPr>
      <w:r>
        <w:rPr>
          <w:rFonts w:eastAsia="Segoe UI" w:cs="Segoe UI" w:ascii="Segoe UI" w:hAnsi="Segoe UI"/>
          <w:color w:val="101820"/>
          <w:sz w:val="20"/>
        </w:rPr>
        <w:t>[Screen image not available: Add Negotiation Update]</w:t>
      </w:r>
    </w:p>
    <w:p>
      <w:pPr>
        <w:pStyle w:val="Heading3"/>
        <w:rPr/>
      </w:pPr>
      <w:r>
        <w:rPr>
          <w:rFonts w:eastAsia="Segoe UI" w:cs="Segoe UI"/>
          <w:b/>
          <w:color w:val="0F4761"/>
          <w:sz w:val="23"/>
        </w:rPr>
        <w:t>10.13.4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Renewals &gt; Retention Analytics]</w:t>
      </w:r>
    </w:p>
    <w:p>
      <w:pPr>
        <w:pStyle w:val="Heading2"/>
        <w:rPr/>
      </w:pPr>
      <w:bookmarkStart w:id="97" w:name="__RefHeading___Toc21711_17926050"/>
      <w:bookmarkEnd w:id="97"/>
      <w:r>
        <w:rPr>
          <w:rFonts w:eastAsia="Segoe UI" w:cs="Segoe UI"/>
          <w:b/>
          <w:color w:val="0F4761"/>
          <w:sz w:val="26"/>
        </w:rPr>
        <w:t>10.14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98" w:name="__RefHeading___Toc21713_17926050"/>
      <w:bookmarkEnd w:id="98"/>
      <w:r>
        <w:rPr>
          <w:rFonts w:eastAsia="Segoe UI" w:cs="Segoe UI" w:ascii="Segoe UI" w:hAnsi="Segoe UI"/>
          <w:b/>
          <w:color w:val="0F4761"/>
          <w:sz w:val="32"/>
        </w:rPr>
        <w:t>11.  Claims</w:t>
      </w:r>
    </w:p>
    <w:p>
      <w:pPr>
        <w:pStyle w:val="Heading2"/>
        <w:rPr/>
      </w:pPr>
      <w:bookmarkStart w:id="99" w:name="__RefHeading___Toc21715_17926050"/>
      <w:bookmarkEnd w:id="99"/>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w:t>
      </w:r>
    </w:p>
    <w:p>
      <w:pPr>
        <w:pStyle w:val="Normal"/>
        <w:shd w:val="clear" w:color="auto" w:fill="EAF2FB"/>
        <w:spacing w:before="0" w:after="160"/>
        <w:ind w:left="170"/>
        <w:rPr/>
      </w:pPr>
      <w:r>
        <w:rPr>
          <w:rFonts w:eastAsia="Segoe UI" w:cs="Segoe UI" w:ascii="Segoe UI" w:hAnsi="Segoe UI"/>
          <w:color w:val="101820"/>
          <w:sz w:val="20"/>
        </w:rPr>
        <w:t>[Screen image not available: Claims Dashboard]</w:t>
      </w:r>
    </w:p>
    <w:p>
      <w:pPr>
        <w:pStyle w:val="Heading2"/>
        <w:rPr/>
      </w:pPr>
      <w:bookmarkStart w:id="100" w:name="__RefHeading___Toc21717_17926050"/>
      <w:bookmarkEnd w:id="100"/>
      <w:r>
        <w:rPr>
          <w:rFonts w:eastAsia="Segoe UI" w:cs="Segoe UI"/>
          <w:b/>
          <w:color w:val="0F4761"/>
          <w:sz w:val="26"/>
        </w:rPr>
        <w:t>11.2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Fleet Schedules, Marine Open Covers, Claims, My Work, Claim Documents, Motor Claim Repairs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Claim Document Checklist, Repair Shops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 Fleet Schedules and Marine Open Covers are read only, to see the vehicles and shipments on cover when a loss is reported.</w:t>
      </w:r>
    </w:p>
    <w:p>
      <w:pPr>
        <w:pStyle w:val="Heading2"/>
        <w:rPr/>
      </w:pPr>
      <w:bookmarkStart w:id="101" w:name="__RefHeading___Toc21719_17926050"/>
      <w:bookmarkEnd w:id="101"/>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 and your own worklist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Chase missing claim documents; submit complete files to the insurer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repair estimates, adjuster decisions and letters of authority</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claim document checklist and the accredited repair shops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&gt; Claim Document Checklist, Repair Shops</w:t>
            </w:r>
          </w:p>
        </w:tc>
      </w:tr>
    </w:tbl>
    <w:p>
      <w:pPr>
        <w:pStyle w:val="Normal"/>
        <w:spacing w:before="0" w:after="80"/>
        <w:rPr/>
      </w:pPr>
      <w:r>
        <w:rPr/>
      </w:r>
    </w:p>
    <w:p>
      <w:pPr>
        <w:pStyle w:val="Heading2"/>
        <w:rPr/>
      </w:pPr>
      <w:bookmarkStart w:id="102" w:name="__RefHeading___Toc21721_17926050"/>
      <w:bookmarkEnd w:id="102"/>
      <w:r>
        <w:rPr>
          <w:rFonts w:eastAsia="Segoe UI" w:cs="Segoe UI"/>
          <w:b/>
          <w:color w:val="0F4761"/>
          <w:sz w:val="26"/>
        </w:rPr>
        <w:t>11.4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103" w:name="__RefHeading___Toc21723_17926050"/>
      <w:bookmarkEnd w:id="103"/>
      <w:r>
        <w:rPr>
          <w:rFonts w:eastAsia="Segoe UI" w:cs="Segoe UI"/>
          <w:b/>
          <w:color w:val="0F4761"/>
          <w:sz w:val="26"/>
        </w:rPr>
        <w:t>11.5  The claims list</w:t>
      </w:r>
    </w:p>
    <w:p>
      <w:pPr>
        <w:pStyle w:val="Normal"/>
        <w:shd w:val="clear" w:color="auto" w:fill="EAF2FB"/>
        <w:spacing w:before="0" w:after="160"/>
        <w:ind w:left="170"/>
        <w:rPr/>
      </w:pPr>
      <w:r>
        <w:rPr>
          <w:rFonts w:eastAsia="Segoe UI" w:cs="Segoe UI" w:ascii="Segoe UI" w:hAnsi="Segoe UI"/>
          <w:color w:val="101820"/>
          <w:sz w:val="20"/>
        </w:rPr>
        <w:t>[Screen image not available: 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Reported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search by claim number, policy number or client and filter by status.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104" w:name="__RefHeading___Toc21725_17926050"/>
      <w:bookmarkEnd w:id="104"/>
      <w:r>
        <w:rPr>
          <w:rFonts w:eastAsia="Segoe UI" w:cs="Segoe UI"/>
          <w:b/>
          <w:color w:val="0F4761"/>
          <w:sz w:val="26"/>
        </w:rPr>
        <w:t>11.6  Register a claim</w:t>
      </w:r>
    </w:p>
    <w:p>
      <w:pPr>
        <w:pStyle w:val="Normal"/>
        <w:numPr>
          <w:ilvl w:val="0"/>
          <w:numId w:val="332"/>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333"/>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33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335"/>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3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shd w:val="clear" w:color="auto" w:fill="EAF2FB"/>
        <w:spacing w:before="0" w:after="160"/>
        <w:ind w:left="170"/>
        <w:rPr/>
      </w:pPr>
      <w:r>
        <w:rPr>
          <w:rFonts w:eastAsia="Segoe UI" w:cs="Segoe UI" w:ascii="Segoe UI" w:hAnsi="Segoe UI"/>
          <w:color w:val="101820"/>
          <w:sz w:val="20"/>
        </w:rPr>
        <w:t>[Screen image not available: 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105" w:name="__RefHeading___Toc21727_17926050"/>
      <w:bookmarkEnd w:id="105"/>
      <w:r>
        <w:rPr>
          <w:rFonts w:eastAsia="Segoe UI" w:cs="Segoe UI"/>
          <w:b/>
          <w:color w:val="0F4761"/>
          <w:sz w:val="26"/>
        </w:rPr>
        <w:t>11.7  Adjuster report</w:t>
      </w:r>
    </w:p>
    <w:p>
      <w:pPr>
        <w:pStyle w:val="Normal"/>
        <w:shd w:val="clear" w:color="auto" w:fill="EAF2FB"/>
        <w:spacing w:before="0" w:after="160"/>
        <w:ind w:left="170"/>
        <w:rPr/>
      </w:pPr>
      <w:r>
        <w:rPr>
          <w:rFonts w:eastAsia="Segoe UI" w:cs="Segoe UI" w:ascii="Segoe UI" w:hAnsi="Segoe UI"/>
          <w:color w:val="101820"/>
          <w:sz w:val="20"/>
        </w:rPr>
        <w:t>[Screen image not available: 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33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338"/>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33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340"/>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34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106" w:name="__RefHeading___Toc21729_17926050"/>
      <w:bookmarkEnd w:id="106"/>
      <w:r>
        <w:rPr>
          <w:rFonts w:eastAsia="Segoe UI" w:cs="Segoe UI"/>
          <w:b/>
          <w:color w:val="0F4761"/>
          <w:sz w:val="26"/>
        </w:rPr>
        <w:t>11.8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Settlement]</w:t>
      </w:r>
    </w:p>
    <w:p>
      <w:pPr>
        <w:pStyle w:val="Normal"/>
        <w:numPr>
          <w:ilvl w:val="0"/>
          <w:numId w:val="34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34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344"/>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3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107" w:name="__RefHeading___Toc21731_17926050"/>
      <w:bookmarkEnd w:id="107"/>
      <w:r>
        <w:rPr>
          <w:rFonts w:eastAsia="Segoe UI" w:cs="Segoe UI"/>
          <w:b/>
          <w:color w:val="0F4761"/>
          <w:sz w:val="26"/>
        </w:rPr>
        <w:t>11.9  Approve a settlement (checker)</w:t>
      </w:r>
    </w:p>
    <w:p>
      <w:pPr>
        <w:pStyle w:val="Normal"/>
        <w:numPr>
          <w:ilvl w:val="0"/>
          <w:numId w:val="346"/>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347"/>
        </w:numPr>
        <w:spacing w:before="0" w:after="60"/>
        <w:rPr/>
      </w:pPr>
      <w:r>
        <w:rPr>
          <w:rFonts w:eastAsia="Segoe UI" w:cs="Segoe UI" w:ascii="Segoe UI" w:hAnsi="Segoe UI"/>
          <w:color w:val="101820"/>
          <w:sz w:val="21"/>
        </w:rPr>
        <w:t>Check the claim summary and the settlement.</w:t>
      </w:r>
    </w:p>
    <w:p>
      <w:pPr>
        <w:pStyle w:val="Normal"/>
        <w:numPr>
          <w:ilvl w:val="0"/>
          <w:numId w:val="34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108" w:name="__RefHeading___Toc21733_17926050"/>
      <w:bookmarkEnd w:id="108"/>
      <w:r>
        <w:rPr>
          <w:rFonts w:eastAsia="Segoe UI" w:cs="Segoe UI"/>
          <w:b/>
          <w:color w:val="0F4761"/>
          <w:sz w:val="26"/>
        </w:rPr>
        <w:t>11.10  Claim details, documents and audit trail</w:t>
      </w:r>
    </w:p>
    <w:p>
      <w:pPr>
        <w:pStyle w:val="Normal"/>
        <w:shd w:val="clear" w:color="auto" w:fill="EAF2FB"/>
        <w:spacing w:before="0" w:after="160"/>
        <w:ind w:left="170"/>
        <w:rPr/>
      </w:pPr>
      <w:r>
        <w:rPr>
          <w:rFonts w:eastAsia="Segoe UI" w:cs="Segoe UI" w:ascii="Segoe UI" w:hAnsi="Segoe UI"/>
          <w:color w:val="101820"/>
          <w:sz w:val="20"/>
        </w:rPr>
        <w:t>[Screen image not available: 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shd w:val="clear" w:color="auto" w:fill="EAF2FB"/>
        <w:spacing w:before="0" w:after="160"/>
        <w:ind w:left="170"/>
        <w:rPr/>
      </w:pPr>
      <w:r>
        <w:rPr>
          <w:rFonts w:eastAsia="Segoe UI" w:cs="Segoe UI" w:ascii="Segoe UI" w:hAnsi="Segoe UI"/>
          <w:color w:val="101820"/>
          <w:sz w:val="20"/>
        </w:rPr>
        <w:t>[Screen image not available: Claim audit trail]</w:t>
      </w:r>
    </w:p>
    <w:p>
      <w:pPr>
        <w:pStyle w:val="Heading2"/>
        <w:rPr/>
      </w:pPr>
      <w:bookmarkStart w:id="109" w:name="__RefHeading___Toc21735_17926050"/>
      <w:bookmarkEnd w:id="109"/>
      <w:r>
        <w:rPr>
          <w:rFonts w:eastAsia="Segoe UI" w:cs="Segoe UI"/>
          <w:b/>
          <w:color w:val="0F4761"/>
          <w:sz w:val="26"/>
        </w:rPr>
        <w:t>11.11  Claim document checklist</w:t>
      </w:r>
    </w:p>
    <w:p>
      <w:pPr>
        <w:pStyle w:val="Normal"/>
        <w:spacing w:lineRule="auto" w:line="276" w:before="0" w:after="120"/>
        <w:rPr/>
      </w:pPr>
      <w:r>
        <w:rPr>
          <w:rFonts w:eastAsia="Segoe UI" w:cs="Segoe UI" w:ascii="Segoe UI" w:hAnsi="Segoe UI"/>
          <w:color w:val="101820"/>
          <w:sz w:val="21"/>
        </w:rPr>
        <w:t>Each claim has the list of documents it needs, taken from Master &gt; Insurance &gt; Claim Document Checklist by line of business and claim type (* for all), each one required or optional.</w:t>
      </w:r>
    </w:p>
    <w:p>
      <w:pPr>
        <w:pStyle w:val="Normal"/>
        <w:shd w:val="clear" w:color="auto" w:fill="EAF2FB"/>
        <w:spacing w:before="0" w:after="160"/>
        <w:ind w:left="170"/>
        <w:rPr/>
      </w:pPr>
      <w:r>
        <w:rPr>
          <w:rFonts w:eastAsia="Segoe UI" w:cs="Segoe UI" w:ascii="Segoe UI" w:hAnsi="Segoe UI"/>
          <w:color w:val="101820"/>
          <w:sz w:val="20"/>
        </w:rPr>
        <w:t>[Screen image not available: Operations &gt; Claim Documents]</w:t>
      </w:r>
    </w:p>
    <w:p>
      <w:pPr>
        <w:pStyle w:val="Normal"/>
        <w:numPr>
          <w:ilvl w:val="0"/>
          <w:numId w:val="349"/>
        </w:numPr>
        <w:spacing w:before="0" w:after="60"/>
        <w:rPr/>
      </w:pPr>
      <w:r>
        <w:rPr>
          <w:rFonts w:eastAsia="Segoe UI" w:cs="Segoe UI" w:ascii="Segoe UI" w:hAnsi="Segoe UI"/>
          <w:color w:val="101820"/>
          <w:sz w:val="21"/>
        </w:rPr>
        <w:t>Choose Operations &gt; Claim Documents and select the claim on the left.</w:t>
      </w:r>
    </w:p>
    <w:p>
      <w:pPr>
        <w:pStyle w:val="Normal"/>
        <w:numPr>
          <w:ilvl w:val="0"/>
          <w:numId w:val="350"/>
        </w:numPr>
        <w:spacing w:before="0" w:after="60"/>
        <w:rPr/>
      </w:pPr>
      <w:r>
        <w:rPr>
          <w:rFonts w:eastAsia="Segoe UI" w:cs="Segoe UI" w:ascii="Segoe UI" w:hAnsi="Segoe UI"/>
          <w:color w:val="101820"/>
          <w:sz w:val="21"/>
        </w:rPr>
        <w:t xml:space="preserve">For each document: </w:t>
      </w:r>
      <w:r>
        <w:rPr>
          <w:rFonts w:eastAsia="Segoe UI" w:cs="Segoe UI" w:ascii="Segoe UI" w:hAnsi="Segoe UI"/>
          <w:b/>
          <w:color w:val="101820"/>
          <w:sz w:val="21"/>
        </w:rPr>
        <w:t>Received</w:t>
      </w:r>
      <w:r>
        <w:rPr>
          <w:rFonts w:eastAsia="Segoe UI" w:cs="Segoe UI" w:ascii="Segoe UI" w:hAnsi="Segoe UI"/>
          <w:color w:val="101820"/>
          <w:sz w:val="21"/>
        </w:rPr>
        <w:t xml:space="preserve"> (or upload a copy with the upload icon; an uploaded claim document with the same name is marked received by itself), </w:t>
      </w:r>
      <w:r>
        <w:rPr>
          <w:rFonts w:eastAsia="Segoe UI" w:cs="Segoe UI" w:ascii="Segoe UI" w:hAnsi="Segoe UI"/>
          <w:b/>
          <w:color w:val="101820"/>
          <w:sz w:val="21"/>
        </w:rPr>
        <w:t>Waive</w:t>
      </w:r>
      <w:r>
        <w:rPr>
          <w:rFonts w:eastAsia="Segoe UI" w:cs="Segoe UI" w:ascii="Segoe UI" w:hAnsi="Segoe UI"/>
          <w:color w:val="101820"/>
          <w:sz w:val="21"/>
        </w:rPr>
        <w:t xml:space="preserve"> with a reason when it does not apply, or </w:t>
      </w:r>
      <w:r>
        <w:rPr>
          <w:rFonts w:eastAsia="Segoe UI" w:cs="Segoe UI" w:ascii="Segoe UI" w:hAnsi="Segoe UI"/>
          <w:b/>
          <w:color w:val="101820"/>
          <w:sz w:val="21"/>
        </w:rPr>
        <w:t>Reopen</w:t>
      </w:r>
      <w:r>
        <w:rPr>
          <w:rFonts w:eastAsia="Segoe UI" w:cs="Segoe UI" w:ascii="Segoe UI" w:hAnsi="Segoe UI"/>
          <w:color w:val="101820"/>
          <w:sz w:val="21"/>
        </w:rPr>
        <w:t xml:space="preserve">. </w:t>
      </w:r>
      <w:r>
        <w:rPr>
          <w:rFonts w:eastAsia="Segoe UI" w:cs="Segoe UI" w:ascii="Segoe UI" w:hAnsi="Segoe UI"/>
          <w:b/>
          <w:color w:val="101820"/>
          <w:sz w:val="21"/>
        </w:rPr>
        <w:t>Add document</w:t>
      </w:r>
      <w:r>
        <w:rPr>
          <w:rFonts w:eastAsia="Segoe UI" w:cs="Segoe UI" w:ascii="Segoe UI" w:hAnsi="Segoe UI"/>
          <w:color w:val="101820"/>
          <w:sz w:val="21"/>
        </w:rPr>
        <w:t xml:space="preserve"> adds one the checklist does not list.</w:t>
      </w:r>
    </w:p>
    <w:p>
      <w:pPr>
        <w:pStyle w:val="Normal"/>
        <w:numPr>
          <w:ilvl w:val="0"/>
          <w:numId w:val="351"/>
        </w:numPr>
        <w:spacing w:before="0" w:after="60"/>
        <w:rPr/>
      </w:pPr>
      <w:r>
        <w:rPr>
          <w:rFonts w:eastAsia="Segoe UI" w:cs="Segoe UI" w:ascii="Segoe UI" w:hAnsi="Segoe UI"/>
          <w:b/>
          <w:color w:val="101820"/>
          <w:sz w:val="21"/>
        </w:rPr>
        <w:t>Remind the claimant</w:t>
      </w:r>
      <w:r>
        <w:rPr>
          <w:rFonts w:eastAsia="Segoe UI" w:cs="Segoe UI" w:ascii="Segoe UI" w:hAnsi="Segoe UI"/>
          <w:color w:val="101820"/>
          <w:sz w:val="21"/>
        </w:rPr>
        <w:t xml:space="preserve"> e-mails the documents still missing (e-mail template </w:t>
      </w:r>
      <w:r>
        <w:rPr>
          <w:rFonts w:eastAsia="Consolas" w:cs="Consolas" w:ascii="Consolas" w:hAnsi="Consolas"/>
          <w:color w:val="101820"/>
          <w:sz w:val="19"/>
        </w:rPr>
        <w:t>claim_missing_documents</w:t>
      </w:r>
      <w:r>
        <w:rPr>
          <w:rFonts w:eastAsia="Segoe UI" w:cs="Segoe UI" w:ascii="Segoe UI" w:hAnsi="Segoe UI"/>
          <w:color w:val="101820"/>
          <w:sz w:val="21"/>
        </w:rPr>
        <w:t xml:space="preserve">). The daily job </w:t>
      </w:r>
      <w:r>
        <w:rPr>
          <w:rFonts w:eastAsia="Segoe UI" w:cs="Segoe UI" w:ascii="Segoe UI" w:hAnsi="Segoe UI"/>
          <w:b/>
          <w:color w:val="101820"/>
          <w:sz w:val="21"/>
        </w:rPr>
        <w:t>Missing claim documents</w:t>
      </w:r>
      <w:r>
        <w:rPr>
          <w:rFonts w:eastAsia="Segoe UI" w:cs="Segoe UI" w:ascii="Segoe UI" w:hAnsi="Segoe UI"/>
          <w:color w:val="101820"/>
          <w:sz w:val="21"/>
        </w:rPr>
        <w:t xml:space="preserve"> sends the same reminder every </w:t>
      </w:r>
      <w:r>
        <w:rPr>
          <w:rFonts w:eastAsia="Consolas" w:cs="Consolas" w:ascii="Consolas" w:hAnsi="Consolas"/>
          <w:color w:val="101820"/>
          <w:sz w:val="19"/>
        </w:rPr>
        <w:t>claims.document_reminder_days</w:t>
      </w:r>
      <w:r>
        <w:rPr>
          <w:rFonts w:eastAsia="Segoe UI" w:cs="Segoe UI" w:ascii="Segoe UI" w:hAnsi="Segoe UI"/>
          <w:color w:val="101820"/>
          <w:sz w:val="21"/>
        </w:rPr>
        <w:t xml:space="preserve"> days (3; 0 switches it off) to claimants of open claims with a required document missing.</w:t>
      </w:r>
    </w:p>
    <w:p>
      <w:pPr>
        <w:pStyle w:val="Normal"/>
        <w:numPr>
          <w:ilvl w:val="0"/>
          <w:numId w:val="352"/>
        </w:numPr>
        <w:spacing w:before="0" w:after="60"/>
        <w:rPr/>
      </w:pPr>
      <w:r>
        <w:rPr>
          <w:rFonts w:eastAsia="Segoe UI" w:cs="Segoe UI" w:ascii="Segoe UI" w:hAnsi="Segoe UI"/>
          <w:b/>
          <w:color w:val="101820"/>
          <w:sz w:val="21"/>
        </w:rPr>
        <w:t>Submit to insurer</w:t>
      </w:r>
      <w:r>
        <w:rPr>
          <w:rFonts w:eastAsia="Segoe UI" w:cs="Segoe UI" w:ascii="Segoe UI" w:hAnsi="Segoe UI"/>
          <w:color w:val="101820"/>
          <w:sz w:val="21"/>
        </w:rPr>
        <w:t xml:space="preserve"> records that the claim file went to the insurer (the reference is written to the claim history). While a required document is missing the button is disabled and the server refuses it (</w:t>
      </w:r>
      <w:r>
        <w:rPr>
          <w:rFonts w:eastAsia="Consolas" w:cs="Consolas" w:ascii="Consolas" w:hAnsi="Consolas"/>
          <w:color w:val="101820"/>
          <w:sz w:val="19"/>
        </w:rPr>
        <w:t>claims.require_documents_before_submission</w:t>
      </w:r>
      <w:r>
        <w:rPr>
          <w:rFonts w:eastAsia="Segoe UI" w:cs="Segoe UI" w:ascii="Segoe UI" w:hAnsi="Segoe UI"/>
          <w:color w:val="101820"/>
          <w:sz w:val="21"/>
        </w:rPr>
        <w:t>).</w:t>
      </w:r>
    </w:p>
    <w:p>
      <w:pPr>
        <w:pStyle w:val="Heading2"/>
        <w:rPr/>
      </w:pPr>
      <w:bookmarkStart w:id="110" w:name="__RefHeading___Toc21737_17926050"/>
      <w:bookmarkEnd w:id="110"/>
      <w:r>
        <w:rPr>
          <w:rFonts w:eastAsia="Segoe UI" w:cs="Segoe UI"/>
          <w:b/>
          <w:color w:val="0F4761"/>
          <w:sz w:val="26"/>
        </w:rPr>
        <w:t>11.12  Motor claim repairs and letters of authority</w:t>
      </w:r>
    </w:p>
    <w:p>
      <w:pPr>
        <w:pStyle w:val="Normal"/>
        <w:spacing w:lineRule="auto" w:line="276" w:before="0" w:after="120"/>
        <w:rPr/>
      </w:pPr>
      <w:r>
        <w:rPr>
          <w:rFonts w:eastAsia="Segoe UI" w:cs="Segoe UI" w:ascii="Segoe UI" w:hAnsi="Segoe UI"/>
          <w:color w:val="101820"/>
          <w:sz w:val="21"/>
        </w:rPr>
        <w:t>Operations &gt; Motor Claim Repairs lists the motor claims with the stage of their repair: no estimate yet, awaiting approval, approved, in repair, released. Select a claim to open its repair file.</w:t>
      </w:r>
    </w:p>
    <w:p>
      <w:pPr>
        <w:pStyle w:val="Normal"/>
        <w:shd w:val="clear" w:color="auto" w:fill="EAF2FB"/>
        <w:spacing w:before="0" w:after="160"/>
        <w:ind w:left="170"/>
        <w:rPr/>
      </w:pPr>
      <w:r>
        <w:rPr>
          <w:rFonts w:eastAsia="Segoe UI" w:cs="Segoe UI" w:ascii="Segoe UI" w:hAnsi="Segoe UI"/>
          <w:color w:val="101820"/>
          <w:sz w:val="20"/>
        </w:rPr>
        <w:t>[Screen image not available: Operations &gt; Motor Claim Repairs]</w:t>
      </w:r>
    </w:p>
    <w:p>
      <w:pPr>
        <w:pStyle w:val="Normal"/>
        <w:numPr>
          <w:ilvl w:val="0"/>
          <w:numId w:val="353"/>
        </w:numPr>
        <w:spacing w:before="0" w:after="60"/>
        <w:rPr/>
      </w:pPr>
      <w:r>
        <w:rPr>
          <w:rFonts w:eastAsia="Segoe UI" w:cs="Segoe UI" w:ascii="Segoe UI" w:hAnsi="Segoe UI"/>
          <w:b/>
          <w:color w:val="101820"/>
          <w:sz w:val="21"/>
        </w:rPr>
        <w:t>Record estimate</w:t>
      </w:r>
      <w:r>
        <w:rPr>
          <w:rFonts w:eastAsia="Segoe UI" w:cs="Segoe UI" w:ascii="Segoe UI" w:hAnsi="Segoe UI"/>
          <w:color w:val="101820"/>
          <w:sz w:val="21"/>
        </w:rPr>
        <w:t>: the repair shop (Master &gt; Insurance &gt; Repair Shops; only active, accredited shops), its estimate number and date, and the parts, labour, paint, other and VAT amounts. The first estimate is the initial one; an estimate recorded after one is approved is supplementary. One estimate at a time waits for the adjuster.</w:t>
      </w:r>
    </w:p>
    <w:p>
      <w:pPr>
        <w:pStyle w:val="Normal"/>
        <w:numPr>
          <w:ilvl w:val="0"/>
          <w:numId w:val="354"/>
        </w:numPr>
        <w:spacing w:before="0" w:after="60"/>
        <w:rPr/>
      </w:pPr>
      <w:r>
        <w:rPr>
          <w:rFonts w:eastAsia="Segoe UI" w:cs="Segoe UI" w:ascii="Segoe UI" w:hAnsi="Segoe UI"/>
          <w:b/>
          <w:color w:val="101820"/>
          <w:sz w:val="21"/>
        </w:rPr>
        <w:t>Record adjuster decision</w:t>
      </w:r>
      <w:r>
        <w:rPr>
          <w:rFonts w:eastAsia="Segoe UI" w:cs="Segoe UI" w:ascii="Segoe UI" w:hAnsi="Segoe UI"/>
          <w:color w:val="101820"/>
          <w:sz w:val="21"/>
        </w:rPr>
        <w:t>: approve with the approved amount (at most the estimate) or reject with the reason, the adjuster and adjusting company, and the insurer's approval reference.</w:t>
      </w:r>
    </w:p>
    <w:p>
      <w:pPr>
        <w:pStyle w:val="Normal"/>
        <w:numPr>
          <w:ilvl w:val="0"/>
          <w:numId w:val="355"/>
        </w:numPr>
        <w:spacing w:before="0" w:after="60"/>
        <w:rPr/>
      </w:pPr>
      <w:r>
        <w:rPr>
          <w:rFonts w:eastAsia="Segoe UI" w:cs="Segoe UI" w:ascii="Segoe UI" w:hAnsi="Segoe UI"/>
          <w:b/>
          <w:color w:val="101820"/>
          <w:sz w:val="21"/>
        </w:rPr>
        <w:t>Issue letter of authority</w:t>
      </w:r>
      <w:r>
        <w:rPr>
          <w:rFonts w:eastAsia="Segoe UI" w:cs="Segoe UI" w:ascii="Segoe UI" w:hAnsi="Segoe UI"/>
          <w:color w:val="101820"/>
          <w:sz w:val="21"/>
        </w:rPr>
        <w:t xml:space="preserve">: covers the approved estimates not yet on a letter. The participation of the insured comes from </w:t>
      </w:r>
      <w:r>
        <w:rPr>
          <w:rFonts w:eastAsia="Consolas" w:cs="Consolas" w:ascii="Consolas" w:hAnsi="Consolas"/>
          <w:color w:val="101820"/>
          <w:sz w:val="19"/>
        </w:rPr>
        <w:t>motor_claims.participation</w:t>
      </w:r>
      <w:r>
        <w:rPr>
          <w:rFonts w:eastAsia="Segoe UI" w:cs="Segoe UI" w:ascii="Segoe UI" w:hAnsi="Segoe UI"/>
          <w:color w:val="101820"/>
          <w:sz w:val="21"/>
        </w:rPr>
        <w:t xml:space="preserve"> (PHP 2,000 or 0.5% of the sum insured, whichever is higher) on the original letter only, and the depreciation on parts from </w:t>
      </w:r>
      <w:r>
        <w:rPr>
          <w:rFonts w:eastAsia="Consolas" w:cs="Consolas" w:ascii="Consolas" w:hAnsi="Consolas"/>
          <w:color w:val="101820"/>
          <w:sz w:val="19"/>
        </w:rPr>
        <w:t>motor_claims.parts_depreciation_percent</w:t>
      </w:r>
      <w:r>
        <w:rPr>
          <w:rFonts w:eastAsia="Segoe UI" w:cs="Segoe UI" w:ascii="Segoe UI" w:hAnsi="Segoe UI"/>
          <w:color w:val="101820"/>
          <w:sz w:val="21"/>
        </w:rPr>
        <w:t xml:space="preserve">; both can be changed. The letter (LOA-YYYY-NNNNN, valid </w:t>
      </w:r>
      <w:r>
        <w:rPr>
          <w:rFonts w:eastAsia="Consolas" w:cs="Consolas" w:ascii="Consolas" w:hAnsi="Consolas"/>
          <w:color w:val="101820"/>
          <w:sz w:val="19"/>
        </w:rPr>
        <w:t>motor_claims.loa_validity_days</w:t>
      </w:r>
      <w:r>
        <w:rPr>
          <w:rFonts w:eastAsia="Segoe UI" w:cs="Segoe UI" w:ascii="Segoe UI" w:hAnsi="Segoe UI"/>
          <w:color w:val="101820"/>
          <w:sz w:val="21"/>
        </w:rPr>
        <w:t xml:space="preserve">) shows the approved repair cost, the amount payable by the insurer and the amount the insured settles with the shop. </w:t>
      </w:r>
      <w:r>
        <w:rPr>
          <w:rFonts w:eastAsia="Segoe UI" w:cs="Segoe UI" w:ascii="Segoe UI" w:hAnsi="Segoe UI"/>
          <w:b/>
          <w:color w:val="101820"/>
          <w:sz w:val="21"/>
        </w:rPr>
        <w:t>Print</w:t>
      </w:r>
      <w:r>
        <w:rPr>
          <w:rFonts w:eastAsia="Segoe UI" w:cs="Segoe UI" w:ascii="Segoe UI" w:hAnsi="Segoe UI"/>
          <w:color w:val="101820"/>
          <w:sz w:val="21"/>
        </w:rPr>
        <w:t xml:space="preserve"> opens it with the letterhead; a supplementary estimate gets a supplementary letter.</w:t>
      </w:r>
    </w:p>
    <w:p>
      <w:pPr>
        <w:pStyle w:val="Normal"/>
        <w:numPr>
          <w:ilvl w:val="0"/>
          <w:numId w:val="356"/>
        </w:numPr>
        <w:spacing w:before="0" w:after="60"/>
        <w:rPr/>
      </w:pPr>
      <w:r>
        <w:rPr>
          <w:rFonts w:eastAsia="Segoe UI" w:cs="Segoe UI" w:ascii="Segoe UI" w:hAnsi="Segoe UI"/>
          <w:b/>
          <w:color w:val="101820"/>
          <w:sz w:val="21"/>
        </w:rPr>
        <w:t>Release vehicle</w:t>
      </w:r>
      <w:r>
        <w:rPr>
          <w:rFonts w:eastAsia="Segoe UI" w:cs="Segoe UI" w:ascii="Segoe UI" w:hAnsi="Segoe UI"/>
          <w:color w:val="101820"/>
          <w:sz w:val="21"/>
        </w:rPr>
        <w:t xml:space="preserve">: who took the vehicle back, the dates, the participation paid to the shop and the odometer. </w:t>
      </w:r>
      <w:r>
        <w:rPr>
          <w:rFonts w:eastAsia="Segoe UI" w:cs="Segoe UI" w:ascii="Segoe UI" w:hAnsi="Segoe UI"/>
          <w:b/>
          <w:color w:val="101820"/>
          <w:sz w:val="21"/>
        </w:rPr>
        <w:t>Print</w:t>
      </w:r>
      <w:r>
        <w:rPr>
          <w:rFonts w:eastAsia="Segoe UI" w:cs="Segoe UI" w:ascii="Segoe UI" w:hAnsi="Segoe UI"/>
          <w:color w:val="101820"/>
          <w:sz w:val="21"/>
        </w:rPr>
        <w:t xml:space="preserve"> gives the release acknowledgement the insured signs.</w:t>
      </w:r>
    </w:p>
    <w:p>
      <w:pPr>
        <w:pStyle w:val="Normal"/>
        <w:spacing w:lineRule="auto" w:line="276" w:before="0" w:after="120"/>
        <w:rPr/>
      </w:pPr>
      <w:r>
        <w:rPr>
          <w:rFonts w:eastAsia="Segoe UI" w:cs="Segoe UI" w:ascii="Segoe UI" w:hAnsi="Segoe UI"/>
          <w:color w:val="101820"/>
          <w:sz w:val="21"/>
        </w:rPr>
        <w:t>Every step is written to the claim history.</w:t>
      </w:r>
    </w:p>
    <w:p>
      <w:pPr>
        <w:pStyle w:val="Heading2"/>
        <w:rPr/>
      </w:pPr>
      <w:bookmarkStart w:id="111" w:name="__RefHeading___Toc21739_17926050"/>
      <w:bookmarkEnd w:id="111"/>
      <w:r>
        <w:rPr>
          <w:rFonts w:eastAsia="Segoe UI" w:cs="Segoe UI"/>
          <w:b/>
          <w:color w:val="0F4761"/>
          <w:sz w:val="26"/>
        </w:rPr>
        <w:t>11.13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112" w:name="__RefHeading___Toc21741_17926050"/>
      <w:bookmarkEnd w:id="112"/>
      <w:r>
        <w:rPr>
          <w:rFonts w:eastAsia="Segoe UI" w:cs="Segoe UI" w:ascii="Segoe UI" w:hAnsi="Segoe UI"/>
          <w:b/>
          <w:color w:val="0F4761"/>
          <w:sz w:val="32"/>
        </w:rPr>
        <w:t>12.  Accounting</w:t>
      </w:r>
    </w:p>
    <w:p>
      <w:pPr>
        <w:pStyle w:val="Heading2"/>
        <w:rPr/>
      </w:pPr>
      <w:bookmarkStart w:id="113" w:name="__RefHeading___Toc21743_17926050"/>
      <w:bookmarkEnd w:id="113"/>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shd w:val="clear" w:color="auto" w:fill="EAF2FB"/>
        <w:spacing w:before="0" w:after="160"/>
        <w:ind w:left="170"/>
        <w:rPr/>
      </w:pPr>
      <w:r>
        <w:rPr>
          <w:rFonts w:eastAsia="Segoe UI" w:cs="Segoe UI" w:ascii="Segoe UI" w:hAnsi="Segoe UI"/>
          <w:color w:val="101820"/>
          <w:sz w:val="20"/>
        </w:rPr>
        <w:t>[Screen image not available: Accounts &gt; Receipts]</w:t>
      </w:r>
    </w:p>
    <w:p>
      <w:pPr>
        <w:pStyle w:val="Heading2"/>
        <w:rPr/>
      </w:pPr>
      <w:bookmarkStart w:id="114" w:name="__RefHeading___Toc21745_17926050"/>
      <w:bookmarkEnd w:id="114"/>
      <w:r>
        <w:rPr>
          <w:rFonts w:eastAsia="Segoe UI" w:cs="Segoe UI"/>
          <w:b/>
          <w:color w:val="0F4761"/>
          <w:sz w:val="26"/>
        </w:rPr>
        <w:t>12.2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Post-Dated Cheques; Claims Settlements; Payables (Supplier Invoices, Supplier Payments, AP Ageing, Suppliers, Supplier 2307); Fixed Assets (Asset Register, Depreciation Run, Disposals); Disbursement; Bank Payment Files;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Withholding Returns, Annual Alphalist 1604-E, Percentage Tax 2551Q, BIR DAT Files, Sales Invoices, E-Invoicing (EIS), CAS Books and Documents);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 Insurer Overrides (Agreements, Computations)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 Report Builder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Asset Classes, Bank Statement Formats, Bank Transaction Types, Insurer Statement Formats, Bank File Layouts</w:t>
            </w:r>
          </w:p>
        </w:tc>
      </w:tr>
    </w:tbl>
    <w:p>
      <w:pPr>
        <w:pStyle w:val="Normal"/>
        <w:spacing w:before="0" w:after="80"/>
        <w:rPr/>
      </w:pPr>
      <w:r>
        <w:rPr/>
      </w:r>
    </w:p>
    <w:p>
      <w:pPr>
        <w:pStyle w:val="Heading2"/>
        <w:rPr/>
      </w:pPr>
      <w:bookmarkStart w:id="115" w:name="__RefHeading___Toc21747_17926050"/>
      <w:bookmarkEnd w:id="115"/>
      <w:r>
        <w:rPr>
          <w:rFonts w:eastAsia="Segoe UI" w:cs="Segoe UI"/>
          <w:b/>
          <w:color w:val="0F4761"/>
          <w:sz w:val="26"/>
        </w:rPr>
        <w:t>12.3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the post-dated cheques due; record cleared and bounced cheques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Post-Dated Cheques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supplier invoices; pay approved invoices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insurer funds and claimant payments of settlements paid through the broker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Claims Settlements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 pay by bank file where the bank accepts one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Bank Payment Files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 issue the sales invoices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 Tax &gt; Sales Invoices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 depreciation; register and dispose of assets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0619-E and 1601-EQ with their filing records; 2551Q for a non-VAT broker; the BIR DAT files; BIR Form 2307 to suppliers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Withholding Returns, Percentage Tax 2551Q, BIR DAT Files; Payables &gt; Supplier 2307</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agreement period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 approve and settle overriding and contingent commission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Insurer Overrides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 the annual information return 1604-E; the CAS books of the year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 Tax &gt; Annual Alphalist 1604-E, CAS Books and Documents</w:t>
            </w:r>
          </w:p>
        </w:tc>
      </w:tr>
    </w:tbl>
    <w:p>
      <w:pPr>
        <w:pStyle w:val="Normal"/>
        <w:spacing w:before="0" w:after="80"/>
        <w:rPr/>
      </w:pPr>
      <w:r>
        <w:rPr/>
      </w:r>
    </w:p>
    <w:p>
      <w:pPr>
        <w:pStyle w:val="Heading2"/>
        <w:rPr/>
      </w:pPr>
      <w:bookmarkStart w:id="116" w:name="__RefHeading___Toc21749_17926050"/>
      <w:bookmarkEnd w:id="116"/>
      <w:r>
        <w:rPr>
          <w:rFonts w:eastAsia="Segoe UI" w:cs="Segoe UI"/>
          <w:b/>
          <w:color w:val="0F4761"/>
          <w:sz w:val="26"/>
        </w:rPr>
        <w:t>12.4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12.4.1  Post a receipt</w:t>
      </w:r>
    </w:p>
    <w:p>
      <w:pPr>
        <w:pStyle w:val="Normal"/>
        <w:shd w:val="clear" w:color="auto" w:fill="EAF2FB"/>
        <w:spacing w:before="0" w:after="160"/>
        <w:ind w:left="170"/>
        <w:rPr/>
      </w:pPr>
      <w:r>
        <w:rPr>
          <w:rFonts w:eastAsia="Segoe UI" w:cs="Segoe UI" w:ascii="Segoe UI" w:hAnsi="Segoe UI"/>
          <w:color w:val="101820"/>
          <w:sz w:val="20"/>
        </w:rPr>
        <w:t>[Screen image not available: Add Receipts]</w:t>
      </w:r>
    </w:p>
    <w:p>
      <w:pPr>
        <w:pStyle w:val="Normal"/>
        <w:numPr>
          <w:ilvl w:val="0"/>
          <w:numId w:val="357"/>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358"/>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359"/>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360"/>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36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36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363"/>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364"/>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117" w:name="__RefHeading___Toc21751_17926050"/>
      <w:bookmarkEnd w:id="117"/>
      <w:r>
        <w:rPr>
          <w:rFonts w:eastAsia="Segoe UI" w:cs="Segoe UI"/>
          <w:b/>
          <w:color w:val="0F4761"/>
          <w:sz w:val="26"/>
        </w:rPr>
        <w:t>12.5  Collections</w:t>
      </w:r>
    </w:p>
    <w:p>
      <w:pPr>
        <w:pStyle w:val="Normal"/>
        <w:shd w:val="clear" w:color="auto" w:fill="EAF2FB"/>
        <w:spacing w:before="0" w:after="160"/>
        <w:ind w:left="170"/>
        <w:rPr/>
      </w:pPr>
      <w:r>
        <w:rPr>
          <w:rFonts w:eastAsia="Segoe UI" w:cs="Segoe UI" w:ascii="Segoe UI" w:hAnsi="Segoe UI"/>
          <w:color w:val="101820"/>
          <w:sz w:val="20"/>
        </w:rPr>
        <w:t>[Screen image not available: 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shd w:val="clear" w:color="auto" w:fill="EAF2FB"/>
        <w:spacing w:before="0" w:after="160"/>
        <w:ind w:left="170"/>
        <w:rPr/>
      </w:pPr>
      <w:r>
        <w:rPr>
          <w:rFonts w:eastAsia="Segoe UI" w:cs="Segoe UI" w:ascii="Segoe UI" w:hAnsi="Segoe UI"/>
          <w:color w:val="101820"/>
          <w:sz w:val="20"/>
        </w:rPr>
        <w:t>[Screen image not available: Collections aging report]</w:t>
      </w:r>
    </w:p>
    <w:p>
      <w:pPr>
        <w:pStyle w:val="Heading3"/>
        <w:rPr/>
      </w:pPr>
      <w:r>
        <w:rPr>
          <w:rFonts w:eastAsia="Segoe UI" w:cs="Segoe UI"/>
          <w:b/>
          <w:color w:val="0F4761"/>
          <w:sz w:val="23"/>
        </w:rPr>
        <w:t>12.5.1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shd w:val="clear" w:color="auto" w:fill="EAF2FB"/>
        <w:spacing w:before="0" w:after="160"/>
        <w:ind w:left="170"/>
        <w:rPr/>
      </w:pPr>
      <w:r>
        <w:rPr>
          <w:rFonts w:eastAsia="Segoe UI" w:cs="Segoe UI" w:ascii="Segoe UI" w:hAnsi="Segoe UI"/>
          <w:color w:val="101820"/>
          <w:sz w:val="20"/>
        </w:rPr>
        <w:t>[Screen image not available: Import open items (go-live)]</w:t>
      </w:r>
    </w:p>
    <w:p>
      <w:pPr>
        <w:pStyle w:val="Heading2"/>
        <w:rPr/>
      </w:pPr>
      <w:bookmarkStart w:id="118" w:name="__RefHeading___Toc21753_17926050"/>
      <w:bookmarkEnd w:id="118"/>
      <w:r>
        <w:rPr>
          <w:rFonts w:eastAsia="Segoe UI" w:cs="Segoe UI"/>
          <w:b/>
          <w:color w:val="0F4761"/>
          <w:sz w:val="26"/>
        </w:rPr>
        <w:t>12.6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[Screen image not available: Accounts &gt; Credit Control &gt; Premium Warranty Monitor]</w:t>
      </w:r>
    </w:p>
    <w:p>
      <w:pPr>
        <w:pStyle w:val="Heading3"/>
        <w:rPr/>
      </w:pPr>
      <w:r>
        <w:rPr>
          <w:rFonts w:eastAsia="Segoe UI" w:cs="Segoe UI"/>
          <w:b/>
          <w:color w:val="0F4761"/>
          <w:sz w:val="23"/>
        </w:rPr>
        <w:t>12.6.1  Separate instalment invoices</w:t>
      </w:r>
    </w:p>
    <w:p>
      <w:pPr>
        <w:pStyle w:val="Normal"/>
        <w:spacing w:lineRule="auto" w:line="276" w:before="0" w:after="120"/>
        <w:rPr/>
      </w:pPr>
      <w:r>
        <w:rPr>
          <w:rFonts w:eastAsia="Segoe UI" w:cs="Segoe UI" w:ascii="Segoe UI" w:hAnsi="Segoe UI"/>
          <w:color w:val="101820"/>
          <w:sz w:val="21"/>
        </w:rPr>
        <w:t xml:space="preserve">By default an instalment plan splits the follow-up of one bill. To bill each instalment on its own, select </w:t>
      </w:r>
      <w:r>
        <w:rPr>
          <w:rFonts w:eastAsia="Segoe UI" w:cs="Segoe UI" w:ascii="Segoe UI" w:hAnsi="Segoe UI"/>
          <w:b/>
          <w:color w:val="101820"/>
          <w:sz w:val="21"/>
        </w:rPr>
        <w:t>Issue instalment invoices</w:t>
      </w:r>
      <w:r>
        <w:rPr>
          <w:rFonts w:eastAsia="Segoe UI" w:cs="Segoe UI" w:ascii="Segoe UI" w:hAnsi="Segoe UI"/>
          <w:color w:val="101820"/>
          <w:sz w:val="21"/>
        </w:rPr>
        <w:t xml:space="preserve"> on the plan (before any payment is applied to the bill; </w:t>
      </w:r>
      <w:r>
        <w:rPr>
          <w:rFonts w:eastAsia="Consolas" w:cs="Consolas" w:ascii="Consolas" w:hAnsi="Consolas"/>
          <w:color w:val="101820"/>
          <w:sz w:val="19"/>
        </w:rPr>
        <w:t>credit.instalment_invoices_on_save</w:t>
      </w:r>
      <w:r>
        <w:rPr>
          <w:rFonts w:eastAsia="Segoe UI" w:cs="Segoe UI" w:ascii="Segoe UI" w:hAnsi="Segoe UI"/>
          <w:color w:val="101820"/>
          <w:sz w:val="21"/>
        </w:rPr>
        <w:t xml:space="preserve"> does it when the plan is saved). The bill is cancelled with the reversal of its booking journal and each instalment becomes a bill with its own invoice number, due date, share of the net premium, taxes and commission, booking journal and collection item. Receipts, collections, the receivable ageing, the instalment ageing and the Premium Warranty Monitor then work on each instalment bill (an instalment counts as premium due only from its due date). An invoiced plan cannot be cancelled.</w:t>
      </w:r>
    </w:p>
    <w:p>
      <w:pPr>
        <w:pStyle w:val="Heading2"/>
        <w:rPr/>
      </w:pPr>
      <w:bookmarkStart w:id="119" w:name="__RefHeading___Toc21755_17926050"/>
      <w:bookmarkEnd w:id="119"/>
      <w:r>
        <w:rPr>
          <w:rFonts w:eastAsia="Segoe UI" w:cs="Segoe UI"/>
          <w:b/>
          <w:color w:val="0F4761"/>
          <w:sz w:val="26"/>
        </w:rPr>
        <w:t>12.7  Post-dated cheques</w:t>
      </w:r>
    </w:p>
    <w:p>
      <w:pPr>
        <w:pStyle w:val="Normal"/>
        <w:spacing w:lineRule="auto" w:line="276" w:before="0" w:after="120"/>
        <w:rPr/>
      </w:pPr>
      <w:r>
        <w:rPr>
          <w:rFonts w:eastAsia="Segoe UI" w:cs="Segoe UI" w:ascii="Segoe UI" w:hAnsi="Segoe UI"/>
          <w:color w:val="101820"/>
          <w:sz w:val="21"/>
        </w:rPr>
        <w:t>Accounts &gt; Post-Dated Cheques is the register of cheques received from clients before their date.</w:t>
      </w:r>
    </w:p>
    <w:p>
      <w:pPr>
        <w:pStyle w:val="Normal"/>
        <w:shd w:val="clear" w:color="auto" w:fill="EAF2FB"/>
        <w:spacing w:before="0" w:after="160"/>
        <w:ind w:left="170"/>
        <w:rPr/>
      </w:pPr>
      <w:r>
        <w:rPr>
          <w:rFonts w:eastAsia="Segoe UI" w:cs="Segoe UI" w:ascii="Segoe UI" w:hAnsi="Segoe UI"/>
          <w:color w:val="101820"/>
          <w:sz w:val="20"/>
        </w:rPr>
        <w:t>[Screen image not available: Accounts &gt; Post-Dated Cheques]</w:t>
      </w:r>
    </w:p>
    <w:p>
      <w:pPr>
        <w:pStyle w:val="Normal"/>
        <w:numPr>
          <w:ilvl w:val="0"/>
          <w:numId w:val="365"/>
        </w:numPr>
        <w:spacing w:before="0" w:after="60"/>
        <w:rPr/>
      </w:pPr>
      <w:r>
        <w:rPr>
          <w:rFonts w:eastAsia="Segoe UI" w:cs="Segoe UI" w:ascii="Segoe UI" w:hAnsi="Segoe UI"/>
          <w:b/>
          <w:color w:val="101820"/>
          <w:sz w:val="21"/>
        </w:rPr>
        <w:t>Register cheque</w:t>
      </w:r>
      <w:r>
        <w:rPr>
          <w:rFonts w:eastAsia="Segoe UI" w:cs="Segoe UI" w:ascii="Segoe UI" w:hAnsi="Segoe UI"/>
          <w:color w:val="101820"/>
          <w:sz w:val="21"/>
        </w:rPr>
        <w:t>: the bill (or policy) it pays, the drawee bank (Bank master, or typed), cheque number, date and amount, and where it is kept (</w:t>
      </w:r>
      <w:r>
        <w:rPr>
          <w:rFonts w:eastAsia="Segoe UI" w:cs="Segoe UI" w:ascii="Segoe UI" w:hAnsi="Segoe UI"/>
          <w:b/>
          <w:color w:val="101820"/>
          <w:sz w:val="21"/>
        </w:rPr>
        <w:t>Kept in</w:t>
      </w:r>
      <w:r>
        <w:rPr>
          <w:rFonts w:eastAsia="Segoe UI" w:cs="Segoe UI" w:ascii="Segoe UI" w:hAnsi="Segoe UI"/>
          <w:color w:val="101820"/>
          <w:sz w:val="21"/>
        </w:rPr>
        <w:t>). The cheques on hand of a bill cannot exceed its balance. Nothing is posted yet.</w:t>
      </w:r>
    </w:p>
    <w:p>
      <w:pPr>
        <w:pStyle w:val="Normal"/>
        <w:numPr>
          <w:ilvl w:val="0"/>
          <w:numId w:val="366"/>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Deposit due</w:t>
      </w:r>
      <w:r>
        <w:rPr>
          <w:rFonts w:eastAsia="Segoe UI" w:cs="Segoe UI" w:ascii="Segoe UI" w:hAnsi="Segoe UI"/>
          <w:color w:val="101820"/>
          <w:sz w:val="21"/>
        </w:rPr>
        <w:t xml:space="preserve"> tab lists the cheques dated within </w:t>
      </w:r>
      <w:r>
        <w:rPr>
          <w:rFonts w:eastAsia="Consolas" w:cs="Consolas" w:ascii="Consolas" w:hAnsi="Consolas"/>
          <w:color w:val="101820"/>
          <w:sz w:val="19"/>
        </w:rPr>
        <w:t>pdc.due_window_days</w:t>
      </w:r>
      <w:r>
        <w:rPr>
          <w:rFonts w:eastAsia="Segoe UI" w:cs="Segoe UI" w:ascii="Segoe UI" w:hAnsi="Segoe UI"/>
          <w:color w:val="101820"/>
          <w:sz w:val="21"/>
        </w:rPr>
        <w:t xml:space="preserve"> days (3); the daily job </w:t>
      </w:r>
      <w:r>
        <w:rPr>
          <w:rFonts w:eastAsia="Segoe UI" w:cs="Segoe UI" w:ascii="Segoe UI" w:hAnsi="Segoe UI"/>
          <w:b/>
          <w:color w:val="101820"/>
          <w:sz w:val="21"/>
        </w:rPr>
        <w:t>Post-dated cheques due</w:t>
      </w:r>
      <w:r>
        <w:rPr>
          <w:rFonts w:eastAsia="Segoe UI" w:cs="Segoe UI" w:ascii="Segoe UI" w:hAnsi="Segoe UI"/>
          <w:color w:val="101820"/>
          <w:sz w:val="21"/>
        </w:rPr>
        <w:t xml:space="preserve"> tells Accounting.</w:t>
      </w:r>
    </w:p>
    <w:p>
      <w:pPr>
        <w:pStyle w:val="Normal"/>
        <w:numPr>
          <w:ilvl w:val="0"/>
          <w:numId w:val="367"/>
        </w:numPr>
        <w:spacing w:before="0" w:after="60"/>
        <w:rPr/>
      </w:pPr>
      <w:r>
        <w:rPr>
          <w:rFonts w:eastAsia="Segoe UI" w:cs="Segoe UI" w:ascii="Segoe UI" w:hAnsi="Segoe UI"/>
          <w:b/>
          <w:color w:val="101820"/>
          <w:sz w:val="21"/>
        </w:rPr>
        <w:t>Deposit</w:t>
      </w:r>
      <w:r>
        <w:rPr>
          <w:rFonts w:eastAsia="Segoe UI" w:cs="Segoe UI" w:ascii="Segoe UI" w:hAnsi="Segoe UI"/>
          <w:color w:val="101820"/>
          <w:sz w:val="21"/>
        </w:rPr>
        <w:t xml:space="preserve"> on or after the cheque date: choose the bank account. The official receipt is created and posted on that bank account (posting rule receipt.apply) and its number is shown.</w:t>
      </w:r>
    </w:p>
    <w:p>
      <w:pPr>
        <w:pStyle w:val="Normal"/>
        <w:numPr>
          <w:ilvl w:val="0"/>
          <w:numId w:val="368"/>
        </w:numPr>
        <w:spacing w:before="0" w:after="60"/>
        <w:rPr/>
      </w:pPr>
      <w:r>
        <w:rPr>
          <w:rFonts w:eastAsia="Segoe UI" w:cs="Segoe UI" w:ascii="Segoe UI" w:hAnsi="Segoe UI"/>
          <w:b/>
          <w:color w:val="101820"/>
          <w:sz w:val="21"/>
        </w:rPr>
        <w:t>Cleared</w:t>
      </w:r>
      <w:r>
        <w:rPr>
          <w:rFonts w:eastAsia="Segoe UI" w:cs="Segoe UI" w:ascii="Segoe UI" w:hAnsi="Segoe UI"/>
          <w:color w:val="101820"/>
          <w:sz w:val="21"/>
        </w:rPr>
        <w:t xml:space="preserve"> when the bank confirms. </w:t>
      </w:r>
      <w:r>
        <w:rPr>
          <w:rFonts w:eastAsia="Segoe UI" w:cs="Segoe UI" w:ascii="Segoe UI" w:hAnsi="Segoe UI"/>
          <w:b/>
          <w:color w:val="101820"/>
          <w:sz w:val="21"/>
        </w:rPr>
        <w:t>Bounced</w:t>
      </w:r>
      <w:r>
        <w:rPr>
          <w:rFonts w:eastAsia="Segoe UI" w:cs="Segoe UI" w:ascii="Segoe UI" w:hAnsi="Segoe UI"/>
          <w:color w:val="101820"/>
          <w:sz w:val="21"/>
        </w:rPr>
        <w:t xml:space="preserve"> with the bank's reason (and charge): the receipt is cancelled, its journal reversed and the bill is open again; Accounting is notified and the client is e-mailed (template </w:t>
      </w:r>
      <w:r>
        <w:rPr>
          <w:rFonts w:eastAsia="Consolas" w:cs="Consolas" w:ascii="Consolas" w:hAnsi="Consolas"/>
          <w:color w:val="101820"/>
          <w:sz w:val="19"/>
        </w:rPr>
        <w:t>pdc_bounced</w:t>
      </w:r>
      <w:r>
        <w:rPr>
          <w:rFonts w:eastAsia="Segoe UI" w:cs="Segoe UI" w:ascii="Segoe UI" w:hAnsi="Segoe UI"/>
          <w:color w:val="101820"/>
          <w:sz w:val="21"/>
        </w:rPr>
        <w:t xml:space="preserve">, </w:t>
      </w:r>
      <w:r>
        <w:rPr>
          <w:rFonts w:eastAsia="Consolas" w:cs="Consolas" w:ascii="Consolas" w:hAnsi="Consolas"/>
          <w:color w:val="101820"/>
          <w:sz w:val="19"/>
        </w:rPr>
        <w:t>pdc.notify_client_on_bounce</w:t>
      </w:r>
      <w:r>
        <w:rPr>
          <w:rFonts w:eastAsia="Segoe UI" w:cs="Segoe UI" w:ascii="Segoe UI" w:hAnsi="Segoe UI"/>
          <w:color w:val="101820"/>
          <w:sz w:val="21"/>
        </w:rPr>
        <w:t>).</w:t>
      </w:r>
    </w:p>
    <w:p>
      <w:pPr>
        <w:pStyle w:val="Normal"/>
        <w:numPr>
          <w:ilvl w:val="0"/>
          <w:numId w:val="369"/>
        </w:numPr>
        <w:spacing w:before="0" w:after="60"/>
        <w:rPr/>
      </w:pPr>
      <w:r>
        <w:rPr>
          <w:rFonts w:eastAsia="Segoe UI" w:cs="Segoe UI" w:ascii="Segoe UI" w:hAnsi="Segoe UI"/>
          <w:b/>
          <w:color w:val="101820"/>
          <w:sz w:val="21"/>
        </w:rPr>
        <w:t>Replace</w:t>
      </w:r>
      <w:r>
        <w:rPr>
          <w:rFonts w:eastAsia="Segoe UI" w:cs="Segoe UI" w:ascii="Segoe UI" w:hAnsi="Segoe UI"/>
          <w:color w:val="101820"/>
          <w:sz w:val="21"/>
        </w:rPr>
        <w:t xml:space="preserve"> registers the client's new cheque for the same bill, linked to the bounced one. </w:t>
      </w:r>
      <w:r>
        <w:rPr>
          <w:rFonts w:eastAsia="Segoe UI" w:cs="Segoe UI" w:ascii="Segoe UI" w:hAnsi="Segoe UI"/>
          <w:b/>
          <w:color w:val="101820"/>
          <w:sz w:val="21"/>
        </w:rPr>
        <w:t>Return</w:t>
      </w:r>
      <w:r>
        <w:rPr>
          <w:rFonts w:eastAsia="Segoe UI" w:cs="Segoe UI" w:ascii="Segoe UI" w:hAnsi="Segoe UI"/>
          <w:color w:val="101820"/>
          <w:sz w:val="21"/>
        </w:rPr>
        <w:t xml:space="preserve"> gives an unused cheque back to the client; </w:t>
      </w:r>
      <w:r>
        <w:rPr>
          <w:rFonts w:eastAsia="Segoe UI" w:cs="Segoe UI" w:ascii="Segoe UI" w:hAnsi="Segoe UI"/>
          <w:b/>
          <w:color w:val="101820"/>
          <w:sz w:val="21"/>
        </w:rPr>
        <w:t>Cancel</w:t>
      </w:r>
      <w:r>
        <w:rPr>
          <w:rFonts w:eastAsia="Segoe UI" w:cs="Segoe UI" w:ascii="Segoe UI" w:hAnsi="Segoe UI"/>
          <w:color w:val="101820"/>
          <w:sz w:val="21"/>
        </w:rPr>
        <w:t xml:space="preserve"> voids a registration made in error.</w:t>
      </w:r>
    </w:p>
    <w:p>
      <w:pPr>
        <w:pStyle w:val="Normal"/>
        <w:spacing w:lineRule="auto" w:line="276" w:before="0" w:after="120"/>
        <w:rPr/>
      </w:pP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Heading2"/>
        <w:rPr/>
      </w:pPr>
      <w:bookmarkStart w:id="120" w:name="__RefHeading___Toc21757_17926050"/>
      <w:bookmarkEnd w:id="120"/>
      <w:r>
        <w:rPr>
          <w:rFonts w:eastAsia="Segoe UI" w:cs="Segoe UI"/>
          <w:b/>
          <w:color w:val="0F4761"/>
          <w:sz w:val="26"/>
        </w:rPr>
        <w:t>12.8  Claims settlements paid through the broker</w:t>
      </w:r>
    </w:p>
    <w:p>
      <w:pPr>
        <w:pStyle w:val="Normal"/>
        <w:shd w:val="clear" w:color="auto" w:fill="EAF2FB"/>
        <w:spacing w:before="0" w:after="160"/>
        <w:ind w:left="170"/>
        <w:rPr/>
      </w:pPr>
      <w:r>
        <w:rPr>
          <w:rFonts w:eastAsia="Segoe UI" w:cs="Segoe UI" w:ascii="Segoe UI" w:hAnsi="Segoe UI"/>
          <w:color w:val="101820"/>
          <w:sz w:val="20"/>
        </w:rPr>
        <w:t>[Screen image not available: Accounts &gt; Claims Settlements]</w:t>
      </w:r>
    </w:p>
    <w:p>
      <w:pPr>
        <w:pStyle w:val="Normal"/>
        <w:spacing w:lineRule="auto" w:line="276" w:before="0" w:after="120"/>
        <w:rPr/>
      </w:pPr>
      <w:r>
        <w:rPr>
          <w:rFonts w:eastAsia="Segoe UI" w:cs="Segoe UI" w:ascii="Segoe UI" w:hAnsi="Segoe UI"/>
          <w:color w:val="101820"/>
          <w:sz w:val="21"/>
        </w:rPr>
        <w:t>Accounts &gt; Claims Settlements lists the claims whose settlement through the broker is booked, with what is still to receive from the insurers and what is payable to the claimant. Select a claim:</w:t>
      </w:r>
    </w:p>
    <w:p>
      <w:pPr>
        <w:pStyle w:val="Normal"/>
        <w:numPr>
          <w:ilvl w:val="0"/>
          <w:numId w:val="1"/>
        </w:numPr>
        <w:spacing w:before="0" w:after="60"/>
        <w:rPr/>
      </w:pPr>
      <w:r>
        <w:rPr>
          <w:rFonts w:eastAsia="Segoe UI" w:cs="Segoe UI" w:ascii="Segoe UI" w:hAnsi="Segoe UI"/>
          <w:b/>
          <w:color w:val="101820"/>
          <w:sz w:val="21"/>
        </w:rPr>
        <w:t>Funds received</w:t>
      </w:r>
      <w:r>
        <w:rPr>
          <w:rFonts w:eastAsia="Segoe UI" w:cs="Segoe UI" w:ascii="Segoe UI" w:hAnsi="Segoe UI"/>
          <w:color w:val="101820"/>
          <w:sz w:val="21"/>
        </w:rPr>
        <w:t>: the insurer, amount, bank account and the insurer's remittance advice. Posting rule claim.funds_received: Dr bank / Cr Claim Settlements Receivable (clearing). Never more than the insurer's share.</w:t>
      </w:r>
    </w:p>
    <w:p>
      <w:pPr>
        <w:pStyle w:val="Normal"/>
        <w:numPr>
          <w:ilvl w:val="0"/>
          <w:numId w:val="1"/>
        </w:numPr>
        <w:spacing w:before="0" w:after="60"/>
        <w:rPr/>
      </w:pPr>
      <w:r>
        <w:rPr>
          <w:rFonts w:eastAsia="Segoe UI" w:cs="Segoe UI" w:ascii="Segoe UI" w:hAnsi="Segoe UI"/>
          <w:b/>
          <w:color w:val="101820"/>
          <w:sz w:val="21"/>
        </w:rPr>
        <w:t>Pay claimant</w:t>
      </w:r>
      <w:r>
        <w:rPr>
          <w:rFonts w:eastAsia="Segoe UI" w:cs="Segoe UI" w:ascii="Segoe UI" w:hAnsi="Segoe UI"/>
          <w:color w:val="101820"/>
          <w:sz w:val="21"/>
        </w:rPr>
        <w:t>: payee, mode, bank account, cheque or transfer reference. Posting rule claim.paid_to_claimant: Dr Claim Settlements Payable (fiduciary) / Cr bank. The payment gets a claim payment voucher number (CPV-YYYY-NNNNN); the print icon opens the voucher.</w:t>
      </w:r>
    </w:p>
    <w:p>
      <w:pPr>
        <w:pStyle w:val="Normal"/>
        <w:numPr>
          <w:ilvl w:val="0"/>
          <w:numId w:val="1"/>
        </w:numPr>
        <w:spacing w:before="0" w:after="60"/>
        <w:rPr/>
      </w:pPr>
      <w:r>
        <w:rPr>
          <w:rFonts w:eastAsia="Segoe UI" w:cs="Segoe UI" w:ascii="Segoe UI" w:hAnsi="Segoe UI"/>
          <w:b/>
          <w:color w:val="101820"/>
          <w:sz w:val="21"/>
        </w:rPr>
        <w:t>Release form</w:t>
      </w:r>
      <w:r>
        <w:rPr>
          <w:rFonts w:eastAsia="Segoe UI" w:cs="Segoe UI" w:ascii="Segoe UI" w:hAnsi="Segoe UI"/>
          <w:color w:val="101820"/>
          <w:sz w:val="21"/>
        </w:rPr>
        <w:t>: the release and quitclaim the claimant signs, with the payments made.</w:t>
      </w:r>
    </w:p>
    <w:p>
      <w:pPr>
        <w:pStyle w:val="Normal"/>
        <w:spacing w:lineRule="auto" w:line="276" w:before="0" w:after="120"/>
        <w:rPr/>
      </w:pPr>
      <w:r>
        <w:rPr>
          <w:rFonts w:eastAsia="Segoe UI" w:cs="Segoe UI" w:ascii="Segoe UI" w:hAnsi="Segoe UI"/>
          <w:color w:val="101820"/>
          <w:sz w:val="21"/>
        </w:rPr>
        <w:t>Recording funds needs the receipts permission and paying the claimant the disbursements permission (Accounting). The same cash panel stays on the claim screen.</w:t>
      </w:r>
    </w:p>
    <w:p>
      <w:pPr>
        <w:pStyle w:val="Heading2"/>
        <w:rPr/>
      </w:pPr>
      <w:bookmarkStart w:id="121" w:name="__RefHeading___Toc21759_17926050"/>
      <w:bookmarkEnd w:id="121"/>
      <w:r>
        <w:rPr>
          <w:rFonts w:eastAsia="Segoe UI" w:cs="Segoe UI"/>
          <w:b/>
          <w:color w:val="0F4761"/>
          <w:sz w:val="26"/>
        </w:rPr>
        <w:t>12.9  Disbursement: payment vouchers and cheques</w:t>
      </w:r>
    </w:p>
    <w:p>
      <w:pPr>
        <w:pStyle w:val="Normal"/>
        <w:shd w:val="clear" w:color="auto" w:fill="EAF2FB"/>
        <w:spacing w:before="0" w:after="160"/>
        <w:ind w:left="170"/>
        <w:rPr/>
      </w:pPr>
      <w:r>
        <w:rPr>
          <w:rFonts w:eastAsia="Segoe UI" w:cs="Segoe UI" w:ascii="Segoe UI" w:hAnsi="Segoe UI"/>
          <w:color w:val="101820"/>
          <w:sz w:val="20"/>
        </w:rPr>
        <w:t>[Screen image not available: 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370"/>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371"/>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372"/>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373"/>
        </w:numPr>
        <w:spacing w:before="0" w:after="60"/>
        <w:rPr/>
      </w:pPr>
      <w:r>
        <w:rPr>
          <w:rFonts w:eastAsia="Segoe UI" w:cs="Segoe UI" w:ascii="Segoe UI" w:hAnsi="Segoe UI"/>
          <w:color w:val="101820"/>
          <w:sz w:val="21"/>
        </w:rPr>
        <w:t>Choose the bank account and the cheque book, and save. The voucher goes for approval.</w:t>
      </w:r>
    </w:p>
    <w:p>
      <w:pPr>
        <w:pStyle w:val="Normal"/>
        <w:shd w:val="clear" w:color="auto" w:fill="EAF2FB"/>
        <w:spacing w:before="0" w:after="160"/>
        <w:ind w:left="170"/>
        <w:rPr/>
      </w:pPr>
      <w:r>
        <w:rPr>
          <w:rFonts w:eastAsia="Segoe UI" w:cs="Segoe UI" w:ascii="Segoe UI" w:hAnsi="Segoe UI"/>
          <w:color w:val="101820"/>
          <w:sz w:val="20"/>
        </w:rPr>
        <w:t>[Screen image not available: 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22" w:name="__RefHeading___Toc21761_17926050"/>
      <w:bookmarkEnd w:id="122"/>
      <w:r>
        <w:rPr>
          <w:rFonts w:eastAsia="Segoe UI" w:cs="Segoe UI"/>
          <w:b/>
          <w:color w:val="0F4761"/>
          <w:sz w:val="26"/>
        </w:rPr>
        <w:t>12.10  Bank payment files</w:t>
      </w:r>
    </w:p>
    <w:p>
      <w:pPr>
        <w:pStyle w:val="Normal"/>
        <w:spacing w:lineRule="auto" w:line="276" w:before="0" w:after="120"/>
        <w:rPr/>
      </w:pPr>
      <w:r>
        <w:rPr>
          <w:rFonts w:eastAsia="Segoe UI" w:cs="Segoe UI" w:ascii="Segoe UI" w:hAnsi="Segoe UI"/>
          <w:color w:val="101820"/>
          <w:sz w:val="21"/>
        </w:rPr>
        <w:t xml:space="preserve">Insurer remittances, referrer commission payouts, refunds and supplier payments can be paid by a bank upload file instead of cheques: bulk credit, InstaPay (up to </w:t>
      </w:r>
      <w:r>
        <w:rPr>
          <w:rFonts w:eastAsia="Consolas" w:cs="Consolas" w:ascii="Consolas" w:hAnsi="Consolas"/>
          <w:color w:val="101820"/>
          <w:sz w:val="19"/>
        </w:rPr>
        <w:t>bank_payments.instapay_limit</w:t>
      </w:r>
      <w:r>
        <w:rPr>
          <w:rFonts w:eastAsia="Segoe UI" w:cs="Segoe UI" w:ascii="Segoe UI" w:hAnsi="Segoe UI"/>
          <w:color w:val="101820"/>
          <w:sz w:val="21"/>
        </w:rPr>
        <w:t>, PHP 50,000 per payment) or PESONet.</w:t>
      </w:r>
    </w:p>
    <w:p>
      <w:pPr>
        <w:pStyle w:val="Normal"/>
        <w:shd w:val="clear" w:color="auto" w:fill="EAF2FB"/>
        <w:spacing w:before="0" w:after="160"/>
        <w:ind w:left="170"/>
        <w:rPr/>
      </w:pPr>
      <w:r>
        <w:rPr>
          <w:rFonts w:eastAsia="Segoe UI" w:cs="Segoe UI" w:ascii="Segoe UI" w:hAnsi="Segoe UI"/>
          <w:color w:val="101820"/>
          <w:sz w:val="20"/>
        </w:rPr>
        <w:t>[Screen image not available: Accounts &gt; Bank Payment Files]</w:t>
      </w:r>
    </w:p>
    <w:p>
      <w:pPr>
        <w:pStyle w:val="Normal"/>
        <w:numPr>
          <w:ilvl w:val="0"/>
          <w:numId w:val="374"/>
        </w:numPr>
        <w:spacing w:before="0" w:after="60"/>
        <w:rPr/>
      </w:pPr>
      <w:r>
        <w:rPr>
          <w:rFonts w:eastAsia="Segoe UI" w:cs="Segoe UI" w:ascii="Segoe UI" w:hAnsi="Segoe UI"/>
          <w:color w:val="101820"/>
          <w:sz w:val="21"/>
        </w:rPr>
        <w:t xml:space="preserve">Prepare the payment vouchers as usual (Accounts &gt; Disbursement, insurer remittance, bulk referrer payout) and submit them for approval. Every payee needs a bank account: Master &gt; Finance &gt; Bank File Layouts, </w:t>
      </w:r>
      <w:r>
        <w:rPr>
          <w:rFonts w:eastAsia="Segoe UI" w:cs="Segoe UI" w:ascii="Segoe UI" w:hAnsi="Segoe UI"/>
          <w:b/>
          <w:color w:val="101820"/>
          <w:sz w:val="21"/>
        </w:rPr>
        <w:t>Payee bank accounts</w:t>
      </w:r>
      <w:r>
        <w:rPr>
          <w:rFonts w:eastAsia="Segoe UI" w:cs="Segoe UI" w:ascii="Segoe UI" w:hAnsi="Segoe UI"/>
          <w:color w:val="101820"/>
          <w:sz w:val="21"/>
        </w:rPr>
        <w:t xml:space="preserve"> (a referrer's account on the referrer record is used too).</w:t>
      </w:r>
    </w:p>
    <w:p>
      <w:pPr>
        <w:pStyle w:val="Normal"/>
        <w:numPr>
          <w:ilvl w:val="0"/>
          <w:numId w:val="375"/>
        </w:numPr>
        <w:spacing w:before="0" w:after="60"/>
        <w:rPr/>
      </w:pPr>
      <w:r>
        <w:rPr>
          <w:rFonts w:eastAsia="Segoe UI" w:cs="Segoe UI" w:ascii="Segoe UI" w:hAnsi="Segoe UI"/>
          <w:color w:val="101820"/>
          <w:sz w:val="21"/>
        </w:rPr>
        <w:t xml:space="preserve">Choose Accounts &gt; Bank Payment Files and select </w:t>
      </w:r>
      <w:r>
        <w:rPr>
          <w:rFonts w:eastAsia="Segoe UI" w:cs="Segoe UI" w:ascii="Segoe UI" w:hAnsi="Segoe UI"/>
          <w:b/>
          <w:color w:val="101820"/>
          <w:sz w:val="21"/>
        </w:rPr>
        <w:t>New batch</w:t>
      </w:r>
      <w:r>
        <w:rPr>
          <w:rFonts w:eastAsia="Segoe UI" w:cs="Segoe UI" w:ascii="Segoe UI" w:hAnsi="Segoe UI"/>
          <w:color w:val="101820"/>
          <w:sz w:val="21"/>
        </w:rPr>
        <w:t xml:space="preserve">. Choose the </w:t>
      </w:r>
      <w:r>
        <w:rPr>
          <w:rFonts w:eastAsia="Segoe UI" w:cs="Segoe UI" w:ascii="Segoe UI" w:hAnsi="Segoe UI"/>
          <w:b/>
          <w:color w:val="101820"/>
          <w:sz w:val="21"/>
        </w:rPr>
        <w:t>Layout</w:t>
      </w:r>
      <w:r>
        <w:rPr>
          <w:rFonts w:eastAsia="Segoe UI" w:cs="Segoe UI" w:ascii="Segoe UI" w:hAnsi="Segoe UI"/>
          <w:color w:val="101820"/>
          <w:sz w:val="21"/>
        </w:rPr>
        <w:t xml:space="preserve"> of the bank, the bank account to </w:t>
      </w:r>
      <w:r>
        <w:rPr>
          <w:rFonts w:eastAsia="Segoe UI" w:cs="Segoe UI" w:ascii="Segoe UI" w:hAnsi="Segoe UI"/>
          <w:b/>
          <w:color w:val="101820"/>
          <w:sz w:val="21"/>
        </w:rPr>
        <w:t>Pay from</w:t>
      </w:r>
      <w:r>
        <w:rPr>
          <w:rFonts w:eastAsia="Segoe UI" w:cs="Segoe UI" w:ascii="Segoe UI" w:hAnsi="Segoe UI"/>
          <w:color w:val="101820"/>
          <w:sz w:val="21"/>
        </w:rPr>
        <w:t xml:space="preserve">, the </w:t>
      </w:r>
      <w:r>
        <w:rPr>
          <w:rFonts w:eastAsia="Segoe UI" w:cs="Segoe UI" w:ascii="Segoe UI" w:hAnsi="Segoe UI"/>
          <w:b/>
          <w:color w:val="101820"/>
          <w:sz w:val="21"/>
        </w:rPr>
        <w:t>Channel</w:t>
      </w:r>
      <w:r>
        <w:rPr>
          <w:rFonts w:eastAsia="Segoe UI" w:cs="Segoe UI" w:ascii="Segoe UI" w:hAnsi="Segoe UI"/>
          <w:color w:val="101820"/>
          <w:sz w:val="21"/>
        </w:rPr>
        <w:t xml:space="preserve"> and the </w:t>
      </w:r>
      <w:r>
        <w:rPr>
          <w:rFonts w:eastAsia="Segoe UI" w:cs="Segoe UI" w:ascii="Segoe UI" w:hAnsi="Segoe UI"/>
          <w:b/>
          <w:color w:val="101820"/>
          <w:sz w:val="21"/>
        </w:rPr>
        <w:t>Value date</w:t>
      </w:r>
      <w:r>
        <w:rPr>
          <w:rFonts w:eastAsia="Segoe UI" w:cs="Segoe UI" w:ascii="Segoe UI" w:hAnsi="Segoe UI"/>
          <w:color w:val="101820"/>
          <w:sz w:val="21"/>
        </w:rPr>
        <w:t xml:space="preserve">, tick the vouchers (a voucher without a bank account cannot be ticked) and select </w:t>
      </w:r>
      <w:r>
        <w:rPr>
          <w:rFonts w:eastAsia="Segoe UI" w:cs="Segoe UI" w:ascii="Segoe UI" w:hAnsi="Segoe UI"/>
          <w:b/>
          <w:color w:val="101820"/>
          <w:sz w:val="21"/>
        </w:rPr>
        <w:t>Create batch</w:t>
      </w:r>
      <w:r>
        <w:rPr>
          <w:rFonts w:eastAsia="Segoe UI" w:cs="Segoe UI" w:ascii="Segoe UI" w:hAnsi="Segoe UI"/>
          <w:color w:val="101820"/>
          <w:sz w:val="21"/>
        </w:rPr>
        <w:t>. The batch takes a number from the BPB series.</w:t>
      </w:r>
    </w:p>
    <w:p>
      <w:pPr>
        <w:pStyle w:val="Normal"/>
        <w:numPr>
          <w:ilvl w:val="0"/>
          <w:numId w:val="376"/>
        </w:numPr>
        <w:spacing w:before="0" w:after="60"/>
        <w:rPr/>
      </w:pPr>
      <w:r>
        <w:rPr>
          <w:rFonts w:eastAsia="Segoe UI" w:cs="Segoe UI" w:ascii="Segoe UI" w:hAnsi="Segoe UI"/>
          <w:color w:val="101820"/>
          <w:sz w:val="21"/>
        </w:rPr>
        <w:t xml:space="preserve">Open the batch and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A second user opens it and selects </w:t>
      </w:r>
      <w:r>
        <w:rPr>
          <w:rFonts w:eastAsia="Segoe UI" w:cs="Segoe UI" w:ascii="Segoe UI" w:hAnsi="Segoe UI"/>
          <w:b/>
          <w:color w:val="101820"/>
          <w:sz w:val="21"/>
        </w:rPr>
        <w:t>Approve</w:t>
      </w:r>
      <w:r>
        <w:rPr>
          <w:rFonts w:eastAsia="Segoe UI" w:cs="Segoe UI" w:ascii="Segoe UI" w:hAnsi="Segoe UI"/>
          <w:color w:val="101820"/>
          <w:sz w:val="21"/>
        </w:rPr>
        <w:t xml:space="preserve">, or </w:t>
      </w:r>
      <w:r>
        <w:rPr>
          <w:rFonts w:eastAsia="Segoe UI" w:cs="Segoe UI" w:ascii="Segoe UI" w:hAnsi="Segoe UI"/>
          <w:b/>
          <w:color w:val="101820"/>
          <w:sz w:val="21"/>
        </w:rPr>
        <w:t>Return to draft</w:t>
      </w:r>
      <w:r>
        <w:rPr>
          <w:rFonts w:eastAsia="Segoe UI" w:cs="Segoe UI" w:ascii="Segoe UI" w:hAnsi="Segoe UI"/>
          <w:color w:val="101820"/>
          <w:sz w:val="21"/>
        </w:rPr>
        <w:t xml:space="preserve"> with the reason. The approver may not be the maker of the batch or of one of its vouchers, and the total must be within the approver's Authority Matrix limit for payment vouchers.</w:t>
      </w:r>
    </w:p>
    <w:p>
      <w:pPr>
        <w:pStyle w:val="Normal"/>
        <w:numPr>
          <w:ilvl w:val="0"/>
          <w:numId w:val="37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Write file</w:t>
      </w:r>
      <w:r>
        <w:rPr>
          <w:rFonts w:eastAsia="Segoe UI" w:cs="Segoe UI" w:ascii="Segoe UI" w:hAnsi="Segoe UI"/>
          <w:color w:val="101820"/>
          <w:sz w:val="21"/>
        </w:rPr>
        <w:t xml:space="preserve">, then </w:t>
      </w:r>
      <w:r>
        <w:rPr>
          <w:rFonts w:eastAsia="Segoe UI" w:cs="Segoe UI" w:ascii="Segoe UI" w:hAnsi="Segoe UI"/>
          <w:b/>
          <w:color w:val="101820"/>
          <w:sz w:val="21"/>
        </w:rPr>
        <w:t>Download file</w:t>
      </w:r>
      <w:r>
        <w:rPr>
          <w:rFonts w:eastAsia="Segoe UI" w:cs="Segoe UI" w:ascii="Segoe UI" w:hAnsi="Segoe UI"/>
          <w:color w:val="101820"/>
          <w:sz w:val="21"/>
        </w:rPr>
        <w:t xml:space="preserve"> and upload it on the bank's portal. Select </w:t>
      </w:r>
      <w:r>
        <w:rPr>
          <w:rFonts w:eastAsia="Segoe UI" w:cs="Segoe UI" w:ascii="Segoe UI" w:hAnsi="Segoe UI"/>
          <w:b/>
          <w:color w:val="101820"/>
          <w:sz w:val="21"/>
        </w:rPr>
        <w:t>Mark uploaded to the bank</w:t>
      </w:r>
      <w:r>
        <w:rPr>
          <w:rFonts w:eastAsia="Segoe UI" w:cs="Segoe UI" w:ascii="Segoe UI" w:hAnsi="Segoe UI"/>
          <w:color w:val="101820"/>
          <w:sz w:val="21"/>
        </w:rPr>
        <w:t>.</w:t>
      </w:r>
    </w:p>
    <w:p>
      <w:pPr>
        <w:pStyle w:val="Normal"/>
        <w:numPr>
          <w:ilvl w:val="0"/>
          <w:numId w:val="378"/>
        </w:numPr>
        <w:spacing w:before="0" w:after="60"/>
        <w:rPr/>
      </w:pPr>
      <w:r>
        <w:rPr>
          <w:rFonts w:eastAsia="Segoe UI" w:cs="Segoe UI" w:ascii="Segoe UI" w:hAnsi="Segoe UI"/>
          <w:color w:val="101820"/>
          <w:sz w:val="21"/>
        </w:rPr>
        <w:t xml:space="preserve">When the bank returns its payment status file, select </w:t>
      </w:r>
      <w:r>
        <w:rPr>
          <w:rFonts w:eastAsia="Segoe UI" w:cs="Segoe UI" w:ascii="Segoe UI" w:hAnsi="Segoe UI"/>
          <w:b/>
          <w:color w:val="101820"/>
          <w:sz w:val="21"/>
        </w:rPr>
        <w:t>Import status file</w:t>
      </w:r>
      <w:r>
        <w:rPr>
          <w:rFonts w:eastAsia="Segoe UI" w:cs="Segoe UI" w:ascii="Segoe UI" w:hAnsi="Segoe UI"/>
          <w:color w:val="101820"/>
          <w:sz w:val="21"/>
        </w:rPr>
        <w:t>. Each paid payment posts the voucher's payment journal (Dr payable of the payee / Cr cash in bank of the bank account paid from, or for a referrer payout Dr commission payable / Cr cash and withholding tax) dated the value date, and the voucher becomes Paid. A rejected payment keeps its reason; its voucher is free for another batch or a cheque. Rows the system could not apply are listed with the reason.</w:t>
      </w:r>
    </w:p>
    <w:p>
      <w:pPr>
        <w:pStyle w:val="Normal"/>
        <w:numPr>
          <w:ilvl w:val="0"/>
          <w:numId w:val="379"/>
        </w:numPr>
        <w:spacing w:before="0" w:after="60"/>
        <w:rPr/>
      </w:pPr>
      <w:r>
        <w:rPr>
          <w:rFonts w:eastAsia="Segoe UI" w:cs="Segoe UI" w:ascii="Segoe UI" w:hAnsi="Segoe UI"/>
          <w:color w:val="101820"/>
          <w:sz w:val="21"/>
        </w:rPr>
        <w:t xml:space="preserve">Without a status file, use </w:t>
      </w:r>
      <w:r>
        <w:rPr>
          <w:rFonts w:eastAsia="Segoe UI" w:cs="Segoe UI" w:ascii="Segoe UI" w:hAnsi="Segoe UI"/>
          <w:b/>
          <w:color w:val="101820"/>
          <w:sz w:val="21"/>
        </w:rPr>
        <w:t>Record result</w:t>
      </w:r>
      <w:r>
        <w:rPr>
          <w:rFonts w:eastAsia="Segoe UI" w:cs="Segoe UI" w:ascii="Segoe UI" w:hAnsi="Segoe UI"/>
          <w:color w:val="101820"/>
          <w:sz w:val="21"/>
        </w:rPr>
        <w:t xml:space="preserve"> on a payment to enter what the bank portal shows: paid with the bank reference, or rejected with the reason.</w:t>
      </w:r>
    </w:p>
    <w:p>
      <w:pPr>
        <w:pStyle w:val="Normal"/>
        <w:spacing w:lineRule="auto" w:line="276" w:before="0" w:after="120"/>
        <w:rPr/>
      </w:pPr>
      <w:r>
        <w:rPr>
          <w:rFonts w:eastAsia="Segoe UI" w:cs="Segoe UI" w:ascii="Segoe UI" w:hAnsi="Segoe UI"/>
          <w:color w:val="101820"/>
          <w:sz w:val="21"/>
        </w:rPr>
        <w:t xml:space="preserve">The batch is </w:t>
      </w:r>
      <w:r>
        <w:rPr>
          <w:rFonts w:eastAsia="Segoe UI" w:cs="Segoe UI" w:ascii="Segoe UI" w:hAnsi="Segoe UI"/>
          <w:b/>
          <w:color w:val="101820"/>
          <w:sz w:val="21"/>
        </w:rPr>
        <w:t>Completed</w:t>
      </w:r>
      <w:r>
        <w:rPr>
          <w:rFonts w:eastAsia="Segoe UI" w:cs="Segoe UI" w:ascii="Segoe UI" w:hAnsi="Segoe UI"/>
          <w:color w:val="101820"/>
          <w:sz w:val="21"/>
        </w:rPr>
        <w:t xml:space="preserve"> when every payment has a result. A batch with no paid payment can be cancelled; its vouchers become free again. Every step is in the audit trail, and the file and status file are in Master &gt; System &gt; Integrations (outbox and inbox).</w:t>
      </w:r>
    </w:p>
    <w:p>
      <w:pPr>
        <w:pStyle w:val="Heading2"/>
        <w:rPr/>
      </w:pPr>
      <w:bookmarkStart w:id="123" w:name="__RefHeading___Toc21763_17926050"/>
      <w:bookmarkEnd w:id="123"/>
      <w:r>
        <w:rPr>
          <w:rFonts w:eastAsia="Segoe UI" w:cs="Segoe UI"/>
          <w:b/>
          <w:color w:val="0F4761"/>
          <w:sz w:val="26"/>
        </w:rPr>
        <w:t>12.11  Bank file layouts and payee bank accounts</w:t>
      </w:r>
    </w:p>
    <w:p>
      <w:pPr>
        <w:pStyle w:val="Normal"/>
        <w:shd w:val="clear" w:color="auto" w:fill="EAF2FB"/>
        <w:spacing w:before="0" w:after="160"/>
        <w:ind w:left="170"/>
        <w:rPr/>
      </w:pPr>
      <w:r>
        <w:rPr>
          <w:rFonts w:eastAsia="Segoe UI" w:cs="Segoe UI" w:ascii="Segoe UI" w:hAnsi="Segoe UI"/>
          <w:color w:val="101820"/>
          <w:sz w:val="20"/>
        </w:rPr>
        <w:t>[Screen image not available: Master &gt; Finance &gt; Bank File Layouts]</w:t>
      </w:r>
    </w:p>
    <w:p>
      <w:pPr>
        <w:pStyle w:val="Normal"/>
        <w:spacing w:lineRule="auto" w:line="276" w:before="0" w:after="120"/>
        <w:rPr/>
      </w:pPr>
      <w:r>
        <w:rPr>
          <w:rFonts w:eastAsia="Segoe UI" w:cs="Segoe UI" w:ascii="Segoe UI" w:hAnsi="Segoe UI"/>
          <w:color w:val="101820"/>
          <w:sz w:val="21"/>
        </w:rPr>
        <w:t xml:space="preserve">Master &gt; Finance &gt; Bank File Layouts says how each bank's upload file is written and how its status file is read. The system is delivered with starter layouts for BDO, BPI, Metrobank, Landbank and UnionBank and a generic CSV. </w:t>
      </w:r>
      <w:r>
        <w:rPr>
          <w:rFonts w:eastAsia="Segoe UI" w:cs="Segoe UI" w:ascii="Segoe UI" w:hAnsi="Segoe UI"/>
          <w:b/>
          <w:color w:val="101820"/>
          <w:sz w:val="21"/>
        </w:rPr>
        <w:t>The starter layouts are examples: each must be validated against the bank's current file specification, and a test file accepted by the bank, during onboarding.</w:t>
      </w:r>
      <w:r>
        <w:rPr>
          <w:rFonts w:eastAsia="Segoe UI" w:cs="Segoe UI" w:ascii="Segoe UI" w:hAnsi="Segoe UI"/>
          <w:color w:val="101820"/>
          <w:sz w:val="21"/>
        </w:rPr>
        <w:t xml:space="preserve"> They are marked </w:t>
      </w:r>
      <w:r>
        <w:rPr>
          <w:rFonts w:eastAsia="Segoe UI" w:cs="Segoe UI" w:ascii="Segoe UI" w:hAnsi="Segoe UI"/>
          <w:b/>
          <w:color w:val="101820"/>
          <w:sz w:val="21"/>
        </w:rPr>
        <w:t>Test mode</w:t>
      </w:r>
      <w:r>
        <w:rPr>
          <w:rFonts w:eastAsia="Segoe UI" w:cs="Segoe UI" w:ascii="Segoe UI" w:hAnsi="Segoe UI"/>
          <w:color w:val="101820"/>
          <w:sz w:val="21"/>
        </w:rPr>
        <w:t xml:space="preserve"> until changed.</w:t>
      </w:r>
    </w:p>
    <w:p>
      <w:pPr>
        <w:pStyle w:val="Normal"/>
        <w:spacing w:lineRule="auto" w:line="276" w:before="0" w:after="120"/>
        <w:rPr/>
      </w:pPr>
      <w:r>
        <w:rPr>
          <w:rFonts w:eastAsia="Segoe UI" w:cs="Segoe UI" w:ascii="Segoe UI" w:hAnsi="Segoe UI"/>
          <w:color w:val="101820"/>
          <w:sz w:val="21"/>
        </w:rPr>
        <w:t xml:space="preserve">To change or add a layout, select the pencil or </w:t>
      </w:r>
      <w:r>
        <w:rPr>
          <w:rFonts w:eastAsia="Segoe UI" w:cs="Segoe UI" w:ascii="Segoe UI" w:hAnsi="Segoe UI"/>
          <w:b/>
          <w:color w:val="101820"/>
          <w:sz w:val="21"/>
        </w:rPr>
        <w:t>New layout</w:t>
      </w:r>
      <w:r>
        <w:rPr>
          <w:rFonts w:eastAsia="Segoe UI" w:cs="Segoe UI" w:ascii="Segoe UI" w:hAnsi="Segoe UI"/>
          <w:color w:val="101820"/>
          <w:sz w:val="21"/>
        </w:rPr>
        <w:t>:</w:t>
      </w:r>
    </w:p>
    <w:p>
      <w:pPr>
        <w:pStyle w:val="Normal"/>
        <w:numPr>
          <w:ilvl w:val="0"/>
          <w:numId w:val="380"/>
        </w:numPr>
        <w:spacing w:before="0" w:after="60"/>
        <w:rPr/>
      </w:pP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Delimited</w:t>
      </w:r>
      <w:r>
        <w:rPr>
          <w:rFonts w:eastAsia="Segoe UI" w:cs="Segoe UI" w:ascii="Segoe UI" w:hAnsi="Segoe UI"/>
          <w:color w:val="101820"/>
          <w:sz w:val="21"/>
        </w:rPr>
        <w:t xml:space="preserve"> (with its delimiter) or </w:t>
      </w:r>
      <w:r>
        <w:rPr>
          <w:rFonts w:eastAsia="Segoe UI" w:cs="Segoe UI" w:ascii="Segoe UI" w:hAnsi="Segoe UI"/>
          <w:b/>
          <w:color w:val="101820"/>
          <w:sz w:val="21"/>
        </w:rPr>
        <w:t>Fixed width</w:t>
      </w:r>
      <w:r>
        <w:rPr>
          <w:rFonts w:eastAsia="Segoe UI" w:cs="Segoe UI" w:ascii="Segoe UI" w:hAnsi="Segoe UI"/>
          <w:color w:val="101820"/>
          <w:sz w:val="21"/>
        </w:rPr>
        <w:t xml:space="preserve">, the </w:t>
      </w:r>
      <w:r>
        <w:rPr>
          <w:rFonts w:eastAsia="Segoe UI" w:cs="Segoe UI" w:ascii="Segoe UI" w:hAnsi="Segoe UI"/>
          <w:b/>
          <w:color w:val="101820"/>
          <w:sz w:val="21"/>
        </w:rPr>
        <w:t>Channels</w:t>
      </w:r>
      <w:r>
        <w:rPr>
          <w:rFonts w:eastAsia="Segoe UI" w:cs="Segoe UI" w:ascii="Segoe UI" w:hAnsi="Segoe UI"/>
          <w:color w:val="101820"/>
          <w:sz w:val="21"/>
        </w:rPr>
        <w:t xml:space="preserve"> the layout writes, the </w:t>
      </w:r>
      <w:r>
        <w:rPr>
          <w:rFonts w:eastAsia="Segoe UI" w:cs="Segoe UI" w:ascii="Segoe UI" w:hAnsi="Segoe UI"/>
          <w:b/>
          <w:color w:val="101820"/>
          <w:sz w:val="21"/>
        </w:rPr>
        <w:t>Line ending</w:t>
      </w:r>
      <w:r>
        <w:rPr>
          <w:rFonts w:eastAsia="Segoe UI" w:cs="Segoe UI" w:ascii="Segoe UI" w:hAnsi="Segoe UI"/>
          <w:color w:val="101820"/>
          <w:sz w:val="21"/>
        </w:rPr>
        <w:t xml:space="preserve"> and the </w:t>
      </w:r>
      <w:r>
        <w:rPr>
          <w:rFonts w:eastAsia="Segoe UI" w:cs="Segoe UI" w:ascii="Segoe UI" w:hAnsi="Segoe UI"/>
          <w:b/>
          <w:color w:val="101820"/>
          <w:sz w:val="21"/>
        </w:rPr>
        <w:t>File name</w:t>
      </w:r>
      <w:r>
        <w:rPr>
          <w:rFonts w:eastAsia="Segoe UI" w:cs="Segoe UI" w:ascii="Segoe UI" w:hAnsi="Segoe UI"/>
          <w:color w:val="101820"/>
          <w:sz w:val="21"/>
        </w:rPr>
        <w:t xml:space="preserve"> pattern (for example </w:t>
      </w:r>
      <w:r>
        <w:rPr>
          <w:rFonts w:eastAsia="Consolas" w:cs="Consolas" w:ascii="Consolas" w:hAnsi="Consolas"/>
          <w:color w:val="101820"/>
          <w:sz w:val="19"/>
        </w:rPr>
        <w:t>{bankCode}_{batchNumber}_{valueDate:YYYYMMDD}.csv</w:t>
      </w:r>
      <w:r>
        <w:rPr>
          <w:rFonts w:eastAsia="Segoe UI" w:cs="Segoe UI" w:ascii="Segoe UI" w:hAnsi="Segoe UI"/>
          <w:color w:val="101820"/>
          <w:sz w:val="21"/>
        </w:rPr>
        <w:t>).</w:t>
      </w:r>
    </w:p>
    <w:p>
      <w:pPr>
        <w:pStyle w:val="Normal"/>
        <w:numPr>
          <w:ilvl w:val="0"/>
          <w:numId w:val="381"/>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Header record</w:t>
      </w:r>
      <w:r>
        <w:rPr>
          <w:rFonts w:eastAsia="Segoe UI" w:cs="Segoe UI" w:ascii="Segoe UI" w:hAnsi="Segoe UI"/>
          <w:color w:val="101820"/>
          <w:sz w:val="21"/>
        </w:rPr>
        <w:t xml:space="preserve">, </w:t>
      </w:r>
      <w:r>
        <w:rPr>
          <w:rFonts w:eastAsia="Segoe UI" w:cs="Segoe UI" w:ascii="Segoe UI" w:hAnsi="Segoe UI"/>
          <w:b/>
          <w:color w:val="101820"/>
          <w:sz w:val="21"/>
        </w:rPr>
        <w:t>Payment records</w:t>
      </w:r>
      <w:r>
        <w:rPr>
          <w:rFonts w:eastAsia="Segoe UI" w:cs="Segoe UI" w:ascii="Segoe UI" w:hAnsi="Segoe UI"/>
          <w:color w:val="101820"/>
          <w:sz w:val="21"/>
        </w:rPr>
        <w:t xml:space="preserve"> and </w:t>
      </w:r>
      <w:r>
        <w:rPr>
          <w:rFonts w:eastAsia="Segoe UI" w:cs="Segoe UI" w:ascii="Segoe UI" w:hAnsi="Segoe UI"/>
          <w:b/>
          <w:color w:val="101820"/>
          <w:sz w:val="21"/>
        </w:rPr>
        <w:t>Trailer record</w:t>
      </w:r>
      <w:r>
        <w:rPr>
          <w:rFonts w:eastAsia="Segoe UI" w:cs="Segoe UI" w:ascii="Segoe UI" w:hAnsi="Segoe UI"/>
          <w:color w:val="101820"/>
          <w:sz w:val="21"/>
        </w:rPr>
        <w:t xml:space="preserve">, list the fields in order: the </w:t>
      </w:r>
      <w:r>
        <w:rPr>
          <w:rFonts w:eastAsia="Segoe UI" w:cs="Segoe UI" w:ascii="Segoe UI" w:hAnsi="Segoe UI"/>
          <w:b/>
          <w:color w:val="101820"/>
          <w:sz w:val="21"/>
        </w:rPr>
        <w:t>Source</w:t>
      </w:r>
      <w:r>
        <w:rPr>
          <w:rFonts w:eastAsia="Segoe UI" w:cs="Segoe UI" w:ascii="Segoe UI" w:hAnsi="Segoe UI"/>
          <w:color w:val="101820"/>
          <w:sz w:val="21"/>
        </w:rPr>
        <w:t xml:space="preserve"> (a fixed value, a payment value such as account number or amount, or a batch value such as value date, total or count), the </w:t>
      </w:r>
      <w:r>
        <w:rPr>
          <w:rFonts w:eastAsia="Segoe UI" w:cs="Segoe UI" w:ascii="Segoe UI" w:hAnsi="Segoe UI"/>
          <w:b/>
          <w:color w:val="101820"/>
          <w:sz w:val="21"/>
        </w:rPr>
        <w:t>Format</w:t>
      </w:r>
      <w:r>
        <w:rPr>
          <w:rFonts w:eastAsia="Segoe UI" w:cs="Segoe UI" w:ascii="Segoe UI" w:hAnsi="Segoe UI"/>
          <w:color w:val="101820"/>
          <w:sz w:val="21"/>
        </w:rPr>
        <w:t xml:space="preserve"> (text, upper case, digits, amount with two decimals, amount in centavos, date patterns), the </w:t>
      </w:r>
      <w:r>
        <w:rPr>
          <w:rFonts w:eastAsia="Segoe UI" w:cs="Segoe UI" w:ascii="Segoe UI" w:hAnsi="Segoe UI"/>
          <w:b/>
          <w:color w:val="101820"/>
          <w:sz w:val="21"/>
        </w:rPr>
        <w:t>Width</w:t>
      </w:r>
      <w:r>
        <w:rPr>
          <w:rFonts w:eastAsia="Segoe UI" w:cs="Segoe UI" w:ascii="Segoe UI" w:hAnsi="Segoe UI"/>
          <w:color w:val="101820"/>
          <w:sz w:val="21"/>
        </w:rPr>
        <w:t xml:space="preserve"> and, for fixed width, the </w:t>
      </w:r>
      <w:r>
        <w:rPr>
          <w:rFonts w:eastAsia="Segoe UI" w:cs="Segoe UI" w:ascii="Segoe UI" w:hAnsi="Segoe UI"/>
          <w:b/>
          <w:color w:val="101820"/>
          <w:sz w:val="21"/>
        </w:rPr>
        <w:t>Alignment</w:t>
      </w:r>
      <w:r>
        <w:rPr>
          <w:rFonts w:eastAsia="Segoe UI" w:cs="Segoe UI" w:ascii="Segoe UI" w:hAnsi="Segoe UI"/>
          <w:color w:val="101820"/>
          <w:sz w:val="21"/>
        </w:rPr>
        <w:t xml:space="preserve"> and </w:t>
      </w:r>
      <w:r>
        <w:rPr>
          <w:rFonts w:eastAsia="Segoe UI" w:cs="Segoe UI" w:ascii="Segoe UI" w:hAnsi="Segoe UI"/>
          <w:b/>
          <w:color w:val="101820"/>
          <w:sz w:val="21"/>
        </w:rPr>
        <w:t>Pad</w:t>
      </w:r>
      <w:r>
        <w:rPr>
          <w:rFonts w:eastAsia="Segoe UI" w:cs="Segoe UI" w:ascii="Segoe UI" w:hAnsi="Segoe UI"/>
          <w:color w:val="101820"/>
          <w:sz w:val="21"/>
        </w:rPr>
        <w:t xml:space="preserve"> character.</w:t>
      </w:r>
    </w:p>
    <w:p>
      <w:pPr>
        <w:pStyle w:val="Normal"/>
        <w:numPr>
          <w:ilvl w:val="0"/>
          <w:numId w:val="382"/>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Status file</w:t>
      </w:r>
      <w:r>
        <w:rPr>
          <w:rFonts w:eastAsia="Segoe UI" w:cs="Segoe UI" w:ascii="Segoe UI" w:hAnsi="Segoe UI"/>
          <w:color w:val="101820"/>
          <w:sz w:val="21"/>
        </w:rPr>
        <w:t>, describe the bank's return file: the columns of the reference, status, bank reference, reason and amount, and which status values mean paid or rejected.</w:t>
      </w:r>
    </w:p>
    <w:p>
      <w:pPr>
        <w:pStyle w:val="Normal"/>
        <w:numPr>
          <w:ilvl w:val="0"/>
          <w:numId w:val="383"/>
        </w:numPr>
        <w:spacing w:before="0" w:after="60"/>
        <w:rPr/>
      </w:pPr>
      <w:r>
        <w:rPr>
          <w:rFonts w:eastAsia="Segoe UI" w:cs="Segoe UI" w:ascii="Segoe UI" w:hAnsi="Segoe UI"/>
          <w:b/>
          <w:color w:val="101820"/>
          <w:sz w:val="21"/>
        </w:rPr>
        <w:t>Preview</w:t>
      </w:r>
      <w:r>
        <w:rPr>
          <w:rFonts w:eastAsia="Segoe UI" w:cs="Segoe UI" w:ascii="Segoe UI" w:hAnsi="Segoe UI"/>
          <w:color w:val="101820"/>
          <w:sz w:val="21"/>
        </w:rPr>
        <w:t xml:space="preserve"> writes the file for two example payments. Save.</w:t>
      </w:r>
    </w:p>
    <w:p>
      <w:pPr>
        <w:pStyle w:val="Normal"/>
        <w:spacing w:lineRule="auto" w:line="276" w:before="0" w:after="120"/>
        <w:rPr/>
      </w:pPr>
      <w:r>
        <w:rPr>
          <w:rFonts w:eastAsia="Segoe UI" w:cs="Segoe UI" w:ascii="Segoe UI" w:hAnsi="Segoe UI"/>
          <w:b/>
          <w:color w:val="101820"/>
          <w:sz w:val="21"/>
        </w:rPr>
        <w:t>Payee bank accounts</w:t>
      </w:r>
      <w:r>
        <w:rPr>
          <w:rFonts w:eastAsia="Segoe UI" w:cs="Segoe UI" w:ascii="Segoe UI" w:hAnsi="Segoe UI"/>
          <w:color w:val="101820"/>
          <w:sz w:val="21"/>
        </w:rPr>
        <w:t xml:space="preserve"> lists the bank accounts credited by the files, per insurer, referrer, client or supplier: bank, account number and name, account type and the e-mail for the bank's credit advice. One account per payee is the default.</w:t>
      </w:r>
    </w:p>
    <w:p>
      <w:pPr>
        <w:pStyle w:val="Heading2"/>
        <w:rPr/>
      </w:pPr>
      <w:bookmarkStart w:id="124" w:name="__RefHeading___Toc21765_17926050"/>
      <w:bookmarkEnd w:id="124"/>
      <w:r>
        <w:rPr>
          <w:rFonts w:eastAsia="Segoe UI" w:cs="Segoe UI"/>
          <w:b/>
          <w:color w:val="0F4761"/>
          <w:sz w:val="26"/>
        </w:rPr>
        <w:t>12.12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384"/>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385"/>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386"/>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Users and Access &gt; Authority Matrix. The delivered limits let an Accounting user approve up to PHP 1,000,000.00 and an Accounting Manager without limit; a larger remittance waits for the Accounting Manager. Cover during leave is given in Users and Access &gt; Delegations. The initiator cannot approve.</w:t>
      </w:r>
    </w:p>
    <w:p>
      <w:pPr>
        <w:pStyle w:val="Normal"/>
        <w:numPr>
          <w:ilvl w:val="0"/>
          <w:numId w:val="387"/>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388"/>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389"/>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Accounts &gt; Remittance &gt; Tracking]</w:t>
      </w:r>
    </w:p>
    <w:p>
      <w:pPr>
        <w:pStyle w:val="Normal"/>
        <w:shd w:val="clear" w:color="auto" w:fill="EAF2FB"/>
        <w:spacing w:before="0" w:after="160"/>
        <w:ind w:left="170"/>
        <w:rPr/>
      </w:pPr>
      <w:r>
        <w:rPr>
          <w:rFonts w:eastAsia="Segoe UI" w:cs="Segoe UI" w:ascii="Segoe UI" w:hAnsi="Segoe UI"/>
          <w:color w:val="101820"/>
          <w:sz w:val="20"/>
        </w:rPr>
        <w:t>[Screen image not available: 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25" w:name="__RefHeading___Toc21767_17926050"/>
      <w:bookmarkEnd w:id="125"/>
      <w:r>
        <w:rPr>
          <w:rFonts w:eastAsia="Segoe UI" w:cs="Segoe UI"/>
          <w:b/>
          <w:color w:val="0F4761"/>
          <w:sz w:val="26"/>
        </w:rPr>
        <w:t>12.13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shd w:val="clear" w:color="auto" w:fill="EAF2FB"/>
        <w:spacing w:before="0" w:after="160"/>
        <w:ind w:left="170"/>
        <w:rPr/>
      </w:pPr>
      <w:r>
        <w:rPr>
          <w:rFonts w:eastAsia="Segoe UI" w:cs="Segoe UI" w:ascii="Segoe UI" w:hAnsi="Segoe UI"/>
          <w:color w:val="101820"/>
          <w:sz w:val="20"/>
        </w:rPr>
        <w:t>[Screen image not available: 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390"/>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39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392"/>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393"/>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394"/>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shd w:val="clear" w:color="auto" w:fill="EAF2FB"/>
        <w:spacing w:before="0" w:after="160"/>
        <w:ind w:left="170"/>
        <w:rPr/>
      </w:pPr>
      <w:r>
        <w:rPr>
          <w:rFonts w:eastAsia="Segoe UI" w:cs="Segoe UI" w:ascii="Segoe UI" w:hAnsi="Segoe UI"/>
          <w:color w:val="101820"/>
          <w:sz w:val="20"/>
        </w:rPr>
        <w:t>[Screen image not available: 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26" w:name="__RefHeading___Toc21769_17926050"/>
      <w:bookmarkEnd w:id="126"/>
      <w:r>
        <w:rPr>
          <w:rFonts w:eastAsia="Segoe UI" w:cs="Segoe UI"/>
          <w:b/>
          <w:color w:val="0F4761"/>
          <w:sz w:val="26"/>
        </w:rPr>
        <w:t>12.14  Commission to agents and referrers</w:t>
      </w:r>
    </w:p>
    <w:p>
      <w:pPr>
        <w:pStyle w:val="Normal"/>
        <w:shd w:val="clear" w:color="auto" w:fill="EAF2FB"/>
        <w:spacing w:before="0" w:after="160"/>
        <w:ind w:left="170"/>
        <w:rPr/>
      </w:pPr>
      <w:r>
        <w:rPr>
          <w:rFonts w:eastAsia="Segoe UI" w:cs="Segoe UI" w:ascii="Segoe UI" w:hAnsi="Segoe UI"/>
          <w:color w:val="101820"/>
          <w:sz w:val="20"/>
        </w:rPr>
        <w:t>[Screen image not available: 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395"/>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396"/>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397"/>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39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39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400"/>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shd w:val="clear" w:color="auto" w:fill="EAF2FB"/>
        <w:spacing w:before="0" w:after="160"/>
        <w:ind w:left="170"/>
        <w:rPr/>
      </w:pPr>
      <w:r>
        <w:rPr>
          <w:rFonts w:eastAsia="Segoe UI" w:cs="Segoe UI" w:ascii="Segoe UI" w:hAnsi="Segoe UI"/>
          <w:color w:val="101820"/>
          <w:sz w:val="20"/>
        </w:rPr>
        <w:t>[Screen image not available: 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3"/>
        <w:rPr/>
      </w:pPr>
      <w:r>
        <w:rPr>
          <w:rFonts w:eastAsia="Segoe UI" w:cs="Segoe UI"/>
          <w:b/>
          <w:color w:val="0F4761"/>
          <w:sz w:val="23"/>
        </w:rPr>
        <w:t>12.14.1  Overriding, profit and contingent commission from insurers</w:t>
      </w:r>
    </w:p>
    <w:p>
      <w:pPr>
        <w:pStyle w:val="Normal"/>
        <w:spacing w:lineRule="auto" w:line="276" w:before="0" w:after="120"/>
        <w:rPr/>
      </w:pPr>
      <w:r>
        <w:rPr>
          <w:rFonts w:eastAsia="Segoe UI" w:cs="Segoe UI" w:ascii="Segoe UI" w:hAnsi="Segoe UI"/>
          <w:color w:val="101820"/>
          <w:sz w:val="21"/>
        </w:rPr>
        <w:t xml:space="preserve">Commission &gt; Insurer Overrides has two screens: </w:t>
      </w:r>
      <w:r>
        <w:rPr>
          <w:rFonts w:eastAsia="Segoe UI" w:cs="Segoe UI" w:ascii="Segoe UI" w:hAnsi="Segoe UI"/>
          <w:b/>
          <w:color w:val="101820"/>
          <w:sz w:val="21"/>
        </w:rPr>
        <w:t>Agreements</w:t>
      </w:r>
      <w:r>
        <w:rPr>
          <w:rFonts w:eastAsia="Segoe UI" w:cs="Segoe UI" w:ascii="Segoe UI" w:hAnsi="Segoe UI"/>
          <w:color w:val="101820"/>
          <w:sz w:val="21"/>
        </w:rPr>
        <w:t xml:space="preserve"> and </w:t>
      </w:r>
      <w:r>
        <w:rPr>
          <w:rFonts w:eastAsia="Segoe UI" w:cs="Segoe UI" w:ascii="Segoe UI" w:hAnsi="Segoe UI"/>
          <w:b/>
          <w:color w:val="101820"/>
          <w:sz w:val="21"/>
        </w:rPr>
        <w:t>Computations</w:t>
      </w:r>
      <w:r>
        <w:rPr>
          <w:rFonts w:eastAsia="Segoe UI" w:cs="Segoe UI" w:ascii="Segoe UI" w:hAnsi="Segoe UI"/>
          <w:color w:val="101820"/>
          <w:sz w:val="21"/>
        </w:rPr>
        <w:t>. Accounting maintains and computes them (read:commission, write:commission).</w:t>
      </w:r>
    </w:p>
    <w:p>
      <w:pPr>
        <w:pStyle w:val="Normal"/>
        <w:shd w:val="clear" w:color="auto" w:fill="EAF2FB"/>
        <w:spacing w:before="0" w:after="160"/>
        <w:ind w:left="170"/>
        <w:rPr/>
      </w:pPr>
      <w:r>
        <w:rPr>
          <w:rFonts w:eastAsia="Segoe UI" w:cs="Segoe UI" w:ascii="Segoe UI" w:hAnsi="Segoe UI"/>
          <w:color w:val="101820"/>
          <w:sz w:val="20"/>
        </w:rPr>
        <w:t>[Screen image not available: Commission &gt; Insurer Overrides &gt; Agreements]</w:t>
      </w:r>
    </w:p>
    <w:p>
      <w:pPr>
        <w:pStyle w:val="Normal"/>
        <w:spacing w:lineRule="auto" w:line="276" w:before="0" w:after="120"/>
        <w:rPr/>
      </w:pPr>
      <w:r>
        <w:rPr>
          <w:rFonts w:eastAsia="Segoe UI" w:cs="Segoe UI" w:ascii="Segoe UI" w:hAnsi="Segoe UI"/>
          <w:color w:val="101820"/>
          <w:sz w:val="21"/>
        </w:rPr>
        <w:t>Set up an agreement:</w:t>
      </w:r>
    </w:p>
    <w:p>
      <w:pPr>
        <w:pStyle w:val="Normal"/>
        <w:numPr>
          <w:ilvl w:val="0"/>
          <w:numId w:val="401"/>
        </w:numPr>
        <w:spacing w:before="0" w:after="60"/>
        <w:rPr/>
      </w:pPr>
      <w:r>
        <w:rPr>
          <w:rFonts w:eastAsia="Segoe UI" w:cs="Segoe UI" w:ascii="Segoe UI" w:hAnsi="Segoe UI"/>
          <w:color w:val="101820"/>
          <w:sz w:val="21"/>
        </w:rPr>
        <w:t xml:space="preserve">Choose Commission &gt; Insurer Overrides &gt; Agreements and select </w:t>
      </w:r>
      <w:r>
        <w:rPr>
          <w:rFonts w:eastAsia="Segoe UI" w:cs="Segoe UI" w:ascii="Segoe UI" w:hAnsi="Segoe UI"/>
          <w:b/>
          <w:color w:val="101820"/>
          <w:sz w:val="21"/>
        </w:rPr>
        <w:t>New agreement</w:t>
      </w:r>
      <w:r>
        <w:rPr>
          <w:rFonts w:eastAsia="Segoe UI" w:cs="Segoe UI" w:ascii="Segoe UI" w:hAnsi="Segoe UI"/>
          <w:color w:val="101820"/>
          <w:sz w:val="21"/>
        </w:rPr>
        <w:t>.</w:t>
      </w:r>
    </w:p>
    <w:p>
      <w:pPr>
        <w:pStyle w:val="Normal"/>
        <w:numPr>
          <w:ilvl w:val="0"/>
          <w:numId w:val="402"/>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Agreement 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Type</w:t>
      </w:r>
      <w:r>
        <w:rPr>
          <w:rFonts w:eastAsia="Segoe UI" w:cs="Segoe UI" w:ascii="Segoe UI" w:hAnsi="Segoe UI"/>
          <w:color w:val="101820"/>
          <w:sz w:val="21"/>
        </w:rPr>
        <w:t xml:space="preserve"> (Overriding, Profit or Contingent) and </w:t>
      </w:r>
      <w:r>
        <w:rPr>
          <w:rFonts w:eastAsia="Segoe UI" w:cs="Segoe UI" w:ascii="Segoe UI" w:hAnsi="Segoe UI"/>
          <w:b/>
          <w:color w:val="101820"/>
          <w:sz w:val="21"/>
        </w:rPr>
        <w:t>Status</w:t>
      </w:r>
      <w:r>
        <w:rPr>
          <w:rFonts w:eastAsia="Segoe UI" w:cs="Segoe UI" w:ascii="Segoe UI" w:hAnsi="Segoe UI"/>
          <w:color w:val="101820"/>
          <w:sz w:val="21"/>
        </w:rPr>
        <w:t>.</w:t>
      </w:r>
    </w:p>
    <w:p>
      <w:pPr>
        <w:pStyle w:val="Normal"/>
        <w:numPr>
          <w:ilvl w:val="0"/>
          <w:numId w:val="40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Basis</w:t>
      </w:r>
      <w:r>
        <w:rPr>
          <w:rFonts w:eastAsia="Segoe UI" w:cs="Segoe UI" w:ascii="Segoe UI" w:hAnsi="Segoe UI"/>
          <w:color w:val="101820"/>
          <w:sz w:val="21"/>
        </w:rPr>
        <w:t xml:space="preserve">: </w:t>
      </w:r>
      <w:r>
        <w:rPr>
          <w:rFonts w:eastAsia="Segoe UI" w:cs="Segoe UI" w:ascii="Segoe UI" w:hAnsi="Segoe UI"/>
          <w:b/>
          <w:color w:val="101820"/>
          <w:sz w:val="21"/>
        </w:rPr>
        <w:t>Production volume</w:t>
      </w:r>
      <w:r>
        <w:rPr>
          <w:rFonts w:eastAsia="Segoe UI" w:cs="Segoe UI" w:ascii="Segoe UI" w:hAnsi="Segoe UI"/>
          <w:color w:val="101820"/>
          <w:sz w:val="21"/>
        </w:rPr>
        <w:t xml:space="preserve"> (premium of the period), </w:t>
      </w:r>
      <w:r>
        <w:rPr>
          <w:rFonts w:eastAsia="Segoe UI" w:cs="Segoe UI" w:ascii="Segoe UI" w:hAnsi="Segoe UI"/>
          <w:b/>
          <w:color w:val="101820"/>
          <w:sz w:val="21"/>
        </w:rPr>
        <w:t>Loss ratio</w:t>
      </w:r>
      <w:r>
        <w:rPr>
          <w:rFonts w:eastAsia="Segoe UI" w:cs="Segoe UI" w:ascii="Segoe UI" w:hAnsi="Segoe UI"/>
          <w:color w:val="101820"/>
          <w:sz w:val="21"/>
        </w:rPr>
        <w:t xml:space="preserve"> (claims incurred divided by the production) or </w:t>
      </w:r>
      <w:r>
        <w:rPr>
          <w:rFonts w:eastAsia="Segoe UI" w:cs="Segoe UI" w:ascii="Segoe UI" w:hAnsi="Segoe UI"/>
          <w:b/>
          <w:color w:val="101820"/>
          <w:sz w:val="21"/>
        </w:rPr>
        <w:t>Growth</w:t>
      </w:r>
      <w:r>
        <w:rPr>
          <w:rFonts w:eastAsia="Segoe UI" w:cs="Segoe UI" w:ascii="Segoe UI" w:hAnsi="Segoe UI"/>
          <w:color w:val="101820"/>
          <w:sz w:val="21"/>
        </w:rPr>
        <w:t xml:space="preserve"> (production against the same period one year earlier).</w:t>
      </w:r>
    </w:p>
    <w:p>
      <w:pPr>
        <w:pStyle w:val="Normal"/>
        <w:numPr>
          <w:ilvl w:val="0"/>
          <w:numId w:val="40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Period</w:t>
      </w:r>
      <w:r>
        <w:rPr>
          <w:rFonts w:eastAsia="Segoe UI" w:cs="Segoe UI" w:ascii="Segoe UI" w:hAnsi="Segoe UI"/>
          <w:color w:val="101820"/>
          <w:sz w:val="21"/>
        </w:rPr>
        <w:t xml:space="preserve"> (monthly, quarterly, semi-annual or annual), the </w:t>
      </w:r>
      <w:r>
        <w:rPr>
          <w:rFonts w:eastAsia="Segoe UI" w:cs="Segoe UI" w:ascii="Segoe UI" w:hAnsi="Segoe UI"/>
          <w:b/>
          <w:color w:val="101820"/>
          <w:sz w:val="21"/>
        </w:rPr>
        <w:t>Premium measure</w:t>
      </w:r>
      <w:r>
        <w:rPr>
          <w:rFonts w:eastAsia="Segoe UI" w:cs="Segoe UI" w:ascii="Segoe UI" w:hAnsi="Segoe UI"/>
          <w:color w:val="101820"/>
          <w:sz w:val="21"/>
        </w:rPr>
        <w:t xml:space="preserve"> (net or gross premium), the </w:t>
      </w:r>
      <w:r>
        <w:rPr>
          <w:rFonts w:eastAsia="Segoe UI" w:cs="Segoe UI" w:ascii="Segoe UI" w:hAnsi="Segoe UI"/>
          <w:b/>
          <w:color w:val="101820"/>
          <w:sz w:val="21"/>
        </w:rPr>
        <w:t>Tier method</w:t>
      </w:r>
      <w:r>
        <w:rPr>
          <w:rFonts w:eastAsia="Segoe UI" w:cs="Segoe UI" w:ascii="Segoe UI" w:hAnsi="Segoe UI"/>
          <w:color w:val="101820"/>
          <w:sz w:val="21"/>
        </w:rPr>
        <w:t xml:space="preserve"> (slab: the tier reached applies to the whole production; banded: each band of production at its own rate, production basis only), the </w:t>
      </w:r>
      <w:r>
        <w:rPr>
          <w:rFonts w:eastAsia="Segoe UI" w:cs="Segoe UI" w:ascii="Segoe UI" w:hAnsi="Segoe UI"/>
          <w:b/>
          <w:color w:val="101820"/>
          <w:sz w:val="21"/>
        </w:rPr>
        <w:t>Lines of business</w:t>
      </w:r>
      <w:r>
        <w:rPr>
          <w:rFonts w:eastAsia="Segoe UI" w:cs="Segoe UI" w:ascii="Segoe UI" w:hAnsi="Segoe UI"/>
          <w:color w:val="101820"/>
          <w:sz w:val="21"/>
        </w:rPr>
        <w:t xml:space="preserve"> (empty for all), the </w:t>
      </w:r>
      <w:r>
        <w:rPr>
          <w:rFonts w:eastAsia="Segoe UI" w:cs="Segoe UI" w:ascii="Segoe UI" w:hAnsi="Segoe UI"/>
          <w:b/>
          <w:color w:val="101820"/>
          <w:sz w:val="21"/>
        </w:rPr>
        <w:t>Minimum production</w:t>
      </w:r>
      <w:r>
        <w:rPr>
          <w:rFonts w:eastAsia="Segoe UI" w:cs="Segoe UI" w:ascii="Segoe UI" w:hAnsi="Segoe UI"/>
          <w:color w:val="101820"/>
          <w:sz w:val="21"/>
        </w:rPr>
        <w:t xml:space="preserve">, the </w:t>
      </w:r>
      <w:r>
        <w:rPr>
          <w:rFonts w:eastAsia="Segoe UI" w:cs="Segoe UI" w:ascii="Segoe UI" w:hAnsi="Segoe UI"/>
          <w:b/>
          <w:color w:val="101820"/>
          <w:sz w:val="21"/>
        </w:rPr>
        <w:t>Expected withholding</w:t>
      </w:r>
      <w:r>
        <w:rPr>
          <w:rFonts w:eastAsia="Segoe UI" w:cs="Segoe UI" w:ascii="Segoe UI" w:hAnsi="Segoe UI"/>
          <w:color w:val="101820"/>
          <w:sz w:val="21"/>
        </w:rPr>
        <w:t xml:space="preserve"> (the insurer's creditable withholding, 10% by default) and whether </w:t>
      </w:r>
      <w:r>
        <w:rPr>
          <w:rFonts w:eastAsia="Segoe UI" w:cs="Segoe UI" w:ascii="Segoe UI" w:hAnsi="Segoe UI"/>
          <w:b/>
          <w:color w:val="101820"/>
          <w:sz w:val="21"/>
        </w:rPr>
        <w:t>Output VAT on the commission</w:t>
      </w:r>
      <w:r>
        <w:rPr>
          <w:rFonts w:eastAsia="Segoe UI" w:cs="Segoe UI" w:ascii="Segoe UI" w:hAnsi="Segoe UI"/>
          <w:color w:val="101820"/>
          <w:sz w:val="21"/>
        </w:rPr>
        <w:t xml:space="preserve"> applies.</w:t>
      </w:r>
    </w:p>
    <w:p>
      <w:pPr>
        <w:pStyle w:val="Normal"/>
        <w:numPr>
          <w:ilvl w:val="0"/>
          <w:numId w:val="405"/>
        </w:numPr>
        <w:spacing w:before="0" w:after="60"/>
        <w:rPr/>
      </w:pPr>
      <w:r>
        <w:rPr>
          <w:rFonts w:eastAsia="Segoe UI" w:cs="Segoe UI" w:ascii="Segoe UI" w:hAnsi="Segoe UI"/>
          <w:color w:val="101820"/>
          <w:sz w:val="21"/>
        </w:rPr>
        <w:t xml:space="preserve">Enter the tiers: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(empty for the last, open-ended tier) and the </w:t>
      </w:r>
      <w:r>
        <w:rPr>
          <w:rFonts w:eastAsia="Segoe UI" w:cs="Segoe UI" w:ascii="Segoe UI" w:hAnsi="Segoe UI"/>
          <w:b/>
          <w:color w:val="101820"/>
          <w:sz w:val="21"/>
        </w:rPr>
        <w:t>Rate on production</w:t>
      </w:r>
      <w:r>
        <w:rPr>
          <w:rFonts w:eastAsia="Segoe UI" w:cs="Segoe UI" w:ascii="Segoe UI" w:hAnsi="Segoe UI"/>
          <w:color w:val="101820"/>
          <w:sz w:val="21"/>
        </w:rPr>
        <w:t>. Production tiers are amounts; loss ratio and growth tiers are percentages. Each tier starts where the previous one ends.</w:t>
      </w:r>
    </w:p>
    <w:p>
      <w:pPr>
        <w:pStyle w:val="Normal"/>
        <w:numPr>
          <w:ilvl w:val="0"/>
          <w:numId w:val="4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Compute, approve and settle:</w:t>
      </w:r>
    </w:p>
    <w:p>
      <w:pPr>
        <w:pStyle w:val="Normal"/>
        <w:numPr>
          <w:ilvl w:val="0"/>
          <w:numId w:val="407"/>
        </w:numPr>
        <w:spacing w:before="0" w:after="60"/>
        <w:rPr/>
      </w:pPr>
      <w:r>
        <w:rPr>
          <w:rFonts w:eastAsia="Segoe UI" w:cs="Segoe UI" w:ascii="Segoe UI" w:hAnsi="Segoe UI"/>
          <w:color w:val="101820"/>
          <w:sz w:val="21"/>
        </w:rPr>
        <w:t>Choose Commission &gt; Insurer Overrides &gt; Computations, the agreement and the year. The periods of the year are listed with their computation.</w:t>
      </w:r>
    </w:p>
    <w:p>
      <w:pPr>
        <w:pStyle w:val="Normal"/>
        <w:numPr>
          <w:ilvl w:val="0"/>
          <w:numId w:val="40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Compute</w:t>
      </w:r>
      <w:r>
        <w:rPr>
          <w:rFonts w:eastAsia="Segoe UI" w:cs="Segoe UI" w:ascii="Segoe UI" w:hAnsi="Segoe UI"/>
          <w:color w:val="101820"/>
          <w:sz w:val="21"/>
        </w:rPr>
        <w:t xml:space="preserve"> on a period. The dialog shows the production, the number of policies, the claims incurred, the loss ratio, the growth, the tier and rate, the commission, the VAT and the receivable. When the insurer's loss figure differs from the claims recorded in the system, enter </w:t>
      </w:r>
      <w:r>
        <w:rPr>
          <w:rFonts w:eastAsia="Segoe UI" w:cs="Segoe UI" w:ascii="Segoe UI" w:hAnsi="Segoe UI"/>
          <w:b/>
          <w:color w:val="101820"/>
          <w:sz w:val="21"/>
        </w:rPr>
        <w:t>Insurer's claims figure</w:t>
      </w:r>
      <w:r>
        <w:rPr>
          <w:rFonts w:eastAsia="Segoe UI" w:cs="Segoe UI" w:ascii="Segoe UI" w:hAnsi="Segoe UI"/>
          <w:color w:val="101820"/>
          <w:sz w:val="21"/>
        </w:rPr>
        <w:t xml:space="preserve"> and a </w:t>
      </w:r>
      <w:r>
        <w:rPr>
          <w:rFonts w:eastAsia="Segoe UI" w:cs="Segoe UI" w:ascii="Segoe UI" w:hAnsi="Segoe UI"/>
          <w:b/>
          <w:color w:val="101820"/>
          <w:sz w:val="21"/>
        </w:rPr>
        <w:t>Claims note</w:t>
      </w:r>
      <w:r>
        <w:rPr>
          <w:rFonts w:eastAsia="Segoe UI" w:cs="Segoe UI" w:ascii="Segoe UI" w:hAnsi="Segoe UI"/>
          <w:color w:val="101820"/>
          <w:sz w:val="21"/>
        </w:rPr>
        <w:t xml:space="preserve">. Select </w:t>
      </w:r>
      <w:r>
        <w:rPr>
          <w:rFonts w:eastAsia="Segoe UI" w:cs="Segoe UI" w:ascii="Segoe UI" w:hAnsi="Segoe UI"/>
          <w:b/>
          <w:color w:val="101820"/>
          <w:sz w:val="21"/>
        </w:rPr>
        <w:t>Compute</w:t>
      </w:r>
      <w:r>
        <w:rPr>
          <w:rFonts w:eastAsia="Segoe UI" w:cs="Segoe UI" w:ascii="Segoe UI" w:hAnsi="Segoe UI"/>
          <w:color w:val="101820"/>
          <w:sz w:val="21"/>
        </w:rPr>
        <w:t>: the computation gets its number (OVC-YYYY-NNNNN) as a draft. A draft can be recomputed.</w:t>
      </w:r>
    </w:p>
    <w:p>
      <w:pPr>
        <w:pStyle w:val="Normal"/>
        <w:numPr>
          <w:ilvl w:val="0"/>
          <w:numId w:val="409"/>
        </w:numPr>
        <w:spacing w:before="0" w:after="60"/>
        <w:rPr/>
      </w:pPr>
      <w:r>
        <w:rPr>
          <w:rFonts w:eastAsia="Segoe UI" w:cs="Segoe UI" w:ascii="Segoe UI" w:hAnsi="Segoe UI"/>
          <w:color w:val="101820"/>
          <w:sz w:val="21"/>
        </w:rPr>
        <w:t xml:space="preserve">Open the computation and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Another Accounting user selects </w:t>
      </w:r>
      <w:r>
        <w:rPr>
          <w:rFonts w:eastAsia="Segoe UI" w:cs="Segoe UI" w:ascii="Segoe UI" w:hAnsi="Segoe UI"/>
          <w:b/>
          <w:color w:val="101820"/>
          <w:sz w:val="21"/>
        </w:rPr>
        <w:t>Approve</w:t>
      </w:r>
      <w:r>
        <w:rPr>
          <w:rFonts w:eastAsia="Segoe UI" w:cs="Segoe UI" w:ascii="Segoe UI" w:hAnsi="Segoe UI"/>
          <w:color w:val="101820"/>
          <w:sz w:val="21"/>
        </w:rPr>
        <w:t xml:space="preserve"> (</w:t>
      </w:r>
      <w:r>
        <w:rPr>
          <w:rFonts w:eastAsia="Consolas" w:cs="Consolas" w:ascii="Consolas" w:hAnsi="Consolas"/>
          <w:color w:val="101820"/>
          <w:sz w:val="19"/>
        </w:rPr>
        <w:t>commission.override_requires_approval</w:t>
      </w:r>
      <w:r>
        <w:rPr>
          <w:rFonts w:eastAsia="Segoe UI" w:cs="Segoe UI" w:ascii="Segoe UI" w:hAnsi="Segoe UI"/>
          <w:color w:val="101820"/>
          <w:sz w:val="21"/>
        </w:rPr>
        <w:t xml:space="preserve">): the receivable is posted (posting rule </w:t>
      </w:r>
      <w:r>
        <w:rPr>
          <w:rFonts w:eastAsia="Consolas" w:cs="Consolas" w:ascii="Consolas" w:hAnsi="Consolas"/>
          <w:color w:val="101820"/>
          <w:sz w:val="19"/>
        </w:rPr>
        <w:t>override_commission.accrual</w:t>
      </w:r>
      <w:r>
        <w:rPr>
          <w:rFonts w:eastAsia="Segoe UI" w:cs="Segoe UI" w:ascii="Segoe UI" w:hAnsi="Segoe UI"/>
          <w:color w:val="101820"/>
          <w:sz w:val="21"/>
        </w:rPr>
        <w:t>: Dr Overriding and Contingent Commission Receivable 1203006, Cr Contingent and Profit Commission Income 3201002, Cr Output VAT).</w:t>
      </w:r>
    </w:p>
    <w:p>
      <w:pPr>
        <w:pStyle w:val="Normal"/>
        <w:numPr>
          <w:ilvl w:val="0"/>
          <w:numId w:val="41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invoice</w:t>
      </w:r>
      <w:r>
        <w:rPr>
          <w:rFonts w:eastAsia="Segoe UI" w:cs="Segoe UI" w:ascii="Segoe UI" w:hAnsi="Segoe UI"/>
          <w:color w:val="101820"/>
          <w:sz w:val="21"/>
        </w:rPr>
        <w:t xml:space="preserve"> to make out the sales invoice of the commission to the insurer (Accounts &gt; Tax &gt; Sales Invoices).</w:t>
      </w:r>
    </w:p>
    <w:p>
      <w:pPr>
        <w:pStyle w:val="Normal"/>
        <w:numPr>
          <w:ilvl w:val="0"/>
          <w:numId w:val="411"/>
        </w:numPr>
        <w:spacing w:before="0" w:after="60"/>
        <w:rPr/>
      </w:pPr>
      <w:r>
        <w:rPr>
          <w:rFonts w:eastAsia="Segoe UI" w:cs="Segoe UI" w:ascii="Segoe UI" w:hAnsi="Segoe UI"/>
          <w:color w:val="101820"/>
          <w:sz w:val="21"/>
        </w:rPr>
        <w:t xml:space="preserve">When the insurer pays, select </w:t>
      </w:r>
      <w:r>
        <w:rPr>
          <w:rFonts w:eastAsia="Segoe UI" w:cs="Segoe UI" w:ascii="Segoe UI" w:hAnsi="Segoe UI"/>
          <w:b/>
          <w:color w:val="101820"/>
          <w:sz w:val="21"/>
        </w:rPr>
        <w:t>Settle</w:t>
      </w:r>
      <w:r>
        <w:rPr>
          <w:rFonts w:eastAsia="Segoe UI" w:cs="Segoe UI" w:ascii="Segoe UI" w:hAnsi="Segoe UI"/>
          <w:color w:val="101820"/>
          <w:sz w:val="21"/>
        </w:rPr>
        <w:t xml:space="preserve">: enter the </w:t>
      </w:r>
      <w:r>
        <w:rPr>
          <w:rFonts w:eastAsia="Segoe UI" w:cs="Segoe UI" w:ascii="Segoe UI" w:hAnsi="Segoe UI"/>
          <w:b/>
          <w:color w:val="101820"/>
          <w:sz w:val="21"/>
        </w:rPr>
        <w:t>Insurer statement</w:t>
      </w:r>
      <w:r>
        <w:rPr>
          <w:rFonts w:eastAsia="Segoe UI" w:cs="Segoe UI" w:ascii="Segoe UI" w:hAnsi="Segoe UI"/>
          <w:color w:val="101820"/>
          <w:sz w:val="21"/>
        </w:rPr>
        <w:t xml:space="preserve"> reference, the </w:t>
      </w:r>
      <w:r>
        <w:rPr>
          <w:rFonts w:eastAsia="Segoe UI" w:cs="Segoe UI" w:ascii="Segoe UI" w:hAnsi="Segoe UI"/>
          <w:b/>
          <w:color w:val="101820"/>
          <w:sz w:val="21"/>
        </w:rPr>
        <w:t>Statement date</w:t>
      </w:r>
      <w:r>
        <w:rPr>
          <w:rFonts w:eastAsia="Segoe UI" w:cs="Segoe UI" w:ascii="Segoe UI" w:hAnsi="Segoe UI"/>
          <w:color w:val="101820"/>
          <w:sz w:val="21"/>
        </w:rPr>
        <w:t xml:space="preserve">, the </w:t>
      </w:r>
      <w:r>
        <w:rPr>
          <w:rFonts w:eastAsia="Segoe UI" w:cs="Segoe UI" w:ascii="Segoe UI" w:hAnsi="Segoe UI"/>
          <w:b/>
          <w:color w:val="101820"/>
          <w:sz w:val="21"/>
        </w:rPr>
        <w:t>Amount on the statement</w:t>
      </w:r>
      <w:r>
        <w:rPr>
          <w:rFonts w:eastAsia="Segoe UI" w:cs="Segoe UI" w:ascii="Segoe UI" w:hAnsi="Segoe UI"/>
          <w:color w:val="101820"/>
          <w:sz w:val="21"/>
        </w:rPr>
        <w:t xml:space="preserve">, the </w:t>
      </w:r>
      <w:r>
        <w:rPr>
          <w:rFonts w:eastAsia="Segoe UI" w:cs="Segoe UI" w:ascii="Segoe UI" w:hAnsi="Segoe UI"/>
          <w:b/>
          <w:color w:val="101820"/>
          <w:sz w:val="21"/>
        </w:rPr>
        <w:t>Amount received</w:t>
      </w:r>
      <w:r>
        <w:rPr>
          <w:rFonts w:eastAsia="Segoe UI" w:cs="Segoe UI" w:ascii="Segoe UI" w:hAnsi="Segoe UI"/>
          <w:color w:val="101820"/>
          <w:sz w:val="21"/>
        </w:rPr>
        <w:t xml:space="preserve">, the </w:t>
      </w:r>
      <w:r>
        <w:rPr>
          <w:rFonts w:eastAsia="Segoe UI" w:cs="Segoe UI" w:ascii="Segoe UI" w:hAnsi="Segoe UI"/>
          <w:b/>
          <w:color w:val="101820"/>
          <w:sz w:val="21"/>
        </w:rPr>
        <w:t>Tax withheld (2307)</w:t>
      </w:r>
      <w:r>
        <w:rPr>
          <w:rFonts w:eastAsia="Segoe UI" w:cs="Segoe UI" w:ascii="Segoe UI" w:hAnsi="Segoe UI"/>
          <w:color w:val="101820"/>
          <w:sz w:val="21"/>
        </w:rPr>
        <w:t xml:space="preserve">, the </w:t>
      </w:r>
      <w:r>
        <w:rPr>
          <w:rFonts w:eastAsia="Segoe UI" w:cs="Segoe UI" w:ascii="Segoe UI" w:hAnsi="Segoe UI"/>
          <w:b/>
          <w:color w:val="101820"/>
          <w:sz w:val="21"/>
        </w:rPr>
        <w:t>BIR Form 2307 no.</w:t>
      </w:r>
      <w:r>
        <w:rPr>
          <w:rFonts w:eastAsia="Segoe UI" w:cs="Segoe UI" w:ascii="Segoe UI" w:hAnsi="Segoe UI"/>
          <w:color w:val="101820"/>
          <w:sz w:val="21"/>
        </w:rPr>
        <w:t xml:space="preserve"> and how to treat a </w:t>
      </w:r>
      <w:r>
        <w:rPr>
          <w:rFonts w:eastAsia="Segoe UI" w:cs="Segoe UI" w:ascii="Segoe UI" w:hAnsi="Segoe UI"/>
          <w:b/>
          <w:color w:val="101820"/>
          <w:sz w:val="21"/>
        </w:rPr>
        <w:t>Difference</w:t>
      </w:r>
      <w:r>
        <w:rPr>
          <w:rFonts w:eastAsia="Segoe UI" w:cs="Segoe UI" w:ascii="Segoe UI" w:hAnsi="Segoe UI"/>
          <w:color w:val="101820"/>
          <w:sz w:val="21"/>
        </w:rPr>
        <w:t xml:space="preserve">: </w:t>
      </w:r>
      <w:r>
        <w:rPr>
          <w:rFonts w:eastAsia="Segoe UI" w:cs="Segoe UI" w:ascii="Segoe UI" w:hAnsi="Segoe UI"/>
          <w:b/>
          <w:color w:val="101820"/>
          <w:sz w:val="21"/>
        </w:rPr>
        <w:t>Leave the balance open</w:t>
      </w:r>
      <w:r>
        <w:rPr>
          <w:rFonts w:eastAsia="Segoe UI" w:cs="Segoe UI" w:ascii="Segoe UI" w:hAnsi="Segoe UI"/>
          <w:color w:val="101820"/>
          <w:sz w:val="21"/>
        </w:rPr>
        <w:t xml:space="preserve"> (a part payment) or </w:t>
      </w:r>
      <w:r>
        <w:rPr>
          <w:rFonts w:eastAsia="Segoe UI" w:cs="Segoe UI" w:ascii="Segoe UI" w:hAnsi="Segoe UI"/>
          <w:b/>
          <w:color w:val="101820"/>
          <w:sz w:val="21"/>
        </w:rPr>
        <w:t>Take the difference to commission income</w:t>
      </w:r>
      <w:r>
        <w:rPr>
          <w:rFonts w:eastAsia="Segoe UI" w:cs="Segoe UI" w:ascii="Segoe UI" w:hAnsi="Segoe UI"/>
          <w:color w:val="101820"/>
          <w:sz w:val="21"/>
        </w:rPr>
        <w:t xml:space="preserve"> (accept the insurer's figure). The settlement posts </w:t>
      </w:r>
      <w:r>
        <w:rPr>
          <w:rFonts w:eastAsia="Consolas" w:cs="Consolas" w:ascii="Consolas" w:hAnsi="Consolas"/>
          <w:color w:val="101820"/>
          <w:sz w:val="19"/>
        </w:rPr>
        <w:t>override_commission.settlement</w:t>
      </w:r>
      <w:r>
        <w:rPr>
          <w:rFonts w:eastAsia="Segoe UI" w:cs="Segoe UI" w:ascii="Segoe UI" w:hAnsi="Segoe UI"/>
          <w:color w:val="101820"/>
          <w:sz w:val="21"/>
        </w:rPr>
        <w:t xml:space="preserve"> (Dr cash, Dr Creditable Withholding Tax, Cr the receivable, any difference to the income). The message says when the statement differs from the computation by more than </w:t>
      </w:r>
      <w:r>
        <w:rPr>
          <w:rFonts w:eastAsia="Consolas" w:cs="Consolas" w:ascii="Consolas" w:hAnsi="Consolas"/>
          <w:color w:val="101820"/>
          <w:sz w:val="19"/>
        </w:rPr>
        <w:t>commission.override_settlement_tolerance</w:t>
      </w:r>
      <w:r>
        <w:rPr>
          <w:rFonts w:eastAsia="Segoe UI" w:cs="Segoe UI" w:ascii="Segoe UI" w:hAnsi="Segoe UI"/>
          <w:color w:val="101820"/>
          <w:sz w:val="21"/>
        </w:rPr>
        <w:t>.</w:t>
      </w:r>
    </w:p>
    <w:p>
      <w:pPr>
        <w:pStyle w:val="Normal"/>
        <w:numPr>
          <w:ilvl w:val="0"/>
          <w:numId w:val="412"/>
        </w:numPr>
        <w:spacing w:before="0" w:after="60"/>
        <w:rPr/>
      </w:pPr>
      <w:r>
        <w:rPr>
          <w:rFonts w:eastAsia="Segoe UI" w:cs="Segoe UI" w:ascii="Segoe UI" w:hAnsi="Segoe UI"/>
          <w:color w:val="101820"/>
          <w:sz w:val="21"/>
        </w:rPr>
        <w:t xml:space="preserve">A draft, submitted or approved computation without settlements can be cancelled with a reason (an approved one has its journal reversed); a submitted one can be rejected. </w:t>
      </w:r>
      <w:r>
        <w:rPr>
          <w:rFonts w:eastAsia="Segoe UI" w:cs="Segoe UI" w:ascii="Segoe UI" w:hAnsi="Segoe UI"/>
          <w:b/>
          <w:color w:val="101820"/>
          <w:sz w:val="21"/>
        </w:rPr>
        <w:t>Excel</w:t>
      </w:r>
      <w:r>
        <w:rPr>
          <w:rFonts w:eastAsia="Segoe UI" w:cs="Segoe UI" w:ascii="Segoe UI" w:hAnsi="Segoe UI"/>
          <w:color w:val="101820"/>
          <w:sz w:val="21"/>
        </w:rPr>
        <w:t xml:space="preserve"> exports the computations of the year.</w:t>
      </w:r>
    </w:p>
    <w:p>
      <w:pPr>
        <w:pStyle w:val="Normal"/>
        <w:spacing w:lineRule="auto" w:line="276" w:before="0" w:after="120"/>
        <w:rPr/>
      </w:pPr>
      <w:r>
        <w:rPr>
          <w:rFonts w:eastAsia="Segoe UI" w:cs="Segoe UI" w:ascii="Segoe UI" w:hAnsi="Segoe UI"/>
          <w:color w:val="101820"/>
          <w:sz w:val="21"/>
        </w:rPr>
        <w:t xml:space="preserve">Production is the premium of the insurer's policies issued in the period (issued date, else inception), cancelled policies excluded. Claims incurred are the claims with a loss date in the period on those policies, at the settled amount, else the approved amount, else the estimate, for the statuses in </w:t>
      </w:r>
      <w:r>
        <w:rPr>
          <w:rFonts w:eastAsia="Consolas" w:cs="Consolas" w:ascii="Consolas" w:hAnsi="Consolas"/>
          <w:color w:val="101820"/>
          <w:sz w:val="19"/>
        </w:rPr>
        <w:t>commission.override_claims_statuses</w:t>
      </w:r>
      <w:r>
        <w:rPr>
          <w:rFonts w:eastAsia="Segoe UI" w:cs="Segoe UI" w:ascii="Segoe UI" w:hAnsi="Segoe UI"/>
          <w:color w:val="101820"/>
          <w:sz w:val="21"/>
        </w:rPr>
        <w:t>.</w:t>
      </w:r>
    </w:p>
    <w:p>
      <w:pPr>
        <w:pStyle w:val="Heading2"/>
        <w:rPr/>
      </w:pPr>
      <w:bookmarkStart w:id="127" w:name="__RefHeading___Toc21771_17926050"/>
      <w:bookmarkEnd w:id="127"/>
      <w:r>
        <w:rPr>
          <w:rFonts w:eastAsia="Segoe UI" w:cs="Segoe UI"/>
          <w:b/>
          <w:color w:val="0F4761"/>
          <w:sz w:val="26"/>
        </w:rPr>
        <w:t>12.15  Journal vouchers</w:t>
      </w:r>
    </w:p>
    <w:p>
      <w:pPr>
        <w:pStyle w:val="Normal"/>
        <w:shd w:val="clear" w:color="auto" w:fill="EAF2FB"/>
        <w:spacing w:before="0" w:after="160"/>
        <w:ind w:left="170"/>
        <w:rPr/>
      </w:pPr>
      <w:r>
        <w:rPr>
          <w:rFonts w:eastAsia="Segoe UI" w:cs="Segoe UI" w:ascii="Segoe UI" w:hAnsi="Segoe UI"/>
          <w:color w:val="101820"/>
          <w:sz w:val="20"/>
        </w:rPr>
        <w:t>[Screen image not available: Accounts &gt; Journal Voucher]</w:t>
      </w:r>
    </w:p>
    <w:p>
      <w:pPr>
        <w:pStyle w:val="Normal"/>
        <w:numPr>
          <w:ilvl w:val="0"/>
          <w:numId w:val="413"/>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41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41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416"/>
        </w:numPr>
        <w:spacing w:before="0" w:after="60"/>
        <w:rPr/>
      </w:pPr>
      <w:r>
        <w:rPr>
          <w:rFonts w:eastAsia="Segoe UI" w:cs="Segoe UI" w:ascii="Segoe UI" w:hAnsi="Segoe UI"/>
          <w:color w:val="101820"/>
          <w:sz w:val="21"/>
        </w:rPr>
        <w:t>Repeat until total debit equals total credit.</w:t>
      </w:r>
    </w:p>
    <w:p>
      <w:pPr>
        <w:pStyle w:val="Normal"/>
        <w:numPr>
          <w:ilvl w:val="0"/>
          <w:numId w:val="417"/>
        </w:numPr>
        <w:spacing w:before="0" w:after="60"/>
        <w:rPr/>
      </w:pPr>
      <w:r>
        <w:rPr>
          <w:rFonts w:eastAsia="Segoe UI" w:cs="Segoe UI" w:ascii="Segoe UI" w:hAnsi="Segoe UI"/>
          <w:color w:val="101820"/>
          <w:sz w:val="21"/>
        </w:rPr>
        <w:t>Submit the voucher for approval.</w:t>
      </w:r>
    </w:p>
    <w:p>
      <w:pPr>
        <w:pStyle w:val="Normal"/>
        <w:shd w:val="clear" w:color="auto" w:fill="EAF2FB"/>
        <w:spacing w:before="0" w:after="160"/>
        <w:ind w:left="170"/>
        <w:rPr/>
      </w:pPr>
      <w:r>
        <w:rPr>
          <w:rFonts w:eastAsia="Segoe UI" w:cs="Segoe UI" w:ascii="Segoe UI" w:hAnsi="Segoe UI"/>
          <w:color w:val="101820"/>
          <w:sz w:val="20"/>
        </w:rPr>
        <w:t>[Screen image not available: 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28" w:name="__RefHeading___Toc21773_17926050"/>
      <w:bookmarkEnd w:id="128"/>
      <w:r>
        <w:rPr>
          <w:rFonts w:eastAsia="Segoe UI" w:cs="Segoe UI"/>
          <w:b/>
          <w:color w:val="0F4761"/>
          <w:sz w:val="26"/>
        </w:rPr>
        <w:t>12.16  Open entry matching and write-offs</w:t>
      </w:r>
    </w:p>
    <w:p>
      <w:pPr>
        <w:pStyle w:val="Normal"/>
        <w:shd w:val="clear" w:color="auto" w:fill="EAF2FB"/>
        <w:spacing w:before="0" w:after="160"/>
        <w:ind w:left="170"/>
        <w:rPr/>
      </w:pPr>
      <w:r>
        <w:rPr>
          <w:rFonts w:eastAsia="Segoe UI" w:cs="Segoe UI" w:ascii="Segoe UI" w:hAnsi="Segoe UI"/>
          <w:color w:val="101820"/>
          <w:sz w:val="20"/>
        </w:rPr>
        <w:t>[Screen image not available: 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41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41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420"/>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421"/>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4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29" w:name="__RefHeading___Toc21775_17926050"/>
      <w:bookmarkEnd w:id="129"/>
      <w:r>
        <w:rPr>
          <w:rFonts w:eastAsia="Segoe UI" w:cs="Segoe UI"/>
          <w:b/>
          <w:color w:val="0F4761"/>
          <w:sz w:val="26"/>
        </w:rPr>
        <w:t>12.17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30" w:name="__RefHeading___Toc21777_17926050"/>
      <w:bookmarkEnd w:id="130"/>
      <w:r>
        <w:rPr>
          <w:rFonts w:eastAsia="Segoe UI" w:cs="Segoe UI"/>
          <w:b/>
          <w:color w:val="0F4761"/>
          <w:sz w:val="26"/>
        </w:rPr>
        <w:t>12.18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shd w:val="clear" w:color="auto" w:fill="EAF2FB"/>
        <w:spacing w:before="0" w:after="160"/>
        <w:ind w:left="170"/>
        <w:rPr/>
      </w:pPr>
      <w:r>
        <w:rPr>
          <w:rFonts w:eastAsia="Segoe UI" w:cs="Segoe UI" w:ascii="Segoe UI" w:hAnsi="Segoe UI"/>
          <w:color w:val="101820"/>
          <w:sz w:val="20"/>
        </w:rPr>
        <w:t>[Screen image not available: Accounts &gt; Petty Cash &gt; Initiate: Add Petty Cash]</w:t>
      </w:r>
    </w:p>
    <w:p>
      <w:pPr>
        <w:pStyle w:val="Heading2"/>
        <w:rPr/>
      </w:pPr>
      <w:bookmarkStart w:id="131" w:name="__RefHeading___Toc21779_17926050"/>
      <w:bookmarkEnd w:id="131"/>
      <w:r>
        <w:rPr>
          <w:rFonts w:eastAsia="Segoe UI" w:cs="Segoe UI"/>
          <w:b/>
          <w:color w:val="0F4761"/>
          <w:sz w:val="26"/>
        </w:rPr>
        <w:t>12.19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shd w:val="clear" w:color="auto" w:fill="EAF2FB"/>
        <w:spacing w:before="0" w:after="160"/>
        <w:ind w:left="170"/>
        <w:rPr/>
      </w:pPr>
      <w:r>
        <w:rPr>
          <w:rFonts w:eastAsia="Segoe UI" w:cs="Segoe UI" w:ascii="Segoe UI" w:hAnsi="Segoe UI"/>
          <w:color w:val="101820"/>
          <w:sz w:val="20"/>
        </w:rPr>
        <w:t>[Screen image not available: 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12.19.1  Import a bank statement</w:t>
      </w:r>
    </w:p>
    <w:p>
      <w:pPr>
        <w:pStyle w:val="Normal"/>
        <w:numPr>
          <w:ilvl w:val="0"/>
          <w:numId w:val="42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42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425"/>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42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4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shd w:val="clear" w:color="auto" w:fill="EAF2FB"/>
        <w:spacing w:before="0" w:after="160"/>
        <w:ind w:left="170"/>
        <w:rPr/>
      </w:pPr>
      <w:r>
        <w:rPr>
          <w:rFonts w:eastAsia="Segoe UI" w:cs="Segoe UI" w:ascii="Segoe UI" w:hAnsi="Segoe UI"/>
          <w:color w:val="101820"/>
          <w:sz w:val="20"/>
        </w:rPr>
        <w:t>[Screen image not available: 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12.19.2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12.19.3  Prepare the reconciliation</w:t>
      </w:r>
    </w:p>
    <w:p>
      <w:pPr>
        <w:pStyle w:val="Normal"/>
        <w:numPr>
          <w:ilvl w:val="0"/>
          <w:numId w:val="4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429"/>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430"/>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shd w:val="clear" w:color="auto" w:fill="EAF2FB"/>
        <w:spacing w:before="0" w:after="160"/>
        <w:ind w:left="170"/>
        <w:rPr/>
      </w:pPr>
      <w:r>
        <w:rPr>
          <w:rFonts w:eastAsia="Segoe UI" w:cs="Segoe UI" w:ascii="Segoe UI" w:hAnsi="Segoe UI"/>
          <w:color w:val="101820"/>
          <w:sz w:val="20"/>
        </w:rPr>
        <w:t>[Screen image not available: 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32" w:name="__RefHeading___Toc21781_17926050"/>
      <w:bookmarkEnd w:id="132"/>
      <w:r>
        <w:rPr>
          <w:rFonts w:eastAsia="Segoe UI" w:cs="Segoe UI"/>
          <w:b/>
          <w:color w:val="0F4761"/>
          <w:sz w:val="26"/>
        </w:rPr>
        <w:t>12.20  Insurer statement reconciliation</w:t>
      </w:r>
    </w:p>
    <w:p>
      <w:pPr>
        <w:pStyle w:val="Normal"/>
        <w:shd w:val="clear" w:color="auto" w:fill="EAF2FB"/>
        <w:spacing w:before="0" w:after="160"/>
        <w:ind w:left="170"/>
        <w:rPr/>
      </w:pPr>
      <w:r>
        <w:rPr>
          <w:rFonts w:eastAsia="Segoe UI" w:cs="Segoe UI" w:ascii="Segoe UI" w:hAnsi="Segoe UI"/>
          <w:color w:val="101820"/>
          <w:sz w:val="20"/>
        </w:rPr>
        <w:t>[Screen image not available: 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4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43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433"/>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434"/>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shd w:val="clear" w:color="auto" w:fill="EAF2FB"/>
        <w:spacing w:before="0" w:after="160"/>
        <w:ind w:left="170"/>
        <w:rPr/>
      </w:pPr>
      <w:r>
        <w:rPr>
          <w:rFonts w:eastAsia="Segoe UI" w:cs="Segoe UI" w:ascii="Segoe UI" w:hAnsi="Segoe UI"/>
          <w:color w:val="101820"/>
          <w:sz w:val="20"/>
        </w:rPr>
        <w:t>[Screen image not available: An insurer statement with its differences]</w:t>
      </w:r>
    </w:p>
    <w:p>
      <w:pPr>
        <w:pStyle w:val="Heading2"/>
        <w:rPr/>
      </w:pPr>
      <w:bookmarkStart w:id="133" w:name="__RefHeading___Toc21783_17926050"/>
      <w:bookmarkEnd w:id="133"/>
      <w:r>
        <w:rPr>
          <w:rFonts w:eastAsia="Segoe UI" w:cs="Segoe UI"/>
          <w:b/>
          <w:color w:val="0F4761"/>
          <w:sz w:val="26"/>
        </w:rPr>
        <w:t>12.21  Tax: BIR forms and returns</w:t>
      </w:r>
    </w:p>
    <w:p>
      <w:pPr>
        <w:pStyle w:val="Normal"/>
        <w:shd w:val="clear" w:color="auto" w:fill="EAF2FB"/>
        <w:spacing w:before="0" w:after="160"/>
        <w:ind w:left="170"/>
        <w:rPr/>
      </w:pPr>
      <w:r>
        <w:rPr>
          <w:rFonts w:eastAsia="Segoe UI" w:cs="Segoe UI" w:ascii="Segoe UI" w:hAnsi="Segoe UI"/>
          <w:color w:val="101820"/>
          <w:sz w:val="20"/>
        </w:rPr>
        <w:t>[Screen image not available: 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Returns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filing calendar of a year: BIR Form 0619-E (first and second month of each quarter), 1601-EQ (each quarter), 2551Q (non-VAT broker) and 1604-E, each laid out as the BIR form, reconciled, printed (PDF) and exported (Excel), with its filing record.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Alphalist 1604-E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annual information return with the remittances per month and the alphalist of payees (schedules 3 and 4); Excel, print and DAT file.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 2551Q</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percentage tax working paper of a non-VAT registered broker or agent.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DAT Files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validation data files of the QAP, the SAWT, the SLSP sales and purchases and the 1604-E alphalist.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sales invoices under the EOPT Act, with payment acknowledgements.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E-Invoicing (EIS)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outbox of e-invoices for the BIR Electronic Invoicing System.</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 Books and Documents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loose-leaf books of accounts, the system description, the backup procedure and the audit trail extract for the CAS registration.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Heading3"/>
        <w:rPr/>
      </w:pPr>
      <w:r>
        <w:rPr>
          <w:rFonts w:eastAsia="Segoe UI" w:cs="Segoe UI"/>
          <w:b/>
          <w:color w:val="0F4761"/>
          <w:sz w:val="23"/>
        </w:rPr>
        <w:t>12.21.1  Withholding returns: 0619-E, 1601-EQ and their filing records</w:t>
      </w:r>
    </w:p>
    <w:p>
      <w:pPr>
        <w:pStyle w:val="Normal"/>
        <w:shd w:val="clear" w:color="auto" w:fill="EAF2FB"/>
        <w:spacing w:before="0" w:after="160"/>
        <w:ind w:left="170"/>
        <w:rPr/>
      </w:pPr>
      <w:r>
        <w:rPr>
          <w:rFonts w:eastAsia="Segoe UI" w:cs="Segoe UI" w:ascii="Segoe UI" w:hAnsi="Segoe UI"/>
          <w:color w:val="101820"/>
          <w:sz w:val="20"/>
        </w:rPr>
        <w:t>[Screen image not available: Accounts &gt; Tax &gt; Withholding Returns]</w:t>
      </w:r>
    </w:p>
    <w:p>
      <w:pPr>
        <w:pStyle w:val="Normal"/>
        <w:numPr>
          <w:ilvl w:val="0"/>
          <w:numId w:val="435"/>
        </w:numPr>
        <w:spacing w:before="0" w:after="60"/>
        <w:rPr/>
      </w:pPr>
      <w:r>
        <w:rPr>
          <w:rFonts w:eastAsia="Segoe UI" w:cs="Segoe UI" w:ascii="Segoe UI" w:hAnsi="Segoe UI"/>
          <w:color w:val="101820"/>
          <w:sz w:val="21"/>
        </w:rPr>
        <w:t xml:space="preserve">Choose Accounts &gt; Tax &gt; Withholding Returns and the year. The list shows each return with its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(0619-E: day </w:t>
      </w:r>
      <w:r>
        <w:rPr>
          <w:rFonts w:eastAsia="Consolas" w:cs="Consolas" w:ascii="Consolas" w:hAnsi="Consolas"/>
          <w:color w:val="101820"/>
          <w:sz w:val="19"/>
        </w:rPr>
        <w:t>bir.withholding_due_day</w:t>
      </w:r>
      <w:r>
        <w:rPr>
          <w:rFonts w:eastAsia="Segoe UI" w:cs="Segoe UI" w:ascii="Segoe UI" w:hAnsi="Segoe UI"/>
          <w:color w:val="101820"/>
          <w:sz w:val="21"/>
        </w:rPr>
        <w:t xml:space="preserve"> of the next month, default 10; quarterly returns: the last day of the month after the quarter), </w:t>
      </w:r>
      <w:r>
        <w:rPr>
          <w:rFonts w:eastAsia="Segoe UI" w:cs="Segoe UI" w:ascii="Segoe UI" w:hAnsi="Segoe UI"/>
          <w:b/>
          <w:color w:val="101820"/>
          <w:sz w:val="21"/>
        </w:rPr>
        <w:t>Status</w:t>
      </w:r>
      <w:r>
        <w:rPr>
          <w:rFonts w:eastAsia="Segoe UI" w:cs="Segoe UI" w:ascii="Segoe UI" w:hAnsi="Segoe UI"/>
          <w:color w:val="101820"/>
          <w:sz w:val="21"/>
        </w:rPr>
        <w:t xml:space="preserve"> (Filed or Not filed), </w:t>
      </w:r>
      <w:r>
        <w:rPr>
          <w:rFonts w:eastAsia="Segoe UI" w:cs="Segoe UI" w:ascii="Segoe UI" w:hAnsi="Segoe UI"/>
          <w:b/>
          <w:color w:val="101820"/>
          <w:sz w:val="21"/>
        </w:rPr>
        <w:t>Date filed</w:t>
      </w:r>
      <w:r>
        <w:rPr>
          <w:rFonts w:eastAsia="Segoe UI" w:cs="Segoe UI" w:ascii="Segoe UI" w:hAnsi="Segoe UI"/>
          <w:color w:val="101820"/>
          <w:sz w:val="21"/>
        </w:rPr>
        <w:t xml:space="preserve">, </w:t>
      </w:r>
      <w:r>
        <w:rPr>
          <w:rFonts w:eastAsia="Segoe UI" w:cs="Segoe UI" w:ascii="Segoe UI" w:hAnsi="Segoe UI"/>
          <w:b/>
          <w:color w:val="101820"/>
          <w:sz w:val="21"/>
        </w:rPr>
        <w:t>Filing reference</w:t>
      </w:r>
      <w:r>
        <w:rPr>
          <w:rFonts w:eastAsia="Segoe UI" w:cs="Segoe UI" w:ascii="Segoe UI" w:hAnsi="Segoe UI"/>
          <w:color w:val="101820"/>
          <w:sz w:val="21"/>
        </w:rPr>
        <w:t xml:space="preserve"> and </w:t>
      </w:r>
      <w:r>
        <w:rPr>
          <w:rFonts w:eastAsia="Segoe UI" w:cs="Segoe UI" w:ascii="Segoe UI" w:hAnsi="Segoe UI"/>
          <w:b/>
          <w:color w:val="101820"/>
          <w:sz w:val="21"/>
        </w:rPr>
        <w:t>Amount paid</w:t>
      </w:r>
      <w:r>
        <w:rPr>
          <w:rFonts w:eastAsia="Segoe UI" w:cs="Segoe UI" w:ascii="Segoe UI" w:hAnsi="Segoe UI"/>
          <w:color w:val="101820"/>
          <w:sz w:val="21"/>
        </w:rPr>
        <w:t>.</w:t>
      </w:r>
    </w:p>
    <w:p>
      <w:pPr>
        <w:pStyle w:val="Normal"/>
        <w:numPr>
          <w:ilvl w:val="0"/>
          <w:numId w:val="4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Open</w:t>
      </w:r>
      <w:r>
        <w:rPr>
          <w:rFonts w:eastAsia="Segoe UI" w:cs="Segoe UI" w:ascii="Segoe UI" w:hAnsi="Segoe UI"/>
          <w:color w:val="101820"/>
          <w:sz w:val="21"/>
        </w:rPr>
        <w:t xml:space="preserve"> on a return. It shows Part I (TIN with branch code, RDO, name, address, category of withholding agent from Master &gt; Company and the </w:t>
      </w:r>
      <w:r>
        <w:rPr>
          <w:rFonts w:eastAsia="Consolas" w:cs="Consolas" w:ascii="Consolas" w:hAnsi="Consolas"/>
          <w:color w:val="101820"/>
          <w:sz w:val="19"/>
        </w:rPr>
        <w:t>bir.*</w:t>
      </w:r>
      <w:r>
        <w:rPr>
          <w:rFonts w:eastAsia="Segoe UI" w:cs="Segoe UI" w:ascii="Segoe UI" w:hAnsi="Segoe UI"/>
          <w:color w:val="101820"/>
          <w:sz w:val="21"/>
        </w:rPr>
        <w:t xml:space="preserve"> settings) and Part II with the BIR item numbers: for 1601-EQ one line per ATC (tax base, rate, tax withheld), the total for the quarter, less the 0619-E remittances of the first and second month (from their filing records), the tax still due and the penalties. The schedules show the tax per ATC and, for 1601-EQ, the QAP attached.</w:t>
      </w:r>
    </w:p>
    <w:p>
      <w:pPr>
        <w:pStyle w:val="Normal"/>
        <w:numPr>
          <w:ilvl w:val="0"/>
          <w:numId w:val="437"/>
        </w:numPr>
        <w:spacing w:before="0" w:after="60"/>
        <w:rPr/>
      </w:pPr>
      <w:r>
        <w:rPr>
          <w:rFonts w:eastAsia="Segoe UI" w:cs="Segoe UI" w:ascii="Segoe UI" w:hAnsi="Segoe UI"/>
          <w:color w:val="101820"/>
          <w:sz w:val="21"/>
        </w:rPr>
        <w:t xml:space="preserve">Read </w:t>
      </w:r>
      <w:r>
        <w:rPr>
          <w:rFonts w:eastAsia="Segoe UI" w:cs="Segoe UI" w:ascii="Segoe UI" w:hAnsi="Segoe UI"/>
          <w:b/>
          <w:color w:val="101820"/>
          <w:sz w:val="21"/>
        </w:rPr>
        <w:t>Reconciliation</w:t>
      </w:r>
      <w:r>
        <w:rPr>
          <w:rFonts w:eastAsia="Segoe UI" w:cs="Segoe UI" w:ascii="Segoe UI" w:hAnsi="Segoe UI"/>
          <w:color w:val="101820"/>
          <w:sz w:val="21"/>
        </w:rPr>
        <w:t>. The return total is compared with the QAP report and with the tax withheld credited in the ledger to the withholding accounts (</w:t>
      </w:r>
      <w:r>
        <w:rPr>
          <w:rFonts w:eastAsia="Consolas" w:cs="Consolas" w:ascii="Consolas" w:hAnsi="Consolas"/>
          <w:color w:val="101820"/>
          <w:sz w:val="19"/>
        </w:rPr>
        <w:t>bir.withholding_ledger_accounts</w:t>
      </w:r>
      <w:r>
        <w:rPr>
          <w:rFonts w:eastAsia="Segoe UI" w:cs="Segoe UI" w:ascii="Segoe UI" w:hAnsi="Segoe UI"/>
          <w:color w:val="101820"/>
          <w:sz w:val="21"/>
        </w:rPr>
        <w:t>, else Expanded Withholding Tax Payable 2204001). A difference means a withholding booked outside a payment voucher (for example a journal voucher or petty cash) or a voucher without a journal: explain it before filing.</w:t>
      </w:r>
    </w:p>
    <w:p>
      <w:pPr>
        <w:pStyle w:val="Normal"/>
        <w:numPr>
          <w:ilvl w:val="0"/>
          <w:numId w:val="43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Print</w:t>
      </w:r>
      <w:r>
        <w:rPr>
          <w:rFonts w:eastAsia="Segoe UI" w:cs="Segoe UI" w:ascii="Segoe UI" w:hAnsi="Segoe UI"/>
          <w:color w:val="101820"/>
          <w:sz w:val="21"/>
        </w:rPr>
        <w:t xml:space="preserve"> (PDF in the BIR item order) or </w:t>
      </w:r>
      <w:r>
        <w:rPr>
          <w:rFonts w:eastAsia="Segoe UI" w:cs="Segoe UI" w:ascii="Segoe UI" w:hAnsi="Segoe UI"/>
          <w:b/>
          <w:color w:val="101820"/>
          <w:sz w:val="21"/>
        </w:rPr>
        <w:t>Excel</w:t>
      </w:r>
      <w:r>
        <w:rPr>
          <w:rFonts w:eastAsia="Segoe UI" w:cs="Segoe UI" w:ascii="Segoe UI" w:hAnsi="Segoe UI"/>
          <w:color w:val="101820"/>
          <w:sz w:val="21"/>
        </w:rPr>
        <w:t xml:space="preserve"> (the form, each schedule on a sheet, the reconciliation) and transfer the figures to eBIRForms or eFPS.</w:t>
      </w:r>
    </w:p>
    <w:p>
      <w:pPr>
        <w:pStyle w:val="Normal"/>
        <w:numPr>
          <w:ilvl w:val="0"/>
          <w:numId w:val="439"/>
        </w:numPr>
        <w:spacing w:before="0" w:after="60"/>
        <w:rPr/>
      </w:pPr>
      <w:r>
        <w:rPr>
          <w:rFonts w:eastAsia="Segoe UI" w:cs="Segoe UI" w:ascii="Segoe UI" w:hAnsi="Segoe UI"/>
          <w:color w:val="101820"/>
          <w:sz w:val="21"/>
        </w:rPr>
        <w:t xml:space="preserve">After filing and paying, select </w:t>
      </w:r>
      <w:r>
        <w:rPr>
          <w:rFonts w:eastAsia="Segoe UI" w:cs="Segoe UI" w:ascii="Segoe UI" w:hAnsi="Segoe UI"/>
          <w:b/>
          <w:color w:val="101820"/>
          <w:sz w:val="21"/>
        </w:rPr>
        <w:t>Record filing</w:t>
      </w:r>
      <w:r>
        <w:rPr>
          <w:rFonts w:eastAsia="Segoe UI" w:cs="Segoe UI" w:ascii="Segoe UI" w:hAnsi="Segoe UI"/>
          <w:color w:val="101820"/>
          <w:sz w:val="21"/>
        </w:rPr>
        <w:t xml:space="preserve"> and enter the </w:t>
      </w:r>
      <w:r>
        <w:rPr>
          <w:rFonts w:eastAsia="Segoe UI" w:cs="Segoe UI" w:ascii="Segoe UI" w:hAnsi="Segoe UI"/>
          <w:b/>
          <w:color w:val="101820"/>
          <w:sz w:val="21"/>
        </w:rPr>
        <w:t>Date filed</w:t>
      </w:r>
      <w:r>
        <w:rPr>
          <w:rFonts w:eastAsia="Segoe UI" w:cs="Segoe UI" w:ascii="Segoe UI" w:hAnsi="Segoe UI"/>
          <w:color w:val="101820"/>
          <w:sz w:val="21"/>
        </w:rPr>
        <w:t xml:space="preserve">, the </w:t>
      </w:r>
      <w:r>
        <w:rPr>
          <w:rFonts w:eastAsia="Segoe UI" w:cs="Segoe UI" w:ascii="Segoe UI" w:hAnsi="Segoe UI"/>
          <w:b/>
          <w:color w:val="101820"/>
          <w:sz w:val="21"/>
        </w:rPr>
        <w:t>Filing reference</w:t>
      </w:r>
      <w:r>
        <w:rPr>
          <w:rFonts w:eastAsia="Segoe UI" w:cs="Segoe UI" w:ascii="Segoe UI" w:hAnsi="Segoe UI"/>
          <w:color w:val="101820"/>
          <w:sz w:val="21"/>
        </w:rPr>
        <w:t xml:space="preserve"> (eFPS / eBIRForms confirmation), the </w:t>
      </w:r>
      <w:r>
        <w:rPr>
          <w:rFonts w:eastAsia="Segoe UI" w:cs="Segoe UI" w:ascii="Segoe UI" w:hAnsi="Segoe UI"/>
          <w:b/>
          <w:color w:val="101820"/>
          <w:sz w:val="21"/>
        </w:rPr>
        <w:t>Amount paid</w:t>
      </w:r>
      <w:r>
        <w:rPr>
          <w:rFonts w:eastAsia="Segoe UI" w:cs="Segoe UI" w:ascii="Segoe UI" w:hAnsi="Segoe UI"/>
          <w:color w:val="101820"/>
          <w:sz w:val="21"/>
        </w:rPr>
        <w:t xml:space="preserve">, the </w:t>
      </w:r>
      <w:r>
        <w:rPr>
          <w:rFonts w:eastAsia="Segoe UI" w:cs="Segoe UI" w:ascii="Segoe UI" w:hAnsi="Segoe UI"/>
          <w:b/>
          <w:color w:val="101820"/>
          <w:sz w:val="21"/>
        </w:rPr>
        <w:t>Penalties</w:t>
      </w:r>
      <w:r>
        <w:rPr>
          <w:rFonts w:eastAsia="Segoe UI" w:cs="Segoe UI" w:ascii="Segoe UI" w:hAnsi="Segoe UI"/>
          <w:color w:val="101820"/>
          <w:sz w:val="21"/>
        </w:rPr>
        <w:t xml:space="preserve">, the </w:t>
      </w:r>
      <w:r>
        <w:rPr>
          <w:rFonts w:eastAsia="Segoe UI" w:cs="Segoe UI" w:ascii="Segoe UI" w:hAnsi="Segoe UI"/>
          <w:b/>
          <w:color w:val="101820"/>
          <w:sz w:val="21"/>
        </w:rPr>
        <w:t>Payment date</w:t>
      </w:r>
      <w:r>
        <w:rPr>
          <w:rFonts w:eastAsia="Segoe UI" w:cs="Segoe UI" w:ascii="Segoe UI" w:hAnsi="Segoe UI"/>
          <w:color w:val="101820"/>
          <w:sz w:val="21"/>
        </w:rPr>
        <w:t xml:space="preserve">, the </w:t>
      </w:r>
      <w:r>
        <w:rPr>
          <w:rFonts w:eastAsia="Segoe UI" w:cs="Segoe UI" w:ascii="Segoe UI" w:hAnsi="Segoe UI"/>
          <w:b/>
          <w:color w:val="101820"/>
          <w:sz w:val="21"/>
        </w:rPr>
        <w:t>Payment reference</w:t>
      </w:r>
      <w:r>
        <w:rPr>
          <w:rFonts w:eastAsia="Segoe UI" w:cs="Segoe UI" w:ascii="Segoe UI" w:hAnsi="Segoe UI"/>
          <w:color w:val="101820"/>
          <w:sz w:val="21"/>
        </w:rPr>
        <w:t xml:space="preserve"> and the </w:t>
      </w:r>
      <w:r>
        <w:rPr>
          <w:rFonts w:eastAsia="Segoe UI" w:cs="Segoe UI" w:ascii="Segoe UI" w:hAnsi="Segoe UI"/>
          <w:b/>
          <w:color w:val="101820"/>
          <w:sz w:val="21"/>
        </w:rPr>
        <w:t>Payment channel</w:t>
      </w:r>
      <w:r>
        <w:rPr>
          <w:rFonts w:eastAsia="Segoe UI" w:cs="Segoe UI" w:ascii="Segoe UI" w:hAnsi="Segoe UI"/>
          <w:color w:val="101820"/>
          <w:sz w:val="21"/>
        </w:rPr>
        <w:t xml:space="preserve">. The figures as computed are kept with the record. </w:t>
      </w:r>
      <w:r>
        <w:rPr>
          <w:rFonts w:eastAsia="Segoe UI" w:cs="Segoe UI" w:ascii="Segoe UI" w:hAnsi="Segoe UI"/>
          <w:b/>
          <w:color w:val="101820"/>
          <w:sz w:val="21"/>
        </w:rPr>
        <w:t>Edit filing</w:t>
      </w:r>
      <w:r>
        <w:rPr>
          <w:rFonts w:eastAsia="Segoe UI" w:cs="Segoe UI" w:ascii="Segoe UI" w:hAnsi="Segoe UI"/>
          <w:color w:val="101820"/>
          <w:sz w:val="21"/>
        </w:rPr>
        <w:t xml:space="preserve"> corrects the references; </w:t>
      </w:r>
      <w:r>
        <w:rPr>
          <w:rFonts w:eastAsia="Segoe UI" w:cs="Segoe UI" w:ascii="Segoe UI" w:hAnsi="Segoe UI"/>
          <w:b/>
          <w:color w:val="101820"/>
          <w:sz w:val="21"/>
        </w:rPr>
        <w:t>Amended return</w:t>
      </w:r>
      <w:r>
        <w:rPr>
          <w:rFonts w:eastAsia="Segoe UI" w:cs="Segoe UI" w:ascii="Segoe UI" w:hAnsi="Segoe UI"/>
          <w:color w:val="101820"/>
          <w:sz w:val="21"/>
        </w:rPr>
        <w:t xml:space="preserve"> records a new filing that supersedes the earlier one; a record entered in error is cancelled with a reason.</w:t>
      </w:r>
    </w:p>
    <w:p>
      <w:pPr>
        <w:pStyle w:val="Heading3"/>
        <w:rPr/>
      </w:pPr>
      <w:r>
        <w:rPr>
          <w:rFonts w:eastAsia="Segoe UI" w:cs="Segoe UI"/>
          <w:b/>
          <w:color w:val="0F4761"/>
          <w:sz w:val="23"/>
        </w:rPr>
        <w:t>12.21.2  Annual information return 1604-E and alphalist of payees</w:t>
      </w:r>
    </w:p>
    <w:p>
      <w:pPr>
        <w:pStyle w:val="Normal"/>
        <w:shd w:val="clear" w:color="auto" w:fill="EAF2FB"/>
        <w:spacing w:before="0" w:after="160"/>
        <w:ind w:left="170"/>
        <w:rPr/>
      </w:pPr>
      <w:r>
        <w:rPr>
          <w:rFonts w:eastAsia="Segoe UI" w:cs="Segoe UI" w:ascii="Segoe UI" w:hAnsi="Segoe UI"/>
          <w:color w:val="101820"/>
          <w:sz w:val="20"/>
        </w:rPr>
        <w:t>[Screen image not available: Accounts &gt; Tax &gt; Annual Alphalist 1604-E]</w:t>
      </w:r>
    </w:p>
    <w:p>
      <w:pPr>
        <w:pStyle w:val="Normal"/>
        <w:spacing w:lineRule="auto" w:line="276" w:before="0" w:after="120"/>
        <w:rPr/>
      </w:pPr>
      <w:r>
        <w:rPr>
          <w:rFonts w:eastAsia="Segoe UI" w:cs="Segoe UI" w:ascii="Segoe UI" w:hAnsi="Segoe UI"/>
          <w:color w:val="101820"/>
          <w:sz w:val="21"/>
        </w:rPr>
        <w:t xml:space="preserve">Choose Accounts &gt; Tax &gt; Annual Alphalist 1604-E and the year. The return shows the remittances per month (from the 0619-E and 1601-EQ filing records), schedule 3 (each payee subject to expanded withholding per ATC: TIN, branch, registered name or last, first and middle name, nature of income payment, rate, income payments and tax withheld for the year) and schedule 4 (payees whose income payments are exempt). </w:t>
      </w:r>
      <w:r>
        <w:rPr>
          <w:rFonts w:eastAsia="Segoe UI" w:cs="Segoe UI" w:ascii="Segoe UI" w:hAnsi="Segoe UI"/>
          <w:b/>
          <w:color w:val="101820"/>
          <w:sz w:val="21"/>
        </w:rPr>
        <w:t>Excel</w:t>
      </w:r>
      <w:r>
        <w:rPr>
          <w:rFonts w:eastAsia="Segoe UI" w:cs="Segoe UI" w:ascii="Segoe UI" w:hAnsi="Segoe UI"/>
          <w:color w:val="101820"/>
          <w:sz w:val="21"/>
        </w:rPr>
        <w:t xml:space="preserve">, </w:t>
      </w:r>
      <w:r>
        <w:rPr>
          <w:rFonts w:eastAsia="Segoe UI" w:cs="Segoe UI" w:ascii="Segoe UI" w:hAnsi="Segoe UI"/>
          <w:b/>
          <w:color w:val="101820"/>
          <w:sz w:val="21"/>
        </w:rPr>
        <w:t>Print</w:t>
      </w:r>
      <w:r>
        <w:rPr>
          <w:rFonts w:eastAsia="Segoe UI" w:cs="Segoe UI" w:ascii="Segoe UI" w:hAnsi="Segoe UI"/>
          <w:color w:val="101820"/>
          <w:sz w:val="21"/>
        </w:rPr>
        <w:t xml:space="preserve"> and </w:t>
      </w:r>
      <w:r>
        <w:rPr>
          <w:rFonts w:eastAsia="Segoe UI" w:cs="Segoe UI" w:ascii="Segoe UI" w:hAnsi="Segoe UI"/>
          <w:b/>
          <w:color w:val="101820"/>
          <w:sz w:val="21"/>
        </w:rPr>
        <w:t>DAT file</w:t>
      </w:r>
      <w:r>
        <w:rPr>
          <w:rFonts w:eastAsia="Segoe UI" w:cs="Segoe UI" w:ascii="Segoe UI" w:hAnsi="Segoe UI"/>
          <w:color w:val="101820"/>
          <w:sz w:val="21"/>
        </w:rPr>
        <w:t xml:space="preserve"> produce the outputs; </w:t>
      </w:r>
      <w:r>
        <w:rPr>
          <w:rFonts w:eastAsia="Segoe UI" w:cs="Segoe UI" w:ascii="Segoe UI" w:hAnsi="Segoe UI"/>
          <w:b/>
          <w:color w:val="101820"/>
          <w:sz w:val="21"/>
        </w:rPr>
        <w:t>Record filing</w:t>
      </w:r>
      <w:r>
        <w:rPr>
          <w:rFonts w:eastAsia="Segoe UI" w:cs="Segoe UI" w:ascii="Segoe UI" w:hAnsi="Segoe UI"/>
          <w:color w:val="101820"/>
          <w:sz w:val="21"/>
        </w:rPr>
        <w:t xml:space="preserve"> works as for the other returns. The reconciliation compares the tax in schedule 3 with the tax remitted on the filing records.</w:t>
      </w:r>
    </w:p>
    <w:p>
      <w:pPr>
        <w:pStyle w:val="Heading3"/>
        <w:rPr/>
      </w:pPr>
      <w:r>
        <w:rPr>
          <w:rFonts w:eastAsia="Segoe UI" w:cs="Segoe UI"/>
          <w:b/>
          <w:color w:val="0F4761"/>
          <w:sz w:val="23"/>
        </w:rPr>
        <w:t>12.21.3  Percentage tax 2551Q (non-VAT broker or agent)</w:t>
      </w:r>
    </w:p>
    <w:p>
      <w:pPr>
        <w:pStyle w:val="Normal"/>
        <w:spacing w:lineRule="auto" w:line="276" w:before="0" w:after="120"/>
        <w:rPr/>
      </w:pPr>
      <w:r>
        <w:rPr>
          <w:rFonts w:eastAsia="Segoe UI" w:cs="Segoe UI" w:ascii="Segoe UI" w:hAnsi="Segoe UI"/>
          <w:color w:val="101820"/>
          <w:sz w:val="21"/>
        </w:rPr>
        <w:t>A broker or agent that is not VAT registered (</w:t>
      </w:r>
      <w:r>
        <w:rPr>
          <w:rFonts w:eastAsia="Consolas" w:cs="Consolas" w:ascii="Consolas" w:hAnsi="Consolas"/>
          <w:color w:val="101820"/>
          <w:sz w:val="19"/>
        </w:rPr>
        <w:t>direct_bill.broker_vat_registered</w:t>
      </w:r>
      <w:r>
        <w:rPr>
          <w:rFonts w:eastAsia="Segoe UI" w:cs="Segoe UI" w:ascii="Segoe UI" w:hAnsi="Segoe UI"/>
          <w:color w:val="101820"/>
          <w:sz w:val="21"/>
        </w:rPr>
        <w:t xml:space="preserve"> off) pays percentage tax on its gross sales. Choose Accounts &gt; Tax &gt; Percentage Tax 2551Q, the year and the quarter. The working paper shows the gross sales of each month from the revenue accounts of the ledger, per account, the rate (</w:t>
      </w:r>
      <w:r>
        <w:rPr>
          <w:rFonts w:eastAsia="Consolas" w:cs="Consolas" w:ascii="Consolas" w:hAnsi="Consolas"/>
          <w:color w:val="101820"/>
          <w:sz w:val="19"/>
        </w:rPr>
        <w:t>bir.percentage_tax_rate</w:t>
      </w:r>
      <w:r>
        <w:rPr>
          <w:rFonts w:eastAsia="Segoe UI" w:cs="Segoe UI" w:ascii="Segoe UI" w:hAnsi="Segoe UI"/>
          <w:color w:val="101820"/>
          <w:sz w:val="21"/>
        </w:rPr>
        <w:t>, default 3%), the ATC (</w:t>
      </w:r>
      <w:r>
        <w:rPr>
          <w:rFonts w:eastAsia="Consolas" w:cs="Consolas" w:ascii="Consolas" w:hAnsi="Consolas"/>
          <w:color w:val="101820"/>
          <w:sz w:val="19"/>
        </w:rPr>
        <w:t>bir.percentage_tax_atc</w:t>
      </w:r>
      <w:r>
        <w:rPr>
          <w:rFonts w:eastAsia="Segoe UI" w:cs="Segoe UI" w:ascii="Segoe UI" w:hAnsi="Segoe UI"/>
          <w:color w:val="101820"/>
          <w:sz w:val="21"/>
        </w:rPr>
        <w:t>, default PT010), the tax due and the penalties. Print, Excel and the filing record work as for the other returns. For a VAT-registered broker the screen says so: confirm with the tax adviser before filing a 2551Q.</w:t>
      </w:r>
    </w:p>
    <w:p>
      <w:pPr>
        <w:pStyle w:val="Heading3"/>
        <w:rPr/>
      </w:pPr>
      <w:r>
        <w:rPr>
          <w:rFonts w:eastAsia="Segoe UI" w:cs="Segoe UI"/>
          <w:b/>
          <w:color w:val="0F4761"/>
          <w:sz w:val="23"/>
        </w:rPr>
        <w:t>12.21.4  BIR DAT files</w:t>
      </w:r>
    </w:p>
    <w:p>
      <w:pPr>
        <w:pStyle w:val="Normal"/>
        <w:shd w:val="clear" w:color="auto" w:fill="EAF2FB"/>
        <w:spacing w:before="0" w:after="160"/>
        <w:ind w:left="170"/>
        <w:rPr/>
      </w:pPr>
      <w:r>
        <w:rPr>
          <w:rFonts w:eastAsia="Segoe UI" w:cs="Segoe UI" w:ascii="Segoe UI" w:hAnsi="Segoe UI"/>
          <w:color w:val="101820"/>
          <w:sz w:val="20"/>
        </w:rPr>
        <w:t>[Screen image not available: Accounts &gt; Tax &gt; BIR DAT Files]</w:t>
      </w:r>
    </w:p>
    <w:p>
      <w:pPr>
        <w:pStyle w:val="Normal"/>
        <w:spacing w:lineRule="auto" w:line="276" w:before="0" w:after="120"/>
        <w:rPr/>
      </w:pPr>
      <w:r>
        <w:rPr>
          <w:rFonts w:eastAsia="Segoe UI" w:cs="Segoe UI" w:ascii="Segoe UI" w:hAnsi="Segoe UI"/>
          <w:color w:val="101820"/>
          <w:sz w:val="21"/>
        </w:rPr>
        <w:t>Choose Accounts &gt; Tax &gt; BIR DAT Files, the file (</w:t>
      </w:r>
      <w:r>
        <w:rPr>
          <w:rFonts w:eastAsia="Segoe UI" w:cs="Segoe UI" w:ascii="Segoe UI" w:hAnsi="Segoe UI"/>
          <w:b/>
          <w:color w:val="101820"/>
          <w:sz w:val="21"/>
        </w:rPr>
        <w:t>QAP (1601-EQ)</w:t>
      </w:r>
      <w:r>
        <w:rPr>
          <w:rFonts w:eastAsia="Segoe UI" w:cs="Segoe UI" w:ascii="Segoe UI" w:hAnsi="Segoe UI"/>
          <w:color w:val="101820"/>
          <w:sz w:val="21"/>
        </w:rPr>
        <w:t xml:space="preserve">, </w:t>
      </w:r>
      <w:r>
        <w:rPr>
          <w:rFonts w:eastAsia="Segoe UI" w:cs="Segoe UI" w:ascii="Segoe UI" w:hAnsi="Segoe UI"/>
          <w:b/>
          <w:color w:val="101820"/>
          <w:sz w:val="21"/>
        </w:rPr>
        <w:t>SAWT</w:t>
      </w:r>
      <w:r>
        <w:rPr>
          <w:rFonts w:eastAsia="Segoe UI" w:cs="Segoe UI" w:ascii="Segoe UI" w:hAnsi="Segoe UI"/>
          <w:color w:val="101820"/>
          <w:sz w:val="21"/>
        </w:rPr>
        <w:t xml:space="preserve">, </w:t>
      </w:r>
      <w:r>
        <w:rPr>
          <w:rFonts w:eastAsia="Segoe UI" w:cs="Segoe UI" w:ascii="Segoe UI" w:hAnsi="Segoe UI"/>
          <w:b/>
          <w:color w:val="101820"/>
          <w:sz w:val="21"/>
        </w:rPr>
        <w:t>SLSP sales</w:t>
      </w:r>
      <w:r>
        <w:rPr>
          <w:rFonts w:eastAsia="Segoe UI" w:cs="Segoe UI" w:ascii="Segoe UI" w:hAnsi="Segoe UI"/>
          <w:color w:val="101820"/>
          <w:sz w:val="21"/>
        </w:rPr>
        <w:t xml:space="preserve">, </w:t>
      </w:r>
      <w:r>
        <w:rPr>
          <w:rFonts w:eastAsia="Segoe UI" w:cs="Segoe UI" w:ascii="Segoe UI" w:hAnsi="Segoe UI"/>
          <w:b/>
          <w:color w:val="101820"/>
          <w:sz w:val="21"/>
        </w:rPr>
        <w:t>SLSP purchases</w:t>
      </w:r>
      <w:r>
        <w:rPr>
          <w:rFonts w:eastAsia="Segoe UI" w:cs="Segoe UI" w:ascii="Segoe UI" w:hAnsi="Segoe UI"/>
          <w:color w:val="101820"/>
          <w:sz w:val="21"/>
        </w:rPr>
        <w:t xml:space="preserve"> or </w:t>
      </w:r>
      <w:r>
        <w:rPr>
          <w:rFonts w:eastAsia="Segoe UI" w:cs="Segoe UI" w:ascii="Segoe UI" w:hAnsi="Segoe UI"/>
          <w:b/>
          <w:color w:val="101820"/>
          <w:sz w:val="21"/>
        </w:rPr>
        <w:t>1604-E alphalist</w:t>
      </w:r>
      <w:r>
        <w:rPr>
          <w:rFonts w:eastAsia="Segoe UI" w:cs="Segoe UI" w:ascii="Segoe UI" w:hAnsi="Segoe UI"/>
          <w:color w:val="101820"/>
          <w:sz w:val="21"/>
        </w:rPr>
        <w:t xml:space="preserve">), the year and the quarter (for the SAWT also the return it is attached to, </w:t>
      </w:r>
      <w:r>
        <w:rPr>
          <w:rFonts w:eastAsia="Consolas" w:cs="Consolas" w:ascii="Consolas" w:hAnsi="Consolas"/>
          <w:color w:val="101820"/>
          <w:sz w:val="19"/>
        </w:rPr>
        <w:t>bir.sawt_form</w:t>
      </w:r>
      <w:r>
        <w:rPr>
          <w:rFonts w:eastAsia="Segoe UI" w:cs="Segoe UI" w:ascii="Segoe UI" w:hAnsi="Segoe UI"/>
          <w:color w:val="101820"/>
          <w:sz w:val="21"/>
        </w:rPr>
        <w:t xml:space="preserve">, default 1702Q). The screen shows the layout version, the file name, the number of records, the totals, the record layout, the content and the warnings (for example a payee without TIN). Select </w:t>
      </w:r>
      <w:r>
        <w:rPr>
          <w:rFonts w:eastAsia="Segoe UI" w:cs="Segoe UI" w:ascii="Segoe UI" w:hAnsi="Segoe UI"/>
          <w:b/>
          <w:color w:val="101820"/>
          <w:sz w:val="21"/>
        </w:rPr>
        <w:t>Download</w:t>
      </w:r>
      <w:r>
        <w:rPr>
          <w:rFonts w:eastAsia="Segoe UI" w:cs="Segoe UI" w:ascii="Segoe UI" w:hAnsi="Segoe UI"/>
          <w:color w:val="101820"/>
          <w:sz w:val="21"/>
        </w:rPr>
        <w:t xml:space="preserve"> and validate the file with the current BIR validation module before submitting it.</w:t>
      </w:r>
    </w:p>
    <w:p>
      <w:pPr>
        <w:pStyle w:val="Normal"/>
        <w:spacing w:lineRule="auto" w:line="276" w:before="0" w:after="120"/>
        <w:rPr/>
      </w:pPr>
      <w:r>
        <w:rPr>
          <w:rFonts w:eastAsia="Segoe UI" w:cs="Segoe UI" w:ascii="Segoe UI" w:hAnsi="Segoe UI"/>
          <w:color w:val="101820"/>
          <w:sz w:val="21"/>
        </w:rPr>
        <w:t>The files follow the record layouts of the BIR Alphalist Data Entry and Validation Module version 7.x (QAP, SAWT, 1604-E) and the RELIEF data file layout (SLSP): a header record, one detail record per payee, customer or supplier, and a control record with the totals; text in capitals between double quotes, amounts with two decimals, CR LF line ends. The broker's TIN must be filled in on Master &gt; Company first.</w:t>
      </w:r>
    </w:p>
    <w:p>
      <w:pPr>
        <w:pStyle w:val="Heading3"/>
        <w:rPr/>
      </w:pPr>
      <w:r>
        <w:rPr>
          <w:rFonts w:eastAsia="Segoe UI" w:cs="Segoe UI"/>
          <w:b/>
          <w:color w:val="0F4761"/>
          <w:sz w:val="23"/>
        </w:rPr>
        <w:t>12.21.5  Sales invoices (EOPT Act)</w:t>
      </w:r>
    </w:p>
    <w:p>
      <w:pPr>
        <w:pStyle w:val="Normal"/>
        <w:spacing w:lineRule="auto" w:line="276" w:before="0" w:after="120"/>
        <w:rPr/>
      </w:pPr>
      <w:r>
        <w:rPr>
          <w:rFonts w:eastAsia="Segoe UI" w:cs="Segoe UI" w:ascii="Segoe UI" w:hAnsi="Segoe UI"/>
          <w:color w:val="101820"/>
          <w:sz w:val="21"/>
        </w:rPr>
        <w:t xml:space="preserve">Under the Ease of Paying Taxes Act (RA 11976) and RR 7-2024 the sales invoice is the primary document of the broker's sale of services. Before the first invoice, fill in the </w:t>
      </w:r>
      <w:r>
        <w:rPr>
          <w:rFonts w:eastAsia="Segoe UI" w:cs="Segoe UI" w:ascii="Segoe UI" w:hAnsi="Segoe UI"/>
          <w:b/>
          <w:color w:val="101820"/>
          <w:sz w:val="21"/>
        </w:rPr>
        <w:t>Sales invoices (EOPT)</w:t>
      </w:r>
      <w:r>
        <w:rPr>
          <w:rFonts w:eastAsia="Segoe UI" w:cs="Segoe UI" w:ascii="Segoe UI" w:hAnsi="Segoe UI"/>
          <w:color w:val="101820"/>
          <w:sz w:val="21"/>
        </w:rPr>
        <w:t xml:space="preserve"> group in Master &gt; Configuration (area Accounting &amp; Tax): </w:t>
      </w:r>
      <w:r>
        <w:rPr>
          <w:rFonts w:eastAsia="Consolas" w:cs="Consolas" w:ascii="Consolas" w:hAnsi="Consolas"/>
          <w:color w:val="101820"/>
          <w:sz w:val="19"/>
        </w:rPr>
        <w:t>invoice.atp_number</w:t>
      </w:r>
      <w:r>
        <w:rPr>
          <w:rFonts w:eastAsia="Segoe UI" w:cs="Segoe UI" w:ascii="Segoe UI" w:hAnsi="Segoe UI"/>
          <w:color w:val="101820"/>
          <w:sz w:val="21"/>
        </w:rPr>
        <w:t xml:space="preserve"> or </w:t>
      </w:r>
      <w:r>
        <w:rPr>
          <w:rFonts w:eastAsia="Consolas" w:cs="Consolas" w:ascii="Consolas" w:hAnsi="Consolas"/>
          <w:color w:val="101820"/>
          <w:sz w:val="19"/>
        </w:rPr>
        <w:t>invoice.cas_permit_number</w:t>
      </w:r>
      <w:r>
        <w:rPr>
          <w:rFonts w:eastAsia="Segoe UI" w:cs="Segoe UI" w:ascii="Segoe UI" w:hAnsi="Segoe UI"/>
          <w:color w:val="101820"/>
          <w:sz w:val="21"/>
        </w:rPr>
        <w:t xml:space="preserve"> and their dates, the registered serial range </w:t>
      </w:r>
      <w:r>
        <w:rPr>
          <w:rFonts w:eastAsia="Consolas" w:cs="Consolas" w:ascii="Consolas" w:hAnsi="Consolas"/>
          <w:color w:val="101820"/>
          <w:sz w:val="19"/>
        </w:rPr>
        <w:t>invoice.serial_from</w:t>
      </w:r>
      <w:r>
        <w:rPr>
          <w:rFonts w:eastAsia="Segoe UI" w:cs="Segoe UI" w:ascii="Segoe UI" w:hAnsi="Segoe UI"/>
          <w:color w:val="101820"/>
          <w:sz w:val="21"/>
        </w:rPr>
        <w:t xml:space="preserve"> / </w:t>
      </w:r>
      <w:r>
        <w:rPr>
          <w:rFonts w:eastAsia="Consolas" w:cs="Consolas" w:ascii="Consolas" w:hAnsi="Consolas"/>
          <w:color w:val="101820"/>
          <w:sz w:val="19"/>
        </w:rPr>
        <w:t>invoice.serial_to</w:t>
      </w:r>
      <w:r>
        <w:rPr>
          <w:rFonts w:eastAsia="Segoe UI" w:cs="Segoe UI" w:ascii="Segoe UI" w:hAnsi="Segoe UI"/>
          <w:color w:val="101820"/>
          <w:sz w:val="21"/>
        </w:rPr>
        <w:t xml:space="preserve">, </w:t>
      </w:r>
      <w:r>
        <w:rPr>
          <w:rFonts w:eastAsia="Consolas" w:cs="Consolas" w:ascii="Consolas" w:hAnsi="Consolas"/>
          <w:color w:val="101820"/>
          <w:sz w:val="19"/>
        </w:rPr>
        <w:t>invoice.printer_details</w:t>
      </w:r>
      <w:r>
        <w:rPr>
          <w:rFonts w:eastAsia="Segoe UI" w:cs="Segoe UI" w:ascii="Segoe UI" w:hAnsi="Segoe UI"/>
          <w:color w:val="101820"/>
          <w:sz w:val="21"/>
        </w:rPr>
        <w:t xml:space="preserve"> and </w:t>
      </w:r>
      <w:r>
        <w:rPr>
          <w:rFonts w:eastAsia="Consolas" w:cs="Consolas" w:ascii="Consolas" w:hAnsi="Consolas"/>
          <w:color w:val="101820"/>
          <w:sz w:val="19"/>
        </w:rPr>
        <w:t>invoice.buyer_details_threshold</w:t>
      </w:r>
      <w:r>
        <w:rPr>
          <w:rFonts w:eastAsia="Segoe UI" w:cs="Segoe UI" w:ascii="Segoe UI" w:hAnsi="Segoe UI"/>
          <w:color w:val="101820"/>
          <w:sz w:val="21"/>
        </w:rPr>
        <w:t xml:space="preserve">; and the TIN branch code </w:t>
      </w:r>
      <w:r>
        <w:rPr>
          <w:rFonts w:eastAsia="Consolas" w:cs="Consolas" w:ascii="Consolas" w:hAnsi="Consolas"/>
          <w:color w:val="101820"/>
          <w:sz w:val="19"/>
        </w:rPr>
        <w:t>bir.tin_branch_code</w:t>
      </w:r>
      <w:r>
        <w:rPr>
          <w:rFonts w:eastAsia="Segoe UI" w:cs="Segoe UI" w:ascii="Segoe UI" w:hAnsi="Segoe UI"/>
          <w:color w:val="101820"/>
          <w:sz w:val="21"/>
        </w:rPr>
        <w:t xml:space="preserve"> and trade name </w:t>
      </w:r>
      <w:r>
        <w:rPr>
          <w:rFonts w:eastAsia="Consolas" w:cs="Consolas" w:ascii="Consolas" w:hAnsi="Consolas"/>
          <w:color w:val="101820"/>
          <w:sz w:val="19"/>
        </w:rPr>
        <w:t>bir.trade_name</w:t>
      </w:r>
      <w:r>
        <w:rPr>
          <w:rFonts w:eastAsia="Segoe UI" w:cs="Segoe UI" w:ascii="Segoe UI" w:hAnsi="Segoe UI"/>
          <w:color w:val="101820"/>
          <w:sz w:val="21"/>
        </w:rPr>
        <w:t xml:space="preserve"> in the BIR forms group.</w:t>
      </w:r>
    </w:p>
    <w:p>
      <w:pPr>
        <w:pStyle w:val="Normal"/>
        <w:shd w:val="clear" w:color="auto" w:fill="EAF2FB"/>
        <w:spacing w:before="0" w:after="160"/>
        <w:ind w:left="170"/>
        <w:rPr/>
      </w:pPr>
      <w:r>
        <w:rPr>
          <w:rFonts w:eastAsia="Segoe UI" w:cs="Segoe UI" w:ascii="Segoe UI" w:hAnsi="Segoe UI"/>
          <w:color w:val="101820"/>
          <w:sz w:val="20"/>
        </w:rPr>
        <w:t>[Screen image not available: Accounts &gt; Tax &gt; Sales Invoices]</w:t>
      </w:r>
    </w:p>
    <w:p>
      <w:pPr>
        <w:pStyle w:val="Normal"/>
        <w:numPr>
          <w:ilvl w:val="0"/>
          <w:numId w:val="440"/>
        </w:numPr>
        <w:spacing w:before="0" w:after="60"/>
        <w:rPr/>
      </w:pPr>
      <w:r>
        <w:rPr>
          <w:rFonts w:eastAsia="Segoe UI" w:cs="Segoe UI" w:ascii="Segoe UI" w:hAnsi="Segoe UI"/>
          <w:color w:val="101820"/>
          <w:sz w:val="21"/>
        </w:rPr>
        <w:t xml:space="preserve">Choose Accounts &gt; Tax &gt; Sales Invoices and select </w:t>
      </w:r>
      <w:r>
        <w:rPr>
          <w:rFonts w:eastAsia="Segoe UI" w:cs="Segoe UI" w:ascii="Segoe UI" w:hAnsi="Segoe UI"/>
          <w:b/>
          <w:color w:val="101820"/>
          <w:sz w:val="21"/>
        </w:rPr>
        <w:t>New invoice</w:t>
      </w:r>
      <w:r>
        <w:rPr>
          <w:rFonts w:eastAsia="Segoe UI" w:cs="Segoe UI" w:ascii="Segoe UI" w:hAnsi="Segoe UI"/>
          <w:color w:val="101820"/>
          <w:sz w:val="21"/>
        </w:rPr>
        <w:t>.</w:t>
      </w:r>
    </w:p>
    <w:p>
      <w:pPr>
        <w:pStyle w:val="Normal"/>
        <w:numPr>
          <w:ilvl w:val="0"/>
          <w:numId w:val="441"/>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Invoice for</w:t>
      </w:r>
      <w:r>
        <w:rPr>
          <w:rFonts w:eastAsia="Segoe UI" w:cs="Segoe UI" w:ascii="Segoe UI" w:hAnsi="Segoe UI"/>
          <w:color w:val="101820"/>
          <w:sz w:val="21"/>
        </w:rPr>
        <w:t xml:space="preserve">: </w:t>
      </w:r>
      <w:r>
        <w:rPr>
          <w:rFonts w:eastAsia="Segoe UI" w:cs="Segoe UI" w:ascii="Segoe UI" w:hAnsi="Segoe UI"/>
          <w:b/>
          <w:color w:val="101820"/>
          <w:sz w:val="21"/>
        </w:rPr>
        <w:t>Commission debit note</w:t>
      </w:r>
      <w:r>
        <w:rPr>
          <w:rFonts w:eastAsia="Segoe UI" w:cs="Segoe UI" w:ascii="Segoe UI" w:hAnsi="Segoe UI"/>
          <w:color w:val="101820"/>
          <w:sz w:val="21"/>
        </w:rPr>
        <w:t xml:space="preserve"> or </w:t>
      </w:r>
      <w:r>
        <w:rPr>
          <w:rFonts w:eastAsia="Segoe UI" w:cs="Segoe UI" w:ascii="Segoe UI" w:hAnsi="Segoe UI"/>
          <w:b/>
          <w:color w:val="101820"/>
          <w:sz w:val="21"/>
        </w:rPr>
        <w:t>Overriding commission</w:t>
      </w:r>
      <w:r>
        <w:rPr>
          <w:rFonts w:eastAsia="Segoe UI" w:cs="Segoe UI" w:ascii="Segoe UI" w:hAnsi="Segoe UI"/>
          <w:color w:val="101820"/>
          <w:sz w:val="21"/>
        </w:rPr>
        <w:t xml:space="preserve"> (pick the approved document from the list), </w:t>
      </w:r>
      <w:r>
        <w:rPr>
          <w:rFonts w:eastAsia="Segoe UI" w:cs="Segoe UI" w:ascii="Segoe UI" w:hAnsi="Segoe UI"/>
          <w:b/>
          <w:color w:val="101820"/>
          <w:sz w:val="21"/>
        </w:rPr>
        <w:t>Broker-billed policy commission</w:t>
      </w:r>
      <w:r>
        <w:rPr>
          <w:rFonts w:eastAsia="Segoe UI" w:cs="Segoe UI" w:ascii="Segoe UI" w:hAnsi="Segoe UI"/>
          <w:color w:val="101820"/>
          <w:sz w:val="21"/>
        </w:rPr>
        <w:t xml:space="preserve"> (type the policy number) or </w:t>
      </w:r>
      <w:r>
        <w:rPr>
          <w:rFonts w:eastAsia="Segoe UI" w:cs="Segoe UI" w:ascii="Segoe UI" w:hAnsi="Segoe UI"/>
          <w:b/>
          <w:color w:val="101820"/>
          <w:sz w:val="21"/>
        </w:rPr>
        <w:t>Fees and other services (manual)</w:t>
      </w:r>
      <w:r>
        <w:rPr>
          <w:rFonts w:eastAsia="Segoe UI" w:cs="Segoe UI" w:ascii="Segoe UI" w:hAnsi="Segoe UI"/>
          <w:color w:val="101820"/>
          <w:sz w:val="21"/>
        </w:rPr>
        <w:t>.</w:t>
      </w:r>
    </w:p>
    <w:p>
      <w:pPr>
        <w:pStyle w:val="Normal"/>
        <w:numPr>
          <w:ilvl w:val="0"/>
          <w:numId w:val="442"/>
        </w:numPr>
        <w:spacing w:before="0" w:after="60"/>
        <w:rPr/>
      </w:pPr>
      <w:r>
        <w:rPr>
          <w:rFonts w:eastAsia="Segoe UI" w:cs="Segoe UI" w:ascii="Segoe UI" w:hAnsi="Segoe UI"/>
          <w:color w:val="101820"/>
          <w:sz w:val="21"/>
        </w:rPr>
        <w:t xml:space="preserve">For a manual invoice enter the </w:t>
      </w:r>
      <w:r>
        <w:rPr>
          <w:rFonts w:eastAsia="Segoe UI" w:cs="Segoe UI" w:ascii="Segoe UI" w:hAnsi="Segoe UI"/>
          <w:b/>
          <w:color w:val="101820"/>
          <w:sz w:val="21"/>
        </w:rPr>
        <w:t>Buyer type</w:t>
      </w:r>
      <w:r>
        <w:rPr>
          <w:rFonts w:eastAsia="Segoe UI" w:cs="Segoe UI" w:ascii="Segoe UI" w:hAnsi="Segoe UI"/>
          <w:color w:val="101820"/>
          <w:sz w:val="21"/>
        </w:rPr>
        <w:t xml:space="preserve">, </w:t>
      </w:r>
      <w:r>
        <w:rPr>
          <w:rFonts w:eastAsia="Segoe UI" w:cs="Segoe UI" w:ascii="Segoe UI" w:hAnsi="Segoe UI"/>
          <w:b/>
          <w:color w:val="101820"/>
          <w:sz w:val="21"/>
        </w:rPr>
        <w:t>Buyer</w:t>
      </w:r>
      <w:r>
        <w:rPr>
          <w:rFonts w:eastAsia="Segoe UI" w:cs="Segoe UI" w:ascii="Segoe UI" w:hAnsi="Segoe UI"/>
          <w:color w:val="101820"/>
          <w:sz w:val="21"/>
        </w:rPr>
        <w:t xml:space="preserve">, </w:t>
      </w:r>
      <w:r>
        <w:rPr>
          <w:rFonts w:eastAsia="Segoe UI" w:cs="Segoe UI" w:ascii="Segoe UI" w:hAnsi="Segoe UI"/>
          <w:b/>
          <w:color w:val="101820"/>
          <w:sz w:val="21"/>
        </w:rPr>
        <w:t>Buyer TIN (with branch code)</w:t>
      </w:r>
      <w:r>
        <w:rPr>
          <w:rFonts w:eastAsia="Segoe UI" w:cs="Segoe UI" w:ascii="Segoe UI" w:hAnsi="Segoe UI"/>
          <w:color w:val="101820"/>
          <w:sz w:val="21"/>
        </w:rPr>
        <w:t xml:space="preserve">, </w:t>
      </w:r>
      <w:r>
        <w:rPr>
          <w:rFonts w:eastAsia="Segoe UI" w:cs="Segoe UI" w:ascii="Segoe UI" w:hAnsi="Segoe UI"/>
          <w:b/>
          <w:color w:val="101820"/>
          <w:sz w:val="21"/>
        </w:rPr>
        <w:t>Buyer business style</w:t>
      </w:r>
      <w:r>
        <w:rPr>
          <w:rFonts w:eastAsia="Segoe UI" w:cs="Segoe UI" w:ascii="Segoe UI" w:hAnsi="Segoe UI"/>
          <w:color w:val="101820"/>
          <w:sz w:val="21"/>
        </w:rPr>
        <w:t xml:space="preserve"> and </w:t>
      </w:r>
      <w:r>
        <w:rPr>
          <w:rFonts w:eastAsia="Segoe UI" w:cs="Segoe UI" w:ascii="Segoe UI" w:hAnsi="Segoe UI"/>
          <w:b/>
          <w:color w:val="101820"/>
          <w:sz w:val="21"/>
        </w:rPr>
        <w:t>Buyer address</w:t>
      </w:r>
      <w:r>
        <w:rPr>
          <w:rFonts w:eastAsia="Segoe UI" w:cs="Segoe UI" w:ascii="Segoe UI" w:hAnsi="Segoe UI"/>
          <w:color w:val="101820"/>
          <w:sz w:val="21"/>
        </w:rPr>
        <w:t xml:space="preserve">, then the lines: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Qty</w:t>
      </w:r>
      <w:r>
        <w:rPr>
          <w:rFonts w:eastAsia="Segoe UI" w:cs="Segoe UI" w:ascii="Segoe UI" w:hAnsi="Segoe UI"/>
          <w:color w:val="101820"/>
          <w:sz w:val="21"/>
        </w:rPr>
        <w:t xml:space="preserve">, </w:t>
      </w:r>
      <w:r>
        <w:rPr>
          <w:rFonts w:eastAsia="Segoe UI" w:cs="Segoe UI" w:ascii="Segoe UI" w:hAnsi="Segoe UI"/>
          <w:b/>
          <w:color w:val="101820"/>
          <w:sz w:val="21"/>
        </w:rPr>
        <w:t>Unit price</w:t>
      </w:r>
      <w:r>
        <w:rPr>
          <w:rFonts w:eastAsia="Segoe UI" w:cs="Segoe UI" w:ascii="Segoe UI" w:hAnsi="Segoe UI"/>
          <w:color w:val="101820"/>
          <w:sz w:val="21"/>
        </w:rPr>
        <w:t xml:space="preserve"> and </w:t>
      </w:r>
      <w:r>
        <w:rPr>
          <w:rFonts w:eastAsia="Segoe UI" w:cs="Segoe UI" w:ascii="Segoe UI" w:hAnsi="Segoe UI"/>
          <w:b/>
          <w:color w:val="101820"/>
          <w:sz w:val="21"/>
        </w:rPr>
        <w:t>VAT class</w:t>
      </w:r>
      <w:r>
        <w:rPr>
          <w:rFonts w:eastAsia="Segoe UI" w:cs="Segoe UI" w:ascii="Segoe UI" w:hAnsi="Segoe UI"/>
          <w:color w:val="101820"/>
          <w:sz w:val="21"/>
        </w:rPr>
        <w:t xml:space="preserve"> (VATable, VAT-exempt or zero-rated), and the </w:t>
      </w:r>
      <w:r>
        <w:rPr>
          <w:rFonts w:eastAsia="Segoe UI" w:cs="Segoe UI" w:ascii="Segoe UI" w:hAnsi="Segoe UI"/>
          <w:b/>
          <w:color w:val="101820"/>
          <w:sz w:val="21"/>
        </w:rPr>
        <w:t>Expected withholding</w:t>
      </w:r>
      <w:r>
        <w:rPr>
          <w:rFonts w:eastAsia="Segoe UI" w:cs="Segoe UI" w:ascii="Segoe UI" w:hAnsi="Segoe UI"/>
          <w:color w:val="101820"/>
          <w:sz w:val="21"/>
        </w:rPr>
        <w:t xml:space="preserve"> rate.</w:t>
      </w:r>
    </w:p>
    <w:p>
      <w:pPr>
        <w:pStyle w:val="Normal"/>
        <w:numPr>
          <w:ilvl w:val="0"/>
          <w:numId w:val="44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invoice</w:t>
      </w:r>
      <w:r>
        <w:rPr>
          <w:rFonts w:eastAsia="Segoe UI" w:cs="Segoe UI" w:ascii="Segoe UI" w:hAnsi="Segoe UI"/>
          <w:color w:val="101820"/>
          <w:sz w:val="21"/>
        </w:rPr>
        <w:t xml:space="preserve">. The invoice takes the next number of the sales invoice series (SI-, sequential, never reset; the issue stops when the number would pass </w:t>
      </w:r>
      <w:r>
        <w:rPr>
          <w:rFonts w:eastAsia="Consolas" w:cs="Consolas" w:ascii="Consolas" w:hAnsi="Consolas"/>
          <w:color w:val="101820"/>
          <w:sz w:val="19"/>
        </w:rPr>
        <w:t>invoice.serial_to</w:t>
      </w:r>
      <w:r>
        <w:rPr>
          <w:rFonts w:eastAsia="Segoe UI" w:cs="Segoe UI" w:ascii="Segoe UI" w:hAnsi="Segoe UI"/>
          <w:color w:val="101820"/>
          <w:sz w:val="21"/>
        </w:rPr>
        <w:t>). It carries the seller's registered name, trade name, TIN with branch code, address and VAT status, the ATP or CAS acknowledgement and the serial range, the buyer's name, TIN and address (required for an insurer or a business buyer and from the threshold amount), the VATable, VAT-exempt and zero-rated sales and the VAT shown separately. A non-VAT broker's invoice shows the total sales and NON-VAT REGISTERED.</w:t>
      </w:r>
    </w:p>
    <w:p>
      <w:pPr>
        <w:pStyle w:val="Normal"/>
        <w:numPr>
          <w:ilvl w:val="0"/>
          <w:numId w:val="444"/>
        </w:numPr>
        <w:spacing w:before="0" w:after="60"/>
        <w:rPr/>
      </w:pPr>
      <w:r>
        <w:rPr>
          <w:rFonts w:eastAsia="Segoe UI" w:cs="Segoe UI" w:ascii="Segoe UI" w:hAnsi="Segoe UI"/>
          <w:color w:val="101820"/>
          <w:sz w:val="21"/>
        </w:rPr>
        <w:t xml:space="preserve">Select the invoice number to open it; </w:t>
      </w:r>
      <w:r>
        <w:rPr>
          <w:rFonts w:eastAsia="Segoe UI" w:cs="Segoe UI" w:ascii="Segoe UI" w:hAnsi="Segoe UI"/>
          <w:b/>
          <w:color w:val="101820"/>
          <w:sz w:val="21"/>
        </w:rPr>
        <w:t>Print</w:t>
      </w:r>
      <w:r>
        <w:rPr>
          <w:rFonts w:eastAsia="Segoe UI" w:cs="Segoe UI" w:ascii="Segoe UI" w:hAnsi="Segoe UI"/>
          <w:color w:val="101820"/>
          <w:sz w:val="21"/>
        </w:rPr>
        <w:t xml:space="preserve"> produces the PDF. An invoice made out for a debit note, a computation or a policy does not post again (its revenue is already booked); a manual invoice posts </w:t>
      </w:r>
      <w:r>
        <w:rPr>
          <w:rFonts w:eastAsia="Consolas" w:cs="Consolas" w:ascii="Consolas" w:hAnsi="Consolas"/>
          <w:color w:val="101820"/>
          <w:sz w:val="19"/>
        </w:rPr>
        <w:t>sales_invoice.issue</w:t>
      </w:r>
      <w:r>
        <w:rPr>
          <w:rFonts w:eastAsia="Segoe UI" w:cs="Segoe UI" w:ascii="Segoe UI" w:hAnsi="Segoe UI"/>
          <w:color w:val="101820"/>
          <w:sz w:val="21"/>
        </w:rPr>
        <w:t xml:space="preserve"> (Dr Service Fees Receivable 1205003, Cr service fee income, Cr Output VAT).</w:t>
      </w:r>
    </w:p>
    <w:p>
      <w:pPr>
        <w:pStyle w:val="Normal"/>
        <w:numPr>
          <w:ilvl w:val="0"/>
          <w:numId w:val="445"/>
        </w:numPr>
        <w:spacing w:before="0" w:after="60"/>
        <w:rPr/>
      </w:pPr>
      <w:r>
        <w:rPr>
          <w:rFonts w:eastAsia="Segoe UI" w:cs="Segoe UI" w:ascii="Segoe UI" w:hAnsi="Segoe UI"/>
          <w:color w:val="101820"/>
          <w:sz w:val="21"/>
        </w:rPr>
        <w:t xml:space="preserve">For a manual invoice select </w:t>
      </w:r>
      <w:r>
        <w:rPr>
          <w:rFonts w:eastAsia="Segoe UI" w:cs="Segoe UI" w:ascii="Segoe UI" w:hAnsi="Segoe UI"/>
          <w:b/>
          <w:color w:val="101820"/>
          <w:sz w:val="21"/>
        </w:rPr>
        <w:t>Record payment</w:t>
      </w:r>
      <w:r>
        <w:rPr>
          <w:rFonts w:eastAsia="Segoe UI" w:cs="Segoe UI" w:ascii="Segoe UI" w:hAnsi="Segoe UI"/>
          <w:color w:val="101820"/>
          <w:sz w:val="21"/>
        </w:rPr>
        <w:t xml:space="preserve">: the </w:t>
      </w:r>
      <w:r>
        <w:rPr>
          <w:rFonts w:eastAsia="Segoe UI" w:cs="Segoe UI" w:ascii="Segoe UI" w:hAnsi="Segoe UI"/>
          <w:b/>
          <w:color w:val="101820"/>
          <w:sz w:val="21"/>
        </w:rPr>
        <w:t>Payment date</w:t>
      </w:r>
      <w:r>
        <w:rPr>
          <w:rFonts w:eastAsia="Segoe UI" w:cs="Segoe UI" w:ascii="Segoe UI" w:hAnsi="Segoe UI"/>
          <w:color w:val="101820"/>
          <w:sz w:val="21"/>
        </w:rPr>
        <w:t xml:space="preserve">, </w:t>
      </w:r>
      <w:r>
        <w:rPr>
          <w:rFonts w:eastAsia="Segoe UI" w:cs="Segoe UI" w:ascii="Segoe UI" w:hAnsi="Segoe UI"/>
          <w:b/>
          <w:color w:val="101820"/>
          <w:sz w:val="21"/>
        </w:rPr>
        <w:t>Payment mode</w:t>
      </w:r>
      <w:r>
        <w:rPr>
          <w:rFonts w:eastAsia="Segoe UI" w:cs="Segoe UI" w:ascii="Segoe UI" w:hAnsi="Segoe UI"/>
          <w:color w:val="101820"/>
          <w:sz w:val="21"/>
        </w:rPr>
        <w:t xml:space="preserve">, </w:t>
      </w:r>
      <w:r>
        <w:rPr>
          <w:rFonts w:eastAsia="Segoe UI" w:cs="Segoe UI" w:ascii="Segoe UI" w:hAnsi="Segoe UI"/>
          <w:b/>
          <w:color w:val="101820"/>
          <w:sz w:val="21"/>
        </w:rPr>
        <w:t>Amount received</w:t>
      </w:r>
      <w:r>
        <w:rPr>
          <w:rFonts w:eastAsia="Segoe UI" w:cs="Segoe UI" w:ascii="Segoe UI" w:hAnsi="Segoe UI"/>
          <w:color w:val="101820"/>
          <w:sz w:val="21"/>
        </w:rPr>
        <w:t xml:space="preserve">, </w:t>
      </w:r>
      <w:r>
        <w:rPr>
          <w:rFonts w:eastAsia="Segoe UI" w:cs="Segoe UI" w:ascii="Segoe UI" w:hAnsi="Segoe UI"/>
          <w:b/>
          <w:color w:val="101820"/>
          <w:sz w:val="21"/>
        </w:rPr>
        <w:t>Tax withheld (2307)</w:t>
      </w:r>
      <w:r>
        <w:rPr>
          <w:rFonts w:eastAsia="Segoe UI" w:cs="Segoe UI" w:ascii="Segoe UI" w:hAnsi="Segoe UI"/>
          <w:color w:val="101820"/>
          <w:sz w:val="21"/>
        </w:rPr>
        <w:t xml:space="preserve">, </w:t>
      </w:r>
      <w:r>
        <w:rPr>
          <w:rFonts w:eastAsia="Segoe UI" w:cs="Segoe UI" w:ascii="Segoe UI" w:hAnsi="Segoe UI"/>
          <w:b/>
          <w:color w:val="101820"/>
          <w:sz w:val="21"/>
        </w:rPr>
        <w:t>BIR Form 2307 no.</w:t>
      </w:r>
      <w:r>
        <w:rPr>
          <w:rFonts w:eastAsia="Segoe UI" w:cs="Segoe UI" w:ascii="Segoe UI" w:hAnsi="Segoe UI"/>
          <w:color w:val="101820"/>
          <w:sz w:val="21"/>
        </w:rPr>
        <w:t xml:space="preserve"> and </w:t>
      </w:r>
      <w:r>
        <w:rPr>
          <w:rFonts w:eastAsia="Segoe UI" w:cs="Segoe UI" w:ascii="Segoe UI" w:hAnsi="Segoe UI"/>
          <w:b/>
          <w:color w:val="101820"/>
          <w:sz w:val="21"/>
        </w:rPr>
        <w:t>Reference</w:t>
      </w:r>
      <w:r>
        <w:rPr>
          <w:rFonts w:eastAsia="Segoe UI" w:cs="Segoe UI" w:ascii="Segoe UI" w:hAnsi="Segoe UI"/>
          <w:color w:val="101820"/>
          <w:sz w:val="21"/>
        </w:rPr>
        <w:t xml:space="preserve">. The payment acknowledgement (PAR-YYYY-NNNNN, title </w:t>
      </w:r>
      <w:r>
        <w:rPr>
          <w:rFonts w:eastAsia="Consolas" w:cs="Consolas" w:ascii="Consolas" w:hAnsi="Consolas"/>
          <w:color w:val="101820"/>
          <w:sz w:val="19"/>
        </w:rPr>
        <w:t>invoice.payment_document_title</w:t>
      </w:r>
      <w:r>
        <w:rPr>
          <w:rFonts w:eastAsia="Segoe UI" w:cs="Segoe UI" w:ascii="Segoe UI" w:hAnsi="Segoe UI"/>
          <w:color w:val="101820"/>
          <w:sz w:val="21"/>
        </w:rPr>
        <w:t xml:space="preserve">) is a supplementary document printed with </w:t>
      </w:r>
      <w:r>
        <w:rPr>
          <w:rFonts w:eastAsia="Consolas" w:cs="Consolas" w:ascii="Consolas" w:hAnsi="Consolas"/>
          <w:color w:val="101820"/>
          <w:sz w:val="19"/>
        </w:rPr>
        <w:t>invoice.supplementary_note</w:t>
      </w:r>
      <w:r>
        <w:rPr>
          <w:rFonts w:eastAsia="Segoe UI" w:cs="Segoe UI" w:ascii="Segoe UI" w:hAnsi="Segoe UI"/>
          <w:color w:val="101820"/>
          <w:sz w:val="21"/>
        </w:rPr>
        <w:t xml:space="preserve"> ("not valid for claim of input tax"); it posts </w:t>
      </w:r>
      <w:r>
        <w:rPr>
          <w:rFonts w:eastAsia="Consolas" w:cs="Consolas" w:ascii="Consolas" w:hAnsi="Consolas"/>
          <w:color w:val="101820"/>
          <w:sz w:val="19"/>
        </w:rPr>
        <w:t>sales_invoice.payment</w:t>
      </w:r>
      <w:r>
        <w:rPr>
          <w:rFonts w:eastAsia="Segoe UI" w:cs="Segoe UI" w:ascii="Segoe UI" w:hAnsi="Segoe UI"/>
          <w:color w:val="101820"/>
          <w:sz w:val="21"/>
        </w:rPr>
        <w:t>.</w:t>
      </w:r>
    </w:p>
    <w:p>
      <w:pPr>
        <w:pStyle w:val="Normal"/>
        <w:numPr>
          <w:ilvl w:val="0"/>
          <w:numId w:val="446"/>
        </w:numPr>
        <w:spacing w:before="0" w:after="60"/>
        <w:rPr/>
      </w:pPr>
      <w:r>
        <w:rPr>
          <w:rFonts w:eastAsia="Segoe UI" w:cs="Segoe UI" w:ascii="Segoe UI" w:hAnsi="Segoe UI"/>
          <w:b/>
          <w:color w:val="101820"/>
          <w:sz w:val="21"/>
        </w:rPr>
        <w:t>Cancel invoice</w:t>
      </w:r>
      <w:r>
        <w:rPr>
          <w:rFonts w:eastAsia="Segoe UI" w:cs="Segoe UI" w:ascii="Segoe UI" w:hAnsi="Segoe UI"/>
          <w:color w:val="101820"/>
          <w:sz w:val="21"/>
        </w:rPr>
        <w:t xml:space="preserve"> asks for a reason; the invoice keeps its number and prints CANCELLED; a manual invoice's journal is reversed. Cancel its payments first.</w:t>
      </w:r>
    </w:p>
    <w:p>
      <w:pPr>
        <w:pStyle w:val="Normal"/>
        <w:spacing w:lineRule="auto" w:line="276" w:before="0" w:after="120"/>
        <w:rPr/>
      </w:pPr>
      <w:r>
        <w:rPr>
          <w:rFonts w:eastAsia="Segoe UI" w:cs="Segoe UI" w:ascii="Segoe UI" w:hAnsi="Segoe UI"/>
          <w:color w:val="101820"/>
          <w:sz w:val="21"/>
        </w:rPr>
        <w:t xml:space="preserve">Premium collection receipts (Accounts &gt; Receipts) print the title in </w:t>
      </w:r>
      <w:r>
        <w:rPr>
          <w:rFonts w:eastAsia="Consolas" w:cs="Consolas" w:ascii="Consolas" w:hAnsi="Consolas"/>
          <w:color w:val="101820"/>
          <w:sz w:val="19"/>
        </w:rPr>
        <w:t>receipts.document_title</w:t>
      </w:r>
      <w:r>
        <w:rPr>
          <w:rFonts w:eastAsia="Segoe UI" w:cs="Segoe UI" w:ascii="Segoe UI" w:hAnsi="Segoe UI"/>
          <w:color w:val="101820"/>
          <w:sz w:val="21"/>
        </w:rPr>
        <w:t xml:space="preserve"> (Official Receipt by default; for example Collection Receipt once the tax adviser confirms), with the supplementary statement once the title is changed.</w:t>
      </w:r>
    </w:p>
    <w:p>
      <w:pPr>
        <w:pStyle w:val="Normal"/>
        <w:shd w:val="clear" w:color="auto" w:fill="EAF2FB"/>
        <w:spacing w:before="0" w:after="160"/>
        <w:ind w:left="170"/>
        <w:rPr/>
      </w:pPr>
      <w:r>
        <w:rPr>
          <w:rFonts w:eastAsia="Segoe UI" w:cs="Segoe UI" w:ascii="Segoe UI" w:hAnsi="Segoe UI"/>
          <w:color w:val="101820"/>
          <w:sz w:val="20"/>
        </w:rPr>
        <w:t>What the system does and what the tax adviser confirms: the system issues the sales invoice for commission and fees and treats receipts as supplementary documents. The tax adviser confirms which documents are registered as the broker's invoices, the wording of the supplementary documents, the VAT treatment of each commission stream, the buyer details threshold, and whether the invoices are registered as system-generated (CAS) or printed under an ATP.</w:t>
      </w:r>
    </w:p>
    <w:p>
      <w:pPr>
        <w:pStyle w:val="Heading3"/>
        <w:rPr/>
      </w:pPr>
      <w:r>
        <w:rPr>
          <w:rFonts w:eastAsia="Segoe UI" w:cs="Segoe UI"/>
          <w:b/>
          <w:color w:val="0F4761"/>
          <w:sz w:val="23"/>
        </w:rPr>
        <w:t>12.21.6  E-invoicing (EIS)</w:t>
      </w:r>
    </w:p>
    <w:p>
      <w:pPr>
        <w:pStyle w:val="Normal"/>
        <w:spacing w:lineRule="auto" w:line="276" w:before="0" w:after="120"/>
        <w:rPr/>
      </w:pPr>
      <w:r>
        <w:rPr>
          <w:rFonts w:eastAsia="Segoe UI" w:cs="Segoe UI" w:ascii="Segoe UI" w:hAnsi="Segoe UI"/>
          <w:color w:val="101820"/>
          <w:sz w:val="21"/>
        </w:rPr>
        <w:t>The connector to the BIR Electronic Invoicing System is switched off by default (</w:t>
      </w:r>
      <w:r>
        <w:rPr>
          <w:rFonts w:eastAsia="Consolas" w:cs="Consolas" w:ascii="Consolas" w:hAnsi="Consolas"/>
          <w:color w:val="101820"/>
          <w:sz w:val="19"/>
        </w:rPr>
        <w:t>eis.enabled</w:t>
      </w:r>
      <w:r>
        <w:rPr>
          <w:rFonts w:eastAsia="Segoe UI" w:cs="Segoe UI" w:ascii="Segoe UI" w:hAnsi="Segoe UI"/>
          <w:color w:val="101820"/>
          <w:sz w:val="21"/>
        </w:rPr>
        <w:t xml:space="preserve">). When the broker is enrolled with the EIS, set the </w:t>
      </w:r>
      <w:r>
        <w:rPr>
          <w:rFonts w:eastAsia="Segoe UI" w:cs="Segoe UI" w:ascii="Segoe UI" w:hAnsi="Segoe UI"/>
          <w:b/>
          <w:color w:val="101820"/>
          <w:sz w:val="21"/>
        </w:rPr>
        <w:t>E-invoicing (EIS)</w:t>
      </w:r>
      <w:r>
        <w:rPr>
          <w:rFonts w:eastAsia="Segoe UI" w:cs="Segoe UI" w:ascii="Segoe UI" w:hAnsi="Segoe UI"/>
          <w:color w:val="101820"/>
          <w:sz w:val="21"/>
        </w:rPr>
        <w:t xml:space="preserve"> group in Master &gt; Configuration: </w:t>
      </w:r>
      <w:r>
        <w:rPr>
          <w:rFonts w:eastAsia="Consolas" w:cs="Consolas" w:ascii="Consolas" w:hAnsi="Consolas"/>
          <w:color w:val="101820"/>
          <w:sz w:val="19"/>
        </w:rPr>
        <w:t>eis.mode</w:t>
      </w:r>
      <w:r>
        <w:rPr>
          <w:rFonts w:eastAsia="Segoe UI" w:cs="Segoe UI" w:ascii="Segoe UI" w:hAnsi="Segoe UI"/>
          <w:color w:val="101820"/>
          <w:sz w:val="21"/>
        </w:rPr>
        <w:t xml:space="preserve"> (test: the built-in fake provider, nothing leaves the system; live: the configured endpoint), </w:t>
      </w:r>
      <w:r>
        <w:rPr>
          <w:rFonts w:eastAsia="Consolas" w:cs="Consolas" w:ascii="Consolas" w:hAnsi="Consolas"/>
          <w:color w:val="101820"/>
          <w:sz w:val="19"/>
        </w:rPr>
        <w:t>eis.endpoint</w:t>
      </w:r>
      <w:r>
        <w:rPr>
          <w:rFonts w:eastAsia="Segoe UI" w:cs="Segoe UI" w:ascii="Segoe UI" w:hAnsi="Segoe UI"/>
          <w:color w:val="101820"/>
          <w:sz w:val="21"/>
        </w:rPr>
        <w:t xml:space="preserve">, </w:t>
      </w:r>
      <w:r>
        <w:rPr>
          <w:rFonts w:eastAsia="Consolas" w:cs="Consolas" w:ascii="Consolas" w:hAnsi="Consolas"/>
          <w:color w:val="101820"/>
          <w:sz w:val="19"/>
        </w:rPr>
        <w:t>eis.token_endpoint</w:t>
      </w:r>
      <w:r>
        <w:rPr>
          <w:rFonts w:eastAsia="Segoe UI" w:cs="Segoe UI" w:ascii="Segoe UI" w:hAnsi="Segoe UI"/>
          <w:color w:val="101820"/>
          <w:sz w:val="21"/>
        </w:rPr>
        <w:t xml:space="preserve">, </w:t>
      </w:r>
      <w:r>
        <w:rPr>
          <w:rFonts w:eastAsia="Consolas" w:cs="Consolas" w:ascii="Consolas" w:hAnsi="Consolas"/>
          <w:color w:val="101820"/>
          <w:sz w:val="19"/>
        </w:rPr>
        <w:t>eis.accreditation_id</w:t>
      </w:r>
      <w:r>
        <w:rPr>
          <w:rFonts w:eastAsia="Segoe UI" w:cs="Segoe UI" w:ascii="Segoe UI" w:hAnsi="Segoe UI"/>
          <w:color w:val="101820"/>
          <w:sz w:val="21"/>
        </w:rPr>
        <w:t>, and the names of the environment variables that hold the client id, the client secret and the signing key (</w:t>
      </w:r>
      <w:r>
        <w:rPr>
          <w:rFonts w:eastAsia="Consolas" w:cs="Consolas" w:ascii="Consolas" w:hAnsi="Consolas"/>
          <w:color w:val="101820"/>
          <w:sz w:val="19"/>
        </w:rPr>
        <w:t>eis.client_id_env</w:t>
      </w:r>
      <w:r>
        <w:rPr>
          <w:rFonts w:eastAsia="Segoe UI" w:cs="Segoe UI" w:ascii="Segoe UI" w:hAnsi="Segoe UI"/>
          <w:color w:val="101820"/>
          <w:sz w:val="21"/>
        </w:rPr>
        <w:t xml:space="preserve">, </w:t>
      </w:r>
      <w:r>
        <w:rPr>
          <w:rFonts w:eastAsia="Consolas" w:cs="Consolas" w:ascii="Consolas" w:hAnsi="Consolas"/>
          <w:color w:val="101820"/>
          <w:sz w:val="19"/>
        </w:rPr>
        <w:t>eis.client_secret_env</w:t>
      </w:r>
      <w:r>
        <w:rPr>
          <w:rFonts w:eastAsia="Segoe UI" w:cs="Segoe UI" w:ascii="Segoe UI" w:hAnsi="Segoe UI"/>
          <w:color w:val="101820"/>
          <w:sz w:val="21"/>
        </w:rPr>
        <w:t xml:space="preserve">, </w:t>
      </w:r>
      <w:r>
        <w:rPr>
          <w:rFonts w:eastAsia="Consolas" w:cs="Consolas" w:ascii="Consolas" w:hAnsi="Consolas"/>
          <w:color w:val="101820"/>
          <w:sz w:val="19"/>
        </w:rPr>
        <w:t>eis.signing_key_env</w:t>
      </w:r>
      <w:r>
        <w:rPr>
          <w:rFonts w:eastAsia="Segoe UI" w:cs="Segoe UI" w:ascii="Segoe UI" w:hAnsi="Segoe UI"/>
          <w:color w:val="101820"/>
          <w:sz w:val="21"/>
        </w:rPr>
        <w:t>; the values are set on the server by IT, never in the system).</w:t>
      </w:r>
    </w:p>
    <w:p>
      <w:pPr>
        <w:pStyle w:val="Normal"/>
        <w:shd w:val="clear" w:color="auto" w:fill="EAF2FB"/>
        <w:spacing w:before="0" w:after="160"/>
        <w:ind w:left="170"/>
        <w:rPr/>
      </w:pPr>
      <w:r>
        <w:rPr>
          <w:rFonts w:eastAsia="Segoe UI" w:cs="Segoe UI" w:ascii="Segoe UI" w:hAnsi="Segoe UI"/>
          <w:color w:val="101820"/>
          <w:sz w:val="20"/>
        </w:rPr>
        <w:t>[Screen image not available: Accounts &gt; Tax &gt; E-Invoicing (EIS)]</w:t>
      </w:r>
    </w:p>
    <w:p>
      <w:pPr>
        <w:pStyle w:val="Normal"/>
        <w:numPr>
          <w:ilvl w:val="0"/>
          <w:numId w:val="447"/>
        </w:numPr>
        <w:spacing w:before="0" w:after="60"/>
        <w:rPr/>
      </w:pPr>
      <w:r>
        <w:rPr>
          <w:rFonts w:eastAsia="Segoe UI" w:cs="Segoe UI" w:ascii="Segoe UI" w:hAnsi="Segoe UI"/>
          <w:color w:val="101820"/>
          <w:sz w:val="21"/>
        </w:rPr>
        <w:t>Choose Accounts &gt; Tax &gt; E-Invoicing (EIS). The banner shows whether the connector is on, the mode, the endpoint and whether the credentials are set; the counters show the queued, accepted, failed, rejected and manually uploaded submissions.</w:t>
      </w:r>
    </w:p>
    <w:p>
      <w:pPr>
        <w:pStyle w:val="Normal"/>
        <w:numPr>
          <w:ilvl w:val="0"/>
          <w:numId w:val="448"/>
        </w:numPr>
        <w:spacing w:before="0" w:after="60"/>
        <w:rPr/>
      </w:pPr>
      <w:r>
        <w:rPr>
          <w:rFonts w:eastAsia="Segoe UI" w:cs="Segoe UI" w:ascii="Segoe UI" w:hAnsi="Segoe UI"/>
          <w:color w:val="101820"/>
          <w:sz w:val="21"/>
        </w:rPr>
        <w:t xml:space="preserve">Each invoice issued (and each cancellation of an invoice already sent) is queued with its payload, a SHA-256 hash and the signature. The eis-outbox job (Master &gt; Schedules, every 15 minutes, switched off by default) or </w:t>
      </w:r>
      <w:r>
        <w:rPr>
          <w:rFonts w:eastAsia="Segoe UI" w:cs="Segoe UI" w:ascii="Segoe UI" w:hAnsi="Segoe UI"/>
          <w:b/>
          <w:color w:val="101820"/>
          <w:sz w:val="21"/>
        </w:rPr>
        <w:t>Send now</w:t>
      </w:r>
      <w:r>
        <w:rPr>
          <w:rFonts w:eastAsia="Segoe UI" w:cs="Segoe UI" w:ascii="Segoe UI" w:hAnsi="Segoe UI"/>
          <w:color w:val="101820"/>
          <w:sz w:val="21"/>
        </w:rPr>
        <w:t xml:space="preserve"> sends what is due. A failure is retried after </w:t>
      </w:r>
      <w:r>
        <w:rPr>
          <w:rFonts w:eastAsia="Consolas" w:cs="Consolas" w:ascii="Consolas" w:hAnsi="Consolas"/>
          <w:color w:val="101820"/>
          <w:sz w:val="19"/>
        </w:rPr>
        <w:t>eis.retry_minutes</w:t>
      </w:r>
      <w:r>
        <w:rPr>
          <w:rFonts w:eastAsia="Segoe UI" w:cs="Segoe UI" w:ascii="Segoe UI" w:hAnsi="Segoe UI"/>
          <w:color w:val="101820"/>
          <w:sz w:val="21"/>
        </w:rPr>
        <w:t xml:space="preserve">, doubled at each attempt, up to </w:t>
      </w:r>
      <w:r>
        <w:rPr>
          <w:rFonts w:eastAsia="Consolas" w:cs="Consolas" w:ascii="Consolas" w:hAnsi="Consolas"/>
          <w:color w:val="101820"/>
          <w:sz w:val="19"/>
        </w:rPr>
        <w:t>eis.max_attempts</w:t>
      </w:r>
      <w:r>
        <w:rPr>
          <w:rFonts w:eastAsia="Segoe UI" w:cs="Segoe UI" w:ascii="Segoe UI" w:hAnsi="Segoe UI"/>
          <w:color w:val="101820"/>
          <w:sz w:val="21"/>
        </w:rPr>
        <w:t xml:space="preserve">; a rejection is final (cancel and reissue the invoice). A submission left in </w:t>
      </w:r>
      <w:r>
        <w:rPr>
          <w:rFonts w:eastAsia="Segoe UI" w:cs="Segoe UI" w:ascii="Segoe UI" w:hAnsi="Segoe UI"/>
          <w:b/>
          <w:color w:val="101820"/>
          <w:sz w:val="21"/>
        </w:rPr>
        <w:t>Sending</w:t>
      </w:r>
      <w:r>
        <w:rPr>
          <w:rFonts w:eastAsia="Segoe UI" w:cs="Segoe UI" w:ascii="Segoe UI" w:hAnsi="Segoe UI"/>
          <w:color w:val="101820"/>
          <w:sz w:val="21"/>
        </w:rPr>
        <w:t xml:space="preserve"> longer than </w:t>
      </w:r>
      <w:r>
        <w:rPr>
          <w:rFonts w:eastAsia="Consolas" w:cs="Consolas" w:ascii="Consolas" w:hAnsi="Consolas"/>
          <w:color w:val="101820"/>
          <w:sz w:val="19"/>
        </w:rPr>
        <w:t>eis.sending_stale_minutes</w:t>
      </w:r>
      <w:r>
        <w:rPr>
          <w:rFonts w:eastAsia="Segoe UI" w:cs="Segoe UI" w:ascii="Segoe UI" w:hAnsi="Segoe UI"/>
          <w:color w:val="101820"/>
          <w:sz w:val="21"/>
        </w:rPr>
        <w:t xml:space="preserve"> (15; the server stopped during the call) counts as a failed attempt and is sent again at the next run.</w:t>
      </w:r>
    </w:p>
    <w:p>
      <w:pPr>
        <w:pStyle w:val="Normal"/>
        <w:numPr>
          <w:ilvl w:val="0"/>
          <w:numId w:val="449"/>
        </w:numPr>
        <w:spacing w:before="0" w:after="60"/>
        <w:rPr/>
      </w:pPr>
      <w:r>
        <w:rPr>
          <w:rFonts w:eastAsia="Segoe UI" w:cs="Segoe UI" w:ascii="Segoe UI" w:hAnsi="Segoe UI"/>
          <w:b/>
          <w:color w:val="101820"/>
          <w:sz w:val="21"/>
        </w:rPr>
        <w:t>Retry</w:t>
      </w:r>
      <w:r>
        <w:rPr>
          <w:rFonts w:eastAsia="Segoe UI" w:cs="Segoe UI" w:ascii="Segoe UI" w:hAnsi="Segoe UI"/>
          <w:color w:val="101820"/>
          <w:sz w:val="21"/>
        </w:rPr>
        <w:t xml:space="preserve"> puts a failed or rejected submission back in the queue. </w:t>
      </w:r>
      <w:r>
        <w:rPr>
          <w:rFonts w:eastAsia="Segoe UI" w:cs="Segoe UI" w:ascii="Segoe UI" w:hAnsi="Segoe UI"/>
          <w:b/>
          <w:color w:val="101820"/>
          <w:sz w:val="21"/>
        </w:rPr>
        <w:t>Queue earlier invoices</w:t>
      </w:r>
      <w:r>
        <w:rPr>
          <w:rFonts w:eastAsia="Segoe UI" w:cs="Segoe UI" w:ascii="Segoe UI" w:hAnsi="Segoe UI"/>
          <w:color w:val="101820"/>
          <w:sz w:val="21"/>
        </w:rPr>
        <w:t xml:space="preserve"> queues the invoices of a date range issued before the connector was switched on.</w:t>
      </w:r>
    </w:p>
    <w:p>
      <w:pPr>
        <w:pStyle w:val="Normal"/>
        <w:numPr>
          <w:ilvl w:val="0"/>
          <w:numId w:val="450"/>
        </w:numPr>
        <w:spacing w:before="0" w:after="60"/>
        <w:rPr/>
      </w:pPr>
      <w:r>
        <w:rPr>
          <w:rFonts w:eastAsia="Segoe UI" w:cs="Segoe UI" w:ascii="Segoe UI" w:hAnsi="Segoe UI"/>
          <w:color w:val="101820"/>
          <w:sz w:val="21"/>
        </w:rPr>
        <w:t xml:space="preserve">Fallback: </w:t>
      </w:r>
      <w:r>
        <w:rPr>
          <w:rFonts w:eastAsia="Segoe UI" w:cs="Segoe UI" w:ascii="Segoe UI" w:hAnsi="Segoe UI"/>
          <w:b/>
          <w:color w:val="101820"/>
          <w:sz w:val="21"/>
        </w:rPr>
        <w:t>Export payloads</w:t>
      </w:r>
      <w:r>
        <w:rPr>
          <w:rFonts w:eastAsia="Segoe UI" w:cs="Segoe UI" w:ascii="Segoe UI" w:hAnsi="Segoe UI"/>
          <w:color w:val="101820"/>
          <w:sz w:val="21"/>
        </w:rPr>
        <w:t xml:space="preserve"> downloads the queued and failed payloads as one JSON file for a manual upload; then </w:t>
      </w:r>
      <w:r>
        <w:rPr>
          <w:rFonts w:eastAsia="Segoe UI" w:cs="Segoe UI" w:ascii="Segoe UI" w:hAnsi="Segoe UI"/>
          <w:b/>
          <w:color w:val="101820"/>
          <w:sz w:val="21"/>
        </w:rPr>
        <w:t>Uploaded manually</w:t>
      </w:r>
      <w:r>
        <w:rPr>
          <w:rFonts w:eastAsia="Segoe UI" w:cs="Segoe UI" w:ascii="Segoe UI" w:hAnsi="Segoe UI"/>
          <w:color w:val="101820"/>
          <w:sz w:val="21"/>
        </w:rPr>
        <w:t xml:space="preserve"> records the reference the BIR gave.</w:t>
      </w:r>
    </w:p>
    <w:p>
      <w:pPr>
        <w:pStyle w:val="Normal"/>
        <w:spacing w:lineRule="auto" w:line="276" w:before="0" w:after="120"/>
        <w:rPr/>
      </w:pPr>
      <w:r>
        <w:rPr>
          <w:rFonts w:eastAsia="Segoe UI" w:cs="Segoe UI" w:ascii="Segoe UI" w:hAnsi="Segoe UI"/>
          <w:color w:val="101820"/>
          <w:sz w:val="21"/>
        </w:rPr>
        <w:t>The EIS enrolment and certification of the broker, the final field list and signing certificate, the production endpoint and credentials stay with the BIR.</w:t>
      </w:r>
    </w:p>
    <w:p>
      <w:pPr>
        <w:pStyle w:val="Heading3"/>
        <w:rPr/>
      </w:pPr>
      <w:r>
        <w:rPr>
          <w:rFonts w:eastAsia="Segoe UI" w:cs="Segoe UI"/>
          <w:b/>
          <w:color w:val="0F4761"/>
          <w:sz w:val="23"/>
        </w:rPr>
        <w:t>12.21.7  CAS books and documents</w:t>
      </w:r>
    </w:p>
    <w:p>
      <w:pPr>
        <w:pStyle w:val="Normal"/>
        <w:spacing w:lineRule="auto" w:line="276" w:before="0" w:after="120"/>
        <w:rPr/>
      </w:pPr>
      <w:r>
        <w:rPr>
          <w:rFonts w:eastAsia="Segoe UI" w:cs="Segoe UI" w:ascii="Segoe UI" w:hAnsi="Segoe UI"/>
          <w:color w:val="101820"/>
          <w:sz w:val="21"/>
        </w:rPr>
        <w:t>Choose Accounts &gt; Tax &gt; CAS Books and Documents.</w:t>
      </w:r>
    </w:p>
    <w:p>
      <w:pPr>
        <w:pStyle w:val="Normal"/>
        <w:shd w:val="clear" w:color="auto" w:fill="EAF2FB"/>
        <w:spacing w:before="0" w:after="160"/>
        <w:ind w:left="170"/>
        <w:rPr/>
      </w:pPr>
      <w:r>
        <w:rPr>
          <w:rFonts w:eastAsia="Segoe UI" w:cs="Segoe UI" w:ascii="Segoe UI" w:hAnsi="Segoe UI"/>
          <w:color w:val="101820"/>
          <w:sz w:val="20"/>
        </w:rPr>
        <w:t>[Screen image not available: Accounts &gt; Tax &gt; CAS Books and Documents]</w:t>
      </w:r>
    </w:p>
    <w:p>
      <w:pPr>
        <w:pStyle w:val="Normal"/>
        <w:numPr>
          <w:ilvl w:val="0"/>
          <w:numId w:val="451"/>
        </w:numPr>
        <w:spacing w:before="0" w:after="60"/>
        <w:rPr/>
      </w:pPr>
      <w:r>
        <w:rPr>
          <w:rFonts w:eastAsia="Segoe UI" w:cs="Segoe UI" w:ascii="Segoe UI" w:hAnsi="Segoe UI"/>
          <w:b/>
          <w:color w:val="101820"/>
          <w:sz w:val="21"/>
        </w:rPr>
        <w:t>Readiness</w:t>
      </w:r>
      <w:r>
        <w:rPr>
          <w:rFonts w:eastAsia="Segoe UI" w:cs="Segoe UI" w:ascii="Segoe UI" w:hAnsi="Segoe UI"/>
          <w:color w:val="101820"/>
          <w:sz w:val="21"/>
        </w:rPr>
        <w:t xml:space="preserve"> lists what the registration pack needs: the taxpayer details and RDO (Master &gt; Company), the CAS permit number (</w:t>
      </w:r>
      <w:r>
        <w:rPr>
          <w:rFonts w:eastAsia="Consolas" w:cs="Consolas" w:ascii="Consolas" w:hAnsi="Consolas"/>
          <w:color w:val="101820"/>
          <w:sz w:val="19"/>
        </w:rPr>
        <w:t>cas.permit_number</w:t>
      </w:r>
      <w:r>
        <w:rPr>
          <w:rFonts w:eastAsia="Segoe UI" w:cs="Segoe UI" w:ascii="Segoe UI" w:hAnsi="Segoe UI"/>
          <w:color w:val="101820"/>
          <w:sz w:val="21"/>
        </w:rPr>
        <w:t>), the invoice ATP or acknowledgement, the backup custodian (</w:t>
      </w:r>
      <w:r>
        <w:rPr>
          <w:rFonts w:eastAsia="Consolas" w:cs="Consolas" w:ascii="Consolas" w:hAnsi="Consolas"/>
          <w:color w:val="101820"/>
          <w:sz w:val="19"/>
        </w:rPr>
        <w:t>cas.backup_custodian</w:t>
      </w:r>
      <w:r>
        <w:rPr>
          <w:rFonts w:eastAsia="Segoe UI" w:cs="Segoe UI" w:ascii="Segoe UI" w:hAnsi="Segoe UI"/>
          <w:color w:val="101820"/>
          <w:sz w:val="21"/>
        </w:rPr>
        <w:t>), the system contact (</w:t>
      </w:r>
      <w:r>
        <w:rPr>
          <w:rFonts w:eastAsia="Consolas" w:cs="Consolas" w:ascii="Consolas" w:hAnsi="Consolas"/>
          <w:color w:val="101820"/>
          <w:sz w:val="19"/>
        </w:rPr>
        <w:t>cas.system_contact</w:t>
      </w:r>
      <w:r>
        <w:rPr>
          <w:rFonts w:eastAsia="Segoe UI" w:cs="Segoe UI" w:ascii="Segoe UI" w:hAnsi="Segoe UI"/>
          <w:color w:val="101820"/>
          <w:sz w:val="21"/>
        </w:rPr>
        <w:t>) and at least one book printed.</w:t>
      </w:r>
    </w:p>
    <w:p>
      <w:pPr>
        <w:pStyle w:val="Normal"/>
        <w:numPr>
          <w:ilvl w:val="0"/>
          <w:numId w:val="45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Book</w:t>
      </w:r>
      <w:r>
        <w:rPr>
          <w:rFonts w:eastAsia="Segoe UI" w:cs="Segoe UI" w:ascii="Segoe UI" w:hAnsi="Segoe UI"/>
          <w:color w:val="101820"/>
          <w:sz w:val="21"/>
        </w:rPr>
        <w:t xml:space="preserve"> (General Journal, General Ledger, Cash Receipts Book, Cash Disbursements Book, Sales Book or Purchase Book) and the month. The entries show on screen; </w:t>
      </w:r>
      <w:r>
        <w:rPr>
          <w:rFonts w:eastAsia="Segoe UI" w:cs="Segoe UI" w:ascii="Segoe UI" w:hAnsi="Segoe UI"/>
          <w:b/>
          <w:color w:val="101820"/>
          <w:sz w:val="21"/>
        </w:rPr>
        <w:t>Excel</w:t>
      </w:r>
      <w:r>
        <w:rPr>
          <w:rFonts w:eastAsia="Segoe UI" w:cs="Segoe UI" w:ascii="Segoe UI" w:hAnsi="Segoe UI"/>
          <w:color w:val="101820"/>
          <w:sz w:val="21"/>
        </w:rPr>
        <w:t xml:space="preserve"> exports them.</w:t>
      </w:r>
    </w:p>
    <w:p>
      <w:pPr>
        <w:pStyle w:val="Normal"/>
        <w:numPr>
          <w:ilvl w:val="0"/>
          <w:numId w:val="45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Print book</w:t>
      </w:r>
      <w:r>
        <w:rPr>
          <w:rFonts w:eastAsia="Segoe UI" w:cs="Segoe UI" w:ascii="Segoe UI" w:hAnsi="Segoe UI"/>
          <w:color w:val="101820"/>
          <w:sz w:val="21"/>
        </w:rPr>
        <w:t xml:space="preserve">. The PDF carries the taxpayer, TIN, period and CAS permit, and page numbers that run on through the year ("General Journal 2026 page 13"). With </w:t>
      </w:r>
      <w:r>
        <w:rPr>
          <w:rFonts w:eastAsia="Consolas" w:cs="Consolas" w:ascii="Consolas" w:hAnsi="Consolas"/>
          <w:color w:val="101820"/>
          <w:sz w:val="19"/>
        </w:rPr>
        <w:t>cas.enforce_print_order</w:t>
      </w:r>
      <w:r>
        <w:rPr>
          <w:rFonts w:eastAsia="Segoe UI" w:cs="Segoe UI" w:ascii="Segoe UI" w:hAnsi="Segoe UI"/>
          <w:color w:val="101820"/>
          <w:sz w:val="21"/>
        </w:rPr>
        <w:t xml:space="preserve"> on, a month is printed only after the previous month of the same book. A month is printed once; the </w:t>
      </w:r>
      <w:r>
        <w:rPr>
          <w:rFonts w:eastAsia="Segoe UI" w:cs="Segoe UI" w:ascii="Segoe UI" w:hAnsi="Segoe UI"/>
          <w:b/>
          <w:color w:val="101820"/>
          <w:sz w:val="21"/>
        </w:rPr>
        <w:t>Print register</w:t>
      </w:r>
      <w:r>
        <w:rPr>
          <w:rFonts w:eastAsia="Segoe UI" w:cs="Segoe UI" w:ascii="Segoe UI" w:hAnsi="Segoe UI"/>
          <w:color w:val="101820"/>
          <w:sz w:val="21"/>
        </w:rPr>
        <w:t xml:space="preserve"> lists every print with its pages, entries and date.</w:t>
      </w:r>
    </w:p>
    <w:p>
      <w:pPr>
        <w:pStyle w:val="Normal"/>
        <w:numPr>
          <w:ilvl w:val="0"/>
          <w:numId w:val="454"/>
        </w:numPr>
        <w:spacing w:before="0" w:after="60"/>
        <w:rPr/>
      </w:pPr>
      <w:r>
        <w:rPr>
          <w:rFonts w:eastAsia="Segoe UI" w:cs="Segoe UI" w:ascii="Segoe UI" w:hAnsi="Segoe UI"/>
          <w:b/>
          <w:color w:val="101820"/>
          <w:sz w:val="21"/>
        </w:rPr>
        <w:t>Reprint</w:t>
      </w:r>
      <w:r>
        <w:rPr>
          <w:rFonts w:eastAsia="Segoe UI" w:cs="Segoe UI" w:ascii="Segoe UI" w:hAnsi="Segoe UI"/>
          <w:color w:val="101820"/>
          <w:sz w:val="21"/>
        </w:rPr>
        <w:t xml:space="preserve"> produces the same pages again, marked REPRINT. </w:t>
      </w:r>
      <w:r>
        <w:rPr>
          <w:rFonts w:eastAsia="Segoe UI" w:cs="Segoe UI" w:ascii="Segoe UI" w:hAnsi="Segoe UI"/>
          <w:b/>
          <w:color w:val="101820"/>
          <w:sz w:val="21"/>
        </w:rPr>
        <w:t>Void print</w:t>
      </w:r>
      <w:r>
        <w:rPr>
          <w:rFonts w:eastAsia="Segoe UI" w:cs="Segoe UI" w:ascii="Segoe UI" w:hAnsi="Segoe UI"/>
          <w:color w:val="101820"/>
          <w:sz w:val="21"/>
        </w:rPr>
        <w:t xml:space="preserve"> (the latest print of a book only, with a reason) frees its pages for the next print.</w:t>
      </w:r>
    </w:p>
    <w:p>
      <w:pPr>
        <w:pStyle w:val="Normal"/>
        <w:numPr>
          <w:ilvl w:val="0"/>
          <w:numId w:val="455"/>
        </w:numPr>
        <w:spacing w:before="0" w:after="60"/>
        <w:rPr/>
      </w:pPr>
      <w:r>
        <w:rPr>
          <w:rFonts w:eastAsia="Segoe UI" w:cs="Segoe UI" w:ascii="Segoe UI" w:hAnsi="Segoe UI"/>
          <w:b/>
          <w:color w:val="101820"/>
          <w:sz w:val="21"/>
        </w:rPr>
        <w:t>System description</w:t>
      </w:r>
      <w:r>
        <w:rPr>
          <w:rFonts w:eastAsia="Segoe UI" w:cs="Segoe UI" w:ascii="Segoe UI" w:hAnsi="Segoe UI"/>
          <w:color w:val="101820"/>
          <w:sz w:val="21"/>
        </w:rPr>
        <w:t xml:space="preserve"> and </w:t>
      </w:r>
      <w:r>
        <w:rPr>
          <w:rFonts w:eastAsia="Segoe UI" w:cs="Segoe UI" w:ascii="Segoe UI" w:hAnsi="Segoe UI"/>
          <w:b/>
          <w:color w:val="101820"/>
          <w:sz w:val="21"/>
        </w:rPr>
        <w:t>Backup procedure</w:t>
      </w:r>
      <w:r>
        <w:rPr>
          <w:rFonts w:eastAsia="Segoe UI" w:cs="Segoe UI" w:ascii="Segoe UI" w:hAnsi="Segoe UI"/>
          <w:color w:val="101820"/>
          <w:sz w:val="21"/>
        </w:rPr>
        <w:t xml:space="preserve"> produce the documents of the registration file from the system and the </w:t>
      </w:r>
      <w:r>
        <w:rPr>
          <w:rFonts w:eastAsia="Consolas" w:cs="Consolas" w:ascii="Consolas" w:hAnsi="Consolas"/>
          <w:color w:val="101820"/>
          <w:sz w:val="19"/>
        </w:rPr>
        <w:t>cas.*</w:t>
      </w:r>
      <w:r>
        <w:rPr>
          <w:rFonts w:eastAsia="Segoe UI" w:cs="Segoe UI" w:ascii="Segoe UI" w:hAnsi="Segoe UI"/>
          <w:color w:val="101820"/>
          <w:sz w:val="21"/>
        </w:rPr>
        <w:t xml:space="preserve"> settings. </w:t>
      </w:r>
      <w:r>
        <w:rPr>
          <w:rFonts w:eastAsia="Segoe UI" w:cs="Segoe UI" w:ascii="Segoe UI" w:hAnsi="Segoe UI"/>
          <w:b/>
          <w:color w:val="101820"/>
          <w:sz w:val="21"/>
        </w:rPr>
        <w:t>Audit trail extract</w:t>
      </w:r>
      <w:r>
        <w:rPr>
          <w:rFonts w:eastAsia="Segoe UI" w:cs="Segoe UI" w:ascii="Segoe UI" w:hAnsi="Segoe UI"/>
          <w:color w:val="101820"/>
          <w:sz w:val="21"/>
        </w:rPr>
        <w:t xml:space="preserve"> downloads the audit trail of a date range in Excel or PDF.</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34" w:name="__RefHeading___Toc21785_17926050"/>
      <w:bookmarkEnd w:id="134"/>
      <w:r>
        <w:rPr>
          <w:rFonts w:eastAsia="Segoe UI" w:cs="Segoe UI"/>
          <w:b/>
          <w:color w:val="0F4761"/>
          <w:sz w:val="26"/>
        </w:rPr>
        <w:t>12.22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[Screen image not available: 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12.22.1  Run the month-end close (preparer)</w:t>
      </w:r>
    </w:p>
    <w:p>
      <w:pPr>
        <w:pStyle w:val="Normal"/>
        <w:numPr>
          <w:ilvl w:val="0"/>
          <w:numId w:val="456"/>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457"/>
        </w:numPr>
        <w:spacing w:before="0" w:after="60"/>
        <w:rPr/>
      </w:pPr>
      <w:r>
        <w:rPr>
          <w:rFonts w:eastAsia="Segoe UI" w:cs="Segoe UI" w:ascii="Segoe UI" w:hAnsi="Segoe UI"/>
          <w:color w:val="101820"/>
          <w:sz w:val="21"/>
        </w:rPr>
        <w:t xml:space="preserve">The run (MEC-YYYY-NNNNN) executes its steps in order: (a) Accruals, (b) Recurring journals, (c) Commission deferral (Skipped when off), (d) FX revaluation, (e) Depreciation of the fixed asset register (posted once per asset and period; Skipped when </w:t>
      </w:r>
      <w:r>
        <w:rPr>
          <w:rFonts w:eastAsia="Consolas" w:cs="Consolas" w:ascii="Consolas" w:hAnsi="Consolas"/>
          <w:color w:val="101820"/>
          <w:sz w:val="19"/>
        </w:rPr>
        <w:t>fixed_assets.depreciation_in_month_end</w:t>
      </w:r>
      <w:r>
        <w:rPr>
          <w:rFonts w:eastAsia="Segoe UI" w:cs="Segoe UI" w:ascii="Segoe UI" w:hAnsi="Segoe UI"/>
          <w:color w:val="101820"/>
          <w:sz w:val="21"/>
        </w:rPr>
        <w:t xml:space="preserve"> is off), (f) Checklist.</w:t>
      </w:r>
    </w:p>
    <w:p>
      <w:pPr>
        <w:pStyle w:val="Normal"/>
        <w:numPr>
          <w:ilvl w:val="0"/>
          <w:numId w:val="458"/>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459"/>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460"/>
        </w:numPr>
        <w:spacing w:before="0" w:after="60"/>
        <w:rPr/>
      </w:pPr>
      <w:r>
        <w:rPr>
          <w:rFonts w:eastAsia="Segoe UI" w:cs="Segoe UI" w:ascii="Segoe UI" w:hAnsi="Segoe UI"/>
          <w:color w:val="101820"/>
          <w:sz w:val="21"/>
        </w:rPr>
        <w:t>Submit the close.</w:t>
      </w:r>
    </w:p>
    <w:p>
      <w:pPr>
        <w:pStyle w:val="Normal"/>
        <w:shd w:val="clear" w:color="auto" w:fill="EAF2FB"/>
        <w:spacing w:before="0" w:after="160"/>
        <w:ind w:left="170"/>
        <w:rPr/>
      </w:pPr>
      <w:r>
        <w:rPr>
          <w:rFonts w:eastAsia="Segoe UI" w:cs="Segoe UI" w:ascii="Segoe UI" w:hAnsi="Segoe UI"/>
          <w:color w:val="101820"/>
          <w:sz w:val="20"/>
        </w:rPr>
        <w:t>[Screen image not available: New close run]</w:t>
      </w:r>
    </w:p>
    <w:p>
      <w:pPr>
        <w:pStyle w:val="Normal"/>
        <w:shd w:val="clear" w:color="auto" w:fill="EAF2FB"/>
        <w:spacing w:before="0" w:after="160"/>
        <w:ind w:left="170"/>
        <w:rPr/>
      </w:pPr>
      <w:r>
        <w:rPr>
          <w:rFonts w:eastAsia="Segoe UI" w:cs="Segoe UI" w:ascii="Segoe UI" w:hAnsi="Segoe UI"/>
          <w:color w:val="101820"/>
          <w:sz w:val="20"/>
        </w:rPr>
        <w:t>[Screen image not available: 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12.22.2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shd w:val="clear" w:color="auto" w:fill="EAF2FB"/>
        <w:spacing w:before="0" w:after="160"/>
        <w:ind w:left="170"/>
        <w:rPr/>
      </w:pPr>
      <w:r>
        <w:rPr>
          <w:rFonts w:eastAsia="Segoe UI" w:cs="Segoe UI" w:ascii="Segoe UI" w:hAnsi="Segoe UI"/>
          <w:color w:val="101820"/>
          <w:sz w:val="20"/>
        </w:rPr>
        <w:t>[Screen image not available: New recurring journal template]</w:t>
      </w:r>
    </w:p>
    <w:p>
      <w:pPr>
        <w:pStyle w:val="Heading3"/>
        <w:rPr/>
      </w:pPr>
      <w:r>
        <w:rPr>
          <w:rFonts w:eastAsia="Segoe UI" w:cs="Segoe UI"/>
          <w:b/>
          <w:color w:val="0F4761"/>
          <w:sz w:val="23"/>
        </w:rPr>
        <w:t>12.22.3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35" w:name="__RefHeading___Toc21787_17926050"/>
      <w:bookmarkEnd w:id="135"/>
      <w:r>
        <w:rPr>
          <w:rFonts w:eastAsia="Segoe UI" w:cs="Segoe UI"/>
          <w:b/>
          <w:color w:val="0F4761"/>
          <w:sz w:val="26"/>
        </w:rPr>
        <w:t>12.23  Accounts payable</w:t>
      </w:r>
    </w:p>
    <w:p>
      <w:pPr>
        <w:pStyle w:val="Normal"/>
        <w:shd w:val="clear" w:color="auto" w:fill="EAF2FB"/>
        <w:spacing w:before="0" w:after="160"/>
        <w:ind w:left="170"/>
        <w:rPr/>
      </w:pPr>
      <w:r>
        <w:rPr>
          <w:rFonts w:eastAsia="Segoe UI" w:cs="Segoe UI" w:ascii="Segoe UI" w:hAnsi="Segoe UI"/>
          <w:color w:val="101820"/>
          <w:sz w:val="20"/>
        </w:rPr>
        <w:t>[Screen image not available: Accounts &gt; Payables &gt; Supplier Invoices]</w:t>
      </w:r>
    </w:p>
    <w:p>
      <w:pPr>
        <w:pStyle w:val="Normal"/>
        <w:spacing w:lineRule="auto" w:line="276" w:before="0" w:after="120"/>
        <w:rPr/>
      </w:pPr>
      <w:r>
        <w:rPr>
          <w:rFonts w:eastAsia="Segoe UI" w:cs="Segoe UI" w:ascii="Segoe UI" w:hAnsi="Segoe UI"/>
          <w:color w:val="101820"/>
          <w:sz w:val="21"/>
        </w:rPr>
        <w:t>Suppliers are kept on Accounts &gt; Payables &gt; Suppliers: TIN, address, VAT registration, the EWT tax code withheld (Master &gt; Finance &gt; Taxation, for example WC158 goods, WC160 services, WC100 rentals), payment terms and the default expense account.</w:t>
      </w:r>
    </w:p>
    <w:p>
      <w:pPr>
        <w:pStyle w:val="Normal"/>
        <w:numPr>
          <w:ilvl w:val="0"/>
          <w:numId w:val="461"/>
        </w:numPr>
        <w:spacing w:before="0" w:after="60"/>
        <w:rPr/>
      </w:pPr>
      <w:r>
        <w:rPr>
          <w:rFonts w:eastAsia="Segoe UI" w:cs="Segoe UI" w:ascii="Segoe UI" w:hAnsi="Segoe UI"/>
          <w:color w:val="101820"/>
          <w:sz w:val="21"/>
        </w:rPr>
        <w:t xml:space="preserve">Accounts &gt; Payables &gt; Supplier Invoices &gt; </w:t>
      </w:r>
      <w:r>
        <w:rPr>
          <w:rFonts w:eastAsia="Segoe UI" w:cs="Segoe UI" w:ascii="Segoe UI" w:hAnsi="Segoe UI"/>
          <w:b/>
          <w:color w:val="101820"/>
          <w:sz w:val="21"/>
        </w:rPr>
        <w:t>New supplier invoice</w:t>
      </w:r>
      <w:r>
        <w:rPr>
          <w:rFonts w:eastAsia="Segoe UI" w:cs="Segoe UI" w:ascii="Segoe UI" w:hAnsi="Segoe UI"/>
          <w:color w:val="101820"/>
          <w:sz w:val="21"/>
        </w:rPr>
        <w:t xml:space="preserve">: supplier, the supplier's invoice number and date, description, and one line per expense account (or an </w:t>
      </w:r>
      <w:r>
        <w:rPr>
          <w:rFonts w:eastAsia="Segoe UI" w:cs="Segoe UI" w:ascii="Segoe UI" w:hAnsi="Segoe UI"/>
          <w:b/>
          <w:color w:val="101820"/>
          <w:sz w:val="21"/>
        </w:rPr>
        <w:t>Asset class</w:t>
      </w:r>
      <w:r>
        <w:rPr>
          <w:rFonts w:eastAsia="Segoe UI" w:cs="Segoe UI" w:ascii="Segoe UI" w:hAnsi="Segoe UI"/>
          <w:color w:val="101820"/>
          <w:sz w:val="21"/>
        </w:rPr>
        <w:t xml:space="preserve"> for an asset bought). Input VAT is computed on the vatable lines of a VAT-registered supplier at the rate of </w:t>
      </w:r>
      <w:r>
        <w:rPr>
          <w:rFonts w:eastAsia="Consolas" w:cs="Consolas" w:ascii="Consolas" w:hAnsi="Consolas"/>
          <w:color w:val="101820"/>
          <w:sz w:val="19"/>
        </w:rPr>
        <w:t>payables.input_vat_code</w:t>
      </w:r>
      <w:r>
        <w:rPr>
          <w:rFonts w:eastAsia="Segoe UI" w:cs="Segoe UI" w:ascii="Segoe UI" w:hAnsi="Segoe UI"/>
          <w:color w:val="101820"/>
          <w:sz w:val="21"/>
        </w:rPr>
        <w:t>; the EWT at the rate of the supplier's EWT tax code on the amount net of VAT. The due date follows the payment terms. The same supplier invoice number cannot be recorded twice.</w:t>
      </w:r>
    </w:p>
    <w:p>
      <w:pPr>
        <w:pStyle w:val="Normal"/>
        <w:numPr>
          <w:ilvl w:val="0"/>
          <w:numId w:val="462"/>
        </w:numPr>
        <w:spacing w:before="0" w:after="60"/>
        <w:rPr/>
      </w:pPr>
      <w:r>
        <w:rPr>
          <w:rFonts w:eastAsia="Segoe UI" w:cs="Segoe UI" w:ascii="Segoe UI" w:hAnsi="Segoe UI"/>
          <w:b/>
          <w:color w:val="101820"/>
          <w:sz w:val="21"/>
        </w:rPr>
        <w:t>Save and submit</w:t>
      </w:r>
      <w:r>
        <w:rPr>
          <w:rFonts w:eastAsia="Segoe UI" w:cs="Segoe UI" w:ascii="Segoe UI" w:hAnsi="Segoe UI"/>
          <w:color w:val="101820"/>
          <w:sz w:val="21"/>
        </w:rPr>
        <w:t xml:space="preserve"> sends it for approval; the Accounting Manager (another user) approves it, which posts the journal (posting rule ap.invoice: Dr expense or asset, Dr input VAT / Cr EWT payable, Cr Accounts Payable - Suppliers), or rejects it with a reason. Without </w:t>
      </w:r>
      <w:r>
        <w:rPr>
          <w:rFonts w:eastAsia="Consolas" w:cs="Consolas" w:ascii="Consolas" w:hAnsi="Consolas"/>
          <w:color w:val="101820"/>
          <w:sz w:val="19"/>
        </w:rPr>
        <w:t>payables.maker_checker</w:t>
      </w:r>
      <w:r>
        <w:rPr>
          <w:rFonts w:eastAsia="Segoe UI" w:cs="Segoe UI" w:ascii="Segoe UI" w:hAnsi="Segoe UI"/>
          <w:color w:val="101820"/>
          <w:sz w:val="21"/>
        </w:rPr>
        <w:t xml:space="preserve"> the invoice posts when it is submitted. An asset line is registered in the fixed asset register on approval.</w:t>
      </w:r>
    </w:p>
    <w:p>
      <w:pPr>
        <w:pStyle w:val="Normal"/>
        <w:numPr>
          <w:ilvl w:val="0"/>
          <w:numId w:val="463"/>
        </w:numPr>
        <w:spacing w:before="0" w:after="60"/>
        <w:rPr/>
      </w:pPr>
      <w:r>
        <w:rPr>
          <w:rFonts w:eastAsia="Segoe UI" w:cs="Segoe UI" w:ascii="Segoe UI" w:hAnsi="Segoe UI"/>
          <w:b/>
          <w:color w:val="101820"/>
          <w:sz w:val="21"/>
        </w:rPr>
        <w:t>Print</w:t>
      </w:r>
      <w:r>
        <w:rPr>
          <w:rFonts w:eastAsia="Segoe UI" w:cs="Segoe UI" w:ascii="Segoe UI" w:hAnsi="Segoe UI"/>
          <w:color w:val="101820"/>
          <w:sz w:val="21"/>
        </w:rPr>
        <w:t xml:space="preserve"> gives the AP voucher with the journal. </w:t>
      </w:r>
      <w:r>
        <w:rPr>
          <w:rFonts w:eastAsia="Segoe UI" w:cs="Segoe UI" w:ascii="Segoe UI" w:hAnsi="Segoe UI"/>
          <w:b/>
          <w:color w:val="101820"/>
          <w:sz w:val="21"/>
        </w:rPr>
        <w:t>Cancel</w:t>
      </w:r>
      <w:r>
        <w:rPr>
          <w:rFonts w:eastAsia="Segoe UI" w:cs="Segoe UI" w:ascii="Segoe UI" w:hAnsi="Segoe UI"/>
          <w:color w:val="101820"/>
          <w:sz w:val="21"/>
        </w:rPr>
        <w:t xml:space="preserve"> an invoice without payments; an approved one is reversed.</w:t>
      </w:r>
    </w:p>
    <w:p>
      <w:pPr>
        <w:pStyle w:val="Normal"/>
        <w:numPr>
          <w:ilvl w:val="0"/>
          <w:numId w:val="464"/>
        </w:numPr>
        <w:spacing w:before="0" w:after="60"/>
        <w:rPr/>
      </w:pPr>
      <w:r>
        <w:rPr>
          <w:rFonts w:eastAsia="Segoe UI" w:cs="Segoe UI" w:ascii="Segoe UI" w:hAnsi="Segoe UI"/>
          <w:color w:val="101820"/>
          <w:sz w:val="21"/>
        </w:rPr>
        <w:t xml:space="preserve">Accounts &gt; Payables &gt; Supplier Payments &gt; </w:t>
      </w:r>
      <w:r>
        <w:rPr>
          <w:rFonts w:eastAsia="Segoe UI" w:cs="Segoe UI" w:ascii="Segoe UI" w:hAnsi="Segoe UI"/>
          <w:b/>
          <w:color w:val="101820"/>
          <w:sz w:val="21"/>
        </w:rPr>
        <w:t>New supplier payment</w:t>
      </w:r>
      <w:r>
        <w:rPr>
          <w:rFonts w:eastAsia="Segoe UI" w:cs="Segoe UI" w:ascii="Segoe UI" w:hAnsi="Segoe UI"/>
          <w:color w:val="101820"/>
          <w:sz w:val="21"/>
        </w:rPr>
        <w:t xml:space="preserve">: the supplier, the invoices to pay (all open invoices are ticked), mode, bank account, cheque number. Posting rule ap.payment: Dr Accounts Payable - Suppliers / Cr bank. </w:t>
      </w:r>
      <w:r>
        <w:rPr>
          <w:rFonts w:eastAsia="Segoe UI" w:cs="Segoe UI" w:ascii="Segoe UI" w:hAnsi="Segoe UI"/>
          <w:b/>
          <w:color w:val="101820"/>
          <w:sz w:val="21"/>
        </w:rPr>
        <w:t>Print</w:t>
      </w:r>
      <w:r>
        <w:rPr>
          <w:rFonts w:eastAsia="Segoe UI" w:cs="Segoe UI" w:ascii="Segoe UI" w:hAnsi="Segoe UI"/>
          <w:color w:val="101820"/>
          <w:sz w:val="21"/>
        </w:rPr>
        <w:t xml:space="preserve"> gives the payment voucher; </w:t>
      </w:r>
      <w:r>
        <w:rPr>
          <w:rFonts w:eastAsia="Segoe UI" w:cs="Segoe UI" w:ascii="Segoe UI" w:hAnsi="Segoe UI"/>
          <w:b/>
          <w:color w:val="101820"/>
          <w:sz w:val="21"/>
        </w:rPr>
        <w:t>Cancel</w:t>
      </w:r>
      <w:r>
        <w:rPr>
          <w:rFonts w:eastAsia="Segoe UI" w:cs="Segoe UI" w:ascii="Segoe UI" w:hAnsi="Segoe UI"/>
          <w:color w:val="101820"/>
          <w:sz w:val="21"/>
        </w:rPr>
        <w:t xml:space="preserve"> reverses the payment and opens the invoices again.</w:t>
      </w:r>
    </w:p>
    <w:p>
      <w:pPr>
        <w:pStyle w:val="Normal"/>
        <w:numPr>
          <w:ilvl w:val="0"/>
          <w:numId w:val="465"/>
        </w:numPr>
        <w:spacing w:before="0" w:after="60"/>
        <w:rPr/>
      </w:pPr>
      <w:r>
        <w:rPr>
          <w:rFonts w:eastAsia="Segoe UI" w:cs="Segoe UI" w:ascii="Segoe UI" w:hAnsi="Segoe UI"/>
          <w:color w:val="101820"/>
          <w:sz w:val="21"/>
        </w:rPr>
        <w:t xml:space="preserve">Accounts &gt; Payables &gt; AP Ageing shows the open balances by supplier and by invoice, aged on the due dates (buckets of </w:t>
      </w:r>
      <w:r>
        <w:rPr>
          <w:rFonts w:eastAsia="Consolas" w:cs="Consolas" w:ascii="Consolas" w:hAnsi="Consolas"/>
          <w:color w:val="101820"/>
          <w:sz w:val="19"/>
        </w:rPr>
        <w:t>limits.receivable_ageing_buckets</w:t>
      </w:r>
      <w:r>
        <w:rPr>
          <w:rFonts w:eastAsia="Segoe UI" w:cs="Segoe UI" w:ascii="Segoe UI" w:hAnsi="Segoe UI"/>
          <w:color w:val="101820"/>
          <w:sz w:val="21"/>
        </w:rPr>
        <w:t xml:space="preserve">); </w:t>
      </w:r>
      <w:r>
        <w:rPr>
          <w:rFonts w:eastAsia="Segoe UI" w:cs="Segoe UI" w:ascii="Segoe UI" w:hAnsi="Segoe UI"/>
          <w:b/>
          <w:color w:val="101820"/>
          <w:sz w:val="21"/>
        </w:rPr>
        <w:t>Export to Excel</w:t>
      </w:r>
      <w:r>
        <w:rPr>
          <w:rFonts w:eastAsia="Segoe UI" w:cs="Segoe UI" w:ascii="Segoe UI" w:hAnsi="Segoe UI"/>
          <w:color w:val="101820"/>
          <w:sz w:val="21"/>
        </w:rPr>
        <w:t>.</w:t>
      </w:r>
    </w:p>
    <w:p>
      <w:pPr>
        <w:pStyle w:val="Heading3"/>
        <w:rPr/>
      </w:pPr>
      <w:r>
        <w:rPr>
          <w:rFonts w:eastAsia="Segoe UI" w:cs="Segoe UI"/>
          <w:b/>
          <w:color w:val="0F4761"/>
          <w:sz w:val="23"/>
        </w:rPr>
        <w:t>12.23.1  BIR Form 2307 for suppliers</w:t>
      </w:r>
    </w:p>
    <w:p>
      <w:pPr>
        <w:pStyle w:val="Normal"/>
        <w:spacing w:lineRule="auto" w:line="276" w:before="0" w:after="120"/>
        <w:rPr/>
      </w:pPr>
      <w:r>
        <w:rPr>
          <w:rFonts w:eastAsia="Segoe UI" w:cs="Segoe UI" w:ascii="Segoe UI" w:hAnsi="Segoe UI"/>
          <w:color w:val="101820"/>
          <w:sz w:val="21"/>
        </w:rPr>
        <w:t>The expanded withholding tax withheld from a supplier on an approved supplier invoice (the supplier's EWT tax code, on the amount net of VAT) is creditable tax of the supplier: the broker issues BIR Form 2307 for it each quarter.</w:t>
      </w:r>
    </w:p>
    <w:p>
      <w:pPr>
        <w:pStyle w:val="Normal"/>
        <w:shd w:val="clear" w:color="auto" w:fill="EAF2FB"/>
        <w:spacing w:before="0" w:after="160"/>
        <w:ind w:left="170"/>
        <w:rPr/>
      </w:pPr>
      <w:r>
        <w:rPr>
          <w:rFonts w:eastAsia="Segoe UI" w:cs="Segoe UI" w:ascii="Segoe UI" w:hAnsi="Segoe UI"/>
          <w:color w:val="101820"/>
          <w:sz w:val="20"/>
        </w:rPr>
        <w:t>[Screen image not available: Accounts &gt; Payables &gt; Supplier 2307]</w:t>
      </w:r>
    </w:p>
    <w:p>
      <w:pPr>
        <w:pStyle w:val="Normal"/>
        <w:numPr>
          <w:ilvl w:val="0"/>
          <w:numId w:val="466"/>
        </w:numPr>
        <w:spacing w:before="0" w:after="60"/>
        <w:rPr/>
      </w:pPr>
      <w:r>
        <w:rPr>
          <w:rFonts w:eastAsia="Segoe UI" w:cs="Segoe UI" w:ascii="Segoe UI" w:hAnsi="Segoe UI"/>
          <w:color w:val="101820"/>
          <w:sz w:val="21"/>
        </w:rPr>
        <w:t xml:space="preserve">Choose Accounts &gt; Payables &gt; </w:t>
      </w:r>
      <w:r>
        <w:rPr>
          <w:rFonts w:eastAsia="Segoe UI" w:cs="Segoe UI" w:ascii="Segoe UI" w:hAnsi="Segoe UI"/>
          <w:b/>
          <w:color w:val="101820"/>
          <w:sz w:val="21"/>
        </w:rPr>
        <w:t>Supplier 2307</w:t>
      </w:r>
      <w:r>
        <w:rPr>
          <w:rFonts w:eastAsia="Segoe UI" w:cs="Segoe UI" w:ascii="Segoe UI" w:hAnsi="Segoe UI"/>
          <w:color w:val="101820"/>
          <w:sz w:val="21"/>
        </w:rPr>
        <w:t xml:space="preserve">, the </w:t>
      </w:r>
      <w:r>
        <w:rPr>
          <w:rFonts w:eastAsia="Segoe UI" w:cs="Segoe UI" w:ascii="Segoe UI" w:hAnsi="Segoe UI"/>
          <w:b/>
          <w:color w:val="101820"/>
          <w:sz w:val="21"/>
        </w:rPr>
        <w:t>Year</w:t>
      </w:r>
      <w:r>
        <w:rPr>
          <w:rFonts w:eastAsia="Segoe UI" w:cs="Segoe UI" w:ascii="Segoe UI" w:hAnsi="Segoe UI"/>
          <w:color w:val="101820"/>
          <w:sz w:val="21"/>
        </w:rPr>
        <w:t xml:space="preserve"> and the </w:t>
      </w:r>
      <w:r>
        <w:rPr>
          <w:rFonts w:eastAsia="Segoe UI" w:cs="Segoe UI" w:ascii="Segoe UI" w:hAnsi="Segoe UI"/>
          <w:b/>
          <w:color w:val="101820"/>
          <w:sz w:val="21"/>
        </w:rPr>
        <w:t>Quarter</w:t>
      </w:r>
      <w:r>
        <w:rPr>
          <w:rFonts w:eastAsia="Segoe UI" w:cs="Segoe UI" w:ascii="Segoe UI" w:hAnsi="Segoe UI"/>
          <w:color w:val="101820"/>
          <w:sz w:val="21"/>
        </w:rPr>
        <w:t>. The screen lists every supplier with EWT in the quarter: TIN, ATC (the ATC of the invoice's EWT tax code, for example WC160 services, WC158 goods, WI010 professional fees), the number of invoices, the income payments and the tax withheld, and the certificate number once issued. Cancelled invoices do not count; an invoice counts in the quarter of its journal date.</w:t>
      </w:r>
    </w:p>
    <w:p>
      <w:pPr>
        <w:pStyle w:val="Normal"/>
        <w:numPr>
          <w:ilvl w:val="0"/>
          <w:numId w:val="467"/>
        </w:numPr>
        <w:spacing w:before="0" w:after="60"/>
        <w:rPr/>
      </w:pPr>
      <w:r>
        <w:rPr>
          <w:rFonts w:eastAsia="Segoe UI" w:cs="Segoe UI" w:ascii="Segoe UI" w:hAnsi="Segoe UI"/>
          <w:b/>
          <w:color w:val="101820"/>
          <w:sz w:val="21"/>
        </w:rPr>
        <w:t>View</w:t>
      </w:r>
      <w:r>
        <w:rPr>
          <w:rFonts w:eastAsia="Segoe UI" w:cs="Segoe UI" w:ascii="Segoe UI" w:hAnsi="Segoe UI"/>
          <w:color w:val="101820"/>
          <w:sz w:val="21"/>
        </w:rPr>
        <w:t xml:space="preserve"> shows the certificate on the BIR layout: the payee (the supplier's registered name, TIN and address from the Supplier master), the payor (the broker, from the primary company of Master &gt; Company), and per ATC the income of each month of the quarter, the total and the tax withheld. </w:t>
      </w:r>
      <w:r>
        <w:rPr>
          <w:rFonts w:eastAsia="Segoe UI" w:cs="Segoe UI" w:ascii="Segoe UI" w:hAnsi="Segoe UI"/>
          <w:b/>
          <w:color w:val="101820"/>
          <w:sz w:val="21"/>
        </w:rPr>
        <w:t>Issue</w:t>
      </w:r>
      <w:r>
        <w:rPr>
          <w:rFonts w:eastAsia="Segoe UI" w:cs="Segoe UI" w:ascii="Segoe UI" w:hAnsi="Segoe UI"/>
          <w:color w:val="101820"/>
          <w:sz w:val="21"/>
        </w:rPr>
        <w:t xml:space="preserve"> numbers it from the CWT series; </w:t>
      </w:r>
      <w:r>
        <w:rPr>
          <w:rFonts w:eastAsia="Segoe UI" w:cs="Segoe UI" w:ascii="Segoe UI" w:hAnsi="Segoe UI"/>
          <w:b/>
          <w:color w:val="101820"/>
          <w:sz w:val="21"/>
        </w:rPr>
        <w:t>Print</w:t>
      </w:r>
      <w:r>
        <w:rPr>
          <w:rFonts w:eastAsia="Segoe UI" w:cs="Segoe UI" w:ascii="Segoe UI" w:hAnsi="Segoe UI"/>
          <w:color w:val="101820"/>
          <w:sz w:val="21"/>
        </w:rPr>
        <w:t xml:space="preserve"> prints it.</w:t>
      </w:r>
    </w:p>
    <w:p>
      <w:pPr>
        <w:pStyle w:val="Normal"/>
        <w:numPr>
          <w:ilvl w:val="0"/>
          <w:numId w:val="468"/>
        </w:numPr>
        <w:spacing w:before="0" w:after="60"/>
        <w:rPr/>
      </w:pPr>
      <w:r>
        <w:rPr>
          <w:rFonts w:eastAsia="Segoe UI" w:cs="Segoe UI" w:ascii="Segoe UI" w:hAnsi="Segoe UI"/>
          <w:b/>
          <w:color w:val="101820"/>
          <w:sz w:val="21"/>
        </w:rPr>
        <w:t>Issue all certificates</w:t>
      </w:r>
      <w:r>
        <w:rPr>
          <w:rFonts w:eastAsia="Segoe UI" w:cs="Segoe UI" w:ascii="Segoe UI" w:hAnsi="Segoe UI"/>
          <w:color w:val="101820"/>
          <w:sz w:val="21"/>
        </w:rPr>
        <w:t xml:space="preserve"> numbers the certificates of every supplier of the quarter that has none yet.</w:t>
      </w:r>
    </w:p>
    <w:p>
      <w:pPr>
        <w:pStyle w:val="Normal"/>
        <w:spacing w:lineRule="auto" w:line="276" w:before="0" w:after="120"/>
        <w:rPr/>
      </w:pPr>
      <w:r>
        <w:rPr>
          <w:rFonts w:eastAsia="Segoe UI" w:cs="Segoe UI" w:ascii="Segoe UI" w:hAnsi="Segoe UI"/>
          <w:color w:val="101820"/>
          <w:sz w:val="21"/>
        </w:rPr>
        <w:t>The same generator issues the certificates of the commission payees on Accounts &gt; Tax &gt; BIR Form 2307, where the suppliers are listed with the other payees. The supplier EWT is also included in the QAP (Accounts &gt; Tax &gt; QAP), in the 0619-E and the 1601-EQ per ATC (reconciled with the QAP and with the EWT payable account of the ledger), in the 1604-E alphalist of payees (schedule 3; a supplier with an EWT code for individuals is listed by last, first and middle name) and in the QAP and 1604-E DAT files.</w:t>
      </w:r>
    </w:p>
    <w:p>
      <w:pPr>
        <w:pStyle w:val="Heading2"/>
        <w:rPr/>
      </w:pPr>
      <w:bookmarkStart w:id="136" w:name="__RefHeading___Toc21789_17926050"/>
      <w:bookmarkEnd w:id="136"/>
      <w:r>
        <w:rPr>
          <w:rFonts w:eastAsia="Segoe UI" w:cs="Segoe UI"/>
          <w:b/>
          <w:color w:val="0F4761"/>
          <w:sz w:val="26"/>
        </w:rPr>
        <w:t>12.24  Fixed assets and depreciation</w:t>
      </w:r>
    </w:p>
    <w:p>
      <w:pPr>
        <w:pStyle w:val="Normal"/>
        <w:shd w:val="clear" w:color="auto" w:fill="EAF2FB"/>
        <w:spacing w:before="0" w:after="160"/>
        <w:ind w:left="170"/>
        <w:rPr/>
      </w:pPr>
      <w:r>
        <w:rPr>
          <w:rFonts w:eastAsia="Segoe UI" w:cs="Segoe UI" w:ascii="Segoe UI" w:hAnsi="Segoe UI"/>
          <w:color w:val="101820"/>
          <w:sz w:val="20"/>
        </w:rPr>
        <w:t>[Screen image not available: Accounts &gt; Fixed Assets &gt; Asset Register]</w:t>
      </w:r>
    </w:p>
    <w:p>
      <w:pPr>
        <w:pStyle w:val="Normal"/>
        <w:spacing w:lineRule="auto" w:line="276" w:before="0" w:after="120"/>
        <w:rPr/>
      </w:pPr>
      <w:r>
        <w:rPr>
          <w:rFonts w:eastAsia="Segoe UI" w:cs="Segoe UI" w:ascii="Segoe UI" w:hAnsi="Segoe UI"/>
          <w:color w:val="101820"/>
          <w:sz w:val="21"/>
        </w:rPr>
        <w:t xml:space="preserve">Accounts &gt; Fixed Assets &gt; Asset Register lists the assets with their cost, accumulated depreciation and book value. </w:t>
      </w:r>
      <w:r>
        <w:rPr>
          <w:rFonts w:eastAsia="Segoe UI" w:cs="Segoe UI" w:ascii="Segoe UI" w:hAnsi="Segoe UI"/>
          <w:b/>
          <w:color w:val="101820"/>
          <w:sz w:val="21"/>
        </w:rPr>
        <w:t>Register asset</w:t>
      </w:r>
      <w:r>
        <w:rPr>
          <w:rFonts w:eastAsia="Segoe UI" w:cs="Segoe UI" w:ascii="Segoe UI" w:hAnsi="Segoe UI"/>
          <w:color w:val="101820"/>
          <w:sz w:val="21"/>
        </w:rPr>
        <w:t xml:space="preserve"> for an asset not bought through a supplier invoice: name, asset class (Master &gt; Finance &gt; Asset Classes gives the useful life and the asset, accumulated depreciation and depreciation expense accounts), dates, cost, salvage value, location, custodian and serial number. For an asset carried at go-live enter the accumulated depreciation at go-live and the first period to depreciate here. Select an asset to see its straight-line schedule: each month's depreciation, accumulated depreciation and book value, and whether the month is posted.</w:t>
      </w:r>
    </w:p>
    <w:p>
      <w:pPr>
        <w:pStyle w:val="Normal"/>
        <w:spacing w:lineRule="auto" w:line="276" w:before="0" w:after="120"/>
        <w:rPr/>
      </w:pPr>
      <w:r>
        <w:rPr>
          <w:rFonts w:eastAsia="Segoe UI" w:cs="Segoe UI" w:ascii="Segoe UI" w:hAnsi="Segoe UI"/>
          <w:color w:val="101820"/>
          <w:sz w:val="21"/>
        </w:rPr>
        <w:t>Depreciation is straight-line from the in-service month (</w:t>
      </w:r>
      <w:r>
        <w:rPr>
          <w:rFonts w:eastAsia="Consolas" w:cs="Consolas" w:ascii="Consolas" w:hAnsi="Consolas"/>
          <w:color w:val="101820"/>
          <w:sz w:val="19"/>
        </w:rPr>
        <w:t>fixed_assets.first_month</w:t>
      </w:r>
      <w:r>
        <w:rPr>
          <w:rFonts w:eastAsia="Segoe UI" w:cs="Segoe UI" w:ascii="Segoe UI" w:hAnsi="Segoe UI"/>
          <w:color w:val="101820"/>
          <w:sz w:val="21"/>
        </w:rPr>
        <w:t xml:space="preserve">); the last month takes the rounding so the asset ends at its salvage value. Accounts &gt; Fixed Assets &gt; Depreciation Run shows what a period's depreciation is and </w:t>
      </w:r>
      <w:r>
        <w:rPr>
          <w:rFonts w:eastAsia="Segoe UI" w:cs="Segoe UI" w:ascii="Segoe UI" w:hAnsi="Segoe UI"/>
          <w:b/>
          <w:color w:val="101820"/>
          <w:sz w:val="21"/>
        </w:rPr>
        <w:t>Post depreciation</w:t>
      </w:r>
      <w:r>
        <w:rPr>
          <w:rFonts w:eastAsia="Segoe UI" w:cs="Segoe UI" w:ascii="Segoe UI" w:hAnsi="Segoe UI"/>
          <w:color w:val="101820"/>
          <w:sz w:val="21"/>
        </w:rPr>
        <w:t xml:space="preserve"> posts one journal per asset class dated the end of the period (posting rule fa.depreciation: Dr depreciation expense / Cr accumulated depreciation). An asset is never depreciated twice for a period. The month-end close runs the same step (</w:t>
      </w:r>
      <w:r>
        <w:rPr>
          <w:rFonts w:eastAsia="Segoe UI" w:cs="Segoe UI" w:ascii="Segoe UI" w:hAnsi="Segoe UI"/>
          <w:b/>
          <w:color w:val="101820"/>
          <w:sz w:val="21"/>
        </w:rPr>
        <w:t>(e) Depreciation</w:t>
      </w:r>
      <w:r>
        <w:rPr>
          <w:rFonts w:eastAsia="Segoe UI" w:cs="Segoe UI" w:ascii="Segoe UI" w:hAnsi="Segoe UI"/>
          <w:color w:val="101820"/>
          <w:sz w:val="21"/>
        </w:rPr>
        <w:t xml:space="preserve">, </w:t>
      </w:r>
      <w:r>
        <w:rPr>
          <w:rFonts w:eastAsia="Consolas" w:cs="Consolas" w:ascii="Consolas" w:hAnsi="Consolas"/>
          <w:color w:val="101820"/>
          <w:sz w:val="19"/>
        </w:rPr>
        <w:t>fixed_assets.depreciation_in_month_end</w:t>
      </w:r>
      <w:r>
        <w:rPr>
          <w:rFonts w:eastAsia="Segoe UI" w:cs="Segoe UI" w:ascii="Segoe UI" w:hAnsi="Segoe UI"/>
          <w:color w:val="101820"/>
          <w:sz w:val="21"/>
        </w:rPr>
        <w:t>).</w:t>
      </w:r>
    </w:p>
    <w:p>
      <w:pPr>
        <w:pStyle w:val="Heading3"/>
        <w:rPr/>
      </w:pPr>
      <w:r>
        <w:rPr>
          <w:rFonts w:eastAsia="Segoe UI" w:cs="Segoe UI"/>
          <w:b/>
          <w:color w:val="0F4761"/>
          <w:sz w:val="23"/>
        </w:rPr>
        <w:t>12.24.1  Asset disposal</w:t>
      </w:r>
    </w:p>
    <w:p>
      <w:pPr>
        <w:pStyle w:val="Normal"/>
        <w:spacing w:lineRule="auto" w:line="276" w:before="0" w:after="120"/>
        <w:rPr/>
      </w:pPr>
      <w:r>
        <w:rPr>
          <w:rFonts w:eastAsia="Segoe UI" w:cs="Segoe UI" w:ascii="Segoe UI" w:hAnsi="Segoe UI"/>
          <w:color w:val="101820"/>
          <w:sz w:val="21"/>
        </w:rPr>
        <w:t>An asset sold or written off (lost, stolen, damaged beyond repair, obsolete) leaves the register through a disposal.</w:t>
      </w:r>
    </w:p>
    <w:p>
      <w:pPr>
        <w:pStyle w:val="Normal"/>
        <w:numPr>
          <w:ilvl w:val="0"/>
          <w:numId w:val="469"/>
        </w:numPr>
        <w:spacing w:before="0" w:after="60"/>
        <w:rPr/>
      </w:pPr>
      <w:r>
        <w:rPr>
          <w:rFonts w:eastAsia="Segoe UI" w:cs="Segoe UI" w:ascii="Segoe UI" w:hAnsi="Segoe UI"/>
          <w:color w:val="101820"/>
          <w:sz w:val="21"/>
        </w:rPr>
        <w:t>Post the depreciation up to the month before the disposal first (Depreciation Run): the disposal is refused while a month before it is not depreciated (</w:t>
      </w:r>
      <w:r>
        <w:rPr>
          <w:rFonts w:eastAsia="Consolas" w:cs="Consolas" w:ascii="Consolas" w:hAnsi="Consolas"/>
          <w:color w:val="101820"/>
          <w:sz w:val="19"/>
        </w:rPr>
        <w:t>fixed_assets.disposal_requires_depreciation_to_date</w:t>
      </w:r>
      <w:r>
        <w:rPr>
          <w:rFonts w:eastAsia="Segoe UI" w:cs="Segoe UI" w:ascii="Segoe UI" w:hAnsi="Segoe UI"/>
          <w:color w:val="101820"/>
          <w:sz w:val="21"/>
        </w:rPr>
        <w:t>). The month of the disposal is not depreciated.</w:t>
      </w:r>
    </w:p>
    <w:p>
      <w:pPr>
        <w:pStyle w:val="Normal"/>
        <w:numPr>
          <w:ilvl w:val="0"/>
          <w:numId w:val="470"/>
        </w:numPr>
        <w:spacing w:before="0" w:after="60"/>
        <w:rPr/>
      </w:pPr>
      <w:r>
        <w:rPr>
          <w:rFonts w:eastAsia="Segoe UI" w:cs="Segoe UI" w:ascii="Segoe UI" w:hAnsi="Segoe UI"/>
          <w:color w:val="101820"/>
          <w:sz w:val="21"/>
        </w:rPr>
        <w:t xml:space="preserve">Accounts &gt; Fixed Assets &gt; Asset Register: select the asset, then </w:t>
      </w:r>
      <w:r>
        <w:rPr>
          <w:rFonts w:eastAsia="Segoe UI" w:cs="Segoe UI" w:ascii="Segoe UI" w:hAnsi="Segoe UI"/>
          <w:b/>
          <w:color w:val="101820"/>
          <w:sz w:val="21"/>
        </w:rPr>
        <w:t>Dispose</w:t>
      </w:r>
      <w:r>
        <w:rPr>
          <w:rFonts w:eastAsia="Segoe UI" w:cs="Segoe UI" w:ascii="Segoe UI" w:hAnsi="Segoe UI"/>
          <w:color w:val="101820"/>
          <w:sz w:val="21"/>
        </w:rPr>
        <w:t>.</w:t>
      </w:r>
    </w:p>
    <w:p>
      <w:pPr>
        <w:pStyle w:val="Normal"/>
        <w:numPr>
          <w:ilvl w:val="0"/>
          <w:numId w:val="471"/>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Sale</w:t>
      </w:r>
      <w:r>
        <w:rPr>
          <w:rFonts w:eastAsia="Segoe UI" w:cs="Segoe UI" w:ascii="Segoe UI" w:hAnsi="Segoe UI"/>
          <w:color w:val="101820"/>
          <w:sz w:val="21"/>
        </w:rPr>
        <w:t xml:space="preserve"> or </w:t>
      </w:r>
      <w:r>
        <w:rPr>
          <w:rFonts w:eastAsia="Segoe UI" w:cs="Segoe UI" w:ascii="Segoe UI" w:hAnsi="Segoe UI"/>
          <w:b/>
          <w:color w:val="101820"/>
          <w:sz w:val="21"/>
        </w:rPr>
        <w:t>Write-off</w:t>
      </w:r>
      <w:r>
        <w:rPr>
          <w:rFonts w:eastAsia="Segoe UI" w:cs="Segoe UI" w:ascii="Segoe UI" w:hAnsi="Segoe UI"/>
          <w:color w:val="101820"/>
          <w:sz w:val="21"/>
        </w:rPr>
        <w:t xml:space="preserve"> and the </w:t>
      </w:r>
      <w:r>
        <w:rPr>
          <w:rFonts w:eastAsia="Segoe UI" w:cs="Segoe UI" w:ascii="Segoe UI" w:hAnsi="Segoe UI"/>
          <w:b/>
          <w:color w:val="101820"/>
          <w:sz w:val="21"/>
        </w:rPr>
        <w:t>Disposal date</w:t>
      </w:r>
      <w:r>
        <w:rPr>
          <w:rFonts w:eastAsia="Segoe UI" w:cs="Segoe UI" w:ascii="Segoe UI" w:hAnsi="Segoe UI"/>
          <w:color w:val="101820"/>
          <w:sz w:val="21"/>
        </w:rPr>
        <w:t xml:space="preserve"> (up to </w:t>
      </w:r>
      <w:r>
        <w:rPr>
          <w:rFonts w:eastAsia="Consolas" w:cs="Consolas" w:ascii="Consolas" w:hAnsi="Consolas"/>
          <w:color w:val="101820"/>
          <w:sz w:val="19"/>
        </w:rPr>
        <w:t>fixed_assets.disposal_backdate_days</w:t>
      </w:r>
      <w:r>
        <w:rPr>
          <w:rFonts w:eastAsia="Segoe UI" w:cs="Segoe UI" w:ascii="Segoe UI" w:hAnsi="Segoe UI"/>
          <w:color w:val="101820"/>
          <w:sz w:val="21"/>
        </w:rPr>
        <w:t>, 60, days back).</w:t>
      </w:r>
    </w:p>
    <w:p>
      <w:pPr>
        <w:pStyle w:val="Normal"/>
        <w:numPr>
          <w:ilvl w:val="0"/>
          <w:numId w:val="472"/>
        </w:numPr>
        <w:spacing w:before="0" w:after="60"/>
        <w:rPr/>
      </w:pPr>
      <w:r>
        <w:rPr>
          <w:rFonts w:eastAsia="Segoe UI" w:cs="Segoe UI" w:ascii="Segoe UI" w:hAnsi="Segoe UI"/>
          <w:color w:val="101820"/>
          <w:sz w:val="21"/>
        </w:rPr>
        <w:t xml:space="preserve">For a sale enter the </w:t>
      </w:r>
      <w:r>
        <w:rPr>
          <w:rFonts w:eastAsia="Segoe UI" w:cs="Segoe UI" w:ascii="Segoe UI" w:hAnsi="Segoe UI"/>
          <w:b/>
          <w:color w:val="101820"/>
          <w:sz w:val="21"/>
        </w:rPr>
        <w:t>Selling price (net of VAT)</w:t>
      </w:r>
      <w:r>
        <w:rPr>
          <w:rFonts w:eastAsia="Segoe UI" w:cs="Segoe UI" w:ascii="Segoe UI" w:hAnsi="Segoe UI"/>
          <w:color w:val="101820"/>
          <w:sz w:val="21"/>
        </w:rPr>
        <w:t xml:space="preserve">, the </w:t>
      </w:r>
      <w:r>
        <w:rPr>
          <w:rFonts w:eastAsia="Segoe UI" w:cs="Segoe UI" w:ascii="Segoe UI" w:hAnsi="Segoe UI"/>
          <w:b/>
          <w:color w:val="101820"/>
          <w:sz w:val="21"/>
        </w:rPr>
        <w:t>Buyer</w:t>
      </w:r>
      <w:r>
        <w:rPr>
          <w:rFonts w:eastAsia="Segoe UI" w:cs="Segoe UI" w:ascii="Segoe UI" w:hAnsi="Segoe UI"/>
          <w:color w:val="101820"/>
          <w:sz w:val="21"/>
        </w:rPr>
        <w:t xml:space="preserve"> with </w:t>
      </w:r>
      <w:r>
        <w:rPr>
          <w:rFonts w:eastAsia="Segoe UI" w:cs="Segoe UI" w:ascii="Segoe UI" w:hAnsi="Segoe UI"/>
          <w:b/>
          <w:color w:val="101820"/>
          <w:sz w:val="21"/>
        </w:rPr>
        <w:t>Buyer TIN</w:t>
      </w:r>
      <w:r>
        <w:rPr>
          <w:rFonts w:eastAsia="Segoe UI" w:cs="Segoe UI" w:ascii="Segoe UI" w:hAnsi="Segoe UI"/>
          <w:color w:val="101820"/>
          <w:sz w:val="21"/>
        </w:rPr>
        <w:t xml:space="preserve"> and </w:t>
      </w:r>
      <w:r>
        <w:rPr>
          <w:rFonts w:eastAsia="Segoe UI" w:cs="Segoe UI" w:ascii="Segoe UI" w:hAnsi="Segoe UI"/>
          <w:b/>
          <w:color w:val="101820"/>
          <w:sz w:val="21"/>
        </w:rPr>
        <w:t>Buyer address</w:t>
      </w:r>
      <w:r>
        <w:rPr>
          <w:rFonts w:eastAsia="Segoe UI" w:cs="Segoe UI" w:ascii="Segoe UI" w:hAnsi="Segoe UI"/>
          <w:color w:val="101820"/>
          <w:sz w:val="21"/>
        </w:rPr>
        <w:t xml:space="preserve">, and </w:t>
      </w:r>
      <w:r>
        <w:rPr>
          <w:rFonts w:eastAsia="Segoe UI" w:cs="Segoe UI" w:ascii="Segoe UI" w:hAnsi="Segoe UI"/>
          <w:b/>
          <w:color w:val="101820"/>
          <w:sz w:val="21"/>
        </w:rPr>
        <w:t>Received into</w:t>
      </w:r>
      <w:r>
        <w:rPr>
          <w:rFonts w:eastAsia="Segoe UI" w:cs="Segoe UI" w:ascii="Segoe UI" w:hAnsi="Segoe UI"/>
          <w:color w:val="101820"/>
          <w:sz w:val="21"/>
        </w:rPr>
        <w:t xml:space="preserve"> (the bank account the money went to; leave it empty for a sale on credit). For a write-off enter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473"/>
        </w:numPr>
        <w:spacing w:before="0" w:after="60"/>
        <w:rPr/>
      </w:pPr>
      <w:r>
        <w:rPr>
          <w:rFonts w:eastAsia="Segoe UI" w:cs="Segoe UI" w:ascii="Segoe UI" w:hAnsi="Segoe UI"/>
          <w:color w:val="101820"/>
          <w:sz w:val="21"/>
        </w:rPr>
        <w:t xml:space="preserve">The screen shows the cost, the accumulated depreciation, the book value, the output VAT of a sale (tax code </w:t>
      </w:r>
      <w:r>
        <w:rPr>
          <w:rFonts w:eastAsia="Consolas" w:cs="Consolas" w:ascii="Consolas" w:hAnsi="Consolas"/>
          <w:color w:val="101820"/>
          <w:sz w:val="19"/>
        </w:rPr>
        <w:t>fixed_assets.disposal_vat_code</w:t>
      </w:r>
      <w:r>
        <w:rPr>
          <w:rFonts w:eastAsia="Segoe UI" w:cs="Segoe UI" w:ascii="Segoe UI" w:hAnsi="Segoe UI"/>
          <w:color w:val="101820"/>
          <w:sz w:val="21"/>
        </w:rPr>
        <w:t xml:space="preserve">, VAT12-OUT, when the broker is VAT registered), the total proceeds and the gain or loss. Select </w:t>
      </w:r>
      <w:r>
        <w:rPr>
          <w:rFonts w:eastAsia="Segoe UI" w:cs="Segoe UI" w:ascii="Segoe UI" w:hAnsi="Segoe UI"/>
          <w:b/>
          <w:color w:val="101820"/>
          <w:sz w:val="21"/>
        </w:rPr>
        <w:t>Post disposal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disposal (FAD-YYYY-NNNNN) posts one journal (posting rule fa.disposal, Master &gt; Finance &gt; Posting Rules):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741"/>
        <w:gridCol w:w="336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47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Account</w:t>
            </w:r>
          </w:p>
        </w:tc>
        <w:tc>
          <w:tcPr>
            <w:tcW w:w="33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Accumulated depreciation of the asset class</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Accumulated depreciation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received into, else the sales invoice receivable</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Selling price + output VAT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on disposal (</w:t>
            </w:r>
            <w:r>
              <w:rPr>
                <w:rFonts w:eastAsia="Consolas" w:cs="Consolas" w:ascii="Consolas" w:hAnsi="Consolas"/>
                <w:color w:val="101820"/>
                <w:kern w:val="0"/>
                <w:sz w:val="16"/>
                <w:szCs w:val="24"/>
                <w:lang w:val="en-US" w:eastAsia="ja-JP" w:bidi="ar-SA"/>
              </w:rPr>
              <w:t>accounting.account.loss_on_disposal</w:t>
            </w:r>
            <w:r>
              <w:rPr>
                <w:rFonts w:eastAsia="Segoe UI" w:cs="Segoe UI" w:ascii="Segoe UI" w:hAnsi="Segoe UI"/>
                <w:color w:val="101820"/>
                <w:kern w:val="0"/>
                <w:sz w:val="18"/>
                <w:szCs w:val="24"/>
                <w:lang w:val="en-US" w:eastAsia="ja-JP" w:bidi="ar-SA"/>
              </w:rPr>
              <w:t>, 4501004)</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 value above the selling 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account of the asset class</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VAT</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VAT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Gain on disposal (</w:t>
            </w:r>
            <w:r>
              <w:rPr>
                <w:rFonts w:eastAsia="Consolas" w:cs="Consolas" w:ascii="Consolas" w:hAnsi="Consolas"/>
                <w:color w:val="101820"/>
                <w:kern w:val="0"/>
                <w:sz w:val="16"/>
                <w:szCs w:val="24"/>
                <w:lang w:val="en-US" w:eastAsia="ja-JP" w:bidi="ar-SA"/>
              </w:rPr>
              <w:t>accounting.account.gain_on_disposal</w:t>
            </w:r>
            <w:r>
              <w:rPr>
                <w:rFonts w:eastAsia="Segoe UI" w:cs="Segoe UI" w:ascii="Segoe UI" w:hAnsi="Segoe UI"/>
                <w:color w:val="101820"/>
                <w:kern w:val="0"/>
                <w:sz w:val="18"/>
                <w:szCs w:val="24"/>
                <w:lang w:val="en-US" w:eastAsia="ja-JP" w:bidi="ar-SA"/>
              </w:rPr>
              <w:t>, 3301004)</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Selling price above the book value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sale also issues the BIR sales invoice to the buyer (Accounts &gt; Tax &gt; Sales Invoices, source Asset disposal; </w:t>
      </w:r>
      <w:r>
        <w:rPr>
          <w:rFonts w:eastAsia="Consolas" w:cs="Consolas" w:ascii="Consolas" w:hAnsi="Consolas"/>
          <w:color w:val="101820"/>
          <w:sz w:val="19"/>
        </w:rPr>
        <w:t>fixed_assets.disposal_sales_invoice</w:t>
      </w:r>
      <w:r>
        <w:rPr>
          <w:rFonts w:eastAsia="Segoe UI" w:cs="Segoe UI" w:ascii="Segoe UI" w:hAnsi="Segoe UI"/>
          <w:color w:val="101820"/>
          <w:sz w:val="21"/>
        </w:rPr>
        <w:t xml:space="preserve">). A sale received into a bank account is issued paid; a sale on credit is collected by recording the payment on the sales invoice. The asset becomes </w:t>
      </w:r>
      <w:r>
        <w:rPr>
          <w:rFonts w:eastAsia="Segoe UI" w:cs="Segoe UI" w:ascii="Segoe UI" w:hAnsi="Segoe UI"/>
          <w:b/>
          <w:color w:val="101820"/>
          <w:sz w:val="21"/>
        </w:rPr>
        <w:t>Disposed</w:t>
      </w:r>
      <w:r>
        <w:rPr>
          <w:rFonts w:eastAsia="Segoe UI" w:cs="Segoe UI" w:ascii="Segoe UI" w:hAnsi="Segoe UI"/>
          <w:color w:val="101820"/>
          <w:sz w:val="21"/>
        </w:rPr>
        <w:t xml:space="preserve"> and is no longer depreciated.</w:t>
      </w:r>
    </w:p>
    <w:p>
      <w:pPr>
        <w:pStyle w:val="Normal"/>
        <w:shd w:val="clear" w:color="auto" w:fill="EAF2FB"/>
        <w:spacing w:before="0" w:after="160"/>
        <w:ind w:left="170"/>
        <w:rPr/>
      </w:pPr>
      <w:r>
        <w:rPr>
          <w:rFonts w:eastAsia="Segoe UI" w:cs="Segoe UI" w:ascii="Segoe UI" w:hAnsi="Segoe UI"/>
          <w:color w:val="101820"/>
          <w:sz w:val="20"/>
        </w:rPr>
        <w:t>[Screen image not available: Accounts &gt; Fixed Assets &gt; Disposals]</w:t>
      </w:r>
    </w:p>
    <w:p>
      <w:pPr>
        <w:pStyle w:val="Normal"/>
        <w:spacing w:lineRule="auto" w:line="276" w:before="0" w:after="120"/>
        <w:rPr/>
      </w:pPr>
      <w:r>
        <w:rPr>
          <w:rFonts w:eastAsia="Segoe UI" w:cs="Segoe UI" w:ascii="Segoe UI" w:hAnsi="Segoe UI"/>
          <w:color w:val="101820"/>
          <w:sz w:val="21"/>
        </w:rPr>
        <w:t xml:space="preserve">Accounts &gt; Fixed Assets &gt; </w:t>
      </w:r>
      <w:r>
        <w:rPr>
          <w:rFonts w:eastAsia="Segoe UI" w:cs="Segoe UI" w:ascii="Segoe UI" w:hAnsi="Segoe UI"/>
          <w:b/>
          <w:color w:val="101820"/>
          <w:sz w:val="21"/>
        </w:rPr>
        <w:t>Disposals</w:t>
      </w:r>
      <w:r>
        <w:rPr>
          <w:rFonts w:eastAsia="Segoe UI" w:cs="Segoe UI" w:ascii="Segoe UI" w:hAnsi="Segoe UI"/>
          <w:color w:val="101820"/>
          <w:sz w:val="21"/>
        </w:rPr>
        <w:t xml:space="preserve"> is the disposal register of a period: number, date, sale or write-off, asset, buyer, book value, selling price, output VAT, gain or loss, sales invoice, journal and status, with the totals; </w:t>
      </w:r>
      <w:r>
        <w:rPr>
          <w:rFonts w:eastAsia="Segoe UI" w:cs="Segoe UI" w:ascii="Segoe UI" w:hAnsi="Segoe UI"/>
          <w:b/>
          <w:color w:val="101820"/>
          <w:sz w:val="21"/>
        </w:rPr>
        <w:t>Export to Excel</w:t>
      </w:r>
      <w:r>
        <w:rPr>
          <w:rFonts w:eastAsia="Segoe UI" w:cs="Segoe UI" w:ascii="Segoe UI" w:hAnsi="Segoe UI"/>
          <w:color w:val="101820"/>
          <w:sz w:val="21"/>
        </w:rPr>
        <w:t xml:space="preserve">. The printer button prints the disposal voucher with its journal. </w:t>
      </w:r>
      <w:r>
        <w:rPr>
          <w:rFonts w:eastAsia="Segoe UI" w:cs="Segoe UI" w:ascii="Segoe UI" w:hAnsi="Segoe UI"/>
          <w:b/>
          <w:color w:val="101820"/>
          <w:sz w:val="21"/>
        </w:rPr>
        <w:t>Cancel disposal</w:t>
      </w:r>
      <w:r>
        <w:rPr>
          <w:rFonts w:eastAsia="Segoe UI" w:cs="Segoe UI" w:ascii="Segoe UI" w:hAnsi="Segoe UI"/>
          <w:color w:val="101820"/>
          <w:sz w:val="21"/>
        </w:rPr>
        <w:t xml:space="preserve"> (with a reason) reverses the journal, cancels the sales invoice and restores the asset; a disposal whose sales invoice has a payment recorded cannot be cancelled.</w:t>
      </w:r>
    </w:p>
    <w:p>
      <w:pPr>
        <w:pStyle w:val="Heading2"/>
        <w:rPr/>
      </w:pPr>
      <w:bookmarkStart w:id="137" w:name="__RefHeading___Toc21791_17926050"/>
      <w:bookmarkEnd w:id="137"/>
      <w:r>
        <w:rPr>
          <w:rFonts w:eastAsia="Segoe UI" w:cs="Segoe UI"/>
          <w:b/>
          <w:color w:val="0F4761"/>
          <w:sz w:val="26"/>
        </w:rPr>
        <w:t>12.25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[Screen image not available: 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38" w:name="__RefHeading___Toc21793_17926050"/>
      <w:bookmarkEnd w:id="138"/>
      <w:r>
        <w:rPr>
          <w:rFonts w:eastAsia="Segoe UI" w:cs="Segoe UI"/>
          <w:b/>
          <w:color w:val="0F4761"/>
          <w:sz w:val="26"/>
        </w:rPr>
        <w:t>12.26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39" w:name="__RefHeading___Toc21795_17926050"/>
      <w:bookmarkEnd w:id="139"/>
      <w:r>
        <w:rPr>
          <w:rFonts w:eastAsia="Segoe UI" w:cs="Segoe UI"/>
          <w:b/>
          <w:color w:val="0F4761"/>
          <w:sz w:val="26"/>
        </w:rPr>
        <w:t>12.27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40" w:name="__RefHeading___Toc21797_17926050"/>
      <w:bookmarkEnd w:id="140"/>
      <w:r>
        <w:rPr>
          <w:rFonts w:eastAsia="Segoe UI" w:cs="Segoe UI" w:ascii="Segoe UI" w:hAnsi="Segoe UI"/>
          <w:b/>
          <w:color w:val="0F4761"/>
          <w:sz w:val="32"/>
        </w:rPr>
        <w:t>13.  Accounting Manager</w:t>
      </w:r>
    </w:p>
    <w:p>
      <w:pPr>
        <w:pStyle w:val="Heading2"/>
        <w:rPr/>
      </w:pPr>
      <w:bookmarkStart w:id="141" w:name="__RefHeading___Toc21799_17926050"/>
      <w:bookmarkEnd w:id="141"/>
      <w:r>
        <w:rPr>
          <w:rFonts w:eastAsia="Segoe UI" w:cs="Segoe UI"/>
          <w:b/>
          <w:color w:val="0F4761"/>
          <w:sz w:val="26"/>
        </w:rPr>
        <w:t>13.1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shd w:val="clear" w:color="auto" w:fill="EAF2FB"/>
        <w:spacing w:before="0" w:after="160"/>
        <w:ind w:left="170"/>
        <w:rPr/>
      </w:pPr>
      <w:r>
        <w:rPr>
          <w:rFonts w:eastAsia="Segoe UI" w:cs="Segoe UI" w:ascii="Segoe UI" w:hAnsi="Segoe UI"/>
          <w:color w:val="101820"/>
          <w:sz w:val="20"/>
        </w:rPr>
        <w:t>[Screen image not available: Landing page of the Accounting Manager]</w:t>
      </w:r>
    </w:p>
    <w:p>
      <w:pPr>
        <w:pStyle w:val="Heading2"/>
        <w:rPr/>
      </w:pPr>
      <w:bookmarkStart w:id="142" w:name="__RefHeading___Toc21801_17926050"/>
      <w:bookmarkEnd w:id="142"/>
      <w:r>
        <w:rPr>
          <w:rFonts w:eastAsia="Segoe UI" w:cs="Segoe UI"/>
          <w:b/>
          <w:color w:val="0F4761"/>
          <w:sz w:val="26"/>
        </w:rPr>
        <w:t>13.2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43" w:name="__RefHeading___Toc21803_17926050"/>
      <w:bookmarkEnd w:id="143"/>
      <w:r>
        <w:rPr>
          <w:rFonts w:eastAsia="Segoe UI" w:cs="Segoe UI"/>
          <w:b/>
          <w:color w:val="0F4761"/>
          <w:sz w:val="26"/>
        </w:rPr>
        <w:t>13.3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44" w:name="__RefHeading___Toc21805_17926050"/>
      <w:bookmarkEnd w:id="144"/>
      <w:r>
        <w:rPr>
          <w:rFonts w:eastAsia="Segoe UI" w:cs="Segoe UI"/>
          <w:b/>
          <w:color w:val="0F4761"/>
          <w:sz w:val="26"/>
        </w:rPr>
        <w:t>13.4  Approve the month-end close</w:t>
      </w:r>
    </w:p>
    <w:p>
      <w:pPr>
        <w:pStyle w:val="Normal"/>
        <w:shd w:val="clear" w:color="auto" w:fill="EAF2FB"/>
        <w:spacing w:before="0" w:after="160"/>
        <w:ind w:left="170"/>
        <w:rPr/>
      </w:pPr>
      <w:r>
        <w:rPr>
          <w:rFonts w:eastAsia="Segoe UI" w:cs="Segoe UI" w:ascii="Segoe UI" w:hAnsi="Segoe UI"/>
          <w:color w:val="101820"/>
          <w:sz w:val="20"/>
        </w:rPr>
        <w:t>[Screen image not available: Month-End Close run as seen by the Accounting Manager]</w:t>
      </w:r>
    </w:p>
    <w:p>
      <w:pPr>
        <w:pStyle w:val="Normal"/>
        <w:numPr>
          <w:ilvl w:val="0"/>
          <w:numId w:val="474"/>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475"/>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47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45" w:name="__RefHeading___Toc21807_17926050"/>
      <w:bookmarkEnd w:id="145"/>
      <w:r>
        <w:rPr>
          <w:rFonts w:eastAsia="Segoe UI" w:cs="Segoe UI"/>
          <w:b/>
          <w:color w:val="0F4761"/>
          <w:sz w:val="26"/>
        </w:rPr>
        <w:t>13.5  Period control</w:t>
      </w:r>
    </w:p>
    <w:p>
      <w:pPr>
        <w:pStyle w:val="Normal"/>
        <w:shd w:val="clear" w:color="auto" w:fill="EAF2FB"/>
        <w:spacing w:before="0" w:after="160"/>
        <w:ind w:left="170"/>
        <w:rPr/>
      </w:pPr>
      <w:r>
        <w:rPr>
          <w:rFonts w:eastAsia="Segoe UI" w:cs="Segoe UI" w:ascii="Segoe UI" w:hAnsi="Segoe UI"/>
          <w:color w:val="101820"/>
          <w:sz w:val="20"/>
        </w:rPr>
        <w:t>[Screen image not available: 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46" w:name="__RefHeading___Toc21809_17926050"/>
      <w:bookmarkEnd w:id="146"/>
      <w:r>
        <w:rPr>
          <w:rFonts w:eastAsia="Segoe UI" w:cs="Segoe UI"/>
          <w:b/>
          <w:color w:val="0F4761"/>
          <w:sz w:val="26"/>
        </w:rPr>
        <w:t>13.6  Approve a bank reconciliation</w:t>
      </w:r>
    </w:p>
    <w:p>
      <w:pPr>
        <w:pStyle w:val="Normal"/>
        <w:shd w:val="clear" w:color="auto" w:fill="EAF2FB"/>
        <w:spacing w:before="0" w:after="160"/>
        <w:ind w:left="170"/>
        <w:rPr/>
      </w:pPr>
      <w:r>
        <w:rPr>
          <w:rFonts w:eastAsia="Segoe UI" w:cs="Segoe UI" w:ascii="Segoe UI" w:hAnsi="Segoe UI"/>
          <w:color w:val="101820"/>
          <w:sz w:val="20"/>
        </w:rPr>
        <w:t>[Screen image not available: A prepared bank reconciliation opened by the Accounting Manager]</w:t>
      </w:r>
    </w:p>
    <w:p>
      <w:pPr>
        <w:pStyle w:val="Normal"/>
        <w:numPr>
          <w:ilvl w:val="0"/>
          <w:numId w:val="477"/>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478"/>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479"/>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47" w:name="__RefHeading___Toc21811_17926050"/>
      <w:bookmarkEnd w:id="147"/>
      <w:r>
        <w:rPr>
          <w:rFonts w:eastAsia="Segoe UI" w:cs="Segoe UI"/>
          <w:b/>
          <w:color w:val="0F4761"/>
          <w:sz w:val="26"/>
        </w:rPr>
        <w:t>13.7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48" w:name="__RefHeading___Toc21813_17926050"/>
      <w:bookmarkEnd w:id="148"/>
      <w:r>
        <w:rPr>
          <w:rFonts w:eastAsia="Segoe UI" w:cs="Segoe UI"/>
          <w:b/>
          <w:color w:val="0F4761"/>
          <w:sz w:val="26"/>
        </w:rPr>
        <w:t>13.8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49" w:name="__RefHeading___Toc21815_17926050"/>
      <w:bookmarkEnd w:id="149"/>
      <w:r>
        <w:rPr>
          <w:rFonts w:eastAsia="Segoe UI" w:cs="Segoe UI"/>
          <w:b/>
          <w:color w:val="0F4761"/>
          <w:sz w:val="26"/>
        </w:rPr>
        <w:t>13.9  Year-end close</w:t>
      </w:r>
    </w:p>
    <w:p>
      <w:pPr>
        <w:pStyle w:val="Normal"/>
        <w:shd w:val="clear" w:color="auto" w:fill="EAF2FB"/>
        <w:spacing w:before="0" w:after="160"/>
        <w:ind w:left="170"/>
        <w:rPr/>
      </w:pPr>
      <w:r>
        <w:rPr>
          <w:rFonts w:eastAsia="Segoe UI" w:cs="Segoe UI" w:ascii="Segoe UI" w:hAnsi="Segoe UI"/>
          <w:color w:val="101820"/>
          <w:sz w:val="20"/>
        </w:rPr>
        <w:t>[Screen image not available: 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480"/>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481"/>
        </w:numPr>
        <w:spacing w:before="0" w:after="60"/>
        <w:rPr/>
      </w:pPr>
      <w:r>
        <w:rPr>
          <w:rFonts w:eastAsia="Segoe UI" w:cs="Segoe UI" w:ascii="Segoe UI" w:hAnsi="Segoe UI"/>
          <w:color w:val="101820"/>
          <w:sz w:val="21"/>
        </w:rPr>
        <w:t>Check the pre-checks and the net income.</w:t>
      </w:r>
    </w:p>
    <w:p>
      <w:pPr>
        <w:pStyle w:val="Normal"/>
        <w:numPr>
          <w:ilvl w:val="0"/>
          <w:numId w:val="48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50" w:name="__RefHeading___Toc21817_17926050"/>
      <w:bookmarkEnd w:id="150"/>
      <w:r>
        <w:rPr>
          <w:rFonts w:eastAsia="Segoe UI" w:cs="Segoe UI"/>
          <w:b/>
          <w:color w:val="0F4761"/>
          <w:sz w:val="26"/>
        </w:rPr>
        <w:t>13.10  Posting configuration: Configuration Approvals, Posting Rules, Account Determination</w:t>
      </w:r>
    </w:p>
    <w:p>
      <w:pPr>
        <w:pStyle w:val="Normal"/>
        <w:shd w:val="clear" w:color="auto" w:fill="EAF2FB"/>
        <w:spacing w:before="0" w:after="160"/>
        <w:ind w:left="170"/>
        <w:rPr/>
      </w:pPr>
      <w:r>
        <w:rPr>
          <w:rFonts w:eastAsia="Segoe UI" w:cs="Segoe UI" w:ascii="Segoe UI" w:hAnsi="Segoe UI"/>
          <w:color w:val="101820"/>
          <w:sz w:val="20"/>
        </w:rPr>
        <w:t>[Screen image not available: 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[Screen image not available: 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shd w:val="clear" w:color="auto" w:fill="EAF2FB"/>
        <w:spacing w:before="0" w:after="160"/>
        <w:ind w:left="170"/>
        <w:rPr/>
      </w:pPr>
      <w:r>
        <w:rPr>
          <w:rFonts w:eastAsia="Segoe UI" w:cs="Segoe UI" w:ascii="Segoe UI" w:hAnsi="Segoe UI"/>
          <w:color w:val="101820"/>
          <w:sz w:val="20"/>
        </w:rPr>
        <w:t>[Screen image not available: 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51" w:name="__RefHeading___Toc21819_17926050"/>
      <w:bookmarkEnd w:id="151"/>
      <w:r>
        <w:rPr>
          <w:rFonts w:eastAsia="Segoe UI" w:cs="Segoe UI"/>
          <w:b/>
          <w:color w:val="0F4761"/>
          <w:sz w:val="26"/>
        </w:rPr>
        <w:t>13.11  Commission Rate Matrix</w:t>
      </w:r>
    </w:p>
    <w:p>
      <w:pPr>
        <w:pStyle w:val="Normal"/>
        <w:shd w:val="clear" w:color="auto" w:fill="EAF2FB"/>
        <w:spacing w:before="0" w:after="160"/>
        <w:ind w:left="170"/>
        <w:rPr/>
      </w:pPr>
      <w:r>
        <w:rPr>
          <w:rFonts w:eastAsia="Segoe UI" w:cs="Segoe UI" w:ascii="Segoe UI" w:hAnsi="Segoe UI"/>
          <w:color w:val="101820"/>
          <w:sz w:val="20"/>
        </w:rPr>
        <w:t>[Screen image not available: 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52" w:name="__RefHeading___Toc21821_17926050"/>
      <w:bookmarkEnd w:id="152"/>
      <w:r>
        <w:rPr>
          <w:rFonts w:eastAsia="Segoe UI" w:cs="Segoe UI"/>
          <w:b/>
          <w:color w:val="0F4761"/>
          <w:sz w:val="26"/>
        </w:rPr>
        <w:t>13.12  Approve supplier invoices</w:t>
      </w:r>
    </w:p>
    <w:p>
      <w:pPr>
        <w:pStyle w:val="Normal"/>
        <w:spacing w:lineRule="auto" w:line="276" w:before="0" w:after="120"/>
        <w:rPr/>
      </w:pPr>
      <w:r>
        <w:rPr>
          <w:rFonts w:eastAsia="Segoe UI" w:cs="Segoe UI" w:ascii="Segoe UI" w:hAnsi="Segoe UI"/>
          <w:color w:val="101820"/>
          <w:sz w:val="21"/>
        </w:rPr>
        <w:t xml:space="preserve">Supplier invoices sent for approval are announced in the notifications (approve:payables). Open Accounts &gt; Payables &gt; Supplier Invoices, filter </w:t>
      </w:r>
      <w:r>
        <w:rPr>
          <w:rFonts w:eastAsia="Segoe UI" w:cs="Segoe UI" w:ascii="Segoe UI" w:hAnsi="Segoe UI"/>
          <w:b/>
          <w:color w:val="101820"/>
          <w:sz w:val="21"/>
        </w:rPr>
        <w:t>For approval</w:t>
      </w:r>
      <w:r>
        <w:rPr>
          <w:rFonts w:eastAsia="Segoe UI" w:cs="Segoe UI" w:ascii="Segoe UI" w:hAnsi="Segoe UI"/>
          <w:color w:val="101820"/>
          <w:sz w:val="21"/>
        </w:rPr>
        <w:t xml:space="preserve">, open the invoice, check the lines, VAT and EWT and select </w:t>
      </w:r>
      <w:r>
        <w:rPr>
          <w:rFonts w:eastAsia="Segoe UI" w:cs="Segoe UI" w:ascii="Segoe UI" w:hAnsi="Segoe UI"/>
          <w:b/>
          <w:color w:val="101820"/>
          <w:sz w:val="21"/>
        </w:rPr>
        <w:t>Approve</w:t>
      </w:r>
      <w:r>
        <w:rPr>
          <w:rFonts w:eastAsia="Segoe UI" w:cs="Segoe UI" w:ascii="Segoe UI" w:hAnsi="Segoe UI"/>
          <w:color w:val="101820"/>
          <w:sz w:val="21"/>
        </w:rPr>
        <w:t xml:space="preserve"> (the journal is posted) or </w:t>
      </w:r>
      <w:r>
        <w:rPr>
          <w:rFonts w:eastAsia="Segoe UI" w:cs="Segoe UI" w:ascii="Segoe UI" w:hAnsi="Segoe UI"/>
          <w:b/>
          <w:color w:val="101820"/>
          <w:sz w:val="21"/>
        </w:rPr>
        <w:t>Reject</w:t>
      </w:r>
      <w:r>
        <w:rPr>
          <w:rFonts w:eastAsia="Segoe UI" w:cs="Segoe UI" w:ascii="Segoe UI" w:hAnsi="Segoe UI"/>
          <w:color w:val="101820"/>
          <w:sz w:val="21"/>
        </w:rPr>
        <w:t xml:space="preserve"> with a reason. You cannot approve an invoice you prepared or submitted.</w:t>
      </w:r>
    </w:p>
    <w:p>
      <w:pPr>
        <w:pStyle w:val="Heading2"/>
        <w:rPr/>
      </w:pPr>
      <w:bookmarkStart w:id="153" w:name="__RefHeading___Toc21823_17926050"/>
      <w:bookmarkEnd w:id="153"/>
      <w:r>
        <w:rPr>
          <w:rFonts w:eastAsia="Segoe UI" w:cs="Segoe UI"/>
          <w:b/>
          <w:color w:val="0F4761"/>
          <w:sz w:val="26"/>
        </w:rPr>
        <w:t>13.13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54" w:name="__RefHeading___Toc21825_17926050"/>
      <w:bookmarkEnd w:id="154"/>
      <w:r>
        <w:rPr>
          <w:rFonts w:eastAsia="Segoe UI" w:cs="Segoe UI" w:ascii="Segoe UI" w:hAnsi="Segoe UI"/>
          <w:b/>
          <w:color w:val="0F4761"/>
          <w:sz w:val="32"/>
        </w:rPr>
        <w:t>14.  Distribution, programmes and products</w:t>
      </w:r>
    </w:p>
    <w:p>
      <w:pPr>
        <w:pStyle w:val="Normal"/>
        <w:spacing w:lineRule="auto" w:line="276" w:before="0" w:after="120"/>
        <w:rPr/>
      </w:pPr>
      <w:r>
        <w:rPr>
          <w:rFonts w:eastAsia="Segoe UI" w:cs="Segoe UI" w:ascii="Segoe UI" w:hAnsi="Segoe UI"/>
          <w:color w:val="101820"/>
          <w:sz w:val="21"/>
        </w:rPr>
        <w:t>This chapter covers the screens that bring business in and the specialist products placed in bulk: who works each prospect, the dealers, banks and affinity partners that refer business, the brand-new vehicle programmes, fleet schedules, marine open covers, the comparison report given to clients, marketing campaigns and the Report Builder.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uses it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Lead Assignment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managers and the lead assignment team (read / write:lead-assignment); every account executive sees the team view of their own reporting line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&gt; Distribution Channels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Processing and Operations (read:channels to view, write:channels to change)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Dealer Programmes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Processing (read / write:motor-programmes)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Comparison Reports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Processing (quotation permissions)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Campaigns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marketing (read / write:campaigns)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Fleet Schedules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Processing (read / write:fleet)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Open Covers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Marine Open Covers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Processing (read / write:marine)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Production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Dealer Production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the reports permission</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Report Builder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the reports permission; saving needs write:reports; the BI extract tab is for the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Sales Activities screen, also under Operations &gt; Sales &amp; Marketing, is described in the Sales &amp; Marketing chapter.</w:t>
      </w:r>
    </w:p>
    <w:p>
      <w:pPr>
        <w:pStyle w:val="Heading2"/>
        <w:rPr/>
      </w:pPr>
      <w:bookmarkStart w:id="155" w:name="__RefHeading___Toc21827_17926050"/>
      <w:bookmarkEnd w:id="155"/>
      <w:r>
        <w:rPr>
          <w:rFonts w:eastAsia="Segoe UI" w:cs="Segoe UI"/>
          <w:b/>
          <w:color w:val="0F4761"/>
          <w:sz w:val="26"/>
        </w:rPr>
        <w:t>14.1  Lead Assignment</w:t>
      </w:r>
    </w:p>
    <w:p>
      <w:pPr>
        <w:pStyle w:val="Normal"/>
        <w:shd w:val="clear" w:color="auto" w:fill="EAF2FB"/>
        <w:spacing w:before="0" w:after="160"/>
        <w:ind w:left="170"/>
        <w:rPr/>
      </w:pPr>
      <w:r>
        <w:rPr>
          <w:rFonts w:eastAsia="Segoe UI" w:cs="Segoe UI" w:ascii="Segoe UI" w:hAnsi="Segoe UI"/>
          <w:color w:val="101820"/>
          <w:sz w:val="20"/>
        </w:rPr>
        <w:t>[Screen image not available: Operations &gt; Sales &amp; Marketing &gt; Lead Assignment]</w:t>
      </w:r>
    </w:p>
    <w:p>
      <w:pPr>
        <w:pStyle w:val="Normal"/>
        <w:spacing w:lineRule="auto" w:line="276" w:before="0" w:after="120"/>
        <w:rPr/>
      </w:pPr>
      <w:r>
        <w:rPr>
          <w:rFonts w:eastAsia="Segoe UI" w:cs="Segoe UI" w:ascii="Segoe UI" w:hAnsi="Segoe UI"/>
          <w:color w:val="101820"/>
          <w:sz w:val="21"/>
        </w:rPr>
        <w:t xml:space="preserve">Choose Operations &gt; Sales &amp; Marketing &gt; Lead Assignment. The screen has three tabs: </w:t>
      </w:r>
      <w:r>
        <w:rPr>
          <w:rFonts w:eastAsia="Segoe UI" w:cs="Segoe UI" w:ascii="Segoe UI" w:hAnsi="Segoe UI"/>
          <w:b/>
          <w:color w:val="101820"/>
          <w:sz w:val="21"/>
        </w:rPr>
        <w:t>Team View</w:t>
      </w:r>
      <w:r>
        <w:rPr>
          <w:rFonts w:eastAsia="Segoe UI" w:cs="Segoe UI" w:ascii="Segoe UI" w:hAnsi="Segoe UI"/>
          <w:color w:val="101820"/>
          <w:sz w:val="21"/>
        </w:rPr>
        <w:t xml:space="preserve">, </w:t>
      </w:r>
      <w:r>
        <w:rPr>
          <w:rFonts w:eastAsia="Segoe UI" w:cs="Segoe UI" w:ascii="Segoe UI" w:hAnsi="Segoe UI"/>
          <w:b/>
          <w:color w:val="101820"/>
          <w:sz w:val="21"/>
        </w:rPr>
        <w:t>Queue</w:t>
      </w:r>
      <w:r>
        <w:rPr>
          <w:rFonts w:eastAsia="Segoe UI" w:cs="Segoe UI" w:ascii="Segoe UI" w:hAnsi="Segoe UI"/>
          <w:color w:val="101820"/>
          <w:sz w:val="21"/>
        </w:rPr>
        <w:t xml:space="preserve"> and </w:t>
      </w:r>
      <w:r>
        <w:rPr>
          <w:rFonts w:eastAsia="Segoe UI" w:cs="Segoe UI" w:ascii="Segoe UI" w:hAnsi="Segoe UI"/>
          <w:b/>
          <w:color w:val="101820"/>
          <w:sz w:val="21"/>
        </w:rPr>
        <w:t>Assignment Rules</w:t>
      </w:r>
      <w:r>
        <w:rPr>
          <w:rFonts w:eastAsia="Segoe UI" w:cs="Segoe UI" w:ascii="Segoe UI" w:hAnsi="Segoe UI"/>
          <w:color w:val="101820"/>
          <w:sz w:val="21"/>
        </w:rPr>
        <w:t>. Users without the lead assignment permissions see only the team view.</w:t>
      </w:r>
    </w:p>
    <w:p>
      <w:pPr>
        <w:pStyle w:val="Heading3"/>
        <w:rPr/>
      </w:pPr>
      <w:r>
        <w:rPr>
          <w:rFonts w:eastAsia="Segoe UI" w:cs="Segoe UI"/>
          <w:b/>
          <w:color w:val="0F4761"/>
          <w:sz w:val="23"/>
        </w:rPr>
        <w:t>14.1.1  Team view</w:t>
      </w:r>
    </w:p>
    <w:p>
      <w:pPr>
        <w:pStyle w:val="Normal"/>
        <w:spacing w:lineRule="auto" w:line="276" w:before="0" w:after="120"/>
        <w:rPr/>
      </w:pPr>
      <w:r>
        <w:rPr>
          <w:rFonts w:eastAsia="Segoe UI" w:cs="Segoe UI" w:ascii="Segoe UI" w:hAnsi="Segoe UI"/>
          <w:color w:val="101820"/>
          <w:sz w:val="21"/>
        </w:rPr>
        <w:t xml:space="preserve">The team view lists each account executive of the reporting line (the users who report to the signed-in manager, and their own reports) with the prospects they hold: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Converted</w:t>
      </w:r>
      <w:r>
        <w:rPr>
          <w:rFonts w:eastAsia="Segoe UI" w:cs="Segoe UI" w:ascii="Segoe UI" w:hAnsi="Segoe UI"/>
          <w:color w:val="101820"/>
          <w:sz w:val="21"/>
        </w:rPr>
        <w:t xml:space="preserve">, </w:t>
      </w:r>
      <w:r>
        <w:rPr>
          <w:rFonts w:eastAsia="Segoe UI" w:cs="Segoe UI" w:ascii="Segoe UI" w:hAnsi="Segoe UI"/>
          <w:b/>
          <w:color w:val="101820"/>
          <w:sz w:val="21"/>
        </w:rPr>
        <w:t>Lost</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and </w:t>
      </w:r>
      <w:r>
        <w:rPr>
          <w:rFonts w:eastAsia="Segoe UI" w:cs="Segoe UI" w:ascii="Segoe UI" w:hAnsi="Segoe UI"/>
          <w:b/>
          <w:color w:val="101820"/>
          <w:sz w:val="21"/>
        </w:rPr>
        <w:t>In queue</w:t>
      </w:r>
      <w:r>
        <w:rPr>
          <w:rFonts w:eastAsia="Segoe UI" w:cs="Segoe UI" w:ascii="Segoe UI" w:hAnsi="Segoe UI"/>
          <w:color w:val="101820"/>
          <w:sz w:val="21"/>
        </w:rPr>
        <w:t xml:space="preserve">. Choose a manager to see that manager's line (the default is your own team) or a </w:t>
      </w:r>
      <w:r>
        <w:rPr>
          <w:rFonts w:eastAsia="Segoe UI" w:cs="Segoe UI" w:ascii="Segoe UI" w:hAnsi="Segoe UI"/>
          <w:b/>
          <w:color w:val="101820"/>
          <w:sz w:val="21"/>
        </w:rPr>
        <w:t>Team member</w:t>
      </w:r>
      <w:r>
        <w:rPr>
          <w:rFonts w:eastAsia="Segoe UI" w:cs="Segoe UI" w:ascii="Segoe UI" w:hAnsi="Segoe UI"/>
          <w:color w:val="101820"/>
          <w:sz w:val="21"/>
        </w:rPr>
        <w:t xml:space="preserve"> to see one person. Below the team, the open prospects of the selection are listed, with their </w:t>
      </w:r>
      <w:r>
        <w:rPr>
          <w:rFonts w:eastAsia="Segoe UI" w:cs="Segoe UI" w:ascii="Segoe UI" w:hAnsi="Segoe UI"/>
          <w:b/>
          <w:color w:val="101820"/>
          <w:sz w:val="21"/>
        </w:rPr>
        <w:t>Assignment</w:t>
      </w:r>
      <w:r>
        <w:rPr>
          <w:rFonts w:eastAsia="Segoe UI" w:cs="Segoe UI" w:ascii="Segoe UI" w:hAnsi="Segoe UI"/>
          <w:color w:val="101820"/>
          <w:sz w:val="21"/>
        </w:rPr>
        <w:t xml:space="preserve"> status.</w:t>
      </w:r>
    </w:p>
    <w:p>
      <w:pPr>
        <w:pStyle w:val="Heading3"/>
        <w:rPr/>
      </w:pPr>
      <w:r>
        <w:rPr>
          <w:rFonts w:eastAsia="Segoe UI" w:cs="Segoe UI"/>
          <w:b/>
          <w:color w:val="0F4761"/>
          <w:sz w:val="23"/>
        </w:rPr>
        <w:t>14.1.2  Assignment rules</w:t>
      </w:r>
    </w:p>
    <w:p>
      <w:pPr>
        <w:pStyle w:val="Normal"/>
        <w:spacing w:lineRule="auto" w:line="276" w:before="0" w:after="120"/>
        <w:rPr/>
      </w:pPr>
      <w:r>
        <w:rPr>
          <w:rFonts w:eastAsia="Segoe UI" w:cs="Segoe UI" w:ascii="Segoe UI" w:hAnsi="Segoe UI"/>
          <w:color w:val="101820"/>
          <w:sz w:val="21"/>
        </w:rPr>
        <w:t>Every new prospect, whether entered on the prospect screen, uploaded or created from a dealer sale, is given an account executive by the first active rule that matches it.</w:t>
      </w:r>
    </w:p>
    <w:p>
      <w:pPr>
        <w:pStyle w:val="Normal"/>
        <w:numPr>
          <w:ilvl w:val="0"/>
          <w:numId w:val="483"/>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Assignment Rules</w:t>
      </w:r>
      <w:r>
        <w:rPr>
          <w:rFonts w:eastAsia="Segoe UI" w:cs="Segoe UI" w:ascii="Segoe UI" w:hAnsi="Segoe UI"/>
          <w:color w:val="101820"/>
          <w:sz w:val="21"/>
        </w:rPr>
        <w:t xml:space="preserve"> and select </w:t>
      </w:r>
      <w:r>
        <w:rPr>
          <w:rFonts w:eastAsia="Segoe UI" w:cs="Segoe UI" w:ascii="Segoe UI" w:hAnsi="Segoe UI"/>
          <w:b/>
          <w:color w:val="101820"/>
          <w:sz w:val="21"/>
        </w:rPr>
        <w:t>Add rule</w:t>
      </w:r>
      <w:r>
        <w:rPr>
          <w:rFonts w:eastAsia="Segoe UI" w:cs="Segoe UI" w:ascii="Segoe UI" w:hAnsi="Segoe UI"/>
          <w:color w:val="101820"/>
          <w:sz w:val="21"/>
        </w:rPr>
        <w:t>.</w:t>
      </w:r>
    </w:p>
    <w:p>
      <w:pPr>
        <w:pStyle w:val="Normal"/>
        <w:numPr>
          <w:ilvl w:val="0"/>
          <w:numId w:val="484"/>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Name</w:t>
      </w:r>
      <w:r>
        <w:rPr>
          <w:rFonts w:eastAsia="Segoe UI" w:cs="Segoe UI" w:ascii="Segoe UI" w:hAnsi="Segoe UI"/>
          <w:color w:val="101820"/>
          <w:sz w:val="21"/>
        </w:rPr>
        <w:t xml:space="preserve"> and the </w:t>
      </w:r>
      <w:r>
        <w:rPr>
          <w:rFonts w:eastAsia="Segoe UI" w:cs="Segoe UI" w:ascii="Segoe UI" w:hAnsi="Segoe UI"/>
          <w:b/>
          <w:color w:val="101820"/>
          <w:sz w:val="21"/>
        </w:rPr>
        <w:t>Priority</w:t>
      </w:r>
      <w:r>
        <w:rPr>
          <w:rFonts w:eastAsia="Segoe UI" w:cs="Segoe UI" w:ascii="Segoe UI" w:hAnsi="Segoe UI"/>
          <w:color w:val="101820"/>
          <w:sz w:val="21"/>
        </w:rPr>
        <w:t xml:space="preserve"> (lower numbers are tried first).</w:t>
      </w:r>
    </w:p>
    <w:p>
      <w:pPr>
        <w:pStyle w:val="Normal"/>
        <w:numPr>
          <w:ilvl w:val="0"/>
          <w:numId w:val="485"/>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Method</w:t>
      </w:r>
      <w:r>
        <w:rPr>
          <w:rFonts w:eastAsia="Segoe UI" w:cs="Segoe UI" w:ascii="Segoe UI" w:hAnsi="Segoe UI"/>
          <w:color w:val="101820"/>
          <w:sz w:val="21"/>
        </w:rPr>
        <w:t xml:space="preserve">: </w:t>
      </w:r>
      <w:r>
        <w:rPr>
          <w:rFonts w:eastAsia="Segoe UI" w:cs="Segoe UI" w:ascii="Segoe UI" w:hAnsi="Segoe UI"/>
          <w:b/>
          <w:color w:val="101820"/>
          <w:sz w:val="21"/>
        </w:rPr>
        <w:t>Round robin</w:t>
      </w:r>
      <w:r>
        <w:rPr>
          <w:rFonts w:eastAsia="Segoe UI" w:cs="Segoe UI" w:ascii="Segoe UI" w:hAnsi="Segoe UI"/>
          <w:color w:val="101820"/>
          <w:sz w:val="21"/>
        </w:rPr>
        <w:t xml:space="preserve"> (each matching prospect goes to the next account executive in turn), </w:t>
      </w:r>
      <w:r>
        <w:rPr>
          <w:rFonts w:eastAsia="Segoe UI" w:cs="Segoe UI" w:ascii="Segoe UI" w:hAnsi="Segoe UI"/>
          <w:b/>
          <w:color w:val="101820"/>
          <w:sz w:val="21"/>
        </w:rPr>
        <w:t>Fewest open prospects</w:t>
      </w:r>
      <w:r>
        <w:rPr>
          <w:rFonts w:eastAsia="Segoe UI" w:cs="Segoe UI" w:ascii="Segoe UI" w:hAnsi="Segoe UI"/>
          <w:color w:val="101820"/>
          <w:sz w:val="21"/>
        </w:rPr>
        <w:t xml:space="preserve"> (to whoever holds the fewest open prospects) or </w:t>
      </w:r>
      <w:r>
        <w:rPr>
          <w:rFonts w:eastAsia="Segoe UI" w:cs="Segoe UI" w:ascii="Segoe UI" w:hAnsi="Segoe UI"/>
          <w:b/>
          <w:color w:val="101820"/>
          <w:sz w:val="21"/>
        </w:rPr>
        <w:t>Fixed account executive</w:t>
      </w:r>
      <w:r>
        <w:rPr>
          <w:rFonts w:eastAsia="Segoe UI" w:cs="Segoe UI" w:ascii="Segoe UI" w:hAnsi="Segoe UI"/>
          <w:color w:val="101820"/>
          <w:sz w:val="21"/>
        </w:rPr>
        <w:t xml:space="preserve"> (always the first one listed).</w:t>
      </w:r>
    </w:p>
    <w:p>
      <w:pPr>
        <w:pStyle w:val="Normal"/>
        <w:numPr>
          <w:ilvl w:val="0"/>
          <w:numId w:val="48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Account executives</w:t>
      </w:r>
      <w:r>
        <w:rPr>
          <w:rFonts w:eastAsia="Segoe UI" w:cs="Segoe UI" w:ascii="Segoe UI" w:hAnsi="Segoe UI"/>
          <w:color w:val="101820"/>
          <w:sz w:val="21"/>
        </w:rPr>
        <w:t xml:space="preserve"> who share the work. Only active users can receive prospects.</w:t>
      </w:r>
    </w:p>
    <w:p>
      <w:pPr>
        <w:pStyle w:val="Normal"/>
        <w:numPr>
          <w:ilvl w:val="0"/>
          <w:numId w:val="487"/>
        </w:numPr>
        <w:spacing w:before="0" w:after="60"/>
        <w:rPr/>
      </w:pPr>
      <w:r>
        <w:rPr>
          <w:rFonts w:eastAsia="Segoe UI" w:cs="Segoe UI" w:ascii="Segoe UI" w:hAnsi="Segoe UI"/>
          <w:color w:val="101820"/>
          <w:sz w:val="21"/>
        </w:rPr>
        <w:t xml:space="preserve">Set the conditions the prospect must meet: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Distribution channel</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Source</w:t>
      </w:r>
      <w:r>
        <w:rPr>
          <w:rFonts w:eastAsia="Segoe UI" w:cs="Segoe UI" w:ascii="Segoe UI" w:hAnsi="Segoe UI"/>
          <w:color w:val="101820"/>
          <w:sz w:val="21"/>
        </w:rPr>
        <w:t xml:space="preserve"> and </w:t>
      </w:r>
      <w:r>
        <w:rPr>
          <w:rFonts w:eastAsia="Segoe UI" w:cs="Segoe UI" w:ascii="Segoe UI" w:hAnsi="Segoe UI"/>
          <w:b/>
          <w:color w:val="101820"/>
          <w:sz w:val="21"/>
        </w:rPr>
        <w:t>Category</w:t>
      </w:r>
      <w:r>
        <w:rPr>
          <w:rFonts w:eastAsia="Segoe UI" w:cs="Segoe UI" w:ascii="Segoe UI" w:hAnsi="Segoe UI"/>
          <w:color w:val="101820"/>
          <w:sz w:val="21"/>
        </w:rPr>
        <w:t>. An empty condition matches anything.</w:t>
      </w:r>
    </w:p>
    <w:p>
      <w:pPr>
        <w:pStyle w:val="Normal"/>
        <w:numPr>
          <w:ilvl w:val="0"/>
          <w:numId w:val="4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When rules exist but none matches, the setting </w:t>
      </w:r>
      <w:r>
        <w:rPr>
          <w:rFonts w:eastAsia="Segoe UI" w:cs="Segoe UI" w:ascii="Segoe UI" w:hAnsi="Segoe UI"/>
          <w:b/>
          <w:color w:val="101820"/>
          <w:sz w:val="21"/>
        </w:rPr>
        <w:t>leads.assignment_fallback</w:t>
      </w:r>
      <w:r>
        <w:rPr>
          <w:rFonts w:eastAsia="Segoe UI" w:cs="Segoe UI" w:ascii="Segoe UI" w:hAnsi="Segoe UI"/>
          <w:color w:val="101820"/>
          <w:sz w:val="21"/>
        </w:rPr>
        <w:t xml:space="preserve"> decides: </w:t>
      </w:r>
      <w:r>
        <w:rPr>
          <w:rFonts w:eastAsia="Segoe UI" w:cs="Segoe UI" w:ascii="Segoe UI" w:hAnsi="Segoe UI"/>
          <w:b/>
          <w:color w:val="101820"/>
          <w:sz w:val="21"/>
        </w:rPr>
        <w:t>creator</w:t>
      </w:r>
      <w:r>
        <w:rPr>
          <w:rFonts w:eastAsia="Segoe UI" w:cs="Segoe UI" w:ascii="Segoe UI" w:hAnsi="Segoe UI"/>
          <w:color w:val="101820"/>
          <w:sz w:val="21"/>
        </w:rPr>
        <w:t xml:space="preserve"> (the person who entered the prospect keeps it) or </w:t>
      </w:r>
      <w:r>
        <w:rPr>
          <w:rFonts w:eastAsia="Segoe UI" w:cs="Segoe UI" w:ascii="Segoe UI" w:hAnsi="Segoe UI"/>
          <w:b/>
          <w:color w:val="101820"/>
          <w:sz w:val="21"/>
        </w:rPr>
        <w:t>queue</w:t>
      </w:r>
      <w:r>
        <w:rPr>
          <w:rFonts w:eastAsia="Segoe UI" w:cs="Segoe UI" w:ascii="Segoe UI" w:hAnsi="Segoe UI"/>
          <w:color w:val="101820"/>
          <w:sz w:val="21"/>
        </w:rPr>
        <w:t xml:space="preserve"> (the prospect waits in the reassignment queue). Assignment can be switched off with </w:t>
      </w:r>
      <w:r>
        <w:rPr>
          <w:rFonts w:eastAsia="Segoe UI" w:cs="Segoe UI" w:ascii="Segoe UI" w:hAnsi="Segoe UI"/>
          <w:b/>
          <w:color w:val="101820"/>
          <w:sz w:val="21"/>
        </w:rPr>
        <w:t>leads.assignment_enabled</w:t>
      </w:r>
      <w:r>
        <w:rPr>
          <w:rFonts w:eastAsia="Segoe UI" w:cs="Segoe UI" w:ascii="Segoe UI" w:hAnsi="Segoe UI"/>
          <w:color w:val="101820"/>
          <w:sz w:val="21"/>
        </w:rPr>
        <w:t xml:space="preserve">. Every assignment is written to the prospect's </w:t>
      </w:r>
      <w:r>
        <w:rPr>
          <w:rFonts w:eastAsia="Segoe UI" w:cs="Segoe UI" w:ascii="Segoe UI" w:hAnsi="Segoe UI"/>
          <w:b/>
          <w:color w:val="101820"/>
          <w:sz w:val="21"/>
        </w:rPr>
        <w:t>Assignment history</w:t>
      </w:r>
      <w:r>
        <w:rPr>
          <w:rFonts w:eastAsia="Segoe UI" w:cs="Segoe UI" w:ascii="Segoe UI" w:hAnsi="Segoe UI"/>
          <w:color w:val="101820"/>
          <w:sz w:val="21"/>
        </w:rPr>
        <w:t xml:space="preserve"> (rule, from, to, reason, who and when).</w:t>
      </w:r>
    </w:p>
    <w:p>
      <w:pPr>
        <w:pStyle w:val="Heading3"/>
        <w:rPr/>
      </w:pPr>
      <w:r>
        <w:rPr>
          <w:rFonts w:eastAsia="Segoe UI" w:cs="Segoe UI"/>
          <w:b/>
          <w:color w:val="0F4761"/>
          <w:sz w:val="23"/>
        </w:rPr>
        <w:t>14.1.3  Reassignment queue and bulk reassignment</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Queue</w:t>
      </w:r>
      <w:r>
        <w:rPr>
          <w:rFonts w:eastAsia="Segoe UI" w:cs="Segoe UI" w:ascii="Segoe UI" w:hAnsi="Segoe UI"/>
          <w:color w:val="101820"/>
          <w:sz w:val="21"/>
        </w:rPr>
        <w:t xml:space="preserve"> tab lists prospects waiting for an account executive: those no rule matched (with fallback queue), those sent to the queue by a manager, and those left untouched longer than </w:t>
      </w:r>
      <w:r>
        <w:rPr>
          <w:rFonts w:eastAsia="Segoe UI" w:cs="Segoe UI" w:ascii="Segoe UI" w:hAnsi="Segoe UI"/>
          <w:b/>
          <w:color w:val="101820"/>
          <w:sz w:val="21"/>
        </w:rPr>
        <w:t>leads.assignment_sla_hours</w:t>
      </w:r>
      <w:r>
        <w:rPr>
          <w:rFonts w:eastAsia="Segoe UI" w:cs="Segoe UI" w:ascii="Segoe UI" w:hAnsi="Segoe UI"/>
          <w:color w:val="101820"/>
          <w:sz w:val="21"/>
        </w:rPr>
        <w:t xml:space="preserve"> (the </w:t>
      </w:r>
      <w:r>
        <w:rPr>
          <w:rFonts w:eastAsia="Segoe UI" w:cs="Segoe UI" w:ascii="Segoe UI" w:hAnsi="Segoe UI"/>
          <w:b/>
          <w:color w:val="101820"/>
          <w:sz w:val="21"/>
        </w:rPr>
        <w:t>lead-assignment-sla</w:t>
      </w:r>
      <w:r>
        <w:rPr>
          <w:rFonts w:eastAsia="Segoe UI" w:cs="Segoe UI" w:ascii="Segoe UI" w:hAnsi="Segoe UI"/>
          <w:color w:val="101820"/>
          <w:sz w:val="21"/>
        </w:rPr>
        <w:t xml:space="preserve"> job moves them each morning once it is switched on in Master &gt; Schedules).</w:t>
      </w:r>
    </w:p>
    <w:p>
      <w:pPr>
        <w:pStyle w:val="Normal"/>
        <w:numPr>
          <w:ilvl w:val="0"/>
          <w:numId w:val="489"/>
        </w:numPr>
        <w:spacing w:before="0" w:after="60"/>
        <w:rPr/>
      </w:pPr>
      <w:r>
        <w:rPr>
          <w:rFonts w:eastAsia="Segoe UI" w:cs="Segoe UI" w:ascii="Segoe UI" w:hAnsi="Segoe UI"/>
          <w:color w:val="101820"/>
          <w:sz w:val="21"/>
        </w:rPr>
        <w:t>Tick one or more prospects (on the queue or on the team view).</w:t>
      </w:r>
    </w:p>
    <w:p>
      <w:pPr>
        <w:pStyle w:val="Normal"/>
        <w:numPr>
          <w:ilvl w:val="0"/>
          <w:numId w:val="49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Reassign</w:t>
      </w:r>
      <w:r>
        <w:rPr>
          <w:rFonts w:eastAsia="Segoe UI" w:cs="Segoe UI" w:ascii="Segoe UI" w:hAnsi="Segoe UI"/>
          <w:color w:val="101820"/>
          <w:sz w:val="21"/>
        </w:rPr>
        <w:t xml:space="preserve">, choose </w:t>
      </w:r>
      <w:r>
        <w:rPr>
          <w:rFonts w:eastAsia="Segoe UI" w:cs="Segoe UI" w:ascii="Segoe UI" w:hAnsi="Segoe UI"/>
          <w:b/>
          <w:color w:val="101820"/>
          <w:sz w:val="21"/>
        </w:rPr>
        <w:t>To account executive</w:t>
      </w:r>
      <w:r>
        <w:rPr>
          <w:rFonts w:eastAsia="Segoe UI" w:cs="Segoe UI" w:ascii="Segoe UI" w:hAnsi="Segoe UI"/>
          <w:color w:val="101820"/>
          <w:sz w:val="21"/>
        </w:rPr>
        <w:t xml:space="preserve"> and enter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49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Each prospect changes owner, the history records a manual or bulk reassignment and the new owner is notified when </w:t>
      </w:r>
      <w:r>
        <w:rPr>
          <w:rFonts w:eastAsia="Segoe UI" w:cs="Segoe UI" w:ascii="Segoe UI" w:hAnsi="Segoe UI"/>
          <w:b/>
          <w:color w:val="101820"/>
          <w:sz w:val="21"/>
        </w:rPr>
        <w:t>leads.assignment_notify</w:t>
      </w:r>
      <w:r>
        <w:rPr>
          <w:rFonts w:eastAsia="Segoe UI" w:cs="Segoe UI" w:ascii="Segoe UI" w:hAnsi="Segoe UI"/>
          <w:color w:val="101820"/>
          <w:sz w:val="21"/>
        </w:rPr>
        <w:t xml:space="preserve"> is on.</w:t>
      </w:r>
    </w:p>
    <w:p>
      <w:pPr>
        <w:pStyle w:val="Normal"/>
        <w:spacing w:lineRule="auto" w:line="276" w:before="0" w:after="120"/>
        <w:rPr/>
      </w:pPr>
      <w:r>
        <w:rPr>
          <w:rFonts w:eastAsia="Segoe UI" w:cs="Segoe UI" w:ascii="Segoe UI" w:hAnsi="Segoe UI"/>
          <w:b/>
          <w:color w:val="101820"/>
          <w:sz w:val="21"/>
        </w:rPr>
        <w:t>Send to queue</w:t>
      </w:r>
      <w:r>
        <w:rPr>
          <w:rFonts w:eastAsia="Segoe UI" w:cs="Segoe UI" w:ascii="Segoe UI" w:hAnsi="Segoe UI"/>
          <w:color w:val="101820"/>
          <w:sz w:val="21"/>
        </w:rPr>
        <w:t xml:space="preserve"> returns prospects to the queue with a reason, for example when an account executive leaves.</w:t>
      </w:r>
    </w:p>
    <w:p>
      <w:pPr>
        <w:pStyle w:val="Heading2"/>
        <w:rPr/>
      </w:pPr>
      <w:bookmarkStart w:id="156" w:name="__RefHeading___Toc21829_17926050"/>
      <w:bookmarkEnd w:id="156"/>
      <w:r>
        <w:rPr>
          <w:rFonts w:eastAsia="Segoe UI" w:cs="Segoe UI"/>
          <w:b/>
          <w:color w:val="0F4761"/>
          <w:sz w:val="26"/>
        </w:rPr>
        <w:t>14.2  Distribution Channels</w:t>
      </w:r>
    </w:p>
    <w:p>
      <w:pPr>
        <w:pStyle w:val="Normal"/>
        <w:shd w:val="clear" w:color="auto" w:fill="EAF2FB"/>
        <w:spacing w:before="0" w:after="160"/>
        <w:ind w:left="170"/>
        <w:rPr/>
      </w:pPr>
      <w:r>
        <w:rPr>
          <w:rFonts w:eastAsia="Segoe UI" w:cs="Segoe UI" w:ascii="Segoe UI" w:hAnsi="Segoe UI"/>
          <w:color w:val="101820"/>
          <w:sz w:val="20"/>
        </w:rPr>
        <w:t>[Screen image not available: Master &gt; Insurance &gt; Distribution Channels]</w:t>
      </w:r>
    </w:p>
    <w:p>
      <w:pPr>
        <w:pStyle w:val="Normal"/>
        <w:spacing w:lineRule="auto" w:line="276" w:before="0" w:after="120"/>
        <w:rPr/>
      </w:pPr>
      <w:r>
        <w:rPr>
          <w:rFonts w:eastAsia="Segoe UI" w:cs="Segoe UI" w:ascii="Segoe UI" w:hAnsi="Segoe UI"/>
          <w:color w:val="101820"/>
          <w:sz w:val="21"/>
        </w:rPr>
        <w:t>Choose Master &gt; Insurance &gt; Distribution Channels. A channel is a dealer group or dealer branch, a financing bank or bank branch, or an affinity partner (a company whose members or homeowners are referred to the broker).</w:t>
      </w:r>
    </w:p>
    <w:p>
      <w:pPr>
        <w:pStyle w:val="Normal"/>
        <w:numPr>
          <w:ilvl w:val="0"/>
          <w:numId w:val="49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channel</w:t>
      </w:r>
      <w:r>
        <w:rPr>
          <w:rFonts w:eastAsia="Segoe UI" w:cs="Segoe UI" w:ascii="Segoe UI" w:hAnsi="Segoe UI"/>
          <w:color w:val="101820"/>
          <w:sz w:val="21"/>
        </w:rPr>
        <w:t>.</w:t>
      </w:r>
    </w:p>
    <w:p>
      <w:pPr>
        <w:pStyle w:val="Normal"/>
        <w:numPr>
          <w:ilvl w:val="0"/>
          <w:numId w:val="49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Channel type</w:t>
      </w:r>
      <w:r>
        <w:rPr>
          <w:rFonts w:eastAsia="Segoe UI" w:cs="Segoe UI" w:ascii="Segoe UI" w:hAnsi="Segoe UI"/>
          <w:color w:val="101820"/>
          <w:sz w:val="21"/>
        </w:rPr>
        <w:t xml:space="preserve">. A dealer branch </w:t>
      </w:r>
      <w:r>
        <w:rPr>
          <w:rFonts w:eastAsia="Segoe UI" w:cs="Segoe UI" w:ascii="Segoe UI" w:hAnsi="Segoe UI"/>
          <w:b/>
          <w:color w:val="101820"/>
          <w:sz w:val="21"/>
        </w:rPr>
        <w:t>Belongs to</w:t>
      </w:r>
      <w:r>
        <w:rPr>
          <w:rFonts w:eastAsia="Segoe UI" w:cs="Segoe UI" w:ascii="Segoe UI" w:hAnsi="Segoe UI"/>
          <w:color w:val="101820"/>
          <w:sz w:val="21"/>
        </w:rPr>
        <w:t xml:space="preserve"> a dealer group and a bank branch to a financing bank; a group, bank or affinity partner stands alone.</w:t>
      </w:r>
    </w:p>
    <w:p>
      <w:pPr>
        <w:pStyle w:val="Normal"/>
        <w:numPr>
          <w:ilvl w:val="0"/>
          <w:numId w:val="494"/>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Servicing branch code</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Address</w:t>
      </w:r>
      <w:r>
        <w:rPr>
          <w:rFonts w:eastAsia="Segoe UI" w:cs="Segoe UI" w:ascii="Segoe UI" w:hAnsi="Segoe UI"/>
          <w:color w:val="101820"/>
          <w:sz w:val="21"/>
        </w:rPr>
        <w:t xml:space="preserve">, </w:t>
      </w:r>
      <w:r>
        <w:rPr>
          <w:rFonts w:eastAsia="Segoe UI" w:cs="Segoe UI" w:ascii="Segoe UI" w:hAnsi="Segoe UI"/>
          <w:b/>
          <w:color w:val="101820"/>
          <w:sz w:val="21"/>
        </w:rPr>
        <w:t>Contact person</w:t>
      </w:r>
      <w:r>
        <w:rPr>
          <w:rFonts w:eastAsia="Segoe UI" w:cs="Segoe UI" w:ascii="Segoe UI" w:hAnsi="Segoe UI"/>
          <w:color w:val="101820"/>
          <w:sz w:val="21"/>
        </w:rPr>
        <w:t xml:space="preserve">, </w:t>
      </w:r>
      <w:r>
        <w:rPr>
          <w:rFonts w:eastAsia="Segoe UI" w:cs="Segoe UI" w:ascii="Segoe UI" w:hAnsi="Segoe UI"/>
          <w:b/>
          <w:color w:val="101820"/>
          <w:sz w:val="21"/>
        </w:rPr>
        <w:t>Contact e-mail</w:t>
      </w:r>
      <w:r>
        <w:rPr>
          <w:rFonts w:eastAsia="Segoe UI" w:cs="Segoe UI" w:ascii="Segoe UI" w:hAnsi="Segoe UI"/>
          <w:color w:val="101820"/>
          <w:sz w:val="21"/>
        </w:rPr>
        <w:t xml:space="preserve">, </w:t>
      </w:r>
      <w:r>
        <w:rPr>
          <w:rFonts w:eastAsia="Segoe UI" w:cs="Segoe UI" w:ascii="Segoe UI" w:hAnsi="Segoe UI"/>
          <w:b/>
          <w:color w:val="101820"/>
          <w:sz w:val="21"/>
        </w:rPr>
        <w:t>Contact phone</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495"/>
        </w:numPr>
        <w:spacing w:before="0" w:after="60"/>
        <w:rPr/>
      </w:pPr>
      <w:r>
        <w:rPr>
          <w:rFonts w:eastAsia="Segoe UI" w:cs="Segoe UI" w:ascii="Segoe UI" w:hAnsi="Segoe UI"/>
          <w:color w:val="101820"/>
          <w:sz w:val="21"/>
        </w:rPr>
        <w:t xml:space="preserve">For dealers and affinity partners choose the </w:t>
      </w:r>
      <w:r>
        <w:rPr>
          <w:rFonts w:eastAsia="Segoe UI" w:cs="Segoe UI" w:ascii="Segoe UI" w:hAnsi="Segoe UI"/>
          <w:b/>
          <w:color w:val="101820"/>
          <w:sz w:val="21"/>
        </w:rPr>
        <w:t>Referrer</w:t>
      </w:r>
      <w:r>
        <w:rPr>
          <w:rFonts w:eastAsia="Segoe UI" w:cs="Segoe UI" w:ascii="Segoe UI" w:hAnsi="Segoe UI"/>
          <w:color w:val="101820"/>
          <w:sz w:val="21"/>
        </w:rPr>
        <w:t xml:space="preserve"> (the referrer of the commission master) and the </w:t>
      </w:r>
      <w:r>
        <w:rPr>
          <w:rFonts w:eastAsia="Segoe UI" w:cs="Segoe UI" w:ascii="Segoe UI" w:hAnsi="Segoe UI"/>
          <w:b/>
          <w:color w:val="101820"/>
          <w:sz w:val="21"/>
        </w:rPr>
        <w:t>Comsub %</w:t>
      </w:r>
      <w:r>
        <w:rPr>
          <w:rFonts w:eastAsia="Segoe UI" w:cs="Segoe UI" w:ascii="Segoe UI" w:hAnsi="Segoe UI"/>
          <w:color w:val="101820"/>
          <w:sz w:val="21"/>
        </w:rPr>
        <w:t xml:space="preserve"> paid to it. Policies of the channel without their own referrer pay the referrer's share at this rate.</w:t>
      </w:r>
    </w:p>
    <w:p>
      <w:pPr>
        <w:pStyle w:val="Normal"/>
        <w:numPr>
          <w:ilvl w:val="0"/>
          <w:numId w:val="496"/>
        </w:numPr>
        <w:spacing w:before="0" w:after="60"/>
        <w:rPr/>
      </w:pPr>
      <w:r>
        <w:rPr>
          <w:rFonts w:eastAsia="Segoe UI" w:cs="Segoe UI" w:ascii="Segoe UI" w:hAnsi="Segoe UI"/>
          <w:color w:val="101820"/>
          <w:sz w:val="21"/>
        </w:rPr>
        <w:t xml:space="preserve">For a financing bank choose the </w:t>
      </w:r>
      <w:r>
        <w:rPr>
          <w:rFonts w:eastAsia="Segoe UI" w:cs="Segoe UI" w:ascii="Segoe UI" w:hAnsi="Segoe UI"/>
          <w:b/>
          <w:color w:val="101820"/>
          <w:sz w:val="21"/>
        </w:rPr>
        <w:t>Bank (Bank master)</w:t>
      </w:r>
      <w:r>
        <w:rPr>
          <w:rFonts w:eastAsia="Segoe UI" w:cs="Segoe UI" w:ascii="Segoe UI" w:hAnsi="Segoe UI"/>
          <w:color w:val="101820"/>
          <w:sz w:val="21"/>
        </w:rPr>
        <w:t xml:space="preserve">, the </w:t>
      </w:r>
      <w:r>
        <w:rPr>
          <w:rFonts w:eastAsia="Segoe UI" w:cs="Segoe UI" w:ascii="Segoe UI" w:hAnsi="Segoe UI"/>
          <w:b/>
          <w:color w:val="101820"/>
          <w:sz w:val="21"/>
        </w:rPr>
        <w:t>Mortgagee clause</w:t>
      </w:r>
      <w:r>
        <w:rPr>
          <w:rFonts w:eastAsia="Segoe UI" w:cs="Segoe UI" w:ascii="Segoe UI" w:hAnsi="Segoe UI"/>
          <w:color w:val="101820"/>
          <w:sz w:val="21"/>
        </w:rPr>
        <w:t xml:space="preserve"> printed on its borrowers' policies ({{bankName}} is replaced by the bank's name) and the </w:t>
      </w:r>
      <w:r>
        <w:rPr>
          <w:rFonts w:eastAsia="Segoe UI" w:cs="Segoe UI" w:ascii="Segoe UI" w:hAnsi="Segoe UI"/>
          <w:b/>
          <w:color w:val="101820"/>
          <w:sz w:val="21"/>
        </w:rPr>
        <w:t>Letter addressee</w:t>
      </w:r>
      <w:r>
        <w:rPr>
          <w:rFonts w:eastAsia="Segoe UI" w:cs="Segoe UI" w:ascii="Segoe UI" w:hAnsi="Segoe UI"/>
          <w:color w:val="101820"/>
          <w:sz w:val="21"/>
        </w:rPr>
        <w:t xml:space="preserve"> of the bank endorsement letter. A bank branch without its own clause uses the bank's.</w:t>
      </w:r>
    </w:p>
    <w:p>
      <w:pPr>
        <w:pStyle w:val="Normal"/>
        <w:numPr>
          <w:ilvl w:val="0"/>
          <w:numId w:val="4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list shows each channel with its group and the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w:t>
      </w:r>
      <w:r>
        <w:rPr>
          <w:rFonts w:eastAsia="Segoe UI" w:cs="Segoe UI" w:ascii="Segoe UI" w:hAnsi="Segoe UI"/>
          <w:b/>
          <w:color w:val="101820"/>
          <w:sz w:val="21"/>
        </w:rPr>
        <w:t>Premium</w:t>
      </w:r>
      <w:r>
        <w:rPr>
          <w:rFonts w:eastAsia="Segoe UI" w:cs="Segoe UI" w:ascii="Segoe UI" w:hAnsi="Segoe UI"/>
          <w:color w:val="101820"/>
          <w:sz w:val="21"/>
        </w:rPr>
        <w:t xml:space="preserve"> it brought in. </w:t>
      </w:r>
      <w:r>
        <w:rPr>
          <w:rFonts w:eastAsia="Segoe UI" w:cs="Segoe UI" w:ascii="Segoe UI" w:hAnsi="Segoe UI"/>
          <w:b/>
          <w:color w:val="101820"/>
          <w:sz w:val="21"/>
        </w:rPr>
        <w:t>Delete</w:t>
      </w:r>
      <w:r>
        <w:rPr>
          <w:rFonts w:eastAsia="Segoe UI" w:cs="Segoe UI" w:ascii="Segoe UI" w:hAnsi="Segoe UI"/>
          <w:color w:val="101820"/>
          <w:sz w:val="21"/>
        </w:rPr>
        <w:t xml:space="preserve"> removes a channel that was never used; a channel with business, branches, programmes or a billing account is made </w:t>
      </w:r>
      <w:r>
        <w:rPr>
          <w:rFonts w:eastAsia="Segoe UI" w:cs="Segoe UI" w:ascii="Segoe UI" w:hAnsi="Segoe UI"/>
          <w:b/>
          <w:color w:val="101820"/>
          <w:sz w:val="21"/>
        </w:rPr>
        <w:t>Inactive</w:t>
      </w:r>
      <w:r>
        <w:rPr>
          <w:rFonts w:eastAsia="Segoe UI" w:cs="Segoe UI" w:ascii="Segoe UI" w:hAnsi="Segoe UI"/>
          <w:color w:val="101820"/>
          <w:sz w:val="21"/>
        </w:rPr>
        <w:t xml:space="preserve"> instead, so its history stays.</w:t>
      </w:r>
    </w:p>
    <w:p>
      <w:pPr>
        <w:pStyle w:val="Normal"/>
        <w:spacing w:lineRule="auto" w:line="276" w:before="0" w:after="120"/>
        <w:rPr/>
      </w:pPr>
      <w:r>
        <w:rPr>
          <w:rFonts w:eastAsia="Segoe UI" w:cs="Segoe UI" w:ascii="Segoe UI" w:hAnsi="Segoe UI"/>
          <w:color w:val="101820"/>
          <w:sz w:val="21"/>
        </w:rPr>
        <w:t xml:space="preserve">The channel is recorded on prospects (field </w:t>
      </w:r>
      <w:r>
        <w:rPr>
          <w:rFonts w:eastAsia="Segoe UI" w:cs="Segoe UI" w:ascii="Segoe UI" w:hAnsi="Segoe UI"/>
          <w:b/>
          <w:color w:val="101820"/>
          <w:sz w:val="21"/>
        </w:rPr>
        <w:t>Distribution channel</w:t>
      </w:r>
      <w:r>
        <w:rPr>
          <w:rFonts w:eastAsia="Segoe UI" w:cs="Segoe UI" w:ascii="Segoe UI" w:hAnsi="Segoe UI"/>
          <w:color w:val="101820"/>
          <w:sz w:val="21"/>
        </w:rPr>
        <w:t xml:space="preserve">), carried to the quotation made from the prospect and to the policy issued from the quotation (setting </w:t>
      </w:r>
      <w:r>
        <w:rPr>
          <w:rFonts w:eastAsia="Segoe UI" w:cs="Segoe UI" w:ascii="Segoe UI" w:hAnsi="Segoe UI"/>
          <w:b/>
          <w:color w:val="101820"/>
          <w:sz w:val="21"/>
        </w:rPr>
        <w:t>channels.inherit_from_lead</w:t>
      </w:r>
      <w:r>
        <w:rPr>
          <w:rFonts w:eastAsia="Segoe UI" w:cs="Segoe UI" w:ascii="Segoe UI" w:hAnsi="Segoe UI"/>
          <w:color w:val="101820"/>
          <w:sz w:val="21"/>
        </w:rPr>
        <w:t xml:space="preserve">). The report </w:t>
      </w:r>
      <w:r>
        <w:rPr>
          <w:rFonts w:eastAsia="Segoe UI" w:cs="Segoe UI" w:ascii="Segoe UI" w:hAnsi="Segoe UI"/>
          <w:b/>
          <w:color w:val="101820"/>
          <w:sz w:val="21"/>
        </w:rPr>
        <w:t>Dealer Production</w:t>
      </w:r>
      <w:r>
        <w:rPr>
          <w:rFonts w:eastAsia="Segoe UI" w:cs="Segoe UI" w:ascii="Segoe UI" w:hAnsi="Segoe UI"/>
          <w:color w:val="101820"/>
          <w:sz w:val="21"/>
        </w:rPr>
        <w:t xml:space="preserve"> (Reports &gt; Operational Reports &gt; Dealer Production) shows per dealer group and channel the prospects, quotations, policies, sum insured, premium and commission for a period, filtered by channel, dealer group or channel type, and exports to Excel and PDF like every report.</w:t>
      </w:r>
    </w:p>
    <w:p>
      <w:pPr>
        <w:pStyle w:val="Heading2"/>
        <w:rPr/>
      </w:pPr>
      <w:bookmarkStart w:id="157" w:name="__RefHeading___Toc21831_17926050"/>
      <w:bookmarkEnd w:id="157"/>
      <w:r>
        <w:rPr>
          <w:rFonts w:eastAsia="Segoe UI" w:cs="Segoe UI"/>
          <w:b/>
          <w:color w:val="0F4761"/>
          <w:sz w:val="26"/>
        </w:rPr>
        <w:t>14.3  Dealer Programmes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Sales &amp; Marketing &gt; Dealer Programmes]</w:t>
      </w:r>
    </w:p>
    <w:p>
      <w:pPr>
        <w:pStyle w:val="Normal"/>
        <w:spacing w:lineRule="auto" w:line="276" w:before="0" w:after="120"/>
        <w:rPr/>
      </w:pPr>
      <w:r>
        <w:rPr>
          <w:rFonts w:eastAsia="Segoe UI" w:cs="Segoe UI" w:ascii="Segoe UI" w:hAnsi="Segoe UI"/>
          <w:color w:val="101820"/>
          <w:sz w:val="21"/>
        </w:rPr>
        <w:t>Choose Operations &gt; Sales &amp; Marketing &gt; Dealer Programmes. A programme holds the terms agreed with a dealer, and optionally its financing bank, for brand-new vehicles.</w:t>
      </w:r>
    </w:p>
    <w:p>
      <w:pPr>
        <w:pStyle w:val="Heading3"/>
        <w:rPr/>
      </w:pPr>
      <w:r>
        <w:rPr>
          <w:rFonts w:eastAsia="Segoe UI" w:cs="Segoe UI"/>
          <w:b/>
          <w:color w:val="0F4761"/>
          <w:sz w:val="23"/>
        </w:rPr>
        <w:t>14.3.1  Set up a programme</w:t>
      </w:r>
    </w:p>
    <w:p>
      <w:pPr>
        <w:pStyle w:val="Normal"/>
        <w:numPr>
          <w:ilvl w:val="0"/>
          <w:numId w:val="49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programme</w:t>
      </w:r>
      <w:r>
        <w:rPr>
          <w:rFonts w:eastAsia="Segoe UI" w:cs="Segoe UI" w:ascii="Segoe UI" w:hAnsi="Segoe UI"/>
          <w:color w:val="101820"/>
          <w:sz w:val="21"/>
        </w:rPr>
        <w:t xml:space="preserve"> and enter the </w:t>
      </w:r>
      <w:r>
        <w:rPr>
          <w:rFonts w:eastAsia="Segoe UI" w:cs="Segoe UI" w:ascii="Segoe UI" w:hAnsi="Segoe UI"/>
          <w:b/>
          <w:color w:val="101820"/>
          <w:sz w:val="21"/>
        </w:rPr>
        <w:t>Code</w:t>
      </w:r>
      <w:r>
        <w:rPr>
          <w:rFonts w:eastAsia="Segoe UI" w:cs="Segoe UI" w:ascii="Segoe UI" w:hAnsi="Segoe UI"/>
          <w:color w:val="101820"/>
          <w:sz w:val="21"/>
        </w:rPr>
        <w:t xml:space="preserve"> and </w:t>
      </w:r>
      <w:r>
        <w:rPr>
          <w:rFonts w:eastAsia="Segoe UI" w:cs="Segoe UI" w:ascii="Segoe UI" w:hAnsi="Segoe UI"/>
          <w:b/>
          <w:color w:val="101820"/>
          <w:sz w:val="21"/>
        </w:rPr>
        <w:t>Name</w:t>
      </w:r>
      <w:r>
        <w:rPr>
          <w:rFonts w:eastAsia="Segoe UI" w:cs="Segoe UI" w:ascii="Segoe UI" w:hAnsi="Segoe UI"/>
          <w:color w:val="101820"/>
          <w:sz w:val="21"/>
        </w:rPr>
        <w:t>.</w:t>
      </w:r>
    </w:p>
    <w:p>
      <w:pPr>
        <w:pStyle w:val="Normal"/>
        <w:numPr>
          <w:ilvl w:val="0"/>
          <w:numId w:val="499"/>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Dealer</w:t>
      </w:r>
      <w:r>
        <w:rPr>
          <w:rFonts w:eastAsia="Segoe UI" w:cs="Segoe UI" w:ascii="Segoe UI" w:hAnsi="Segoe UI"/>
          <w:color w:val="101820"/>
          <w:sz w:val="21"/>
        </w:rPr>
        <w:t xml:space="preserve"> (group or branch), the </w:t>
      </w:r>
      <w:r>
        <w:rPr>
          <w:rFonts w:eastAsia="Segoe UI" w:cs="Segoe UI" w:ascii="Segoe UI" w:hAnsi="Segoe UI"/>
          <w:b/>
          <w:color w:val="101820"/>
          <w:sz w:val="21"/>
        </w:rPr>
        <w:t>Financing bank</w:t>
      </w:r>
      <w:r>
        <w:rPr>
          <w:rFonts w:eastAsia="Segoe UI" w:cs="Segoe UI" w:ascii="Segoe UI" w:hAnsi="Segoe UI"/>
          <w:color w:val="101820"/>
          <w:sz w:val="21"/>
        </w:rPr>
        <w:t xml:space="preserve"> if the buyers' loans are with one bank, and the </w:t>
      </w:r>
      <w:r>
        <w:rPr>
          <w:rFonts w:eastAsia="Segoe UI" w:cs="Segoe UI" w:ascii="Segoe UI" w:hAnsi="Segoe UI"/>
          <w:b/>
          <w:color w:val="101820"/>
          <w:sz w:val="21"/>
        </w:rPr>
        <w:t>Insurer</w:t>
      </w:r>
      <w:r>
        <w:rPr>
          <w:rFonts w:eastAsia="Segoe UI" w:cs="Segoe UI" w:ascii="Segoe UI" w:hAnsi="Segoe UI"/>
          <w:color w:val="101820"/>
          <w:sz w:val="21"/>
        </w:rPr>
        <w:t>.</w:t>
      </w:r>
    </w:p>
    <w:p>
      <w:pPr>
        <w:pStyle w:val="Normal"/>
        <w:numPr>
          <w:ilvl w:val="0"/>
          <w:numId w:val="50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Rates</w:t>
      </w:r>
      <w:r>
        <w:rPr>
          <w:rFonts w:eastAsia="Segoe UI" w:cs="Segoe UI" w:ascii="Segoe UI" w:hAnsi="Segoe UI"/>
          <w:color w:val="101820"/>
          <w:sz w:val="21"/>
        </w:rPr>
        <w:t xml:space="preserve">, enter the </w:t>
      </w:r>
      <w:r>
        <w:rPr>
          <w:rFonts w:eastAsia="Segoe UI" w:cs="Segoe UI" w:ascii="Segoe UI" w:hAnsi="Segoe UI"/>
          <w:b/>
          <w:color w:val="101820"/>
          <w:sz w:val="21"/>
        </w:rPr>
        <w:t>Own damage rate %</w:t>
      </w:r>
      <w:r>
        <w:rPr>
          <w:rFonts w:eastAsia="Segoe UI" w:cs="Segoe UI" w:ascii="Segoe UI" w:hAnsi="Segoe UI"/>
          <w:color w:val="101820"/>
          <w:sz w:val="21"/>
        </w:rPr>
        <w:t xml:space="preserve">, </w:t>
      </w:r>
      <w:r>
        <w:rPr>
          <w:rFonts w:eastAsia="Segoe UI" w:cs="Segoe UI" w:ascii="Segoe UI" w:hAnsi="Segoe UI"/>
          <w:b/>
          <w:color w:val="101820"/>
          <w:sz w:val="21"/>
        </w:rPr>
        <w:t>Acts of nature rate %</w:t>
      </w:r>
      <w:r>
        <w:rPr>
          <w:rFonts w:eastAsia="Segoe UI" w:cs="Segoe UI" w:ascii="Segoe UI" w:hAnsi="Segoe UI"/>
          <w:color w:val="101820"/>
          <w:sz w:val="21"/>
        </w:rPr>
        <w:t xml:space="preserve">, </w:t>
      </w:r>
      <w:r>
        <w:rPr>
          <w:rFonts w:eastAsia="Segoe UI" w:cs="Segoe UI" w:ascii="Segoe UI" w:hAnsi="Segoe UI"/>
          <w:b/>
          <w:color w:val="101820"/>
          <w:sz w:val="21"/>
        </w:rPr>
        <w:t>Excess bodily injury</w:t>
      </w:r>
      <w:r>
        <w:rPr>
          <w:rFonts w:eastAsia="Segoe UI" w:cs="Segoe UI" w:ascii="Segoe UI" w:hAnsi="Segoe UI"/>
          <w:color w:val="101820"/>
          <w:sz w:val="21"/>
        </w:rPr>
        <w:t xml:space="preserve"> and </w:t>
      </w:r>
      <w:r>
        <w:rPr>
          <w:rFonts w:eastAsia="Segoe UI" w:cs="Segoe UI" w:ascii="Segoe UI" w:hAnsi="Segoe UI"/>
          <w:b/>
          <w:color w:val="101820"/>
          <w:sz w:val="21"/>
        </w:rPr>
        <w:t>Property damage</w:t>
      </w:r>
      <w:r>
        <w:rPr>
          <w:rFonts w:eastAsia="Segoe UI" w:cs="Segoe UI" w:ascii="Segoe UI" w:hAnsi="Segoe UI"/>
          <w:color w:val="101820"/>
          <w:sz w:val="21"/>
        </w:rPr>
        <w:t xml:space="preserve"> limits, the </w:t>
      </w:r>
      <w:r>
        <w:rPr>
          <w:rFonts w:eastAsia="Segoe UI" w:cs="Segoe UI" w:ascii="Segoe UI" w:hAnsi="Segoe UI"/>
          <w:b/>
          <w:color w:val="101820"/>
          <w:sz w:val="21"/>
        </w:rPr>
        <w:t>Default vehicle class</w:t>
      </w:r>
      <w:r>
        <w:rPr>
          <w:rFonts w:eastAsia="Segoe UI" w:cs="Segoe UI" w:ascii="Segoe UI" w:hAnsi="Segoe UI"/>
          <w:color w:val="101820"/>
          <w:sz w:val="21"/>
        </w:rPr>
        <w:t xml:space="preserve"> and whether </w:t>
      </w:r>
      <w:r>
        <w:rPr>
          <w:rFonts w:eastAsia="Segoe UI" w:cs="Segoe UI" w:ascii="Segoe UI" w:hAnsi="Segoe UI"/>
          <w:b/>
          <w:color w:val="101820"/>
          <w:sz w:val="21"/>
        </w:rPr>
        <w:t>CTPL</w:t>
      </w:r>
      <w:r>
        <w:rPr>
          <w:rFonts w:eastAsia="Segoe UI" w:cs="Segoe UI" w:ascii="Segoe UI" w:hAnsi="Segoe UI"/>
          <w:color w:val="101820"/>
          <w:sz w:val="21"/>
        </w:rPr>
        <w:t xml:space="preserve"> is included and for how many years (three years for a new car registered with the LTO).</w:t>
      </w:r>
    </w:p>
    <w:p>
      <w:pPr>
        <w:pStyle w:val="Normal"/>
        <w:numPr>
          <w:ilvl w:val="0"/>
          <w:numId w:val="50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Who pays</w:t>
      </w:r>
      <w:r>
        <w:rPr>
          <w:rFonts w:eastAsia="Segoe UI" w:cs="Segoe UI" w:ascii="Segoe UI" w:hAnsi="Segoe UI"/>
          <w:color w:val="101820"/>
          <w:sz w:val="21"/>
        </w:rPr>
        <w:t xml:space="preserve">, tick </w:t>
      </w:r>
      <w:r>
        <w:rPr>
          <w:rFonts w:eastAsia="Segoe UI" w:cs="Segoe UI" w:ascii="Segoe UI" w:hAnsi="Segoe UI"/>
          <w:b/>
          <w:color w:val="101820"/>
          <w:sz w:val="21"/>
        </w:rPr>
        <w:t>Free first year</w:t>
      </w:r>
      <w:r>
        <w:rPr>
          <w:rFonts w:eastAsia="Segoe UI" w:cs="Segoe UI" w:ascii="Segoe UI" w:hAnsi="Segoe UI"/>
          <w:color w:val="101820"/>
          <w:sz w:val="21"/>
        </w:rPr>
        <w:t xml:space="preserve"> when the first-year premium is paid by the dealer or the bank, or set the </w:t>
      </w:r>
      <w:r>
        <w:rPr>
          <w:rFonts w:eastAsia="Segoe UI" w:cs="Segoe UI" w:ascii="Segoe UI" w:hAnsi="Segoe UI"/>
          <w:b/>
          <w:color w:val="101820"/>
          <w:sz w:val="21"/>
        </w:rPr>
        <w:t>Subsidy paid by</w:t>
      </w:r>
      <w:r>
        <w:rPr>
          <w:rFonts w:eastAsia="Segoe UI" w:cs="Segoe UI" w:ascii="Segoe UI" w:hAnsi="Segoe UI"/>
          <w:color w:val="101820"/>
          <w:sz w:val="21"/>
        </w:rPr>
        <w:t xml:space="preserve"> (dealer or bank), the </w:t>
      </w:r>
      <w:r>
        <w:rPr>
          <w:rFonts w:eastAsia="Segoe UI" w:cs="Segoe UI" w:ascii="Segoe UI" w:hAnsi="Segoe UI"/>
          <w:b/>
          <w:color w:val="101820"/>
          <w:sz w:val="21"/>
        </w:rPr>
        <w:t>Subsidy</w:t>
      </w:r>
      <w:r>
        <w:rPr>
          <w:rFonts w:eastAsia="Segoe UI" w:cs="Segoe UI" w:ascii="Segoe UI" w:hAnsi="Segoe UI"/>
          <w:color w:val="101820"/>
          <w:sz w:val="21"/>
        </w:rPr>
        <w:t xml:space="preserve"> kind (percent of premium, fixed amount, full premium) and the </w:t>
      </w:r>
      <w:r>
        <w:rPr>
          <w:rFonts w:eastAsia="Segoe UI" w:cs="Segoe UI" w:ascii="Segoe UI" w:hAnsi="Segoe UI"/>
          <w:b/>
          <w:color w:val="101820"/>
          <w:sz w:val="21"/>
        </w:rPr>
        <w:t>Subsidy value</w:t>
      </w:r>
      <w:r>
        <w:rPr>
          <w:rFonts w:eastAsia="Segoe UI" w:cs="Segoe UI" w:ascii="Segoe UI" w:hAnsi="Segoe UI"/>
          <w:color w:val="101820"/>
          <w:sz w:val="21"/>
        </w:rPr>
        <w:t>. The buyer pays the rest.</w:t>
      </w:r>
    </w:p>
    <w:p>
      <w:pPr>
        <w:pStyle w:val="Normal"/>
        <w:numPr>
          <w:ilvl w:val="0"/>
          <w:numId w:val="502"/>
        </w:numPr>
        <w:spacing w:before="0" w:after="60"/>
        <w:rPr/>
      </w:pPr>
      <w:r>
        <w:rPr>
          <w:rFonts w:eastAsia="Segoe UI" w:cs="Segoe UI" w:ascii="Segoe UI" w:hAnsi="Segoe UI"/>
          <w:color w:val="101820"/>
          <w:sz w:val="21"/>
        </w:rPr>
        <w:t xml:space="preserve">Choose what </w:t>
      </w:r>
      <w:r>
        <w:rPr>
          <w:rFonts w:eastAsia="Segoe UI" w:cs="Segoe UI" w:ascii="Segoe UI" w:hAnsi="Segoe UI"/>
          <w:b/>
          <w:color w:val="101820"/>
          <w:sz w:val="21"/>
        </w:rPr>
        <w:t>Upload creates</w:t>
      </w:r>
      <w:r>
        <w:rPr>
          <w:rFonts w:eastAsia="Segoe UI" w:cs="Segoe UI" w:ascii="Segoe UI" w:hAnsi="Segoe UI"/>
          <w:color w:val="101820"/>
          <w:sz w:val="21"/>
        </w:rPr>
        <w:t xml:space="preserve">: </w:t>
      </w:r>
      <w:r>
        <w:rPr>
          <w:rFonts w:eastAsia="Segoe UI" w:cs="Segoe UI" w:ascii="Segoe UI" w:hAnsi="Segoe UI"/>
          <w:b/>
          <w:color w:val="101820"/>
          <w:sz w:val="21"/>
        </w:rPr>
        <w:t>Quotation to follow up</w:t>
      </w:r>
      <w:r>
        <w:rPr>
          <w:rFonts w:eastAsia="Segoe UI" w:cs="Segoe UI" w:ascii="Segoe UI" w:hAnsi="Segoe UI"/>
          <w:color w:val="101820"/>
          <w:sz w:val="21"/>
        </w:rPr>
        <w:t xml:space="preserve"> (draft quotations the account executive completes with the buyer) or </w:t>
      </w:r>
      <w:r>
        <w:rPr>
          <w:rFonts w:eastAsia="Segoe UI" w:cs="Segoe UI" w:ascii="Segoe UI" w:hAnsi="Segoe UI"/>
          <w:b/>
          <w:color w:val="101820"/>
          <w:sz w:val="21"/>
        </w:rPr>
        <w:t>Policy issued</w:t>
      </w:r>
      <w:r>
        <w:rPr>
          <w:rFonts w:eastAsia="Segoe UI" w:cs="Segoe UI" w:ascii="Segoe UI" w:hAnsi="Segoe UI"/>
          <w:color w:val="101820"/>
          <w:sz w:val="21"/>
        </w:rPr>
        <w:t xml:space="preserve"> (the policy is issued and billed straight away).</w:t>
      </w:r>
    </w:p>
    <w:p>
      <w:pPr>
        <w:pStyle w:val="Normal"/>
        <w:numPr>
          <w:ilvl w:val="0"/>
          <w:numId w:val="503"/>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Effective from</w:t>
      </w:r>
      <w:r>
        <w:rPr>
          <w:rFonts w:eastAsia="Segoe UI" w:cs="Segoe UI" w:ascii="Segoe UI" w:hAnsi="Segoe UI"/>
          <w:color w:val="101820"/>
          <w:sz w:val="21"/>
        </w:rPr>
        <w:t xml:space="preserve"> and </w:t>
      </w:r>
      <w:r>
        <w:rPr>
          <w:rFonts w:eastAsia="Segoe UI" w:cs="Segoe UI" w:ascii="Segoe UI" w:hAnsi="Segoe UI"/>
          <w:b/>
          <w:color w:val="101820"/>
          <w:sz w:val="21"/>
        </w:rPr>
        <w:t>Effective to</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 xml:space="preserve">. </w:t>
      </w:r>
      <w:r>
        <w:rPr>
          <w:rFonts w:eastAsia="Segoe UI" w:cs="Segoe UI" w:ascii="Segoe UI" w:hAnsi="Segoe UI"/>
          <w:b/>
          <w:color w:val="101820"/>
          <w:sz w:val="21"/>
        </w:rPr>
        <w:t>Premium preview</w:t>
      </w:r>
      <w:r>
        <w:rPr>
          <w:rFonts w:eastAsia="Segoe UI" w:cs="Segoe UI" w:ascii="Segoe UI" w:hAnsi="Segoe UI"/>
          <w:color w:val="101820"/>
          <w:sz w:val="21"/>
        </w:rPr>
        <w:t xml:space="preserve"> shows the premium of a sample vehicle with the programme's rates.</w:t>
      </w:r>
    </w:p>
    <w:p>
      <w:pPr>
        <w:pStyle w:val="Heading3"/>
        <w:rPr/>
      </w:pPr>
      <w:r>
        <w:rPr>
          <w:rFonts w:eastAsia="Segoe UI" w:cs="Segoe UI"/>
          <w:b/>
          <w:color w:val="0F4761"/>
          <w:sz w:val="23"/>
        </w:rPr>
        <w:t>14.3.2  Upload the dealer's sales</w:t>
      </w:r>
    </w:p>
    <w:p>
      <w:pPr>
        <w:pStyle w:val="Normal"/>
        <w:numPr>
          <w:ilvl w:val="0"/>
          <w:numId w:val="5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Template</w:t>
      </w:r>
      <w:r>
        <w:rPr>
          <w:rFonts w:eastAsia="Segoe UI" w:cs="Segoe UI" w:ascii="Segoe UI" w:hAnsi="Segoe UI"/>
          <w:color w:val="101820"/>
          <w:sz w:val="21"/>
        </w:rPr>
        <w:t xml:space="preserve"> to download the Dealer Sales upload template (Excel). One row per vehicle sold: dealer branch code, date sold, sales invoice, buyer, contact details, make, model, variant, year, colour, vehicle class, plate or conduction sticker, chassis and engine numbers, invoice price, the financing bank branch code and the loan amount.</w:t>
      </w:r>
    </w:p>
    <w:p>
      <w:pPr>
        <w:pStyle w:val="Normal"/>
        <w:numPr>
          <w:ilvl w:val="0"/>
          <w:numId w:val="505"/>
        </w:numPr>
        <w:spacing w:before="0" w:after="60"/>
        <w:rPr/>
      </w:pPr>
      <w:r>
        <w:rPr>
          <w:rFonts w:eastAsia="Segoe UI" w:cs="Segoe UI" w:ascii="Segoe UI" w:hAnsi="Segoe UI"/>
          <w:color w:val="101820"/>
          <w:sz w:val="21"/>
        </w:rPr>
        <w:t xml:space="preserve">On the programme, select </w:t>
      </w:r>
      <w:r>
        <w:rPr>
          <w:rFonts w:eastAsia="Segoe UI" w:cs="Segoe UI" w:ascii="Segoe UI" w:hAnsi="Segoe UI"/>
          <w:b/>
          <w:color w:val="101820"/>
          <w:sz w:val="21"/>
        </w:rPr>
        <w:t>Upload sales</w:t>
      </w:r>
      <w:r>
        <w:rPr>
          <w:rFonts w:eastAsia="Segoe UI" w:cs="Segoe UI" w:ascii="Segoe UI" w:hAnsi="Segoe UI"/>
          <w:color w:val="101820"/>
          <w:sz w:val="21"/>
        </w:rPr>
        <w:t xml:space="preserve"> and choose the file. The system checks every row (required fields, the vehicle class, a chassis number not already uploaded) and creates, for each valid row, the prospect (channel: the dealer branch), the quotation priced with the motor tariff and, in issue mode Policy issued, the client and the policy with the financing bank as mortgagee.</w:t>
      </w:r>
    </w:p>
    <w:p>
      <w:pPr>
        <w:pStyle w:val="Normal"/>
        <w:numPr>
          <w:ilvl w:val="0"/>
          <w:numId w:val="506"/>
        </w:numPr>
        <w:spacing w:before="0" w:after="60"/>
        <w:rPr/>
      </w:pPr>
      <w:r>
        <w:rPr>
          <w:rFonts w:eastAsia="Segoe UI" w:cs="Segoe UI" w:ascii="Segoe UI" w:hAnsi="Segoe UI"/>
          <w:color w:val="101820"/>
          <w:sz w:val="21"/>
        </w:rPr>
        <w:t xml:space="preserve">The result lists the rows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Failed</w:t>
      </w:r>
      <w:r>
        <w:rPr>
          <w:rFonts w:eastAsia="Segoe UI" w:cs="Segoe UI" w:ascii="Segoe UI" w:hAnsi="Segoe UI"/>
          <w:color w:val="101820"/>
          <w:sz w:val="21"/>
        </w:rPr>
        <w:t xml:space="preserve"> with the reason of each failure. Correct the failed rows and upload them again.</w:t>
      </w:r>
    </w:p>
    <w:p>
      <w:pPr>
        <w:pStyle w:val="Normal"/>
        <w:spacing w:lineRule="auto" w:line="276" w:before="0" w:after="120"/>
        <w:rPr/>
      </w:pPr>
      <w:r>
        <w:rPr>
          <w:rFonts w:eastAsia="Segoe UI" w:cs="Segoe UI" w:ascii="Segoe UI" w:hAnsi="Segoe UI"/>
          <w:color w:val="101820"/>
          <w:sz w:val="21"/>
        </w:rPr>
        <w:t>The premium is billed to who pays: the dealer or the bank for its subsidy, the buyer for the rest, each through its own bill with its booking journal. The commission of the policy is split in proportion.</w:t>
      </w:r>
    </w:p>
    <w:p>
      <w:pPr>
        <w:pStyle w:val="Heading3"/>
        <w:rPr/>
      </w:pPr>
      <w:r>
        <w:rPr>
          <w:rFonts w:eastAsia="Segoe UI" w:cs="Segoe UI"/>
          <w:b/>
          <w:color w:val="0F4761"/>
          <w:sz w:val="23"/>
        </w:rPr>
        <w:t>14.3.3  Bank endorsement letter</w:t>
      </w:r>
    </w:p>
    <w:p>
      <w:pPr>
        <w:pStyle w:val="Normal"/>
        <w:spacing w:lineRule="auto" w:line="276" w:before="0" w:after="120"/>
        <w:rPr/>
      </w:pPr>
      <w:r>
        <w:rPr>
          <w:rFonts w:eastAsia="Segoe UI" w:cs="Segoe UI" w:ascii="Segoe UI" w:hAnsi="Segoe UI"/>
          <w:color w:val="101820"/>
          <w:sz w:val="21"/>
        </w:rPr>
        <w:t xml:space="preserve">For every financed sale, </w:t>
      </w:r>
      <w:r>
        <w:rPr>
          <w:rFonts w:eastAsia="Segoe UI" w:cs="Segoe UI" w:ascii="Segoe UI" w:hAnsi="Segoe UI"/>
          <w:b/>
          <w:color w:val="101820"/>
          <w:sz w:val="21"/>
        </w:rPr>
        <w:t>Bank endorsement letter</w:t>
      </w:r>
      <w:r>
        <w:rPr>
          <w:rFonts w:eastAsia="Segoe UI" w:cs="Segoe UI" w:ascii="Segoe UI" w:hAnsi="Segoe UI"/>
          <w:color w:val="101820"/>
          <w:sz w:val="21"/>
        </w:rPr>
        <w:t xml:space="preserve"> prints the letter to the bank confirming the policy, the vehicle, the loan and the mortgagee clause. </w:t>
      </w:r>
      <w:r>
        <w:rPr>
          <w:rFonts w:eastAsia="Segoe UI" w:cs="Segoe UI" w:ascii="Segoe UI" w:hAnsi="Segoe UI"/>
          <w:b/>
          <w:color w:val="101820"/>
          <w:sz w:val="21"/>
        </w:rPr>
        <w:t>Bank letters of the batch</w:t>
      </w:r>
      <w:r>
        <w:rPr>
          <w:rFonts w:eastAsia="Segoe UI" w:cs="Segoe UI" w:ascii="Segoe UI" w:hAnsi="Segoe UI"/>
          <w:color w:val="101820"/>
          <w:sz w:val="21"/>
        </w:rPr>
        <w:t xml:space="preserve"> prints the letters of a whole upload in one PDF. </w:t>
      </w:r>
      <w:r>
        <w:rPr>
          <w:rFonts w:eastAsia="Segoe UI" w:cs="Segoe UI" w:ascii="Segoe UI" w:hAnsi="Segoe UI"/>
          <w:b/>
          <w:color w:val="101820"/>
          <w:sz w:val="21"/>
        </w:rPr>
        <w:t>E-mail the letter to the bank</w:t>
      </w:r>
      <w:r>
        <w:rPr>
          <w:rFonts w:eastAsia="Segoe UI" w:cs="Segoe UI" w:ascii="Segoe UI" w:hAnsi="Segoe UI"/>
          <w:color w:val="101820"/>
          <w:sz w:val="21"/>
        </w:rPr>
        <w:t xml:space="preserve"> queues the letter as a PDF attachment to the bank branch's contact e-mail (or the bank's). With the setting </w:t>
      </w:r>
      <w:r>
        <w:rPr>
          <w:rFonts w:eastAsia="Segoe UI" w:cs="Segoe UI" w:ascii="Segoe UI" w:hAnsi="Segoe UI"/>
          <w:b/>
          <w:color w:val="101820"/>
          <w:sz w:val="21"/>
        </w:rPr>
        <w:t>motor_programmes.email_bank_letter</w:t>
      </w:r>
      <w:r>
        <w:rPr>
          <w:rFonts w:eastAsia="Segoe UI" w:cs="Segoe UI" w:ascii="Segoe UI" w:hAnsi="Segoe UI"/>
          <w:color w:val="101820"/>
          <w:sz w:val="21"/>
        </w:rPr>
        <w:t xml:space="preserve"> on, the letters are queued automatically when an upload issues financed policies. The letter's subject and wording are in the settings </w:t>
      </w:r>
      <w:r>
        <w:rPr>
          <w:rFonts w:eastAsia="Segoe UI" w:cs="Segoe UI" w:ascii="Segoe UI" w:hAnsi="Segoe UI"/>
          <w:b/>
          <w:color w:val="101820"/>
          <w:sz w:val="21"/>
        </w:rPr>
        <w:t>motor_programmes.bank_letter_subject</w:t>
      </w:r>
      <w:r>
        <w:rPr>
          <w:rFonts w:eastAsia="Segoe UI" w:cs="Segoe UI" w:ascii="Segoe UI" w:hAnsi="Segoe UI"/>
          <w:color w:val="101820"/>
          <w:sz w:val="21"/>
        </w:rPr>
        <w:t xml:space="preserve"> and </w:t>
      </w:r>
      <w:r>
        <w:rPr>
          <w:rFonts w:eastAsia="Segoe UI" w:cs="Segoe UI" w:ascii="Segoe UI" w:hAnsi="Segoe UI"/>
          <w:b/>
          <w:color w:val="101820"/>
          <w:sz w:val="21"/>
        </w:rPr>
        <w:t>motor_programmes.bank_letter_body</w:t>
      </w:r>
      <w:r>
        <w:rPr>
          <w:rFonts w:eastAsia="Segoe UI" w:cs="Segoe UI" w:ascii="Segoe UI" w:hAnsi="Segoe UI"/>
          <w:color w:val="101820"/>
          <w:sz w:val="21"/>
        </w:rPr>
        <w:t>.</w:t>
      </w:r>
    </w:p>
    <w:p>
      <w:pPr>
        <w:pStyle w:val="Heading2"/>
        <w:rPr/>
      </w:pPr>
      <w:bookmarkStart w:id="158" w:name="__RefHeading___Toc21833_17926050"/>
      <w:bookmarkEnd w:id="158"/>
      <w:r>
        <w:rPr>
          <w:rFonts w:eastAsia="Segoe UI" w:cs="Segoe UI"/>
          <w:b/>
          <w:color w:val="0F4761"/>
          <w:sz w:val="26"/>
        </w:rPr>
        <w:t>14.4  Fleet Schedules</w:t>
      </w:r>
    </w:p>
    <w:p>
      <w:pPr>
        <w:pStyle w:val="Normal"/>
        <w:spacing w:lineRule="auto" w:line="276" w:before="0" w:after="120"/>
        <w:rPr/>
      </w:pPr>
      <w:r>
        <w:rPr>
          <w:rFonts w:eastAsia="Segoe UI" w:cs="Segoe UI" w:ascii="Segoe UI" w:hAnsi="Segoe UI"/>
          <w:color w:val="101820"/>
          <w:sz w:val="21"/>
        </w:rPr>
        <w:t>Choose Operations &gt; Fleet Schedules. A fleet schedule is one motor policy covering many vehicles of a client.</w:t>
      </w:r>
    </w:p>
    <w:p>
      <w:pPr>
        <w:pStyle w:val="Normal"/>
        <w:shd w:val="clear" w:color="auto" w:fill="EAF2FB"/>
        <w:spacing w:before="0" w:after="160"/>
        <w:ind w:left="170"/>
        <w:rPr/>
      </w:pPr>
      <w:r>
        <w:rPr>
          <w:rFonts w:eastAsia="Segoe UI" w:cs="Segoe UI" w:ascii="Segoe UI" w:hAnsi="Segoe UI"/>
          <w:color w:val="101820"/>
          <w:sz w:val="20"/>
        </w:rPr>
        <w:t>[Screen image not available: Operations &gt; Fleet Schedules]</w:t>
      </w:r>
    </w:p>
    <w:p>
      <w:pPr>
        <w:pStyle w:val="Normal"/>
        <w:numPr>
          <w:ilvl w:val="0"/>
          <w:numId w:val="50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fleet schedule</w:t>
      </w:r>
      <w:r>
        <w:rPr>
          <w:rFonts w:eastAsia="Segoe UI" w:cs="Segoe UI" w:ascii="Segoe UI" w:hAnsi="Segoe UI"/>
          <w:color w:val="101820"/>
          <w:sz w:val="21"/>
        </w:rPr>
        <w:t xml:space="preserve">. Choose the </w:t>
      </w:r>
      <w:r>
        <w:rPr>
          <w:rFonts w:eastAsia="Segoe UI" w:cs="Segoe UI" w:ascii="Segoe UI" w:hAnsi="Segoe UI"/>
          <w:b/>
          <w:color w:val="101820"/>
          <w:sz w:val="21"/>
        </w:rPr>
        <w:t>Client</w:t>
      </w:r>
      <w:r>
        <w:rPr>
          <w:rFonts w:eastAsia="Segoe UI" w:cs="Segoe UI" w:ascii="Segoe UI" w:hAnsi="Segoe UI"/>
          <w:color w:val="101820"/>
          <w:sz w:val="21"/>
        </w:rPr>
        <w:t xml:space="preserve"> and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and the rates: </w:t>
      </w:r>
      <w:r>
        <w:rPr>
          <w:rFonts w:eastAsia="Segoe UI" w:cs="Segoe UI" w:ascii="Segoe UI" w:hAnsi="Segoe UI"/>
          <w:b/>
          <w:color w:val="101820"/>
          <w:sz w:val="21"/>
        </w:rPr>
        <w:t>Own damage rate %</w:t>
      </w:r>
      <w:r>
        <w:rPr>
          <w:rFonts w:eastAsia="Segoe UI" w:cs="Segoe UI" w:ascii="Segoe UI" w:hAnsi="Segoe UI"/>
          <w:color w:val="101820"/>
          <w:sz w:val="21"/>
        </w:rPr>
        <w:t xml:space="preserve">, </w:t>
      </w:r>
      <w:r>
        <w:rPr>
          <w:rFonts w:eastAsia="Segoe UI" w:cs="Segoe UI" w:ascii="Segoe UI" w:hAnsi="Segoe UI"/>
          <w:b/>
          <w:color w:val="101820"/>
          <w:sz w:val="21"/>
        </w:rPr>
        <w:t>Acts of nature rate %</w:t>
      </w:r>
      <w:r>
        <w:rPr>
          <w:rFonts w:eastAsia="Segoe UI" w:cs="Segoe UI" w:ascii="Segoe UI" w:hAnsi="Segoe UI"/>
          <w:color w:val="101820"/>
          <w:sz w:val="21"/>
        </w:rPr>
        <w:t xml:space="preserve">, </w:t>
      </w:r>
      <w:r>
        <w:rPr>
          <w:rFonts w:eastAsia="Segoe UI" w:cs="Segoe UI" w:ascii="Segoe UI" w:hAnsi="Segoe UI"/>
          <w:b/>
          <w:color w:val="101820"/>
          <w:sz w:val="21"/>
        </w:rPr>
        <w:t>Excess bodily injury</w:t>
      </w:r>
      <w:r>
        <w:rPr>
          <w:rFonts w:eastAsia="Segoe UI" w:cs="Segoe UI" w:ascii="Segoe UI" w:hAnsi="Segoe UI"/>
          <w:color w:val="101820"/>
          <w:sz w:val="21"/>
        </w:rPr>
        <w:t xml:space="preserve">, </w:t>
      </w:r>
      <w:r>
        <w:rPr>
          <w:rFonts w:eastAsia="Segoe UI" w:cs="Segoe UI" w:ascii="Segoe UI" w:hAnsi="Segoe UI"/>
          <w:b/>
          <w:color w:val="101820"/>
          <w:sz w:val="21"/>
        </w:rPr>
        <w:t>Property damage</w:t>
      </w:r>
      <w:r>
        <w:rPr>
          <w:rFonts w:eastAsia="Segoe UI" w:cs="Segoe UI" w:ascii="Segoe UI" w:hAnsi="Segoe UI"/>
          <w:color w:val="101820"/>
          <w:sz w:val="21"/>
        </w:rPr>
        <w:t>.</w:t>
      </w:r>
    </w:p>
    <w:p>
      <w:pPr>
        <w:pStyle w:val="Normal"/>
        <w:numPr>
          <w:ilvl w:val="0"/>
          <w:numId w:val="508"/>
        </w:numPr>
        <w:spacing w:before="0" w:after="60"/>
        <w:rPr/>
      </w:pPr>
      <w:r>
        <w:rPr>
          <w:rFonts w:eastAsia="Segoe UI" w:cs="Segoe UI" w:ascii="Segoe UI" w:hAnsi="Segoe UI"/>
          <w:color w:val="101820"/>
          <w:sz w:val="21"/>
        </w:rPr>
        <w:t xml:space="preserve">Add the vehicles: </w:t>
      </w:r>
      <w:r>
        <w:rPr>
          <w:rFonts w:eastAsia="Segoe UI" w:cs="Segoe UI" w:ascii="Segoe UI" w:hAnsi="Segoe UI"/>
          <w:b/>
          <w:color w:val="101820"/>
          <w:sz w:val="21"/>
        </w:rPr>
        <w:t>Add vehicle</w:t>
      </w:r>
      <w:r>
        <w:rPr>
          <w:rFonts w:eastAsia="Segoe UI" w:cs="Segoe UI" w:ascii="Segoe UI" w:hAnsi="Segoe UI"/>
          <w:color w:val="101820"/>
          <w:sz w:val="21"/>
        </w:rPr>
        <w:t xml:space="preserve"> for one, or </w:t>
      </w:r>
      <w:r>
        <w:rPr>
          <w:rFonts w:eastAsia="Segoe UI" w:cs="Segoe UI" w:ascii="Segoe UI" w:hAnsi="Segoe UI"/>
          <w:b/>
          <w:color w:val="101820"/>
          <w:sz w:val="21"/>
        </w:rPr>
        <w:t>Template</w:t>
      </w:r>
      <w:r>
        <w:rPr>
          <w:rFonts w:eastAsia="Segoe UI" w:cs="Segoe UI" w:ascii="Segoe UI" w:hAnsi="Segoe UI"/>
          <w:color w:val="101820"/>
          <w:sz w:val="21"/>
        </w:rPr>
        <w:t xml:space="preserve"> and </w:t>
      </w:r>
      <w:r>
        <w:rPr>
          <w:rFonts w:eastAsia="Segoe UI" w:cs="Segoe UI" w:ascii="Segoe UI" w:hAnsi="Segoe UI"/>
          <w:b/>
          <w:color w:val="101820"/>
          <w:sz w:val="21"/>
        </w:rPr>
        <w:t>Upload vehicles</w:t>
      </w:r>
      <w:r>
        <w:rPr>
          <w:rFonts w:eastAsia="Segoe UI" w:cs="Segoe UI" w:ascii="Segoe UI" w:hAnsi="Segoe UI"/>
          <w:color w:val="101820"/>
          <w:sz w:val="21"/>
        </w:rPr>
        <w:t xml:space="preserve"> for many (Fleet Vehicles upload template). For each vehicle enter the plate number or conduction sticker, chassis and engine numbers, make, model, year model, colour, </w:t>
      </w:r>
      <w:r>
        <w:rPr>
          <w:rFonts w:eastAsia="Segoe UI" w:cs="Segoe UI" w:ascii="Segoe UI" w:hAnsi="Segoe UI"/>
          <w:b/>
          <w:color w:val="101820"/>
          <w:sz w:val="21"/>
        </w:rPr>
        <w:t>Vehicle class (CTPL tariff)</w:t>
      </w:r>
      <w:r>
        <w:rPr>
          <w:rFonts w:eastAsia="Segoe UI" w:cs="Segoe UI" w:ascii="Segoe UI" w:hAnsi="Segoe UI"/>
          <w:color w:val="101820"/>
          <w:sz w:val="21"/>
        </w:rPr>
        <w:t>, usage, sum insured and mortgagee if any.</w:t>
      </w:r>
    </w:p>
    <w:p>
      <w:pPr>
        <w:pStyle w:val="Normal"/>
        <w:numPr>
          <w:ilvl w:val="0"/>
          <w:numId w:val="509"/>
        </w:numPr>
        <w:spacing w:before="0" w:after="60"/>
        <w:rPr/>
      </w:pPr>
      <w:r>
        <w:rPr>
          <w:rFonts w:eastAsia="Segoe UI" w:cs="Segoe UI" w:ascii="Segoe UI" w:hAnsi="Segoe UI"/>
          <w:color w:val="101820"/>
          <w:sz w:val="21"/>
        </w:rPr>
        <w:t xml:space="preserve">Each vehicle is priced on its own: own damage and acts of nature on its sum insured, the excess liability premium, the CTPL of its class and the premium taxes. The totals show under </w:t>
      </w:r>
      <w:r>
        <w:rPr>
          <w:rFonts w:eastAsia="Segoe UI" w:cs="Segoe UI" w:ascii="Segoe UI" w:hAnsi="Segoe UI"/>
          <w:b/>
          <w:color w:val="101820"/>
          <w:sz w:val="21"/>
        </w:rPr>
        <w:t>Vehicles on cover</w:t>
      </w:r>
      <w:r>
        <w:rPr>
          <w:rFonts w:eastAsia="Segoe UI" w:cs="Segoe UI" w:ascii="Segoe UI" w:hAnsi="Segoe UI"/>
          <w:color w:val="101820"/>
          <w:sz w:val="21"/>
        </w:rPr>
        <w:t>.</w:t>
      </w:r>
    </w:p>
    <w:p>
      <w:pPr>
        <w:pStyle w:val="Normal"/>
        <w:numPr>
          <w:ilvl w:val="0"/>
          <w:numId w:val="51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policy</w:t>
      </w:r>
      <w:r>
        <w:rPr>
          <w:rFonts w:eastAsia="Segoe UI" w:cs="Segoe UI" w:ascii="Segoe UI" w:hAnsi="Segoe UI"/>
          <w:color w:val="101820"/>
          <w:sz w:val="21"/>
        </w:rPr>
        <w:t xml:space="preserve">. The policy is issued for the totals of the schedule and billed with its booking journal and commission, like any policy. At least </w:t>
      </w:r>
      <w:r>
        <w:rPr>
          <w:rFonts w:eastAsia="Segoe UI" w:cs="Segoe UI" w:ascii="Segoe UI" w:hAnsi="Segoe UI"/>
          <w:b/>
          <w:color w:val="101820"/>
          <w:sz w:val="21"/>
        </w:rPr>
        <w:t>fleet.minimum_vehicles</w:t>
      </w:r>
      <w:r>
        <w:rPr>
          <w:rFonts w:eastAsia="Segoe UI" w:cs="Segoe UI" w:ascii="Segoe UI" w:hAnsi="Segoe UI"/>
          <w:color w:val="101820"/>
          <w:sz w:val="21"/>
        </w:rPr>
        <w:t xml:space="preserve"> vehicles are needed.</w:t>
      </w:r>
    </w:p>
    <w:p>
      <w:pPr>
        <w:pStyle w:val="Normal"/>
        <w:spacing w:lineRule="auto" w:line="276" w:before="0" w:after="120"/>
        <w:rPr/>
      </w:pPr>
      <w:r>
        <w:rPr>
          <w:rFonts w:eastAsia="Segoe UI" w:cs="Segoe UI" w:ascii="Segoe UI" w:hAnsi="Segoe UI"/>
          <w:color w:val="101820"/>
          <w:sz w:val="21"/>
        </w:rPr>
        <w:t xml:space="preserve">After issue, </w:t>
      </w:r>
      <w:r>
        <w:rPr>
          <w:rFonts w:eastAsia="Segoe UI" w:cs="Segoe UI" w:ascii="Segoe UI" w:hAnsi="Segoe UI"/>
          <w:b/>
          <w:color w:val="101820"/>
          <w:sz w:val="21"/>
        </w:rPr>
        <w:t>Add vehicle by endorsement</w:t>
      </w:r>
      <w:r>
        <w:rPr>
          <w:rFonts w:eastAsia="Segoe UI" w:cs="Segoe UI" w:ascii="Segoe UI" w:hAnsi="Segoe UI"/>
          <w:color w:val="101820"/>
          <w:sz w:val="21"/>
        </w:rPr>
        <w:t xml:space="preserve"> adds a vehicle and </w:t>
      </w:r>
      <w:r>
        <w:rPr>
          <w:rFonts w:eastAsia="Segoe UI" w:cs="Segoe UI" w:ascii="Segoe UI" w:hAnsi="Segoe UI"/>
          <w:b/>
          <w:color w:val="101820"/>
          <w:sz w:val="21"/>
        </w:rPr>
        <w:t>Delete</w:t>
      </w:r>
      <w:r>
        <w:rPr>
          <w:rFonts w:eastAsia="Segoe UI" w:cs="Segoe UI" w:ascii="Segoe UI" w:hAnsi="Segoe UI"/>
          <w:color w:val="101820"/>
          <w:sz w:val="21"/>
        </w:rPr>
        <w:t xml:space="preserve"> (on a vehicle row) removes one. Each change is an endorsement whose premium is the vehicle's annual premium pro-rata to the days left (setting </w:t>
      </w:r>
      <w:r>
        <w:rPr>
          <w:rFonts w:eastAsia="Segoe UI" w:cs="Segoe UI" w:ascii="Segoe UI" w:hAnsi="Segoe UI"/>
          <w:b/>
          <w:color w:val="101820"/>
          <w:sz w:val="21"/>
        </w:rPr>
        <w:t>fleet.pro_rata_basis</w:t>
      </w:r>
      <w:r>
        <w:rPr>
          <w:rFonts w:eastAsia="Segoe UI" w:cs="Segoe UI" w:ascii="Segoe UI" w:hAnsi="Segoe UI"/>
          <w:color w:val="101820"/>
          <w:sz w:val="21"/>
        </w:rPr>
        <w:t xml:space="preserve">); completing it bills the additional premium or credits the return premium (setting </w:t>
      </w:r>
      <w:r>
        <w:rPr>
          <w:rFonts w:eastAsia="Segoe UI" w:cs="Segoe UI" w:ascii="Segoe UI" w:hAnsi="Segoe UI"/>
          <w:b/>
          <w:color w:val="101820"/>
          <w:sz w:val="21"/>
        </w:rPr>
        <w:t>fleet.return_premium_on_delete</w:t>
      </w:r>
      <w:r>
        <w:rPr>
          <w:rFonts w:eastAsia="Segoe UI" w:cs="Segoe UI" w:ascii="Segoe UI" w:hAnsi="Segoe UI"/>
          <w:color w:val="101820"/>
          <w:sz w:val="21"/>
        </w:rPr>
        <w:t xml:space="preserve">). </w:t>
      </w:r>
      <w:r>
        <w:rPr>
          <w:rFonts w:eastAsia="Segoe UI" w:cs="Segoe UI" w:ascii="Segoe UI" w:hAnsi="Segoe UI"/>
          <w:b/>
          <w:color w:val="101820"/>
          <w:sz w:val="21"/>
        </w:rPr>
        <w:t>Schedule PDF</w:t>
      </w:r>
      <w:r>
        <w:rPr>
          <w:rFonts w:eastAsia="Segoe UI" w:cs="Segoe UI" w:ascii="Segoe UI" w:hAnsi="Segoe UI"/>
          <w:color w:val="101820"/>
          <w:sz w:val="21"/>
        </w:rPr>
        <w:t xml:space="preserve"> prints the schedule of vehicles on cover with each vehicle's premium and CTPL; </w:t>
      </w:r>
      <w:r>
        <w:rPr>
          <w:rFonts w:eastAsia="Segoe UI" w:cs="Segoe UI" w:ascii="Segoe UI" w:hAnsi="Segoe UI"/>
          <w:b/>
          <w:color w:val="101820"/>
          <w:sz w:val="21"/>
        </w:rPr>
        <w:t>Excel</w:t>
      </w:r>
      <w:r>
        <w:rPr>
          <w:rFonts w:eastAsia="Segoe UI" w:cs="Segoe UI" w:ascii="Segoe UI" w:hAnsi="Segoe UI"/>
          <w:color w:val="101820"/>
          <w:sz w:val="21"/>
        </w:rPr>
        <w:t xml:space="preserve"> exports it.</w:t>
      </w:r>
    </w:p>
    <w:p>
      <w:pPr>
        <w:pStyle w:val="Heading2"/>
        <w:rPr/>
      </w:pPr>
      <w:bookmarkStart w:id="159" w:name="__RefHeading___Toc21835_17926050"/>
      <w:bookmarkEnd w:id="159"/>
      <w:r>
        <w:rPr>
          <w:rFonts w:eastAsia="Segoe UI" w:cs="Segoe UI"/>
          <w:b/>
          <w:color w:val="0F4761"/>
          <w:sz w:val="26"/>
        </w:rPr>
        <w:t>14.5  Marine Open Covers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Marine Open Covers]</w:t>
      </w:r>
    </w:p>
    <w:p>
      <w:pPr>
        <w:pStyle w:val="Normal"/>
        <w:spacing w:lineRule="auto" w:line="276" w:before="0" w:after="120"/>
        <w:rPr/>
      </w:pPr>
      <w:r>
        <w:rPr>
          <w:rFonts w:eastAsia="Segoe UI" w:cs="Segoe UI" w:ascii="Segoe UI" w:hAnsi="Segoe UI"/>
          <w:color w:val="101820"/>
          <w:sz w:val="21"/>
        </w:rPr>
        <w:t>Choose Operations &gt; Marine Open Covers. An open cover insures a client's cargo shipments for a period: each shipment is certified or declared and the premium is billed per declaration period.</w:t>
      </w:r>
    </w:p>
    <w:p>
      <w:pPr>
        <w:pStyle w:val="Heading3"/>
        <w:rPr/>
      </w:pPr>
      <w:r>
        <w:rPr>
          <w:rFonts w:eastAsia="Segoe UI" w:cs="Segoe UI"/>
          <w:b/>
          <w:color w:val="0F4761"/>
          <w:sz w:val="23"/>
        </w:rPr>
        <w:t>14.5.1  Set up the open cover</w:t>
      </w:r>
    </w:p>
    <w:p>
      <w:pPr>
        <w:pStyle w:val="Normal"/>
        <w:numPr>
          <w:ilvl w:val="0"/>
          <w:numId w:val="51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open cover</w:t>
      </w:r>
      <w:r>
        <w:rPr>
          <w:rFonts w:eastAsia="Segoe UI" w:cs="Segoe UI" w:ascii="Segoe UI" w:hAnsi="Segoe UI"/>
          <w:color w:val="101820"/>
          <w:sz w:val="21"/>
        </w:rPr>
        <w:t xml:space="preserve">. Choose the </w:t>
      </w:r>
      <w:r>
        <w:rPr>
          <w:rFonts w:eastAsia="Segoe UI" w:cs="Segoe UI" w:ascii="Segoe UI" w:hAnsi="Segoe UI"/>
          <w:b/>
          <w:color w:val="101820"/>
          <w:sz w:val="21"/>
        </w:rPr>
        <w:t>Client</w:t>
      </w:r>
      <w:r>
        <w:rPr>
          <w:rFonts w:eastAsia="Segoe UI" w:cs="Segoe UI" w:ascii="Segoe UI" w:hAnsi="Segoe UI"/>
          <w:color w:val="101820"/>
          <w:sz w:val="21"/>
        </w:rPr>
        <w:t xml:space="preserve"> and </w:t>
      </w:r>
      <w:r>
        <w:rPr>
          <w:rFonts w:eastAsia="Segoe UI" w:cs="Segoe UI" w:ascii="Segoe UI" w:hAnsi="Segoe UI"/>
          <w:b/>
          <w:color w:val="101820"/>
          <w:sz w:val="21"/>
        </w:rPr>
        <w:t>Insurer</w:t>
      </w:r>
      <w:r>
        <w:rPr>
          <w:rFonts w:eastAsia="Segoe UI" w:cs="Segoe UI" w:ascii="Segoe UI" w:hAnsi="Segoe UI"/>
          <w:color w:val="101820"/>
          <w:sz w:val="21"/>
        </w:rPr>
        <w:t xml:space="preserve">, enter the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Goods insured</w:t>
      </w:r>
      <w:r>
        <w:rPr>
          <w:rFonts w:eastAsia="Segoe UI" w:cs="Segoe UI" w:ascii="Segoe UI" w:hAnsi="Segoe UI"/>
          <w:color w:val="101820"/>
          <w:sz w:val="21"/>
        </w:rPr>
        <w:t xml:space="preserve">, </w:t>
      </w:r>
      <w:r>
        <w:rPr>
          <w:rFonts w:eastAsia="Segoe UI" w:cs="Segoe UI" w:ascii="Segoe UI" w:hAnsi="Segoe UI"/>
          <w:b/>
          <w:color w:val="101820"/>
          <w:sz w:val="21"/>
        </w:rPr>
        <w:t>Voyages</w:t>
      </w:r>
      <w:r>
        <w:rPr>
          <w:rFonts w:eastAsia="Segoe UI" w:cs="Segoe UI" w:ascii="Segoe UI" w:hAnsi="Segoe UI"/>
          <w:color w:val="101820"/>
          <w:sz w:val="21"/>
        </w:rPr>
        <w:t xml:space="preserve"> and </w:t>
      </w:r>
      <w:r>
        <w:rPr>
          <w:rFonts w:eastAsia="Segoe UI" w:cs="Segoe UI" w:ascii="Segoe UI" w:hAnsi="Segoe UI"/>
          <w:b/>
          <w:color w:val="101820"/>
          <w:sz w:val="21"/>
        </w:rPr>
        <w:t>Clauses</w:t>
      </w:r>
      <w:r>
        <w:rPr>
          <w:rFonts w:eastAsia="Segoe UI" w:cs="Segoe UI" w:ascii="Segoe UI" w:hAnsi="Segoe UI"/>
          <w:color w:val="101820"/>
          <w:sz w:val="21"/>
        </w:rPr>
        <w:t>.</w:t>
      </w:r>
    </w:p>
    <w:p>
      <w:pPr>
        <w:pStyle w:val="Normal"/>
        <w:numPr>
          <w:ilvl w:val="0"/>
          <w:numId w:val="512"/>
        </w:numPr>
        <w:spacing w:before="0" w:after="60"/>
        <w:rPr/>
      </w:pPr>
      <w:r>
        <w:rPr>
          <w:rFonts w:eastAsia="Segoe UI" w:cs="Segoe UI" w:ascii="Segoe UI" w:hAnsi="Segoe UI"/>
          <w:color w:val="101820"/>
          <w:sz w:val="21"/>
        </w:rPr>
        <w:t xml:space="preserve">For each conveyance (Sea, Air, Land) covered, enter the </w:t>
      </w:r>
      <w:r>
        <w:rPr>
          <w:rFonts w:eastAsia="Segoe UI" w:cs="Segoe UI" w:ascii="Segoe UI" w:hAnsi="Segoe UI"/>
          <w:b/>
          <w:color w:val="101820"/>
          <w:sz w:val="21"/>
        </w:rPr>
        <w:t>Rate %</w:t>
      </w:r>
      <w:r>
        <w:rPr>
          <w:rFonts w:eastAsia="Segoe UI" w:cs="Segoe UI" w:ascii="Segoe UI" w:hAnsi="Segoe UI"/>
          <w:color w:val="101820"/>
          <w:sz w:val="21"/>
        </w:rPr>
        <w:t xml:space="preserve"> and the </w:t>
      </w:r>
      <w:r>
        <w:rPr>
          <w:rFonts w:eastAsia="Segoe UI" w:cs="Segoe UI" w:ascii="Segoe UI" w:hAnsi="Segoe UI"/>
          <w:b/>
          <w:color w:val="101820"/>
          <w:sz w:val="21"/>
        </w:rPr>
        <w:t>Limit any one conveyance</w:t>
      </w:r>
      <w:r>
        <w:rPr>
          <w:rFonts w:eastAsia="Segoe UI" w:cs="Segoe UI" w:ascii="Segoe UI" w:hAnsi="Segoe UI"/>
          <w:color w:val="101820"/>
          <w:sz w:val="21"/>
        </w:rPr>
        <w:t>.</w:t>
      </w:r>
    </w:p>
    <w:p>
      <w:pPr>
        <w:pStyle w:val="Normal"/>
        <w:numPr>
          <w:ilvl w:val="0"/>
          <w:numId w:val="51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Mark-up on invoice %</w:t>
      </w:r>
      <w:r>
        <w:rPr>
          <w:rFonts w:eastAsia="Segoe UI" w:cs="Segoe UI" w:ascii="Segoe UI" w:hAnsi="Segoe UI"/>
          <w:color w:val="101820"/>
          <w:sz w:val="21"/>
        </w:rPr>
        <w:t xml:space="preserve"> (insured value = invoice value plus the mark-up; default in </w:t>
      </w:r>
      <w:r>
        <w:rPr>
          <w:rFonts w:eastAsia="Segoe UI" w:cs="Segoe UI" w:ascii="Segoe UI" w:hAnsi="Segoe UI"/>
          <w:b/>
          <w:color w:val="101820"/>
          <w:sz w:val="21"/>
        </w:rPr>
        <w:t>marine.default_markup_percent</w:t>
      </w:r>
      <w:r>
        <w:rPr>
          <w:rFonts w:eastAsia="Segoe UI" w:cs="Segoe UI" w:ascii="Segoe UI" w:hAnsi="Segoe UI"/>
          <w:color w:val="101820"/>
          <w:sz w:val="21"/>
        </w:rPr>
        <w:t xml:space="preserve">), the </w:t>
      </w:r>
      <w:r>
        <w:rPr>
          <w:rFonts w:eastAsia="Segoe UI" w:cs="Segoe UI" w:ascii="Segoe UI" w:hAnsi="Segoe UI"/>
          <w:b/>
          <w:color w:val="101820"/>
          <w:sz w:val="21"/>
        </w:rPr>
        <w:t>Minimum premium per certificate</w:t>
      </w:r>
      <w:r>
        <w:rPr>
          <w:rFonts w:eastAsia="Segoe UI" w:cs="Segoe UI" w:ascii="Segoe UI" w:hAnsi="Segoe UI"/>
          <w:color w:val="101820"/>
          <w:sz w:val="21"/>
        </w:rPr>
        <w:t xml:space="preserve"> and the declaration frequency (monthly or quarterly).</w:t>
      </w:r>
    </w:p>
    <w:p>
      <w:pPr>
        <w:pStyle w:val="Normal"/>
        <w:numPr>
          <w:ilvl w:val="0"/>
          <w:numId w:val="51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then </w:t>
      </w:r>
      <w:r>
        <w:rPr>
          <w:rFonts w:eastAsia="Segoe UI" w:cs="Segoe UI" w:ascii="Segoe UI" w:hAnsi="Segoe UI"/>
          <w:b/>
          <w:color w:val="101820"/>
          <w:sz w:val="21"/>
        </w:rPr>
        <w:t>Activate</w:t>
      </w:r>
      <w:r>
        <w:rPr>
          <w:rFonts w:eastAsia="Segoe UI" w:cs="Segoe UI" w:ascii="Segoe UI" w:hAnsi="Segoe UI"/>
          <w:color w:val="101820"/>
          <w:sz w:val="21"/>
        </w:rPr>
        <w:t>. Activating issues the open policy without a bill; the premium is billed through the declarations.</w:t>
      </w:r>
    </w:p>
    <w:p>
      <w:pPr>
        <w:pStyle w:val="Heading3"/>
        <w:rPr/>
      </w:pPr>
      <w:r>
        <w:rPr>
          <w:rFonts w:eastAsia="Segoe UI" w:cs="Segoe UI"/>
          <w:b/>
          <w:color w:val="0F4761"/>
          <w:sz w:val="23"/>
        </w:rPr>
        <w:t>14.5.2  Certificates and shipments</w:t>
      </w:r>
    </w:p>
    <w:p>
      <w:pPr>
        <w:pStyle w:val="Normal"/>
        <w:numPr>
          <w:ilvl w:val="0"/>
          <w:numId w:val="515"/>
        </w:numPr>
        <w:spacing w:before="0" w:after="60"/>
        <w:rPr/>
      </w:pPr>
      <w:r>
        <w:rPr>
          <w:rFonts w:eastAsia="Segoe UI" w:cs="Segoe UI" w:ascii="Segoe UI" w:hAnsi="Segoe UI"/>
          <w:color w:val="101820"/>
          <w:sz w:val="21"/>
        </w:rPr>
        <w:t xml:space="preserve">On an active cover select </w:t>
      </w:r>
      <w:r>
        <w:rPr>
          <w:rFonts w:eastAsia="Segoe UI" w:cs="Segoe UI" w:ascii="Segoe UI" w:hAnsi="Segoe UI"/>
          <w:b/>
          <w:color w:val="101820"/>
          <w:sz w:val="21"/>
        </w:rPr>
        <w:t>Issue certificate</w:t>
      </w:r>
      <w:r>
        <w:rPr>
          <w:rFonts w:eastAsia="Segoe UI" w:cs="Segoe UI" w:ascii="Segoe UI" w:hAnsi="Segoe UI"/>
          <w:color w:val="101820"/>
          <w:sz w:val="21"/>
        </w:rPr>
        <w:t xml:space="preserve">. Enter the shipment date, the </w:t>
      </w:r>
      <w:r>
        <w:rPr>
          <w:rFonts w:eastAsia="Segoe UI" w:cs="Segoe UI" w:ascii="Segoe UI" w:hAnsi="Segoe UI"/>
          <w:b/>
          <w:color w:val="101820"/>
          <w:sz w:val="21"/>
        </w:rPr>
        <w:t>Conveyance</w:t>
      </w:r>
      <w:r>
        <w:rPr>
          <w:rFonts w:eastAsia="Segoe UI" w:cs="Segoe UI" w:ascii="Segoe UI" w:hAnsi="Segoe UI"/>
          <w:color w:val="101820"/>
          <w:sz w:val="21"/>
        </w:rPr>
        <w:t xml:space="preserve">, </w:t>
      </w:r>
      <w:r>
        <w:rPr>
          <w:rFonts w:eastAsia="Segoe UI" w:cs="Segoe UI" w:ascii="Segoe UI" w:hAnsi="Segoe UI"/>
          <w:b/>
          <w:color w:val="101820"/>
          <w:sz w:val="21"/>
        </w:rPr>
        <w:t>Vessel / flight</w:t>
      </w:r>
      <w:r>
        <w:rPr>
          <w:rFonts w:eastAsia="Segoe UI" w:cs="Segoe UI" w:ascii="Segoe UI" w:hAnsi="Segoe UI"/>
          <w:color w:val="101820"/>
          <w:sz w:val="21"/>
        </w:rPr>
        <w:t xml:space="preserve">, voyage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Bill of lading / airway bill</w:t>
      </w:r>
      <w:r>
        <w:rPr>
          <w:rFonts w:eastAsia="Segoe UI" w:cs="Segoe UI" w:ascii="Segoe UI" w:hAnsi="Segoe UI"/>
          <w:color w:val="101820"/>
          <w:sz w:val="21"/>
        </w:rPr>
        <w:t xml:space="preserve">, consignee, packing, goods and the </w:t>
      </w:r>
      <w:r>
        <w:rPr>
          <w:rFonts w:eastAsia="Segoe UI" w:cs="Segoe UI" w:ascii="Segoe UI" w:hAnsi="Segoe UI"/>
          <w:b/>
          <w:color w:val="101820"/>
          <w:sz w:val="21"/>
        </w:rPr>
        <w:t>Invoice value</w:t>
      </w:r>
      <w:r>
        <w:rPr>
          <w:rFonts w:eastAsia="Segoe UI" w:cs="Segoe UI" w:ascii="Segoe UI" w:hAnsi="Segoe UI"/>
          <w:color w:val="101820"/>
          <w:sz w:val="21"/>
        </w:rPr>
        <w:t>.</w:t>
      </w:r>
    </w:p>
    <w:p>
      <w:pPr>
        <w:pStyle w:val="Normal"/>
        <w:numPr>
          <w:ilvl w:val="0"/>
          <w:numId w:val="516"/>
        </w:numPr>
        <w:spacing w:before="0" w:after="60"/>
        <w:rPr/>
      </w:pPr>
      <w:r>
        <w:rPr>
          <w:rFonts w:eastAsia="Segoe UI" w:cs="Segoe UI" w:ascii="Segoe UI" w:hAnsi="Segoe UI"/>
          <w:color w:val="101820"/>
          <w:sz w:val="21"/>
        </w:rPr>
        <w:t xml:space="preserve">The system computes the </w:t>
      </w:r>
      <w:r>
        <w:rPr>
          <w:rFonts w:eastAsia="Segoe UI" w:cs="Segoe UI" w:ascii="Segoe UI" w:hAnsi="Segoe UI"/>
          <w:b/>
          <w:color w:val="101820"/>
          <w:sz w:val="21"/>
        </w:rPr>
        <w:t>Insured value</w:t>
      </w:r>
      <w:r>
        <w:rPr>
          <w:rFonts w:eastAsia="Segoe UI" w:cs="Segoe UI" w:ascii="Segoe UI" w:hAnsi="Segoe UI"/>
          <w:color w:val="101820"/>
          <w:sz w:val="21"/>
        </w:rPr>
        <w:t xml:space="preserve"> and the premium (at least the minimum premium) and refuses a shipment over the limit of its conveyance or outside the period.</w:t>
      </w:r>
    </w:p>
    <w:p>
      <w:pPr>
        <w:pStyle w:val="Normal"/>
        <w:numPr>
          <w:ilvl w:val="0"/>
          <w:numId w:val="517"/>
        </w:numPr>
        <w:spacing w:before="0" w:after="60"/>
        <w:rPr/>
      </w:pPr>
      <w:r>
        <w:rPr>
          <w:rFonts w:eastAsia="Segoe UI" w:cs="Segoe UI" w:ascii="Segoe UI" w:hAnsi="Segoe UI"/>
          <w:b/>
          <w:color w:val="101820"/>
          <w:sz w:val="21"/>
        </w:rPr>
        <w:t>Print</w:t>
      </w:r>
      <w:r>
        <w:rPr>
          <w:rFonts w:eastAsia="Segoe UI" w:cs="Segoe UI" w:ascii="Segoe UI" w:hAnsi="Segoe UI"/>
          <w:color w:val="101820"/>
          <w:sz w:val="21"/>
        </w:rPr>
        <w:t xml:space="preserve"> produces the certificate of insurance (wording in </w:t>
      </w:r>
      <w:r>
        <w:rPr>
          <w:rFonts w:eastAsia="Segoe UI" w:cs="Segoe UI" w:ascii="Segoe UI" w:hAnsi="Segoe UI"/>
          <w:b/>
          <w:color w:val="101820"/>
          <w:sz w:val="21"/>
        </w:rPr>
        <w:t>marine.certificate_wording</w:t>
      </w:r>
      <w:r>
        <w:rPr>
          <w:rFonts w:eastAsia="Segoe UI" w:cs="Segoe UI" w:ascii="Segoe UI" w:hAnsi="Segoe UI"/>
          <w:color w:val="101820"/>
          <w:sz w:val="21"/>
        </w:rPr>
        <w:t xml:space="preserve">). </w:t>
      </w:r>
      <w:r>
        <w:rPr>
          <w:rFonts w:eastAsia="Segoe UI" w:cs="Segoe UI" w:ascii="Segoe UI" w:hAnsi="Segoe UI"/>
          <w:b/>
          <w:color w:val="101820"/>
          <w:sz w:val="21"/>
        </w:rPr>
        <w:t>Cancel certificate</w:t>
      </w:r>
      <w:r>
        <w:rPr>
          <w:rFonts w:eastAsia="Segoe UI" w:cs="Segoe UI" w:ascii="Segoe UI" w:hAnsi="Segoe UI"/>
          <w:color w:val="101820"/>
          <w:sz w:val="21"/>
        </w:rPr>
        <w:t xml:space="preserve"> cancels a certificate issued in error.</w:t>
      </w:r>
    </w:p>
    <w:p>
      <w:pPr>
        <w:pStyle w:val="Normal"/>
        <w:spacing w:lineRule="auto" w:line="276" w:before="0" w:after="120"/>
        <w:rPr/>
      </w:pPr>
      <w:r>
        <w:rPr>
          <w:rFonts w:eastAsia="Segoe UI" w:cs="Segoe UI" w:ascii="Segoe UI" w:hAnsi="Segoe UI"/>
          <w:b/>
          <w:color w:val="101820"/>
          <w:sz w:val="21"/>
        </w:rPr>
        <w:t>Shipment without certificate</w:t>
      </w:r>
      <w:r>
        <w:rPr>
          <w:rFonts w:eastAsia="Segoe UI" w:cs="Segoe UI" w:ascii="Segoe UI" w:hAnsi="Segoe UI"/>
          <w:color w:val="101820"/>
          <w:sz w:val="21"/>
        </w:rPr>
        <w:t xml:space="preserve"> records a shipment the client declares without a certificate having been issued.</w:t>
      </w:r>
    </w:p>
    <w:p>
      <w:pPr>
        <w:pStyle w:val="Heading3"/>
        <w:rPr/>
      </w:pPr>
      <w:r>
        <w:rPr>
          <w:rFonts w:eastAsia="Segoe UI" w:cs="Segoe UI"/>
          <w:b/>
          <w:color w:val="0F4761"/>
          <w:sz w:val="23"/>
        </w:rPr>
        <w:t>14.5.3  Declarations, billing and remittance</w:t>
      </w:r>
    </w:p>
    <w:p>
      <w:pPr>
        <w:pStyle w:val="Normal"/>
        <w:numPr>
          <w:ilvl w:val="0"/>
          <w:numId w:val="518"/>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Declarations</w:t>
      </w:r>
      <w:r>
        <w:rPr>
          <w:rFonts w:eastAsia="Segoe UI" w:cs="Segoe UI" w:ascii="Segoe UI" w:hAnsi="Segoe UI"/>
          <w:color w:val="101820"/>
          <w:sz w:val="21"/>
        </w:rPr>
        <w:t xml:space="preserve"> and select </w:t>
      </w:r>
      <w:r>
        <w:rPr>
          <w:rFonts w:eastAsia="Segoe UI" w:cs="Segoe UI" w:ascii="Segoe UI" w:hAnsi="Segoe UI"/>
          <w:b/>
          <w:color w:val="101820"/>
          <w:sz w:val="21"/>
        </w:rPr>
        <w:t>New declaration</w:t>
      </w:r>
      <w:r>
        <w:rPr>
          <w:rFonts w:eastAsia="Segoe UI" w:cs="Segoe UI" w:ascii="Segoe UI" w:hAnsi="Segoe UI"/>
          <w:color w:val="101820"/>
          <w:sz w:val="21"/>
        </w:rPr>
        <w:t xml:space="preserve"> for the period. The certificates and declared shipments of the period are gathered with their premium and the premium taxes of the marine line. A period with no shipment is a nil declaration.</w:t>
      </w:r>
    </w:p>
    <w:p>
      <w:pPr>
        <w:pStyle w:val="Normal"/>
        <w:numPr>
          <w:ilvl w:val="0"/>
          <w:numId w:val="519"/>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the declaration, then </w:t>
      </w:r>
      <w:r>
        <w:rPr>
          <w:rFonts w:eastAsia="Segoe UI" w:cs="Segoe UI" w:ascii="Segoe UI" w:hAnsi="Segoe UI"/>
          <w:b/>
          <w:color w:val="101820"/>
          <w:sz w:val="21"/>
        </w:rPr>
        <w:t>Bill</w:t>
      </w:r>
      <w:r>
        <w:rPr>
          <w:rFonts w:eastAsia="Segoe UI" w:cs="Segoe UI" w:ascii="Segoe UI" w:hAnsi="Segoe UI"/>
          <w:color w:val="101820"/>
          <w:sz w:val="21"/>
        </w:rPr>
        <w:t xml:space="preserve"> it. Billing raises the bill on the open policy (premium receivable, booking journal, collection item and commission). Collection, the official receipt and the remittance to the insurer follow as for any bill.</w:t>
      </w:r>
    </w:p>
    <w:p>
      <w:pPr>
        <w:pStyle w:val="Normal"/>
        <w:spacing w:lineRule="auto" w:line="276" w:before="0" w:after="120"/>
        <w:rPr/>
      </w:pPr>
      <w:r>
        <w:rPr>
          <w:rFonts w:eastAsia="Segoe UI" w:cs="Segoe UI" w:ascii="Segoe UI" w:hAnsi="Segoe UI"/>
          <w:color w:val="101820"/>
          <w:sz w:val="21"/>
        </w:rPr>
        <w:t xml:space="preserve">Declarations are due </w:t>
      </w:r>
      <w:r>
        <w:rPr>
          <w:rFonts w:eastAsia="Segoe UI" w:cs="Segoe UI" w:ascii="Segoe UI" w:hAnsi="Segoe UI"/>
          <w:b/>
          <w:color w:val="101820"/>
          <w:sz w:val="21"/>
        </w:rPr>
        <w:t>marine.declaration_due_days</w:t>
      </w:r>
      <w:r>
        <w:rPr>
          <w:rFonts w:eastAsia="Segoe UI" w:cs="Segoe UI" w:ascii="Segoe UI" w:hAnsi="Segoe UI"/>
          <w:color w:val="101820"/>
          <w:sz w:val="21"/>
        </w:rPr>
        <w:t xml:space="preserve"> days after the period ends.</w:t>
      </w:r>
    </w:p>
    <w:p>
      <w:pPr>
        <w:pStyle w:val="Heading2"/>
        <w:rPr/>
      </w:pPr>
      <w:bookmarkStart w:id="160" w:name="__RefHeading___Toc21837_17926050"/>
      <w:bookmarkEnd w:id="160"/>
      <w:r>
        <w:rPr>
          <w:rFonts w:eastAsia="Segoe UI" w:cs="Segoe UI"/>
          <w:b/>
          <w:color w:val="0F4761"/>
          <w:sz w:val="26"/>
        </w:rPr>
        <w:t>14.6  Comparison Reports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Sales &amp; Marketing &gt; Comparison Reports]</w:t>
      </w:r>
    </w:p>
    <w:p>
      <w:pPr>
        <w:pStyle w:val="Normal"/>
        <w:spacing w:lineRule="auto" w:line="276" w:before="0" w:after="120"/>
        <w:rPr/>
      </w:pPr>
      <w:r>
        <w:rPr>
          <w:rFonts w:eastAsia="Segoe UI" w:cs="Segoe UI" w:ascii="Segoe UI" w:hAnsi="Segoe UI"/>
          <w:color w:val="101820"/>
          <w:sz w:val="21"/>
        </w:rPr>
        <w:t>Choose Operations &gt; Sales &amp; Marketing &gt; Comparison Reports. The comparison report is the printed, branded document given to the client comparing the insurers' offers, with the option the broker recommends and why. It never shows commission.</w:t>
      </w:r>
    </w:p>
    <w:p>
      <w:pPr>
        <w:pStyle w:val="Normal"/>
        <w:numPr>
          <w:ilvl w:val="0"/>
          <w:numId w:val="5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report</w:t>
      </w:r>
      <w:r>
        <w:rPr>
          <w:rFonts w:eastAsia="Segoe UI" w:cs="Segoe UI" w:ascii="Segoe UI" w:hAnsi="Segoe UI"/>
          <w:color w:val="101820"/>
          <w:sz w:val="21"/>
        </w:rPr>
        <w:t xml:space="preserve">. Choose what is </w:t>
      </w:r>
      <w:r>
        <w:rPr>
          <w:rFonts w:eastAsia="Segoe UI" w:cs="Segoe UI" w:ascii="Segoe UI" w:hAnsi="Segoe UI"/>
          <w:b/>
          <w:color w:val="101820"/>
          <w:sz w:val="21"/>
        </w:rPr>
        <w:t>Compared</w:t>
      </w:r>
      <w:r>
        <w:rPr>
          <w:rFonts w:eastAsia="Segoe UI" w:cs="Segoe UI" w:ascii="Segoe UI" w:hAnsi="Segoe UI"/>
          <w:color w:val="101820"/>
          <w:sz w:val="21"/>
        </w:rPr>
        <w:t xml:space="preserve">: a </w:t>
      </w:r>
      <w:r>
        <w:rPr>
          <w:rFonts w:eastAsia="Segoe UI" w:cs="Segoe UI" w:ascii="Segoe UI" w:hAnsi="Segoe UI"/>
          <w:b/>
          <w:color w:val="101820"/>
          <w:sz w:val="21"/>
        </w:rPr>
        <w:t>Request for quotation</w:t>
      </w:r>
      <w:r>
        <w:rPr>
          <w:rFonts w:eastAsia="Segoe UI" w:cs="Segoe UI" w:ascii="Segoe UI" w:hAnsi="Segoe UI"/>
          <w:color w:val="101820"/>
          <w:sz w:val="21"/>
        </w:rPr>
        <w:t xml:space="preserve"> (its insurers' offers become the options) or two or more </w:t>
      </w:r>
      <w:r>
        <w:rPr>
          <w:rFonts w:eastAsia="Segoe UI" w:cs="Segoe UI" w:ascii="Segoe UI" w:hAnsi="Segoe UI"/>
          <w:b/>
          <w:color w:val="101820"/>
          <w:sz w:val="21"/>
        </w:rPr>
        <w:t>Quotations</w:t>
      </w:r>
      <w:r>
        <w:rPr>
          <w:rFonts w:eastAsia="Segoe UI" w:cs="Segoe UI" w:ascii="Segoe UI" w:hAnsi="Segoe UI"/>
          <w:color w:val="101820"/>
          <w:sz w:val="21"/>
        </w:rPr>
        <w:t xml:space="preserve"> of the same client or prospect (enter their numbers). From a request for quotation the report can also be opened with the address /sales/comparison-reports?brokerSlipId= followed by the slip.</w:t>
      </w:r>
    </w:p>
    <w:p>
      <w:pPr>
        <w:pStyle w:val="Normal"/>
        <w:numPr>
          <w:ilvl w:val="0"/>
          <w:numId w:val="52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w:t>
      </w:r>
      <w:r>
        <w:rPr>
          <w:rFonts w:eastAsia="Segoe UI" w:cs="Segoe UI" w:ascii="Segoe UI" w:hAnsi="Segoe UI"/>
          <w:color w:val="101820"/>
          <w:sz w:val="21"/>
        </w:rPr>
        <w:t>. The options are ranked by total premium.</w:t>
      </w:r>
    </w:p>
    <w:p>
      <w:pPr>
        <w:pStyle w:val="Normal"/>
        <w:numPr>
          <w:ilvl w:val="0"/>
          <w:numId w:val="522"/>
        </w:numPr>
        <w:spacing w:before="0" w:after="60"/>
        <w:rPr/>
      </w:pPr>
      <w:r>
        <w:rPr>
          <w:rFonts w:eastAsia="Segoe UI" w:cs="Segoe UI" w:ascii="Segoe UI" w:hAnsi="Segoe UI"/>
          <w:color w:val="101820"/>
          <w:sz w:val="21"/>
        </w:rPr>
        <w:t xml:space="preserve">Edit </w:t>
      </w:r>
      <w:r>
        <w:rPr>
          <w:rFonts w:eastAsia="Segoe UI" w:cs="Segoe UI" w:ascii="Segoe UI" w:hAnsi="Segoe UI"/>
          <w:b/>
          <w:color w:val="101820"/>
          <w:sz w:val="21"/>
        </w:rPr>
        <w:t>Prepared for</w:t>
      </w:r>
      <w:r>
        <w:rPr>
          <w:rFonts w:eastAsia="Segoe UI" w:cs="Segoe UI" w:ascii="Segoe UI" w:hAnsi="Segoe UI"/>
          <w:color w:val="101820"/>
          <w:sz w:val="21"/>
        </w:rPr>
        <w:t xml:space="preserve">, </w:t>
      </w:r>
      <w:r>
        <w:rPr>
          <w:rFonts w:eastAsia="Segoe UI" w:cs="Segoe UI" w:ascii="Segoe UI" w:hAnsi="Segoe UI"/>
          <w:b/>
          <w:color w:val="101820"/>
          <w:sz w:val="21"/>
        </w:rPr>
        <w:t>Title</w:t>
      </w:r>
      <w:r>
        <w:rPr>
          <w:rFonts w:eastAsia="Segoe UI" w:cs="Segoe UI" w:ascii="Segoe UI" w:hAnsi="Segoe UI"/>
          <w:color w:val="101820"/>
          <w:sz w:val="21"/>
        </w:rPr>
        <w:t xml:space="preserve"> and </w:t>
      </w:r>
      <w:r>
        <w:rPr>
          <w:rFonts w:eastAsia="Segoe UI" w:cs="Segoe UI" w:ascii="Segoe UI" w:hAnsi="Segoe UI"/>
          <w:b/>
          <w:color w:val="101820"/>
          <w:sz w:val="21"/>
        </w:rPr>
        <w:t>Introduction</w:t>
      </w:r>
      <w:r>
        <w:rPr>
          <w:rFonts w:eastAsia="Segoe UI" w:cs="Segoe UI" w:ascii="Segoe UI" w:hAnsi="Segoe UI"/>
          <w:color w:val="101820"/>
          <w:sz w:val="21"/>
        </w:rPr>
        <w:t xml:space="preserve"> (defaults in the </w:t>
      </w:r>
      <w:r>
        <w:rPr>
          <w:rFonts w:eastAsia="Segoe UI" w:cs="Segoe UI" w:ascii="Segoe UI" w:hAnsi="Segoe UI"/>
          <w:b/>
          <w:color w:val="101820"/>
          <w:sz w:val="21"/>
        </w:rPr>
        <w:t>comparison.</w:t>
      </w:r>
      <w:r>
        <w:rPr>
          <w:rFonts w:eastAsia="Segoe UI" w:cs="Segoe UI" w:ascii="Segoe UI" w:hAnsi="Segoe UI"/>
          <w:color w:val="101820"/>
          <w:sz w:val="21"/>
        </w:rPr>
        <w:t xml:space="preserve">* settings). For each option enter </w:t>
      </w:r>
      <w:r>
        <w:rPr>
          <w:rFonts w:eastAsia="Segoe UI" w:cs="Segoe UI" w:ascii="Segoe UI" w:hAnsi="Segoe UI"/>
          <w:b/>
          <w:color w:val="101820"/>
          <w:sz w:val="21"/>
        </w:rPr>
        <w:t>What stands out</w:t>
      </w:r>
      <w:r>
        <w:rPr>
          <w:rFonts w:eastAsia="Segoe UI" w:cs="Segoe UI" w:ascii="Segoe UI" w:hAnsi="Segoe UI"/>
          <w:color w:val="101820"/>
          <w:sz w:val="21"/>
        </w:rPr>
        <w:t>.</w:t>
      </w:r>
    </w:p>
    <w:p>
      <w:pPr>
        <w:pStyle w:val="Normal"/>
        <w:numPr>
          <w:ilvl w:val="0"/>
          <w:numId w:val="523"/>
        </w:numPr>
        <w:spacing w:before="0" w:after="60"/>
        <w:rPr/>
      </w:pPr>
      <w:r>
        <w:rPr>
          <w:rFonts w:eastAsia="Segoe UI" w:cs="Segoe UI" w:ascii="Segoe UI" w:hAnsi="Segoe UI"/>
          <w:color w:val="101820"/>
          <w:sz w:val="21"/>
        </w:rPr>
        <w:t xml:space="preserve">Choose the option to </w:t>
      </w:r>
      <w:r>
        <w:rPr>
          <w:rFonts w:eastAsia="Segoe UI" w:cs="Segoe UI" w:ascii="Segoe UI" w:hAnsi="Segoe UI"/>
          <w:b/>
          <w:color w:val="101820"/>
          <w:sz w:val="21"/>
        </w:rPr>
        <w:t>Recommend</w:t>
      </w:r>
      <w:r>
        <w:rPr>
          <w:rFonts w:eastAsia="Segoe UI" w:cs="Segoe UI" w:ascii="Segoe UI" w:hAnsi="Segoe UI"/>
          <w:color w:val="101820"/>
          <w:sz w:val="21"/>
        </w:rPr>
        <w:t xml:space="preserve"> and write </w:t>
      </w:r>
      <w:r>
        <w:rPr>
          <w:rFonts w:eastAsia="Segoe UI" w:cs="Segoe UI" w:ascii="Segoe UI" w:hAnsi="Segoe UI"/>
          <w:b/>
          <w:color w:val="101820"/>
          <w:sz w:val="21"/>
        </w:rPr>
        <w:t>Why we recommend it</w:t>
      </w:r>
      <w:r>
        <w:rPr>
          <w:rFonts w:eastAsia="Segoe UI" w:cs="Segoe UI" w:ascii="Segoe UI" w:hAnsi="Segoe UI"/>
          <w:color w:val="101820"/>
          <w:sz w:val="21"/>
        </w:rPr>
        <w:t xml:space="preserve">, one reason per line; the suggested reasons of </w:t>
      </w:r>
      <w:r>
        <w:rPr>
          <w:rFonts w:eastAsia="Segoe UI" w:cs="Segoe UI" w:ascii="Segoe UI" w:hAnsi="Segoe UI"/>
          <w:b/>
          <w:color w:val="101820"/>
          <w:sz w:val="21"/>
        </w:rPr>
        <w:t>comparison.default_reasons</w:t>
      </w:r>
      <w:r>
        <w:rPr>
          <w:rFonts w:eastAsia="Segoe UI" w:cs="Segoe UI" w:ascii="Segoe UI" w:hAnsi="Segoe UI"/>
          <w:color w:val="101820"/>
          <w:sz w:val="21"/>
        </w:rPr>
        <w:t xml:space="preserve"> can be added with one click. Adjust the </w:t>
      </w:r>
      <w:r>
        <w:rPr>
          <w:rFonts w:eastAsia="Segoe UI" w:cs="Segoe UI" w:ascii="Segoe UI" w:hAnsi="Segoe UI"/>
          <w:b/>
          <w:color w:val="101820"/>
          <w:sz w:val="21"/>
        </w:rPr>
        <w:t>Disclaimer</w:t>
      </w:r>
      <w:r>
        <w:rPr>
          <w:rFonts w:eastAsia="Segoe UI" w:cs="Segoe UI" w:ascii="Segoe UI" w:hAnsi="Segoe UI"/>
          <w:color w:val="101820"/>
          <w:sz w:val="21"/>
        </w:rPr>
        <w:t>.</w:t>
      </w:r>
    </w:p>
    <w:p>
      <w:pPr>
        <w:pStyle w:val="Normal"/>
        <w:numPr>
          <w:ilvl w:val="0"/>
          <w:numId w:val="52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then </w:t>
      </w:r>
      <w:r>
        <w:rPr>
          <w:rFonts w:eastAsia="Segoe UI" w:cs="Segoe UI" w:ascii="Segoe UI" w:hAnsi="Segoe UI"/>
          <w:b/>
          <w:color w:val="101820"/>
          <w:sz w:val="21"/>
        </w:rPr>
        <w:t>Client report (PDF)</w:t>
      </w:r>
      <w:r>
        <w:rPr>
          <w:rFonts w:eastAsia="Segoe UI" w:cs="Segoe UI" w:ascii="Segoe UI" w:hAnsi="Segoe UI"/>
          <w:color w:val="101820"/>
          <w:sz w:val="21"/>
        </w:rPr>
        <w:t xml:space="preserve"> to print it on the letterhead.</w:t>
      </w:r>
    </w:p>
    <w:p>
      <w:pPr>
        <w:pStyle w:val="Normal"/>
        <w:spacing w:lineRule="auto" w:line="276" w:before="0" w:after="120"/>
        <w:rPr/>
      </w:pPr>
      <w:r>
        <w:rPr>
          <w:rFonts w:eastAsia="Segoe UI" w:cs="Segoe UI" w:ascii="Segoe UI" w:hAnsi="Segoe UI"/>
          <w:b/>
          <w:color w:val="101820"/>
          <w:sz w:val="21"/>
        </w:rPr>
        <w:t>E-mail to the client</w:t>
      </w:r>
      <w:r>
        <w:rPr>
          <w:rFonts w:eastAsia="Segoe UI" w:cs="Segoe UI" w:ascii="Segoe UI" w:hAnsi="Segoe UI"/>
          <w:color w:val="101820"/>
          <w:sz w:val="21"/>
        </w:rPr>
        <w:t xml:space="preserve"> queues the report as a PDF attachment to the client's e-mail on file or to the address entered. When the client decides, </w:t>
      </w:r>
      <w:r>
        <w:rPr>
          <w:rFonts w:eastAsia="Segoe UI" w:cs="Segoe UI" w:ascii="Segoe UI" w:hAnsi="Segoe UI"/>
          <w:b/>
          <w:color w:val="101820"/>
          <w:sz w:val="21"/>
        </w:rPr>
        <w:t>Client chose</w:t>
      </w:r>
      <w:r>
        <w:rPr>
          <w:rFonts w:eastAsia="Segoe UI" w:cs="Segoe UI" w:ascii="Segoe UI" w:hAnsi="Segoe UI"/>
          <w:color w:val="101820"/>
          <w:sz w:val="21"/>
        </w:rPr>
        <w:t xml:space="preserve"> on the chosen option records the decision and closes the report as </w:t>
      </w:r>
      <w:r>
        <w:rPr>
          <w:rFonts w:eastAsia="Segoe UI" w:cs="Segoe UI" w:ascii="Segoe UI" w:hAnsi="Segoe UI"/>
          <w:b/>
          <w:color w:val="101820"/>
          <w:sz w:val="21"/>
        </w:rPr>
        <w:t>Accepted</w:t>
      </w:r>
      <w:r>
        <w:rPr>
          <w:rFonts w:eastAsia="Segoe UI" w:cs="Segoe UI" w:ascii="Segoe UI" w:hAnsi="Segoe UI"/>
          <w:color w:val="101820"/>
          <w:sz w:val="21"/>
        </w:rPr>
        <w:t>.</w:t>
      </w:r>
    </w:p>
    <w:p>
      <w:pPr>
        <w:pStyle w:val="Heading2"/>
        <w:rPr/>
      </w:pPr>
      <w:bookmarkStart w:id="161" w:name="__RefHeading___Toc21839_17926050"/>
      <w:bookmarkEnd w:id="161"/>
      <w:r>
        <w:rPr>
          <w:rFonts w:eastAsia="Segoe UI" w:cs="Segoe UI"/>
          <w:b/>
          <w:color w:val="0F4761"/>
          <w:sz w:val="26"/>
        </w:rPr>
        <w:t>14.7  Campaigns</w:t>
      </w:r>
    </w:p>
    <w:p>
      <w:pPr>
        <w:pStyle w:val="Normal"/>
        <w:shd w:val="clear" w:color="auto" w:fill="EAF2FB"/>
        <w:spacing w:before="0" w:after="160"/>
        <w:ind w:left="170"/>
        <w:rPr/>
      </w:pPr>
      <w:r>
        <w:rPr>
          <w:rFonts w:eastAsia="Segoe UI" w:cs="Segoe UI" w:ascii="Segoe UI" w:hAnsi="Segoe UI"/>
          <w:color w:val="101820"/>
          <w:sz w:val="20"/>
        </w:rPr>
        <w:t>[Screen image not available: Operations &gt; Sales &amp; Marketing &gt; Campaigns]</w:t>
      </w:r>
    </w:p>
    <w:p>
      <w:pPr>
        <w:pStyle w:val="Normal"/>
        <w:spacing w:lineRule="auto" w:line="276" w:before="0" w:after="120"/>
        <w:rPr/>
      </w:pPr>
      <w:r>
        <w:rPr>
          <w:rFonts w:eastAsia="Segoe UI" w:cs="Segoe UI" w:ascii="Segoe UI" w:hAnsi="Segoe UI"/>
          <w:color w:val="101820"/>
          <w:sz w:val="21"/>
        </w:rPr>
        <w:t>Choose Operations &gt; Sales &amp; Marketing &gt; Campaigns. Campaigns e-mail offers only to clients and prospects whose marketing consent is in force in the consent register (Master &gt; Data Privacy) and who have an e-mail address. Everyone else is left out and recorded with the reason.</w:t>
      </w:r>
    </w:p>
    <w:p>
      <w:pPr>
        <w:pStyle w:val="Heading3"/>
        <w:rPr/>
      </w:pPr>
      <w:r>
        <w:rPr>
          <w:rFonts w:eastAsia="Segoe UI" w:cs="Segoe UI"/>
          <w:b/>
          <w:color w:val="0F4761"/>
          <w:sz w:val="23"/>
        </w:rPr>
        <w:t>14.7.1  Segments</w:t>
      </w:r>
    </w:p>
    <w:p>
      <w:pPr>
        <w:pStyle w:val="Normal"/>
        <w:numPr>
          <w:ilvl w:val="0"/>
          <w:numId w:val="525"/>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Segments</w:t>
      </w:r>
      <w:r>
        <w:rPr>
          <w:rFonts w:eastAsia="Segoe UI" w:cs="Segoe UI" w:ascii="Segoe UI" w:hAnsi="Segoe UI"/>
          <w:color w:val="101820"/>
          <w:sz w:val="21"/>
        </w:rPr>
        <w:t xml:space="preserve"> and select </w:t>
      </w:r>
      <w:r>
        <w:rPr>
          <w:rFonts w:eastAsia="Segoe UI" w:cs="Segoe UI" w:ascii="Segoe UI" w:hAnsi="Segoe UI"/>
          <w:b/>
          <w:color w:val="101820"/>
          <w:sz w:val="21"/>
        </w:rPr>
        <w:t>New segment</w:t>
      </w:r>
      <w:r>
        <w:rPr>
          <w:rFonts w:eastAsia="Segoe UI" w:cs="Segoe UI" w:ascii="Segoe UI" w:hAnsi="Segoe UI"/>
          <w:color w:val="101820"/>
          <w:sz w:val="21"/>
        </w:rPr>
        <w:t>.</w:t>
      </w:r>
    </w:p>
    <w:p>
      <w:pPr>
        <w:pStyle w:val="Normal"/>
        <w:numPr>
          <w:ilvl w:val="0"/>
          <w:numId w:val="526"/>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Who</w:t>
      </w:r>
      <w:r>
        <w:rPr>
          <w:rFonts w:eastAsia="Segoe UI" w:cs="Segoe UI" w:ascii="Segoe UI" w:hAnsi="Segoe UI"/>
          <w:color w:val="101820"/>
          <w:sz w:val="21"/>
        </w:rPr>
        <w:t xml:space="preserve"> (clients, prospects or both) and narrow the audience by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Distribution channel</w:t>
      </w:r>
      <w:r>
        <w:rPr>
          <w:rFonts w:eastAsia="Segoe UI" w:cs="Segoe UI" w:ascii="Segoe UI" w:hAnsi="Segoe UI"/>
          <w:color w:val="101820"/>
          <w:sz w:val="21"/>
        </w:rPr>
        <w:t xml:space="preserve">, </w:t>
      </w:r>
      <w:r>
        <w:rPr>
          <w:rFonts w:eastAsia="Segoe UI" w:cs="Segoe UI" w:ascii="Segoe UI" w:hAnsi="Segoe UI"/>
          <w:b/>
          <w:color w:val="101820"/>
          <w:sz w:val="21"/>
        </w:rPr>
        <w:t>Client type</w:t>
      </w:r>
      <w:r>
        <w:rPr>
          <w:rFonts w:eastAsia="Segoe UI" w:cs="Segoe UI" w:ascii="Segoe UI" w:hAnsi="Segoe UI"/>
          <w:color w:val="101820"/>
          <w:sz w:val="21"/>
        </w:rPr>
        <w:t xml:space="preserve">, </w:t>
      </w:r>
      <w:r>
        <w:rPr>
          <w:rFonts w:eastAsia="Segoe UI" w:cs="Segoe UI" w:ascii="Segoe UI" w:hAnsi="Segoe UI"/>
          <w:b/>
          <w:color w:val="101820"/>
          <w:sz w:val="21"/>
        </w:rPr>
        <w:t>Prospect status</w:t>
      </w:r>
      <w:r>
        <w:rPr>
          <w:rFonts w:eastAsia="Segoe UI" w:cs="Segoe UI" w:ascii="Segoe UI" w:hAnsi="Segoe UI"/>
          <w:color w:val="101820"/>
          <w:sz w:val="21"/>
        </w:rPr>
        <w:t xml:space="preserve"> and </w:t>
      </w:r>
      <w:r>
        <w:rPr>
          <w:rFonts w:eastAsia="Segoe UI" w:cs="Segoe UI" w:ascii="Segoe UI" w:hAnsi="Segoe UI"/>
          <w:b/>
          <w:color w:val="101820"/>
          <w:sz w:val="21"/>
        </w:rPr>
        <w:t>Policy expiring within (days)</w:t>
      </w:r>
      <w:r>
        <w:rPr>
          <w:rFonts w:eastAsia="Segoe UI" w:cs="Segoe UI" w:ascii="Segoe UI" w:hAnsi="Segoe UI"/>
          <w:color w:val="101820"/>
          <w:sz w:val="21"/>
        </w:rPr>
        <w:t>.</w:t>
      </w:r>
    </w:p>
    <w:p>
      <w:pPr>
        <w:pStyle w:val="Normal"/>
        <w:numPr>
          <w:ilvl w:val="0"/>
          <w:numId w:val="5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Who is reached</w:t>
      </w:r>
      <w:r>
        <w:rPr>
          <w:rFonts w:eastAsia="Segoe UI" w:cs="Segoe UI" w:ascii="Segoe UI" w:hAnsi="Segoe UI"/>
          <w:color w:val="101820"/>
          <w:sz w:val="21"/>
        </w:rPr>
        <w:t xml:space="preserve">. The preview shows how many match, how many are reachable and how many are </w:t>
      </w:r>
      <w:r>
        <w:rPr>
          <w:rFonts w:eastAsia="Segoe UI" w:cs="Segoe UI" w:ascii="Segoe UI" w:hAnsi="Segoe UI"/>
          <w:b/>
          <w:color w:val="101820"/>
          <w:sz w:val="21"/>
        </w:rPr>
        <w:t>Left out because</w:t>
      </w:r>
      <w:r>
        <w:rPr>
          <w:rFonts w:eastAsia="Segoe UI" w:cs="Segoe UI" w:ascii="Segoe UI" w:hAnsi="Segoe UI"/>
          <w:color w:val="101820"/>
          <w:sz w:val="21"/>
        </w:rPr>
        <w:t xml:space="preserve"> of a missing or withdrawn consent or a missing e-mail.</w:t>
      </w:r>
    </w:p>
    <w:p>
      <w:pPr>
        <w:pStyle w:val="Normal"/>
        <w:numPr>
          <w:ilvl w:val="0"/>
          <w:numId w:val="5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14.7.2  Templates</w:t>
      </w:r>
    </w:p>
    <w:p>
      <w:pPr>
        <w:pStyle w:val="Normal"/>
        <w:numPr>
          <w:ilvl w:val="0"/>
          <w:numId w:val="529"/>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Templates</w:t>
      </w:r>
      <w:r>
        <w:rPr>
          <w:rFonts w:eastAsia="Segoe UI" w:cs="Segoe UI" w:ascii="Segoe UI" w:hAnsi="Segoe UI"/>
          <w:color w:val="101820"/>
          <w:sz w:val="21"/>
        </w:rPr>
        <w:t xml:space="preserve"> and select </w:t>
      </w:r>
      <w:r>
        <w:rPr>
          <w:rFonts w:eastAsia="Segoe UI" w:cs="Segoe UI" w:ascii="Segoe UI" w:hAnsi="Segoe UI"/>
          <w:b/>
          <w:color w:val="101820"/>
          <w:sz w:val="21"/>
        </w:rPr>
        <w:t>New template</w:t>
      </w:r>
      <w:r>
        <w:rPr>
          <w:rFonts w:eastAsia="Segoe UI" w:cs="Segoe UI" w:ascii="Segoe UI" w:hAnsi="Segoe UI"/>
          <w:color w:val="101820"/>
          <w:sz w:val="21"/>
        </w:rPr>
        <w:t xml:space="preserve">. Enter the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and the </w:t>
      </w:r>
      <w:r>
        <w:rPr>
          <w:rFonts w:eastAsia="Segoe UI" w:cs="Segoe UI" w:ascii="Segoe UI" w:hAnsi="Segoe UI"/>
          <w:b/>
          <w:color w:val="101820"/>
          <w:sz w:val="21"/>
        </w:rPr>
        <w:t>Message (HTML)</w:t>
      </w:r>
      <w:r>
        <w:rPr>
          <w:rFonts w:eastAsia="Segoe UI" w:cs="Segoe UI" w:ascii="Segoe UI" w:hAnsi="Segoe UI"/>
          <w:color w:val="101820"/>
          <w:sz w:val="21"/>
        </w:rPr>
        <w:t>.</w:t>
      </w:r>
    </w:p>
    <w:p>
      <w:pPr>
        <w:pStyle w:val="Normal"/>
        <w:numPr>
          <w:ilvl w:val="0"/>
          <w:numId w:val="530"/>
        </w:numPr>
        <w:spacing w:before="0" w:after="60"/>
        <w:rPr/>
      </w:pPr>
      <w:r>
        <w:rPr>
          <w:rFonts w:eastAsia="Segoe UI" w:cs="Segoe UI" w:ascii="Segoe UI" w:hAnsi="Segoe UI"/>
          <w:color w:val="101820"/>
          <w:sz w:val="21"/>
        </w:rPr>
        <w:t xml:space="preserve">Use the placeholders {{firstName}}, {{fullName}}, {{companyName}} and {{optOutLink}}. A template without an opt-out link gets the unsubscribe paragraph of </w:t>
      </w:r>
      <w:r>
        <w:rPr>
          <w:rFonts w:eastAsia="Segoe UI" w:cs="Segoe UI" w:ascii="Segoe UI" w:hAnsi="Segoe UI"/>
          <w:b/>
          <w:color w:val="101820"/>
          <w:sz w:val="21"/>
        </w:rPr>
        <w:t>campaigns.opt_out_text</w:t>
      </w:r>
      <w:r>
        <w:rPr>
          <w:rFonts w:eastAsia="Segoe UI" w:cs="Segoe UI" w:ascii="Segoe UI" w:hAnsi="Segoe UI"/>
          <w:color w:val="101820"/>
          <w:sz w:val="21"/>
        </w:rPr>
        <w:t xml:space="preserve"> added at the end.</w:t>
      </w:r>
    </w:p>
    <w:p>
      <w:pPr>
        <w:pStyle w:val="Normal"/>
        <w:numPr>
          <w:ilvl w:val="0"/>
          <w:numId w:val="531"/>
        </w:numPr>
        <w:spacing w:before="0" w:after="60"/>
        <w:rPr/>
      </w:pPr>
      <w:r>
        <w:rPr>
          <w:rFonts w:eastAsia="Segoe UI" w:cs="Segoe UI" w:ascii="Segoe UI" w:hAnsi="Segoe UI"/>
          <w:b/>
          <w:color w:val="101820"/>
          <w:sz w:val="21"/>
        </w:rPr>
        <w:t>Preview</w:t>
      </w:r>
      <w:r>
        <w:rPr>
          <w:rFonts w:eastAsia="Segoe UI" w:cs="Segoe UI" w:ascii="Segoe UI" w:hAnsi="Segoe UI"/>
          <w:color w:val="101820"/>
          <w:sz w:val="21"/>
        </w:rPr>
        <w:t xml:space="preserve"> shows the template filled in for a sample recipient.</w:t>
      </w:r>
    </w:p>
    <w:p>
      <w:pPr>
        <w:pStyle w:val="Heading3"/>
        <w:rPr/>
      </w:pPr>
      <w:r>
        <w:rPr>
          <w:rFonts w:eastAsia="Segoe UI" w:cs="Segoe UI"/>
          <w:b/>
          <w:color w:val="0F4761"/>
          <w:sz w:val="23"/>
        </w:rPr>
        <w:t>14.7.3  Send a campaign and read the results</w:t>
      </w:r>
    </w:p>
    <w:p>
      <w:pPr>
        <w:pStyle w:val="Normal"/>
        <w:numPr>
          <w:ilvl w:val="0"/>
          <w:numId w:val="532"/>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Campaigns</w:t>
      </w:r>
      <w:r>
        <w:rPr>
          <w:rFonts w:eastAsia="Segoe UI" w:cs="Segoe UI" w:ascii="Segoe UI" w:hAnsi="Segoe UI"/>
          <w:color w:val="101820"/>
          <w:sz w:val="21"/>
        </w:rPr>
        <w:t xml:space="preserve">, select </w:t>
      </w:r>
      <w:r>
        <w:rPr>
          <w:rFonts w:eastAsia="Segoe UI" w:cs="Segoe UI" w:ascii="Segoe UI" w:hAnsi="Segoe UI"/>
          <w:b/>
          <w:color w:val="101820"/>
          <w:sz w:val="21"/>
        </w:rPr>
        <w:t>New campaign</w:t>
      </w:r>
      <w:r>
        <w:rPr>
          <w:rFonts w:eastAsia="Segoe UI" w:cs="Segoe UI" w:ascii="Segoe UI" w:hAnsi="Segoe UI"/>
          <w:color w:val="101820"/>
          <w:sz w:val="21"/>
        </w:rPr>
        <w:t xml:space="preserve">, enter the </w:t>
      </w:r>
      <w:r>
        <w:rPr>
          <w:rFonts w:eastAsia="Segoe UI" w:cs="Segoe UI" w:ascii="Segoe UI" w:hAnsi="Segoe UI"/>
          <w:b/>
          <w:color w:val="101820"/>
          <w:sz w:val="21"/>
        </w:rPr>
        <w:t>Name</w:t>
      </w:r>
      <w:r>
        <w:rPr>
          <w:rFonts w:eastAsia="Segoe UI" w:cs="Segoe UI" w:ascii="Segoe UI" w:hAnsi="Segoe UI"/>
          <w:color w:val="101820"/>
          <w:sz w:val="21"/>
        </w:rPr>
        <w:t xml:space="preserve"> and choose the </w:t>
      </w:r>
      <w:r>
        <w:rPr>
          <w:rFonts w:eastAsia="Segoe UI" w:cs="Segoe UI" w:ascii="Segoe UI" w:hAnsi="Segoe UI"/>
          <w:b/>
          <w:color w:val="101820"/>
          <w:sz w:val="21"/>
        </w:rPr>
        <w:t>Segment</w:t>
      </w:r>
      <w:r>
        <w:rPr>
          <w:rFonts w:eastAsia="Segoe UI" w:cs="Segoe UI" w:ascii="Segoe UI" w:hAnsi="Segoe UI"/>
          <w:color w:val="101820"/>
          <w:sz w:val="21"/>
        </w:rPr>
        <w:t xml:space="preserve"> and </w:t>
      </w:r>
      <w:r>
        <w:rPr>
          <w:rFonts w:eastAsia="Segoe UI" w:cs="Segoe UI" w:ascii="Segoe UI" w:hAnsi="Segoe UI"/>
          <w:b/>
          <w:color w:val="101820"/>
          <w:sz w:val="21"/>
        </w:rPr>
        <w:t>Template</w:t>
      </w:r>
      <w:r>
        <w:rPr>
          <w:rFonts w:eastAsia="Segoe UI" w:cs="Segoe UI" w:ascii="Segoe UI" w:hAnsi="Segoe UI"/>
          <w:color w:val="101820"/>
          <w:sz w:val="21"/>
        </w:rPr>
        <w:t>.</w:t>
      </w:r>
    </w:p>
    <w:p>
      <w:pPr>
        <w:pStyle w:val="Normal"/>
        <w:numPr>
          <w:ilvl w:val="0"/>
          <w:numId w:val="53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now</w:t>
      </w:r>
      <w:r>
        <w:rPr>
          <w:rFonts w:eastAsia="Segoe UI" w:cs="Segoe UI" w:ascii="Segoe UI" w:hAnsi="Segoe UI"/>
          <w:color w:val="101820"/>
          <w:sz w:val="21"/>
        </w:rPr>
        <w:t xml:space="preserve"> to queue the e-mails to the E-mail Outbox, or </w:t>
      </w:r>
      <w:r>
        <w:rPr>
          <w:rFonts w:eastAsia="Segoe UI" w:cs="Segoe UI" w:ascii="Segoe UI" w:hAnsi="Segoe UI"/>
          <w:b/>
          <w:color w:val="101820"/>
          <w:sz w:val="21"/>
        </w:rPr>
        <w:t>Schedule</w:t>
      </w:r>
      <w:r>
        <w:rPr>
          <w:rFonts w:eastAsia="Segoe UI" w:cs="Segoe UI" w:ascii="Segoe UI" w:hAnsi="Segoe UI"/>
          <w:color w:val="101820"/>
          <w:sz w:val="21"/>
        </w:rPr>
        <w:t xml:space="preserve"> to choose the date and time; the </w:t>
      </w:r>
      <w:r>
        <w:rPr>
          <w:rFonts w:eastAsia="Segoe UI" w:cs="Segoe UI" w:ascii="Segoe UI" w:hAnsi="Segoe UI"/>
          <w:b/>
          <w:color w:val="101820"/>
          <w:sz w:val="21"/>
        </w:rPr>
        <w:t>campaign-dispatch</w:t>
      </w:r>
      <w:r>
        <w:rPr>
          <w:rFonts w:eastAsia="Segoe UI" w:cs="Segoe UI" w:ascii="Segoe UI" w:hAnsi="Segoe UI"/>
          <w:color w:val="101820"/>
          <w:sz w:val="21"/>
        </w:rPr>
        <w:t xml:space="preserve"> job sends scheduled campaigns. </w:t>
      </w:r>
      <w:r>
        <w:rPr>
          <w:rFonts w:eastAsia="Segoe UI" w:cs="Segoe UI" w:ascii="Segoe UI" w:hAnsi="Segoe UI"/>
          <w:b/>
          <w:color w:val="101820"/>
          <w:sz w:val="21"/>
        </w:rPr>
        <w:t>Cancel campaign</w:t>
      </w:r>
      <w:r>
        <w:rPr>
          <w:rFonts w:eastAsia="Segoe UI" w:cs="Segoe UI" w:ascii="Segoe UI" w:hAnsi="Segoe UI"/>
          <w:color w:val="101820"/>
          <w:sz w:val="21"/>
        </w:rPr>
        <w:t xml:space="preserve"> stops a draft or scheduled campaign.</w:t>
      </w:r>
    </w:p>
    <w:p>
      <w:pPr>
        <w:pStyle w:val="Normal"/>
        <w:numPr>
          <w:ilvl w:val="0"/>
          <w:numId w:val="534"/>
        </w:numPr>
        <w:spacing w:before="0" w:after="60"/>
        <w:rPr/>
      </w:pPr>
      <w:r>
        <w:rPr>
          <w:rFonts w:eastAsia="Segoe UI" w:cs="Segoe UI" w:ascii="Segoe UI" w:hAnsi="Segoe UI"/>
          <w:b/>
          <w:color w:val="101820"/>
          <w:sz w:val="21"/>
        </w:rPr>
        <w:t>Results</w:t>
      </w:r>
      <w:r>
        <w:rPr>
          <w:rFonts w:eastAsia="Segoe UI" w:cs="Segoe UI" w:ascii="Segoe UI" w:hAnsi="Segoe UI"/>
          <w:color w:val="101820"/>
          <w:sz w:val="21"/>
        </w:rPr>
        <w:t xml:space="preserve"> shows the recipients, the e-mails sent, waiting and failed (from the outbox), those excluded by reason, opt-outs, and the recipients who were quoted or insured within </w:t>
      </w:r>
      <w:r>
        <w:rPr>
          <w:rFonts w:eastAsia="Segoe UI" w:cs="Segoe UI" w:ascii="Segoe UI" w:hAnsi="Segoe UI"/>
          <w:b/>
          <w:color w:val="101820"/>
          <w:sz w:val="21"/>
        </w:rPr>
        <w:t>campaigns.conversion_window_days</w:t>
      </w:r>
      <w:r>
        <w:rPr>
          <w:rFonts w:eastAsia="Segoe UI" w:cs="Segoe UI" w:ascii="Segoe UI" w:hAnsi="Segoe UI"/>
          <w:color w:val="101820"/>
          <w:sz w:val="21"/>
        </w:rPr>
        <w:t xml:space="preserve"> days.</w:t>
      </w:r>
    </w:p>
    <w:p>
      <w:pPr>
        <w:pStyle w:val="Normal"/>
        <w:spacing w:lineRule="auto" w:line="276" w:before="0" w:after="120"/>
        <w:rPr/>
      </w:pPr>
      <w:r>
        <w:rPr>
          <w:rFonts w:eastAsia="Segoe UI" w:cs="Segoe UI" w:ascii="Segoe UI" w:hAnsi="Segoe UI"/>
          <w:color w:val="101820"/>
          <w:sz w:val="21"/>
        </w:rPr>
        <w:t xml:space="preserve">Each e-mail carries its own opt-out link. Opening it shows an unsubscribe page; confirming records a refusal of the marketing purpose in the consent register (channel E-mail), so later campaigns leave the person out. A campaign reaches at most </w:t>
      </w:r>
      <w:r>
        <w:rPr>
          <w:rFonts w:eastAsia="Segoe UI" w:cs="Segoe UI" w:ascii="Segoe UI" w:hAnsi="Segoe UI"/>
          <w:b/>
          <w:color w:val="101820"/>
          <w:sz w:val="21"/>
        </w:rPr>
        <w:t>campaigns.max_recipients</w:t>
      </w:r>
      <w:r>
        <w:rPr>
          <w:rFonts w:eastAsia="Segoe UI" w:cs="Segoe UI" w:ascii="Segoe UI" w:hAnsi="Segoe UI"/>
          <w:color w:val="101820"/>
          <w:sz w:val="21"/>
        </w:rPr>
        <w:t xml:space="preserve"> people.</w:t>
      </w:r>
    </w:p>
    <w:p>
      <w:pPr>
        <w:pStyle w:val="Heading2"/>
        <w:rPr/>
      </w:pPr>
      <w:bookmarkStart w:id="162" w:name="__RefHeading___Toc21841_17926050"/>
      <w:bookmarkEnd w:id="162"/>
      <w:r>
        <w:rPr>
          <w:rFonts w:eastAsia="Segoe UI" w:cs="Segoe UI"/>
          <w:b/>
          <w:color w:val="0F4761"/>
          <w:sz w:val="26"/>
        </w:rPr>
        <w:t>14.8  Report Builder</w:t>
      </w:r>
    </w:p>
    <w:p>
      <w:pPr>
        <w:pStyle w:val="Normal"/>
        <w:shd w:val="clear" w:color="auto" w:fill="EAF2FB"/>
        <w:spacing w:before="0" w:after="160"/>
        <w:ind w:left="170"/>
        <w:rPr/>
      </w:pPr>
      <w:r>
        <w:rPr>
          <w:rFonts w:eastAsia="Segoe UI" w:cs="Segoe UI" w:ascii="Segoe UI" w:hAnsi="Segoe UI"/>
          <w:color w:val="101820"/>
          <w:sz w:val="20"/>
        </w:rPr>
        <w:t>[Screen image not available: Reports &gt; Report Builder]</w:t>
      </w:r>
    </w:p>
    <w:p>
      <w:pPr>
        <w:pStyle w:val="Normal"/>
        <w:spacing w:lineRule="auto" w:line="276" w:before="0" w:after="120"/>
        <w:rPr/>
      </w:pPr>
      <w:r>
        <w:rPr>
          <w:rFonts w:eastAsia="Segoe UI" w:cs="Segoe UI" w:ascii="Segoe UI" w:hAnsi="Segoe UI"/>
          <w:color w:val="101820"/>
          <w:sz w:val="21"/>
        </w:rPr>
        <w:t>Choose Reports &gt; Report Builder. The Report Builder answers ad hoc questions over curated datasets (Policies, Clients, Bills (premium receivables), Claims and Commissions); each dataset needs the read permission of its module without a new report being programmed. A user who sees only their own book (data scope) sees only their own rows here too.</w:t>
      </w:r>
    </w:p>
    <w:p>
      <w:pPr>
        <w:pStyle w:val="Normal"/>
        <w:numPr>
          <w:ilvl w:val="0"/>
          <w:numId w:val="53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Build</w:t>
      </w:r>
      <w:r>
        <w:rPr>
          <w:rFonts w:eastAsia="Segoe UI" w:cs="Segoe UI" w:ascii="Segoe UI" w:hAnsi="Segoe UI"/>
          <w:color w:val="101820"/>
          <w:sz w:val="21"/>
        </w:rPr>
        <w:t xml:space="preserve">, choose the </w:t>
      </w:r>
      <w:r>
        <w:rPr>
          <w:rFonts w:eastAsia="Segoe UI" w:cs="Segoe UI" w:ascii="Segoe UI" w:hAnsi="Segoe UI"/>
          <w:b/>
          <w:color w:val="101820"/>
          <w:sz w:val="21"/>
        </w:rPr>
        <w:t>Dataset</w:t>
      </w:r>
      <w:r>
        <w:rPr>
          <w:rFonts w:eastAsia="Segoe UI" w:cs="Segoe UI" w:ascii="Segoe UI" w:hAnsi="Segoe UI"/>
          <w:color w:val="101820"/>
          <w:sz w:val="21"/>
        </w:rPr>
        <w:t>.</w:t>
      </w:r>
    </w:p>
    <w:p>
      <w:pPr>
        <w:pStyle w:val="Normal"/>
        <w:numPr>
          <w:ilvl w:val="0"/>
          <w:numId w:val="53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Columns</w:t>
      </w:r>
      <w:r>
        <w:rPr>
          <w:rFonts w:eastAsia="Segoe UI" w:cs="Segoe UI" w:ascii="Segoe UI" w:hAnsi="Segoe UI"/>
          <w:color w:val="101820"/>
          <w:sz w:val="21"/>
        </w:rPr>
        <w:t xml:space="preserve">. Without grouping each row is a record; with </w:t>
      </w:r>
      <w:r>
        <w:rPr>
          <w:rFonts w:eastAsia="Segoe UI" w:cs="Segoe UI" w:ascii="Segoe UI" w:hAnsi="Segoe UI"/>
          <w:b/>
          <w:color w:val="101820"/>
          <w:sz w:val="21"/>
        </w:rPr>
        <w:t>Group by</w:t>
      </w:r>
      <w:r>
        <w:rPr>
          <w:rFonts w:eastAsia="Segoe UI" w:cs="Segoe UI" w:ascii="Segoe UI" w:hAnsi="Segoe UI"/>
          <w:color w:val="101820"/>
          <w:sz w:val="21"/>
        </w:rPr>
        <w:t xml:space="preserve"> (up to five text or date columns) each row is a group and the numeric columns chosen are summed (a count column counts the records).</w:t>
      </w:r>
    </w:p>
    <w:p>
      <w:pPr>
        <w:pStyle w:val="Normal"/>
        <w:numPr>
          <w:ilvl w:val="0"/>
          <w:numId w:val="537"/>
        </w:numPr>
        <w:spacing w:before="0" w:after="60"/>
        <w:rPr/>
      </w:pPr>
      <w:r>
        <w:rPr>
          <w:rFonts w:eastAsia="Segoe UI" w:cs="Segoe UI" w:ascii="Segoe UI" w:hAnsi="Segoe UI"/>
          <w:b/>
          <w:color w:val="101820"/>
          <w:sz w:val="21"/>
        </w:rPr>
        <w:t>Add filter</w:t>
      </w:r>
      <w:r>
        <w:rPr>
          <w:rFonts w:eastAsia="Segoe UI" w:cs="Segoe UI" w:ascii="Segoe UI" w:hAnsi="Segoe UI"/>
          <w:color w:val="101820"/>
          <w:sz w:val="21"/>
        </w:rPr>
        <w:t xml:space="preserve"> for each condition: the column, the operator (equals, contains, between and so on, depending on the type) and the value.</w:t>
      </w:r>
    </w:p>
    <w:p>
      <w:pPr>
        <w:pStyle w:val="Normal"/>
        <w:numPr>
          <w:ilvl w:val="0"/>
          <w:numId w:val="538"/>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Sort by</w:t>
      </w:r>
      <w:r>
        <w:rPr>
          <w:rFonts w:eastAsia="Segoe UI" w:cs="Segoe UI" w:ascii="Segoe UI" w:hAnsi="Segoe UI"/>
          <w:color w:val="101820"/>
          <w:sz w:val="21"/>
        </w:rPr>
        <w:t xml:space="preserve"> and the direction.</w:t>
      </w:r>
    </w:p>
    <w:p>
      <w:pPr>
        <w:pStyle w:val="Normal"/>
        <w:numPr>
          <w:ilvl w:val="0"/>
          <w:numId w:val="53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Run</w:t>
      </w:r>
      <w:r>
        <w:rPr>
          <w:rFonts w:eastAsia="Segoe UI" w:cs="Segoe UI" w:ascii="Segoe UI" w:hAnsi="Segoe UI"/>
          <w:color w:val="101820"/>
          <w:sz w:val="21"/>
        </w:rPr>
        <w:t xml:space="preserve"> to see the result with the totals of the numeric columns. The screen shows up to </w:t>
      </w:r>
      <w:r>
        <w:rPr>
          <w:rFonts w:eastAsia="Segoe UI" w:cs="Segoe UI" w:ascii="Segoe UI" w:hAnsi="Segoe UI"/>
          <w:b/>
          <w:color w:val="101820"/>
          <w:sz w:val="21"/>
        </w:rPr>
        <w:t>report_builder.preview_rows</w:t>
      </w:r>
      <w:r>
        <w:rPr>
          <w:rFonts w:eastAsia="Segoe UI" w:cs="Segoe UI" w:ascii="Segoe UI" w:hAnsi="Segoe UI"/>
          <w:color w:val="101820"/>
          <w:sz w:val="21"/>
        </w:rPr>
        <w:t xml:space="preserve"> rows; </w:t>
      </w:r>
      <w:r>
        <w:rPr>
          <w:rFonts w:eastAsia="Segoe UI" w:cs="Segoe UI" w:ascii="Segoe UI" w:hAnsi="Segoe UI"/>
          <w:b/>
          <w:color w:val="101820"/>
          <w:sz w:val="21"/>
        </w:rPr>
        <w:t>Export to Excel</w:t>
      </w:r>
      <w:r>
        <w:rPr>
          <w:rFonts w:eastAsia="Segoe UI" w:cs="Segoe UI" w:ascii="Segoe UI" w:hAnsi="Segoe UI"/>
          <w:color w:val="101820"/>
          <w:sz w:val="21"/>
        </w:rPr>
        <w:t xml:space="preserve"> exports all of them, up to </w:t>
      </w:r>
      <w:r>
        <w:rPr>
          <w:rFonts w:eastAsia="Segoe UI" w:cs="Segoe UI" w:ascii="Segoe UI" w:hAnsi="Segoe UI"/>
          <w:b/>
          <w:color w:val="101820"/>
          <w:sz w:val="21"/>
        </w:rPr>
        <w:t>report_builder.max_rows</w:t>
      </w:r>
      <w:r>
        <w:rPr>
          <w:rFonts w:eastAsia="Segoe UI" w:cs="Segoe UI" w:ascii="Segoe UI" w:hAnsi="Segoe UI"/>
          <w:color w:val="101820"/>
          <w:sz w:val="21"/>
        </w:rPr>
        <w:t>.</w:t>
      </w:r>
    </w:p>
    <w:p>
      <w:pPr>
        <w:pStyle w:val="Normal"/>
        <w:numPr>
          <w:ilvl w:val="0"/>
          <w:numId w:val="54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report</w:t>
      </w:r>
      <w:r>
        <w:rPr>
          <w:rFonts w:eastAsia="Segoe UI" w:cs="Segoe UI" w:ascii="Segoe UI" w:hAnsi="Segoe UI"/>
          <w:color w:val="101820"/>
          <w:sz w:val="21"/>
        </w:rPr>
        <w:t xml:space="preserve">, enter the </w:t>
      </w:r>
      <w:r>
        <w:rPr>
          <w:rFonts w:eastAsia="Segoe UI" w:cs="Segoe UI" w:ascii="Segoe UI" w:hAnsi="Segoe UI"/>
          <w:b/>
          <w:color w:val="101820"/>
          <w:sz w:val="21"/>
        </w:rPr>
        <w:t>Name</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and choose the roles to </w:t>
      </w:r>
      <w:r>
        <w:rPr>
          <w:rFonts w:eastAsia="Segoe UI" w:cs="Segoe UI" w:ascii="Segoe UI" w:hAnsi="Segoe UI"/>
          <w:b/>
          <w:color w:val="101820"/>
          <w:sz w:val="21"/>
        </w:rPr>
        <w:t>Share with</w:t>
      </w:r>
      <w:r>
        <w:rPr>
          <w:rFonts w:eastAsia="Segoe UI" w:cs="Segoe UI" w:ascii="Segoe UI" w:hAnsi="Segoe UI"/>
          <w:color w:val="101820"/>
          <w:sz w:val="21"/>
        </w:rPr>
        <w:t>. A report shared with no role is private.</w:t>
      </w:r>
    </w:p>
    <w:p>
      <w:pPr>
        <w:pStyle w:val="Normal"/>
        <w:spacing w:lineRule="auto" w:line="276" w:before="0" w:after="120"/>
        <w:rPr/>
      </w:pPr>
      <w:r>
        <w:rPr>
          <w:rFonts w:eastAsia="Segoe UI" w:cs="Segoe UI" w:ascii="Segoe UI" w:hAnsi="Segoe UI"/>
          <w:b/>
          <w:color w:val="101820"/>
          <w:sz w:val="21"/>
        </w:rPr>
        <w:t>Saved reports</w:t>
      </w:r>
      <w:r>
        <w:rPr>
          <w:rFonts w:eastAsia="Segoe UI" w:cs="Segoe UI" w:ascii="Segoe UI" w:hAnsi="Segoe UI"/>
          <w:color w:val="101820"/>
          <w:sz w:val="21"/>
        </w:rPr>
        <w:t xml:space="preserve"> lists your own reports and those shared with your roles: </w:t>
      </w:r>
      <w:r>
        <w:rPr>
          <w:rFonts w:eastAsia="Segoe UI" w:cs="Segoe UI" w:ascii="Segoe UI" w:hAnsi="Segoe UI"/>
          <w:b/>
          <w:color w:val="101820"/>
          <w:sz w:val="21"/>
        </w:rPr>
        <w:t>Open</w:t>
      </w:r>
      <w:r>
        <w:rPr>
          <w:rFonts w:eastAsia="Segoe UI" w:cs="Segoe UI" w:ascii="Segoe UI" w:hAnsi="Segoe UI"/>
          <w:color w:val="101820"/>
          <w:sz w:val="21"/>
        </w:rPr>
        <w:t xml:space="preserve"> loads one into Build, </w:t>
      </w:r>
      <w:r>
        <w:rPr>
          <w:rFonts w:eastAsia="Segoe UI" w:cs="Segoe UI" w:ascii="Segoe UI" w:hAnsi="Segoe UI"/>
          <w:b/>
          <w:color w:val="101820"/>
          <w:sz w:val="21"/>
        </w:rPr>
        <w:t>Export to Excel</w:t>
      </w:r>
      <w:r>
        <w:rPr>
          <w:rFonts w:eastAsia="Segoe UI" w:cs="Segoe UI" w:ascii="Segoe UI" w:hAnsi="Segoe UI"/>
          <w:color w:val="101820"/>
          <w:sz w:val="21"/>
        </w:rPr>
        <w:t xml:space="preserve"> exports it directly, and the owner or the administrator can delete it.</w:t>
      </w:r>
    </w:p>
    <w:p>
      <w:pPr>
        <w:pStyle w:val="Heading3"/>
        <w:rPr/>
      </w:pPr>
      <w:r>
        <w:rPr>
          <w:rFonts w:eastAsia="Segoe UI" w:cs="Segoe UI"/>
          <w:b/>
          <w:color w:val="0F4761"/>
          <w:sz w:val="23"/>
        </w:rPr>
        <w:t>14.8.1  BI extract</w:t>
      </w:r>
    </w:p>
    <w:p>
      <w:pPr>
        <w:pStyle w:val="Normal"/>
        <w:spacing w:lineRule="auto" w:line="276" w:before="0" w:after="120"/>
        <w:rPr/>
      </w:pPr>
      <w:r>
        <w:rPr>
          <w:rFonts w:eastAsia="Segoe UI" w:cs="Segoe UI" w:ascii="Segoe UI" w:hAnsi="Segoe UI"/>
          <w:color w:val="101820"/>
          <w:sz w:val="21"/>
        </w:rPr>
        <w:t xml:space="preserve">The administrator's </w:t>
      </w:r>
      <w:r>
        <w:rPr>
          <w:rFonts w:eastAsia="Segoe UI" w:cs="Segoe UI" w:ascii="Segoe UI" w:hAnsi="Segoe UI"/>
          <w:b/>
          <w:color w:val="101820"/>
          <w:sz w:val="21"/>
        </w:rPr>
        <w:t>BI extract</w:t>
      </w:r>
      <w:r>
        <w:rPr>
          <w:rFonts w:eastAsia="Segoe UI" w:cs="Segoe UI" w:ascii="Segoe UI" w:hAnsi="Segoe UI"/>
          <w:color w:val="101820"/>
          <w:sz w:val="21"/>
        </w:rPr>
        <w:t xml:space="preserve"> tab lists the runs of the </w:t>
      </w:r>
      <w:r>
        <w:rPr>
          <w:rFonts w:eastAsia="Segoe UI" w:cs="Segoe UI" w:ascii="Segoe UI" w:hAnsi="Segoe UI"/>
          <w:b/>
          <w:color w:val="101820"/>
          <w:sz w:val="21"/>
        </w:rPr>
        <w:t>bi-extract</w:t>
      </w:r>
      <w:r>
        <w:rPr>
          <w:rFonts w:eastAsia="Segoe UI" w:cs="Segoe UI" w:ascii="Segoe UI" w:hAnsi="Segoe UI"/>
          <w:color w:val="101820"/>
          <w:sz w:val="21"/>
        </w:rPr>
        <w:t xml:space="preserve"> job, which writes one CSV file per dataset listed in </w:t>
      </w:r>
      <w:r>
        <w:rPr>
          <w:rFonts w:eastAsia="Segoe UI" w:cs="Segoe UI" w:ascii="Segoe UI" w:hAnsi="Segoe UI"/>
          <w:b/>
          <w:color w:val="101820"/>
          <w:sz w:val="21"/>
        </w:rPr>
        <w:t>bi.extract_datasets</w:t>
      </w:r>
      <w:r>
        <w:rPr>
          <w:rFonts w:eastAsia="Segoe UI" w:cs="Segoe UI" w:ascii="Segoe UI" w:hAnsi="Segoe UI"/>
          <w:color w:val="101820"/>
          <w:sz w:val="21"/>
        </w:rPr>
        <w:t xml:space="preserve"> to the storage folder </w:t>
      </w:r>
      <w:r>
        <w:rPr>
          <w:rFonts w:eastAsia="Segoe UI" w:cs="Segoe UI" w:ascii="Segoe UI" w:hAnsi="Segoe UI"/>
          <w:b/>
          <w:color w:val="101820"/>
          <w:sz w:val="21"/>
        </w:rPr>
        <w:t>bi.extract_folder</w:t>
      </w:r>
      <w:r>
        <w:rPr>
          <w:rFonts w:eastAsia="Segoe UI" w:cs="Segoe UI" w:ascii="Segoe UI" w:hAnsi="Segoe UI"/>
          <w:color w:val="101820"/>
          <w:sz w:val="21"/>
        </w:rPr>
        <w:t xml:space="preserve">, dated, for the BI tool to pick up. </w:t>
      </w:r>
      <w:r>
        <w:rPr>
          <w:rFonts w:eastAsia="Segoe UI" w:cs="Segoe UI" w:ascii="Segoe UI" w:hAnsi="Segoe UI"/>
          <w:b/>
          <w:color w:val="101820"/>
          <w:sz w:val="21"/>
        </w:rPr>
        <w:t>Run now</w:t>
      </w:r>
      <w:r>
        <w:rPr>
          <w:rFonts w:eastAsia="Segoe UI" w:cs="Segoe UI" w:ascii="Segoe UI" w:hAnsi="Segoe UI"/>
          <w:color w:val="101820"/>
          <w:sz w:val="21"/>
        </w:rPr>
        <w:t xml:space="preserve"> runs it immediately. The job keeps the last </w:t>
      </w:r>
      <w:r>
        <w:rPr>
          <w:rFonts w:eastAsia="Segoe UI" w:cs="Segoe UI" w:ascii="Segoe UI" w:hAnsi="Segoe UI"/>
          <w:b/>
          <w:color w:val="101820"/>
          <w:sz w:val="21"/>
        </w:rPr>
        <w:t>bi.extract_keep_runs</w:t>
      </w:r>
      <w:r>
        <w:rPr>
          <w:rFonts w:eastAsia="Segoe UI" w:cs="Segoe UI" w:ascii="Segoe UI" w:hAnsi="Segoe UI"/>
          <w:color w:val="101820"/>
          <w:sz w:val="21"/>
        </w:rPr>
        <w:t xml:space="preserve"> runs.</w:t>
      </w:r>
      <w:r>
        <w:br w:type="page"/>
      </w:r>
    </w:p>
    <w:p>
      <w:pPr>
        <w:pStyle w:val="Heading1"/>
        <w:rPr/>
      </w:pPr>
      <w:bookmarkStart w:id="163" w:name="__RefHeading___Toc21843_17926050"/>
      <w:bookmarkEnd w:id="163"/>
      <w:r>
        <w:rPr>
          <w:rFonts w:eastAsia="Segoe UI" w:cs="Segoe UI" w:ascii="Segoe UI" w:hAnsi="Segoe UI"/>
          <w:b/>
          <w:color w:val="0F4761"/>
          <w:sz w:val="32"/>
        </w:rPr>
        <w:t>15.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64" w:name="__RefHeading___Toc21845_17926050"/>
      <w:bookmarkEnd w:id="164"/>
      <w:r>
        <w:rPr>
          <w:rFonts w:eastAsia="Segoe UI" w:cs="Segoe UI"/>
          <w:b/>
          <w:color w:val="0F4761"/>
          <w:sz w:val="26"/>
        </w:rPr>
        <w:t>15.1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Premium Receivable (Clients), Commission Receivable (Insurers, Direct Bill), each change against the same number of days of the previous period; migrated policies are not premium written;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w:t>
            </w:r>
            <w:r>
              <w:rPr>
                <w:rFonts w:eastAsia="Segoe UI" w:cs="Segoe UI" w:ascii="Segoe UI" w:hAnsi="Segoe UI"/>
                <w:b/>
                <w:color w:val="101820"/>
                <w:kern w:val="0"/>
                <w:sz w:val="18"/>
                <w:szCs w:val="24"/>
                <w:lang w:val="en-US" w:eastAsia="ja-JP" w:bidi="ar-SA"/>
              </w:rPr>
              <w:t>Settings</w:t>
            </w:r>
            <w:r>
              <w:rPr>
                <w:rFonts w:eastAsia="Segoe UI" w:cs="Segoe UI" w:ascii="Segoe UI" w:hAnsi="Segoe UI"/>
                <w:color w:val="101820"/>
                <w:kern w:val="0"/>
                <w:sz w:val="18"/>
                <w:szCs w:val="24"/>
                <w:lang w:val="en-US" w:eastAsia="ja-JP" w:bidi="ar-SA"/>
              </w:rPr>
              <w:t xml:space="preserve"> (roles that may open System Settings) opens Master &gt; System Settings.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[Screen image not available: Dashboard &gt; Executive Dashboard]</w:t>
      </w:r>
    </w:p>
    <w:p>
      <w:pPr>
        <w:pStyle w:val="Heading2"/>
        <w:rPr/>
      </w:pPr>
      <w:bookmarkStart w:id="165" w:name="__RefHeading___Toc21847_17926050"/>
      <w:bookmarkEnd w:id="165"/>
      <w:r>
        <w:rPr>
          <w:rFonts w:eastAsia="Segoe UI" w:cs="Segoe UI"/>
          <w:b/>
          <w:color w:val="0F4761"/>
          <w:sz w:val="26"/>
        </w:rPr>
        <w:t>15.2  Operations</w:t>
      </w:r>
    </w:p>
    <w:p>
      <w:pPr>
        <w:pStyle w:val="Heading3"/>
        <w:rPr/>
      </w:pPr>
      <w:r>
        <w:rPr>
          <w:rFonts w:eastAsia="Segoe UI" w:cs="Segoe UI"/>
          <w:b/>
          <w:color w:val="0F4761"/>
          <w:sz w:val="23"/>
        </w:rPr>
        <w:t>15.2.1  Home</w:t>
      </w:r>
    </w:p>
    <w:p>
      <w:pPr>
        <w:pStyle w:val="Normal"/>
        <w:spacing w:lineRule="auto" w:line="276" w:before="0" w:after="120"/>
        <w:rPr/>
      </w:pPr>
      <w:r>
        <w:rPr>
          <w:rFonts w:eastAsia="Segoe UI" w:cs="Segoe UI" w:ascii="Segoe UI" w:hAnsi="Segoe UI"/>
          <w:color w:val="101820"/>
          <w:sz w:val="21"/>
        </w:rPr>
        <w:t xml:space="preserve">The landing page of every role after sign-in: My Work with the role preset (categories first, default scope, Calendar categories, the one primary button and two or three role figures; chapter Home). The same screen as Operations &gt; My Work; </w:t>
      </w:r>
      <w:r>
        <w:rPr>
          <w:rFonts w:eastAsia="Consolas" w:cs="Consolas" w:ascii="Consolas" w:hAnsi="Consolas"/>
          <w:color w:val="101820"/>
          <w:sz w:val="19"/>
        </w:rPr>
        <w:t>/agent/home</w:t>
      </w:r>
      <w:r>
        <w:rPr>
          <w:rFonts w:eastAsia="Segoe UI" w:cs="Segoe UI" w:ascii="Segoe UI" w:hAnsi="Segoe UI"/>
          <w:color w:val="101820"/>
          <w:sz w:val="21"/>
        </w:rPr>
        <w:t xml:space="preserve"> and the former Open Items addresses open it.</w:t>
      </w:r>
    </w:p>
    <w:p>
      <w:pPr>
        <w:pStyle w:val="Heading3"/>
        <w:rPr/>
      </w:pPr>
      <w:r>
        <w:rPr>
          <w:rFonts w:eastAsia="Segoe UI" w:cs="Segoe UI"/>
          <w:b/>
          <w:color w:val="0F4761"/>
          <w:sz w:val="23"/>
        </w:rPr>
        <w:t>15.2.2  Sales &amp; Marketing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62"/>
        <w:gridCol w:w="2545"/>
        <w:gridCol w:w="2544"/>
        <w:gridCol w:w="1962"/>
      </w:tblGrid>
      <w:tr>
        <w:trPr>
          <w:tblHeader w:val="true"/>
        </w:trPr>
        <w:tc>
          <w:tcPr>
            <w:tcW w:w="1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5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each prospect an account executive.</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Tabs Team View, Queue, Assignment Rules; methods round robin, fewest open prospects, fixed; </w:t>
            </w:r>
            <w:r>
              <w:rPr>
                <w:rFonts w:eastAsia="Consolas" w:cs="Consolas" w:ascii="Consolas" w:hAnsi="Consolas"/>
                <w:color w:val="101820"/>
                <w:kern w:val="0"/>
                <w:sz w:val="16"/>
                <w:szCs w:val="24"/>
                <w:lang w:val="en-US" w:eastAsia="ja-JP" w:bidi="ar-SA"/>
              </w:rPr>
              <w:t>leads.assignment_fallback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programmes with dealers and financing banks.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who pays (free first year, subsidy), what the upload creates; Dealer Sales upload (DSB-); bank endorsement letters.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branded comparison of insurers' offers given to the client (CMP-).</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From a request for quotation or several quotations; recommended option and reasons; never shows commission; </w:t>
            </w:r>
            <w:r>
              <w:rPr>
                <w:rFonts w:eastAsia="Segoe UI" w:cs="Segoe UI" w:ascii="Segoe UI" w:hAnsi="Segoe UI"/>
                <w:b/>
                <w:color w:val="101820"/>
                <w:kern w:val="0"/>
                <w:sz w:val="18"/>
                <w:szCs w:val="24"/>
                <w:lang w:val="en-US" w:eastAsia="ja-JP" w:bidi="ar-SA"/>
              </w:rPr>
              <w:t>Client report (PDF)</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E-mail to the client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Client chose</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campaigns to clients and prospects with marketing consent.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Segments, templates with {{optOutLink}}, </w:t>
            </w:r>
            <w:r>
              <w:rPr>
                <w:rFonts w:eastAsia="Segoe UI" w:cs="Segoe UI" w:ascii="Segoe UI" w:hAnsi="Segoe UI"/>
                <w:b/>
                <w:color w:val="101820"/>
                <w:kern w:val="0"/>
                <w:sz w:val="18"/>
                <w:szCs w:val="24"/>
                <w:lang w:val="en-US" w:eastAsia="ja-JP" w:bidi="ar-SA"/>
              </w:rPr>
              <w:t>Send now</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Schedule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job), results and opt-outs; </w:t>
            </w:r>
            <w:r>
              <w:rPr>
                <w:rFonts w:eastAsia="Consolas" w:cs="Consolas" w:ascii="Consolas" w:hAnsi="Consolas"/>
                <w:color w:val="101820"/>
                <w:kern w:val="0"/>
                <w:sz w:val="16"/>
                <w:szCs w:val="24"/>
                <w:lang w:val="en-US" w:eastAsia="ja-JP" w:bidi="ar-SA"/>
              </w:rPr>
              <w:t>campaigns.max_recipients</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Activities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Calls, meetings, e-mails and visits logged on prospects, clients and quotations.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account executive, type and outcome filters; </w:t>
            </w:r>
            <w:r>
              <w:rPr>
                <w:rFonts w:eastAsia="Segoe UI" w:cs="Segoe UI" w:ascii="Segoe UI" w:hAnsi="Segoe UI"/>
                <w:b/>
                <w:color w:val="101820"/>
                <w:kern w:val="0"/>
                <w:sz w:val="18"/>
                <w:szCs w:val="24"/>
                <w:lang w:val="en-US" w:eastAsia="ja-JP" w:bidi="ar-SA"/>
              </w:rPr>
              <w:t>Activity Report</w:t>
            </w:r>
            <w:r>
              <w:rPr>
                <w:rFonts w:eastAsia="Segoe UI" w:cs="Segoe UI" w:ascii="Segoe UI" w:hAnsi="Segoe UI"/>
                <w:color w:val="101820"/>
                <w:kern w:val="0"/>
                <w:sz w:val="18"/>
                <w:szCs w:val="24"/>
                <w:lang w:val="en-US" w:eastAsia="ja-JP" w:bidi="ar-SA"/>
              </w:rPr>
              <w:t xml:space="preserve"> per account executive; next steps become My Work tasks; types and outcomes in Master &gt; Organization.</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bl>
    <w:p>
      <w:pPr>
        <w:pStyle w:val="Normal"/>
        <w:spacing w:before="0" w:after="80"/>
        <w:rPr/>
      </w:pPr>
      <w:r>
        <w:rPr/>
      </w:r>
    </w:p>
    <w:p>
      <w:pPr>
        <w:pStyle w:val="Heading3"/>
        <w:rPr/>
      </w:pPr>
      <w:r>
        <w:rPr>
          <w:rFonts w:eastAsia="Segoe UI" w:cs="Segoe UI"/>
          <w:b/>
          <w:color w:val="0F4761"/>
          <w:sz w:val="23"/>
        </w:rPr>
        <w:t>15.2.3  Clients, Policy and Claims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6"/>
        <w:gridCol w:w="2847"/>
        <w:gridCol w:w="2847"/>
        <w:gridCol w:w="2194"/>
      </w:tblGrid>
      <w:tr>
        <w:trPr>
          <w:tblHeader w:val="true"/>
        </w:trPr>
        <w:tc>
          <w:tcPr>
            <w:tcW w:w="1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21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motor policy covering many vehicles (FLT-).</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Vehicles priced one by one (own damage, acts of nature, excess liability, CTPL by class, taxes);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add or delete a vehicle by endorsement pro-rata; </w:t>
            </w:r>
            <w:r>
              <w:rPr>
                <w:rFonts w:eastAsia="Consolas" w:cs="Consolas" w:ascii="Consolas" w:hAnsi="Consolas"/>
                <w:color w:val="101820"/>
                <w:kern w:val="0"/>
                <w:sz w:val="16"/>
                <w:szCs w:val="24"/>
                <w:lang w:val="en-US" w:eastAsia="ja-JP" w:bidi="ar-SA"/>
              </w:rPr>
              <w:t>fleet.minimum_vehicles</w:t>
            </w:r>
            <w:r>
              <w:rPr>
                <w:rFonts w:eastAsia="Segoe UI" w:cs="Segoe UI" w:ascii="Segoe UI" w:hAnsi="Segoe UI"/>
                <w:color w:val="101820"/>
                <w:kern w:val="0"/>
                <w:sz w:val="18"/>
                <w:szCs w:val="24"/>
                <w:lang w:val="en-US" w:eastAsia="ja-JP" w:bidi="ar-SA"/>
              </w:rPr>
              <w:t>.</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Open Covers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client's cargo shipments for a period (MOC-, MIC-, MDC-).</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and limit per conveyance, mark-up on invoice, minimum premium per certificate; certificates and declared shipments; monthly or quarterly declarations billed on the open policy.</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checklist of documents of each claim.</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and optional documents by line and claim type;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Waive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Add document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Remind the claimant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to insurer</w:t>
            </w:r>
            <w:r>
              <w:rPr>
                <w:rFonts w:eastAsia="Segoe UI" w:cs="Segoe UI" w:ascii="Segoe UI" w:hAnsi="Segoe UI"/>
                <w:color w:val="101820"/>
                <w:kern w:val="0"/>
                <w:sz w:val="18"/>
                <w:szCs w:val="24"/>
                <w:lang w:val="en-US" w:eastAsia="ja-JP" w:bidi="ar-SA"/>
              </w:rPr>
              <w:t xml:space="preserve"> (refused while a required document is missing).</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estimates, adjuster decisions, letters of authority (LOA-) and vehicle release.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Accredited repair shops; participation and parts depreciation from </w:t>
            </w:r>
            <w:r>
              <w:rPr>
                <w:rFonts w:eastAsia="Consolas" w:cs="Consolas" w:ascii="Consolas" w:hAnsi="Consolas"/>
                <w:color w:val="101820"/>
                <w:kern w:val="0"/>
                <w:sz w:val="16"/>
                <w:szCs w:val="24"/>
                <w:lang w:val="en-US" w:eastAsia="ja-JP" w:bidi="ar-SA"/>
              </w:rPr>
              <w:t>motor_claims.*</w:t>
            </w:r>
            <w:r>
              <w:rPr>
                <w:rFonts w:eastAsia="Segoe UI" w:cs="Segoe UI" w:ascii="Segoe UI" w:hAnsi="Segoe UI"/>
                <w:color w:val="101820"/>
                <w:kern w:val="0"/>
                <w:sz w:val="18"/>
                <w:szCs w:val="24"/>
                <w:lang w:val="en-US" w:eastAsia="ja-JP" w:bidi="ar-SA"/>
              </w:rPr>
              <w:t>; supplementary estimates and letters.</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15.2.4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15.2.5  My Work, Payments, CTPL Authentication, Cover Notes and Policy Cancellation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109"/>
        <w:gridCol w:w="3144"/>
        <w:gridCol w:w="1242"/>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1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daily worklist of the user and the team.</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Tabs My Items, My Team, My Tasks, Calendar; counts Overdue, Due today, Next 7 days (</w:t>
            </w:r>
            <w:r>
              <w:rPr>
                <w:rFonts w:eastAsia="Consolas" w:cs="Consolas" w:ascii="Consolas" w:hAnsi="Consolas"/>
                <w:color w:val="101820"/>
                <w:kern w:val="0"/>
                <w:sz w:val="16"/>
                <w:szCs w:val="24"/>
                <w:lang w:val="en-US" w:eastAsia="ja-JP" w:bidi="ar-SA"/>
              </w:rPr>
              <w:t>myWork.due_soon_days</w:t>
            </w:r>
            <w:r>
              <w:rPr>
                <w:rFonts w:eastAsia="Segoe UI" w:cs="Segoe UI" w:ascii="Segoe UI" w:hAnsi="Segoe UI"/>
                <w:color w:val="101820"/>
                <w:kern w:val="0"/>
                <w:sz w:val="18"/>
                <w:szCs w:val="24"/>
                <w:lang w:val="en-US" w:eastAsia="ja-JP" w:bidi="ar-SA"/>
              </w:rPr>
              <w:t xml:space="preserve">), Open items, Open tasks; </w:t>
            </w:r>
            <w:r>
              <w:rPr>
                <w:rFonts w:eastAsia="Segoe UI" w:cs="Segoe UI" w:ascii="Segoe UI" w:hAnsi="Segoe UI"/>
                <w:b/>
                <w:color w:val="101820"/>
                <w:kern w:val="0"/>
                <w:sz w:val="18"/>
                <w:szCs w:val="24"/>
                <w:lang w:val="en-US" w:eastAsia="ja-JP" w:bidi="ar-SA"/>
              </w:rPr>
              <w:t>New task</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Reassign</w:t>
            </w:r>
            <w:r>
              <w:rPr>
                <w:rFonts w:eastAsia="Segoe UI" w:cs="Segoe UI" w:ascii="Segoe UI" w:hAnsi="Segoe UI"/>
                <w:color w:val="101820"/>
                <w:kern w:val="0"/>
                <w:sz w:val="18"/>
                <w:szCs w:val="24"/>
                <w:lang w:val="en-US" w:eastAsia="ja-JP" w:bidi="ar-SA"/>
              </w:rPr>
              <w:t>; automatic follow-up tasks (</w:t>
            </w:r>
            <w:r>
              <w:rPr>
                <w:rFonts w:eastAsia="Consolas" w:cs="Consolas" w:ascii="Consolas" w:hAnsi="Consolas"/>
                <w:color w:val="101820"/>
                <w:kern w:val="0"/>
                <w:sz w:val="16"/>
                <w:szCs w:val="24"/>
                <w:lang w:val="en-US" w:eastAsia="ja-JP" w:bidi="ar-SA"/>
              </w:rPr>
              <w:t>myWork.auto_tasks</w:t>
            </w:r>
            <w:r>
              <w:rPr>
                <w:rFonts w:eastAsia="Segoe UI" w:cs="Segoe UI" w:ascii="Segoe UI" w:hAnsi="Segoe UI"/>
                <w:color w:val="101820"/>
                <w:kern w:val="0"/>
                <w:sz w:val="18"/>
                <w:szCs w:val="24"/>
                <w:lang w:val="en-US" w:eastAsia="ja-JP" w:bidi="ar-SA"/>
              </w:rPr>
              <w:t>). The old Open Items addresses open My Work.</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of the user's policies.</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 collected premium, receivables and earned commission; tabs Paid, Pending, Reviewing; type Policy, Renewal Policy or Endorsement.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of CTPL certificates of cover with the IC-accredited provider.</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series per insurer and branch; automatic request at issue (</w:t>
            </w:r>
            <w:r>
              <w:rPr>
                <w:rFonts w:eastAsia="Consolas" w:cs="Consolas" w:ascii="Consolas" w:hAnsi="Consolas"/>
                <w:color w:val="101820"/>
                <w:kern w:val="0"/>
                <w:sz w:val="16"/>
                <w:szCs w:val="24"/>
                <w:lang w:val="en-US" w:eastAsia="ja-JP" w:bidi="ar-SA"/>
              </w:rPr>
              <w:t>ctpl.authenticate_on_issue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Authenticate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details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Enter code from the provider portal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Register a policy</w:t>
            </w:r>
            <w:r>
              <w:rPr>
                <w:rFonts w:eastAsia="Segoe UI" w:cs="Segoe UI" w:ascii="Segoe UI" w:hAnsi="Segoe UI"/>
                <w:color w:val="101820"/>
                <w:kern w:val="0"/>
                <w:sz w:val="18"/>
                <w:szCs w:val="24"/>
                <w:lang w:val="en-US" w:eastAsia="ja-JP" w:bidi="ar-SA"/>
              </w:rPr>
              <w:t>; LTO feed.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evidence of cover (CVN-) from an accepted quotation or a placement slip.</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Cover period </w:t>
            </w:r>
            <w:r>
              <w:rPr>
                <w:rFonts w:eastAsia="Consolas" w:cs="Consolas" w:ascii="Consolas" w:hAnsi="Consolas"/>
                <w:color w:val="101820"/>
                <w:kern w:val="0"/>
                <w:sz w:val="16"/>
                <w:szCs w:val="24"/>
                <w:lang w:val="en-US" w:eastAsia="ja-JP" w:bidi="ar-SA"/>
              </w:rPr>
              <w:t>cover_note.validity_days</w:t>
            </w:r>
            <w:r>
              <w:rPr>
                <w:rFonts w:eastAsia="Segoe UI" w:cs="Segoe UI" w:ascii="Segoe UI" w:hAnsi="Segoe UI"/>
                <w:color w:val="101820"/>
                <w:kern w:val="0"/>
                <w:sz w:val="18"/>
                <w:szCs w:val="24"/>
                <w:lang w:val="en-US" w:eastAsia="ja-JP" w:bidi="ar-SA"/>
              </w:rPr>
              <w:t xml:space="preserve"> (30) up to </w:t>
            </w:r>
            <w:r>
              <w:rPr>
                <w:rFonts w:eastAsia="Consolas" w:cs="Consolas" w:ascii="Consolas" w:hAnsi="Consolas"/>
                <w:color w:val="101820"/>
                <w:kern w:val="0"/>
                <w:sz w:val="16"/>
                <w:szCs w:val="24"/>
                <w:lang w:val="en-US" w:eastAsia="ja-JP" w:bidi="ar-SA"/>
              </w:rPr>
              <w:t>cover_note.max_validity_days</w:t>
            </w:r>
            <w:r>
              <w:rPr>
                <w:rFonts w:eastAsia="Segoe UI" w:cs="Segoe UI" w:ascii="Segoe UI" w:hAnsi="Segoe UI"/>
                <w:color w:val="101820"/>
                <w:kern w:val="0"/>
                <w:sz w:val="18"/>
                <w:szCs w:val="24"/>
                <w:lang w:val="en-US" w:eastAsia="ja-JP" w:bidi="ar-SA"/>
              </w:rPr>
              <w:t xml:space="preserve">; statuses Active, Superseded, Expired, Cancelled;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E-mail to the client</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Cancellation</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 with a computed return premium.</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Methods pro-rata, short-period (Short-Period Rates), flat; reasons from Cancellation Reasons; returned taxes </w:t>
            </w:r>
            <w:r>
              <w:rPr>
                <w:rFonts w:eastAsia="Consolas" w:cs="Consolas" w:ascii="Consolas" w:hAnsi="Consolas"/>
                <w:color w:val="101820"/>
                <w:kern w:val="0"/>
                <w:sz w:val="16"/>
                <w:szCs w:val="24"/>
                <w:lang w:val="en-US" w:eastAsia="ja-JP" w:bidi="ar-SA"/>
              </w:rPr>
              <w:t>endorsements.cancellation_returned_taxes</w:t>
            </w:r>
            <w:r>
              <w:rPr>
                <w:rFonts w:eastAsia="Segoe UI" w:cs="Segoe UI" w:ascii="Segoe UI" w:hAnsi="Segoe UI"/>
                <w:color w:val="101820"/>
                <w:kern w:val="0"/>
                <w:sz w:val="18"/>
                <w:szCs w:val="24"/>
                <w:lang w:val="en-US" w:eastAsia="ja-JP" w:bidi="ar-SA"/>
              </w:rPr>
              <w:t>; posting rules policy.cancel and endorsement.return_premium.</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bl>
    <w:p>
      <w:pPr>
        <w:pStyle w:val="Normal"/>
        <w:spacing w:before="0" w:after="80"/>
        <w:rPr/>
      </w:pPr>
      <w:r>
        <w:rPr/>
      </w:r>
    </w:p>
    <w:p>
      <w:pPr>
        <w:pStyle w:val="Heading2"/>
        <w:rPr/>
      </w:pPr>
      <w:bookmarkStart w:id="166" w:name="__RefHeading___Toc21849_17926050"/>
      <w:bookmarkEnd w:id="166"/>
      <w:r>
        <w:rPr>
          <w:rFonts w:eastAsia="Segoe UI" w:cs="Segoe UI"/>
          <w:b/>
          <w:color w:val="0F4761"/>
          <w:sz w:val="26"/>
        </w:rPr>
        <w:t>15.3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cheques received before their date (PDC-).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Register cheque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Deposit</w:t>
            </w:r>
            <w:r>
              <w:rPr>
                <w:rFonts w:eastAsia="Segoe UI" w:cs="Segoe UI" w:ascii="Segoe UI" w:hAnsi="Segoe UI"/>
                <w:color w:val="101820"/>
                <w:kern w:val="0"/>
                <w:sz w:val="18"/>
                <w:szCs w:val="24"/>
                <w:lang w:val="en-US" w:eastAsia="ja-JP" w:bidi="ar-SA"/>
              </w:rPr>
              <w:t xml:space="preserve"> (posts the official receipt), </w:t>
            </w:r>
            <w:r>
              <w:rPr>
                <w:rFonts w:eastAsia="Segoe UI" w:cs="Segoe UI" w:ascii="Segoe UI" w:hAnsi="Segoe UI"/>
                <w:b/>
                <w:color w:val="101820"/>
                <w:kern w:val="0"/>
                <w:sz w:val="18"/>
                <w:szCs w:val="24"/>
                <w:lang w:val="en-US" w:eastAsia="ja-JP" w:bidi="ar-SA"/>
              </w:rPr>
              <w:t>Cleared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Bounced</w:t>
            </w:r>
            <w:r>
              <w:rPr>
                <w:rFonts w:eastAsia="Segoe UI" w:cs="Segoe UI" w:ascii="Segoe UI" w:hAnsi="Segoe UI"/>
                <w:color w:val="101820"/>
                <w:kern w:val="0"/>
                <w:sz w:val="18"/>
                <w:szCs w:val="24"/>
                <w:lang w:val="en-US" w:eastAsia="ja-JP" w:bidi="ar-SA"/>
              </w:rPr>
              <w:t xml:space="preserve"> (receipt cancelled, client e-mailed), </w:t>
            </w:r>
            <w:r>
              <w:rPr>
                <w:rFonts w:eastAsia="Segoe UI" w:cs="Segoe UI" w:ascii="Segoe UI" w:hAnsi="Segoe UI"/>
                <w:b/>
                <w:color w:val="101820"/>
                <w:kern w:val="0"/>
                <w:sz w:val="18"/>
                <w:szCs w:val="24"/>
                <w:lang w:val="en-US" w:eastAsia="ja-JP" w:bidi="ar-SA"/>
              </w:rPr>
              <w:t>Replace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Return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Cancel</w:t>
            </w:r>
            <w:r>
              <w:rPr>
                <w:rFonts w:eastAsia="Segoe UI" w:cs="Segoe UI" w:ascii="Segoe UI" w:hAnsi="Segoe UI"/>
                <w:color w:val="101820"/>
                <w:kern w:val="0"/>
                <w:sz w:val="18"/>
                <w:szCs w:val="24"/>
                <w:lang w:val="en-US" w:eastAsia="ja-JP" w:bidi="ar-SA"/>
              </w:rPr>
              <w:t>; tab Deposit due (</w:t>
            </w:r>
            <w:r>
              <w:rPr>
                <w:rFonts w:eastAsia="Consolas" w:cs="Consolas" w:ascii="Consolas" w:hAnsi="Consolas"/>
                <w:color w:val="101820"/>
                <w:kern w:val="0"/>
                <w:sz w:val="16"/>
                <w:szCs w:val="24"/>
                <w:lang w:val="en-US" w:eastAsia="ja-JP" w:bidi="ar-SA"/>
              </w:rPr>
              <w:t>pdc.due_window_days</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Settlements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Settlements paid through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Funds received</w:t>
            </w:r>
            <w:r>
              <w:rPr>
                <w:rFonts w:eastAsia="Segoe UI" w:cs="Segoe UI" w:ascii="Segoe UI" w:hAnsi="Segoe UI"/>
                <w:color w:val="101820"/>
                <w:kern w:val="0"/>
                <w:sz w:val="18"/>
                <w:szCs w:val="24"/>
                <w:lang w:val="en-US" w:eastAsia="ja-JP" w:bidi="ar-SA"/>
              </w:rPr>
              <w:t xml:space="preserve"> (posting rule claim.funds_received), </w:t>
            </w:r>
            <w:r>
              <w:rPr>
                <w:rFonts w:eastAsia="Segoe UI" w:cs="Segoe UI" w:ascii="Segoe UI" w:hAnsi="Segoe UI"/>
                <w:b/>
                <w:color w:val="101820"/>
                <w:kern w:val="0"/>
                <w:sz w:val="18"/>
                <w:szCs w:val="24"/>
                <w:lang w:val="en-US" w:eastAsia="ja-JP" w:bidi="ar-SA"/>
              </w:rPr>
              <w:t>Pay claimant</w:t>
            </w:r>
            <w:r>
              <w:rPr>
                <w:rFonts w:eastAsia="Segoe UI" w:cs="Segoe UI" w:ascii="Segoe UI" w:hAnsi="Segoe UI"/>
                <w:color w:val="101820"/>
                <w:kern w:val="0"/>
                <w:sz w:val="18"/>
                <w:szCs w:val="24"/>
                <w:lang w:val="en-US" w:eastAsia="ja-JP" w:bidi="ar-SA"/>
              </w:rPr>
              <w:t xml:space="preserve"> (claim.paid_to_claimant, voucher CPV-), </w:t>
            </w:r>
            <w:r>
              <w:rPr>
                <w:rFonts w:eastAsia="Segoe UI" w:cs="Segoe UI" w:ascii="Segoe UI" w:hAnsi="Segoe UI"/>
                <w:b/>
                <w:color w:val="101820"/>
                <w:kern w:val="0"/>
                <w:sz w:val="18"/>
                <w:szCs w:val="24"/>
                <w:lang w:val="en-US" w:eastAsia="ja-JP" w:bidi="ar-SA"/>
              </w:rPr>
              <w:t>Release form</w:t>
            </w:r>
            <w:r>
              <w:rPr>
                <w:rFonts w:eastAsia="Segoe UI" w:cs="Segoe UI" w:ascii="Segoe UI" w:hAnsi="Segoe UI"/>
                <w:color w:val="101820"/>
                <w:kern w:val="0"/>
                <w:sz w:val="18"/>
                <w:szCs w:val="24"/>
                <w:lang w:val="en-US" w:eastAsia="ja-JP" w:bidi="ar-SA"/>
              </w:rPr>
              <w:t>; receipts and disbursements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(Supplier Invoices, Supplier Payments, AP Ageing, Suppliers, Supplier 2307)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sub-ledger (APV-, SPV-) and the suppliers' BIR Form 2307.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 VAT and EWT computed from the supplier's tax codes; approval by the Accounting Manager (</w:t>
            </w:r>
            <w:r>
              <w:rPr>
                <w:rFonts w:eastAsia="Consolas" w:cs="Consolas" w:ascii="Consolas" w:hAnsi="Consolas"/>
                <w:color w:val="101820"/>
                <w:kern w:val="0"/>
                <w:sz w:val="16"/>
                <w:szCs w:val="24"/>
                <w:lang w:val="en-US" w:eastAsia="ja-JP" w:bidi="ar-SA"/>
              </w:rPr>
              <w:t>payables.maker_checker</w:t>
            </w:r>
            <w:r>
              <w:rPr>
                <w:rFonts w:eastAsia="Segoe UI" w:cs="Segoe UI" w:ascii="Segoe UI" w:hAnsi="Segoe UI"/>
                <w:color w:val="101820"/>
                <w:kern w:val="0"/>
                <w:sz w:val="18"/>
                <w:szCs w:val="24"/>
                <w:lang w:val="en-US" w:eastAsia="ja-JP" w:bidi="ar-SA"/>
              </w:rPr>
              <w:t>); posting rules ap.invoice and ap.payment; an asset line goes to the fixed asset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Assets (Asset Register, Depreciation Run, Disposals)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register (FA-), straight-line depreciation and disposals (FAD-).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 with useful life and accounts; one journal per class and period (fa.depreciation); sale with output VAT and sales invoice, or write-off (fa.disposal); gain or loss accounts.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approved vouchers by bank upload file (BPB-).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 per bank (Master &gt; Finance &gt; Bank File Layouts), channel bulk credit, InstaPay (</w:t>
            </w:r>
            <w:r>
              <w:rPr>
                <w:rFonts w:eastAsia="Consolas" w:cs="Consolas" w:ascii="Consolas" w:hAnsi="Consolas"/>
                <w:color w:val="101820"/>
                <w:kern w:val="0"/>
                <w:sz w:val="16"/>
                <w:szCs w:val="24"/>
                <w:lang w:val="en-US" w:eastAsia="ja-JP" w:bidi="ar-SA"/>
              </w:rPr>
              <w:t>bank_payments.instapay_limit</w:t>
            </w:r>
            <w:r>
              <w:rPr>
                <w:rFonts w:eastAsia="Segoe UI" w:cs="Segoe UI" w:ascii="Segoe UI" w:hAnsi="Segoe UI"/>
                <w:color w:val="101820"/>
                <w:kern w:val="0"/>
                <w:sz w:val="18"/>
                <w:szCs w:val="24"/>
                <w:lang w:val="en-US" w:eastAsia="ja-JP" w:bidi="ar-SA"/>
              </w:rPr>
              <w:t xml:space="preserve">) or PESONet, value date; approval within the Authority Matrix; </w:t>
            </w:r>
            <w:r>
              <w:rPr>
                <w:rFonts w:eastAsia="Segoe UI" w:cs="Segoe UI" w:ascii="Segoe UI" w:hAnsi="Segoe UI"/>
                <w:b/>
                <w:color w:val="101820"/>
                <w:kern w:val="0"/>
                <w:sz w:val="18"/>
                <w:szCs w:val="24"/>
                <w:lang w:val="en-US" w:eastAsia="ja-JP" w:bidi="ar-SA"/>
              </w:rPr>
              <w:t>Write 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Mark uploaded to the bank</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 status 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result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Withholding Returns, Annual Alphalist 1604-E, Percentage Tax 2551Q</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BIR forms 0619-E, 1601-EQ, 1604-E and 2551Q laid out as the forms, with their filing records.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Reconciled with the QAP and the ledger;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filing</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Amended return</w:t>
            </w:r>
            <w:r>
              <w:rPr>
                <w:rFonts w:eastAsia="Segoe UI" w:cs="Segoe UI" w:ascii="Segoe UI" w:hAnsi="Segoe UI"/>
                <w:color w:val="101820"/>
                <w:kern w:val="0"/>
                <w:sz w:val="18"/>
                <w:szCs w:val="24"/>
                <w:lang w:val="en-US" w:eastAsia="ja-JP" w:bidi="ar-SA"/>
              </w:rPr>
              <w:t xml:space="preserve">; due dates from </w:t>
            </w:r>
            <w:r>
              <w:rPr>
                <w:rFonts w:eastAsia="Consolas" w:cs="Consolas" w:ascii="Consolas" w:hAnsi="Consolas"/>
                <w:color w:val="101820"/>
                <w:kern w:val="0"/>
                <w:sz w:val="16"/>
                <w:szCs w:val="24"/>
                <w:lang w:val="en-US" w:eastAsia="ja-JP" w:bidi="ar-SA"/>
              </w:rPr>
              <w:t>bir.withholding_due_day</w:t>
            </w:r>
            <w:r>
              <w:rPr>
                <w:rFonts w:eastAsia="Segoe UI" w:cs="Segoe UI" w:ascii="Segoe UI" w:hAnsi="Segoe UI"/>
                <w:color w:val="101820"/>
                <w:kern w:val="0"/>
                <w:sz w:val="18"/>
                <w:szCs w:val="24"/>
                <w:lang w:val="en-US" w:eastAsia="ja-JP" w:bidi="ar-SA"/>
              </w:rPr>
              <w:t xml:space="preserve">; percentage tax rate </w:t>
            </w:r>
            <w:r>
              <w:rPr>
                <w:rFonts w:eastAsia="Consolas" w:cs="Consolas" w:ascii="Consolas" w:hAnsi="Consolas"/>
                <w:color w:val="101820"/>
                <w:kern w:val="0"/>
                <w:sz w:val="16"/>
                <w:szCs w:val="24"/>
                <w:lang w:val="en-US" w:eastAsia="ja-JP" w:bidi="ar-SA"/>
              </w:rPr>
              <w:t>bir.percentage_tax_rate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BIR DAT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validation data files of the QAP, SAWT, SLSP and 1604-E alphalist.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Alphalist Data Entry and Validation Module 7.x and RELIEF layouts; warnings for payees without TIN; validate with the BIR module before submitting.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Sales Invoices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sales invoices under the EOPT Act (SI-) and payment acknowledgements (PAR-).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debit notes, overriding commission, policy commission or manual fees; serial range </w:t>
            </w:r>
            <w:r>
              <w:rPr>
                <w:rFonts w:eastAsia="Consolas" w:cs="Consolas" w:ascii="Consolas" w:hAnsi="Consolas"/>
                <w:color w:val="101820"/>
                <w:kern w:val="0"/>
                <w:sz w:val="16"/>
                <w:szCs w:val="24"/>
                <w:lang w:val="en-US" w:eastAsia="ja-JP" w:bidi="ar-SA"/>
              </w:rPr>
              <w:t>invoice.serial_from</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invoice.serial_to</w:t>
            </w:r>
            <w:r>
              <w:rPr>
                <w:rFonts w:eastAsia="Segoe UI" w:cs="Segoe UI" w:ascii="Segoe UI" w:hAnsi="Segoe UI"/>
                <w:color w:val="101820"/>
                <w:kern w:val="0"/>
                <w:sz w:val="18"/>
                <w:szCs w:val="24"/>
                <w:lang w:val="en-US" w:eastAsia="ja-JP" w:bidi="ar-SA"/>
              </w:rPr>
              <w:t xml:space="preserve">; posting rules sales_invoice.issue and sales_invoice.payment; </w:t>
            </w:r>
            <w:r>
              <w:rPr>
                <w:rFonts w:eastAsia="Segoe UI" w:cs="Segoe UI" w:ascii="Segoe UI" w:hAnsi="Segoe UI"/>
                <w:b/>
                <w:color w:val="101820"/>
                <w:kern w:val="0"/>
                <w:sz w:val="18"/>
                <w:szCs w:val="24"/>
                <w:lang w:val="en-US" w:eastAsia="ja-JP" w:bidi="ar-SA"/>
              </w:rPr>
              <w:t>Cancel invoice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E-Invoicing (EIS)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 of e-invoices for the BIR Electronic Invoicing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eis.mode</w:t>
            </w:r>
            <w:r>
              <w:rPr>
                <w:rFonts w:eastAsia="Segoe UI" w:cs="Segoe UI" w:ascii="Segoe UI" w:hAnsi="Segoe UI"/>
                <w:color w:val="101820"/>
                <w:kern w:val="0"/>
                <w:sz w:val="18"/>
                <w:szCs w:val="24"/>
                <w:lang w:val="en-US" w:eastAsia="ja-JP" w:bidi="ar-SA"/>
              </w:rPr>
              <w:t xml:space="preserve"> (test or live), credentials by environment variable names; 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Queue earlier invoices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payloads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Uploaded manually</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CAS Books and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Loose-leaf books of accounts and the CAS registration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Readiness checks; books printed month by month with running page numbers (</w:t>
            </w:r>
            <w:r>
              <w:rPr>
                <w:rFonts w:eastAsia="Consolas" w:cs="Consolas" w:ascii="Consolas" w:hAnsi="Consolas"/>
                <w:color w:val="101820"/>
                <w:kern w:val="0"/>
                <w:sz w:val="16"/>
                <w:szCs w:val="24"/>
                <w:lang w:val="en-US" w:eastAsia="ja-JP" w:bidi="ar-SA"/>
              </w:rPr>
              <w:t>cas.enforce_print_order</w:t>
            </w:r>
            <w:r>
              <w:rPr>
                <w:rFonts w:eastAsia="Segoe UI" w:cs="Segoe UI" w:ascii="Segoe UI" w:hAnsi="Segoe UI"/>
                <w:color w:val="101820"/>
                <w:kern w:val="0"/>
                <w:sz w:val="18"/>
                <w:szCs w:val="24"/>
                <w:lang w:val="en-US" w:eastAsia="ja-JP" w:bidi="ar-SA"/>
              </w:rPr>
              <w:t xml:space="preserve">); print register, </w:t>
            </w:r>
            <w:r>
              <w:rPr>
                <w:rFonts w:eastAsia="Segoe UI" w:cs="Segoe UI" w:ascii="Segoe UI" w:hAnsi="Segoe UI"/>
                <w:b/>
                <w:color w:val="101820"/>
                <w:kern w:val="0"/>
                <w:sz w:val="18"/>
                <w:szCs w:val="24"/>
                <w:lang w:val="en-US" w:eastAsia="ja-JP" w:bidi="ar-SA"/>
              </w:rPr>
              <w:t>Reprint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Void print</w:t>
            </w:r>
            <w:r>
              <w:rPr>
                <w:rFonts w:eastAsia="Segoe UI" w:cs="Segoe UI" w:ascii="Segoe UI" w:hAnsi="Segoe UI"/>
                <w:color w:val="101820"/>
                <w:kern w:val="0"/>
                <w:sz w:val="18"/>
                <w:szCs w:val="24"/>
                <w:lang w:val="en-US" w:eastAsia="ja-JP" w:bidi="ar-SA"/>
              </w:rPr>
              <w:t>; system description, backup procedure and audit trail extract.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15.3.1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[Screen image not available: Accounts &gt; Remittance &gt; Automated Processing]</w:t>
      </w:r>
    </w:p>
    <w:p>
      <w:pPr>
        <w:pStyle w:val="Heading2"/>
        <w:rPr/>
      </w:pPr>
      <w:bookmarkStart w:id="167" w:name="__RefHeading___Toc21851_17926050"/>
      <w:bookmarkEnd w:id="167"/>
      <w:r>
        <w:rPr>
          <w:rFonts w:eastAsia="Segoe UI" w:cs="Segoe UI"/>
          <w:b/>
          <w:color w:val="0F4761"/>
          <w:sz w:val="26"/>
        </w:rPr>
        <w:t>15.4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Overrides (Agreements, Computations)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Overriding, profit and contingent commission agreements with insurers (basis production, loss ratio or growth; slab or banded tiers) and their computations per period (OVC-): </w:t>
            </w:r>
            <w:r>
              <w:rPr>
                <w:rFonts w:eastAsia="Segoe UI" w:cs="Segoe UI" w:ascii="Segoe UI" w:hAnsi="Segoe UI"/>
                <w:b/>
                <w:color w:val="101820"/>
                <w:kern w:val="0"/>
                <w:sz w:val="18"/>
                <w:szCs w:val="24"/>
                <w:lang w:val="en-US" w:eastAsia="ja-JP" w:bidi="ar-SA"/>
              </w:rPr>
              <w:t>Compute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(posting rule override_commission.accrual), </w:t>
            </w:r>
            <w:r>
              <w:rPr>
                <w:rFonts w:eastAsia="Segoe UI" w:cs="Segoe UI" w:ascii="Segoe UI" w:hAnsi="Segoe UI"/>
                <w:b/>
                <w:color w:val="101820"/>
                <w:kern w:val="0"/>
                <w:sz w:val="18"/>
                <w:szCs w:val="24"/>
                <w:lang w:val="en-US" w:eastAsia="ja-JP" w:bidi="ar-SA"/>
              </w:rPr>
              <w:t>Issue invoice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Settle</w:t>
            </w:r>
            <w:r>
              <w:rPr>
                <w:rFonts w:eastAsia="Segoe UI" w:cs="Segoe UI" w:ascii="Segoe UI" w:hAnsi="Segoe UI"/>
                <w:color w:val="101820"/>
                <w:kern w:val="0"/>
                <w:sz w:val="18"/>
                <w:szCs w:val="24"/>
                <w:lang w:val="en-US" w:eastAsia="ja-JP" w:bidi="ar-SA"/>
              </w:rPr>
              <w:t xml:space="preserve"> (override_commission.settlement).</w:t>
            </w:r>
          </w:p>
        </w:tc>
      </w:tr>
    </w:tbl>
    <w:p>
      <w:pPr>
        <w:pStyle w:val="Normal"/>
        <w:spacing w:before="0" w:after="80"/>
        <w:rPr/>
      </w:pPr>
      <w:r>
        <w:rPr/>
      </w:r>
    </w:p>
    <w:p>
      <w:pPr>
        <w:pStyle w:val="Heading2"/>
        <w:rPr/>
      </w:pPr>
      <w:bookmarkStart w:id="168" w:name="__RefHeading___Toc21853_17926050"/>
      <w:bookmarkEnd w:id="168"/>
      <w:r>
        <w:rPr>
          <w:rFonts w:eastAsia="Segoe UI" w:cs="Segoe UI"/>
          <w:b/>
          <w:color w:val="0F4761"/>
          <w:sz w:val="26"/>
        </w:rPr>
        <w:t>15.5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 Dealer Production.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 hoc reports over the datasets Policies, Clients, Bills, Claims and Commissions: columns, grouping, filters, sort, Excel export, saved reports shared by role; BI extract runs for the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69" w:name="__RefHeading___Toc21855_17926050"/>
      <w:bookmarkEnd w:id="169"/>
      <w:r>
        <w:rPr>
          <w:rFonts w:eastAsia="Segoe UI" w:cs="Segoe UI"/>
          <w:b/>
          <w:color w:val="0F4761"/>
          <w:sz w:val="26"/>
        </w:rPr>
        <w:t>15.6  Master</w:t>
      </w:r>
    </w:p>
    <w:p>
      <w:pPr>
        <w:pStyle w:val="Heading3"/>
        <w:rPr/>
      </w:pPr>
      <w:r>
        <w:rPr>
          <w:rFonts w:eastAsia="Segoe UI" w:cs="Segoe UI"/>
          <w:b/>
          <w:color w:val="0F4761"/>
          <w:sz w:val="23"/>
        </w:rPr>
        <w:t>15.6.1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 link to Theme and Branding.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&gt; Theme and Branding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presets, layout, font and colours with the WCAG AA contrast check; sign-in page picture and texts; document, report and Excel branding; e-mail layout; application name and images; document signature mapping; brand pack export and import (System Administrator chapter).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Connectors (SMS, Viber, CTPL authentication, LTO feed, insurer API, bank files) with mode, credentials by environment variable name, retries and </w:t>
            </w:r>
            <w:r>
              <w:rPr>
                <w:rFonts w:eastAsia="Segoe UI" w:cs="Segoe UI" w:ascii="Segoe UI" w:hAnsi="Segoe UI"/>
                <w:b/>
                <w:color w:val="101820"/>
                <w:kern w:val="0"/>
                <w:sz w:val="18"/>
                <w:szCs w:val="24"/>
                <w:lang w:val="en-US" w:eastAsia="ja-JP" w:bidi="ar-SA"/>
              </w:rPr>
              <w:t>Test connection</w:t>
            </w:r>
            <w:r>
              <w:rPr>
                <w:rFonts w:eastAsia="Segoe UI" w:cs="Segoe UI" w:ascii="Segoe UI" w:hAnsi="Segoe UI"/>
                <w:color w:val="101820"/>
                <w:kern w:val="0"/>
                <w:sz w:val="18"/>
                <w:szCs w:val="24"/>
                <w:lang w:val="en-US" w:eastAsia="ja-JP" w:bidi="ar-SA"/>
              </w:rPr>
              <w:t xml:space="preserve">; the outbox and inbox of every message; job </w:t>
            </w:r>
            <w:r>
              <w:rPr>
                <w:rFonts w:eastAsia="Consolas" w:cs="Consolas" w:ascii="Consolas" w:hAnsi="Consolas"/>
                <w:color w:val="101820"/>
                <w:kern w:val="0"/>
                <w:sz w:val="16"/>
                <w:szCs w:val="24"/>
                <w:lang w:val="en-US" w:eastAsia="ja-JP" w:bidi="ar-SA"/>
              </w:rPr>
              <w:t>integration-outbox</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 Templates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SMS and Viber texts with placeholders, consent needed and connector; </w:t>
            </w:r>
            <w:r>
              <w:rPr>
                <w:rFonts w:eastAsia="Segoe UI" w:cs="Segoe UI" w:ascii="Segoe UI" w:hAnsi="Segoe UI"/>
                <w:b/>
                <w:color w:val="101820"/>
                <w:kern w:val="0"/>
                <w:sz w:val="18"/>
                <w:szCs w:val="24"/>
                <w:lang w:val="en-US" w:eastAsia="ja-JP" w:bidi="ar-SA"/>
              </w:rPr>
              <w:t>Send a test</w:t>
            </w:r>
            <w:r>
              <w:rPr>
                <w:rFonts w:eastAsia="Segoe UI" w:cs="Segoe UI" w:ascii="Segoe UI" w:hAnsi="Segoe UI"/>
                <w:color w:val="101820"/>
                <w:kern w:val="0"/>
                <w:sz w:val="18"/>
                <w:szCs w:val="24"/>
                <w:lang w:val="en-US" w:eastAsia="ja-JP" w:bidi="ar-SA"/>
              </w:rPr>
              <w:t>; the messages sent.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Integration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per insurer (broker code, product codes, request and answer maps, claim statuses); requests for policy issuance, premium data and claim status; claim status file import.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Configuration and migration workbooks: </w:t>
            </w:r>
            <w:r>
              <w:rPr>
                <w:rFonts w:eastAsia="Segoe UI" w:cs="Segoe UI" w:ascii="Segoe UI" w:hAnsi="Segoe UI"/>
                <w:b/>
                <w:color w:val="101820"/>
                <w:kern w:val="0"/>
                <w:sz w:val="18"/>
                <w:szCs w:val="24"/>
                <w:lang w:val="en-US" w:eastAsia="ja-JP" w:bidi="ar-SA"/>
              </w:rPr>
              <w:t>Blank template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 and validate</w:t>
            </w:r>
            <w:r>
              <w:rPr>
                <w:rFonts w:eastAsia="Segoe UI" w:cs="Segoe UI" w:ascii="Segoe UI" w:hAnsi="Segoe UI"/>
                <w:color w:val="101820"/>
                <w:kern w:val="0"/>
                <w:sz w:val="18"/>
                <w:szCs w:val="24"/>
                <w:lang w:val="en-US" w:eastAsia="ja-JP" w:bidi="ar-SA"/>
              </w:rPr>
              <w:t xml:space="preserve">, errors download, </w:t>
            </w:r>
            <w:r>
              <w:rPr>
                <w:rFonts w:eastAsia="Segoe UI" w:cs="Segoe UI" w:ascii="Segoe UI" w:hAnsi="Segoe UI"/>
                <w:b/>
                <w:color w:val="101820"/>
                <w:kern w:val="0"/>
                <w:sz w:val="18"/>
                <w:szCs w:val="24"/>
                <w:lang w:val="en-US" w:eastAsia="ja-JP" w:bidi="ar-SA"/>
              </w:rPr>
              <w:t>Load</w:t>
            </w:r>
            <w:r>
              <w:rPr>
                <w:rFonts w:eastAsia="Segoe UI" w:cs="Segoe UI" w:ascii="Segoe UI" w:hAnsi="Segoe UI"/>
                <w:color w:val="101820"/>
                <w:kern w:val="0"/>
                <w:sz w:val="18"/>
                <w:szCs w:val="24"/>
                <w:lang w:val="en-US" w:eastAsia="ja-JP" w:bidi="ar-SA"/>
              </w:rPr>
              <w:t>, reconciliation, history (chapter Go-Live Data Load).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15.6.2  Organization, Insurance, Location, Employees, Users and Access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Sales Activity Types, Sales Activity Outcomes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activity types (channel, default days to the next step) and the outcomes (positive, neutral or negative) of the sales activity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IC Certificate of Authority No. and its validity;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Short-Period Rates, Cancellation Reasons, Claim Document Checklist, Repair Shops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operational masters: the percentage the insurer keeps per period in force; who initiates each cancellation reason and its method; the documents each claim needs by line and type; the accredited repair shops.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groups and branches, financing banks and branches, affinity partners, with referrer and comsub, mortgagee clause and letter addressee; prospects, policies and premium per channel.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Province, City / Municipality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PSGC address lists (regions, provinces, cities and municipalities with ZIP codes; barangays on the address forms);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Employees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15.6.3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Classes of the fixed asset register with useful life and the asset, accumulated depreciation and depreciation expense accounts.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File Layouts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each bank's payment upload file is written (delimited or fixed width, header, payment and trailer records, file name) and its status file read; the payee bank accounts; starter layouts in test mode until validated with the bank.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[Screen image not available: Master &gt; Finance &gt; Premium Taxes &amp; LGU Rates]</w:t>
      </w:r>
    </w:p>
    <w:p>
      <w:pPr>
        <w:pStyle w:val="Heading3"/>
        <w:rPr/>
      </w:pPr>
      <w:r>
        <w:rPr>
          <w:rFonts w:eastAsia="Segoe UI" w:cs="Segoe UI"/>
          <w:b/>
          <w:color w:val="0F4761"/>
          <w:sz w:val="23"/>
        </w:rPr>
        <w:t>15.6.4  Incentive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bl>
    <w:p>
      <w:pPr>
        <w:pStyle w:val="Normal"/>
        <w:spacing w:before="0" w:after="80"/>
        <w:rPr/>
      </w:pPr>
      <w:r>
        <w:rPr/>
      </w:r>
    </w:p>
    <w:p>
      <w:pPr>
        <w:pStyle w:val="Heading2"/>
        <w:rPr/>
      </w:pPr>
      <w:bookmarkStart w:id="170" w:name="__RefHeading___Toc21857_17926050"/>
      <w:bookmarkEnd w:id="170"/>
      <w:r>
        <w:rPr>
          <w:rFonts w:eastAsia="Segoe UI" w:cs="Segoe UI"/>
          <w:b/>
          <w:color w:val="0F4761"/>
          <w:sz w:val="26"/>
        </w:rPr>
        <w:t>15.7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template,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their template and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 each with its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 and product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[Screen image not available: Product Configurator &gt; Dashboard]</w:t>
      </w:r>
    </w:p>
    <w:p>
      <w:pPr>
        <w:pStyle w:val="Heading2"/>
        <w:rPr/>
      </w:pPr>
      <w:bookmarkStart w:id="171" w:name="__RefHeading___Toc21859_17926050"/>
      <w:bookmarkEnd w:id="171"/>
      <w:r>
        <w:rPr>
          <w:rFonts w:eastAsia="Segoe UI" w:cs="Segoe UI"/>
          <w:b/>
          <w:color w:val="0F4761"/>
          <w:sz w:val="26"/>
        </w:rPr>
        <w:t>15.8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CVN, LOA, CPV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letter of authority, claim payment voucher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 BPB</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bank payment batch</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APV, SPV, FA, FAD</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 voucher, supplier payment, fixed asset, asset disposal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OVC, SI, PAR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commission computation, sales invoice, payment acknowledgement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CMP</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DSB, FLT, MOC, MIC, MDC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sales batch, fleet schedule, marine open cover, marine certificate, marine declaration</w:t>
            </w:r>
          </w:p>
        </w:tc>
      </w:tr>
    </w:tbl>
    <w:p>
      <w:pPr>
        <w:pStyle w:val="Heading1"/>
        <w:rPr/>
      </w:pPr>
      <w:r>
        <w:br w:type="page"/>
      </w:r>
      <w:bookmarkStart w:id="172" w:name="__RefHeading___Toc21861_17926050"/>
      <w:bookmarkEnd w:id="172"/>
      <w:r>
        <w:rPr>
          <w:rFonts w:eastAsia="Segoe UI" w:cs="Segoe UI" w:ascii="Segoe UI" w:hAnsi="Segoe UI"/>
          <w:b/>
          <w:color w:val="0F4761"/>
          <w:sz w:val="32"/>
        </w:rPr>
        <w:t>16.  Reports, dashboards, schedules and notifications</w:t>
      </w:r>
    </w:p>
    <w:p>
      <w:pPr>
        <w:pStyle w:val="Heading2"/>
        <w:rPr/>
      </w:pPr>
      <w:bookmarkStart w:id="173" w:name="__RefHeading___Toc21863_17926050"/>
      <w:bookmarkEnd w:id="173"/>
      <w:r>
        <w:rPr>
          <w:rFonts w:eastAsia="Segoe UI" w:cs="Segoe UI"/>
          <w:b/>
          <w:color w:val="0F4761"/>
          <w:sz w:val="26"/>
        </w:rPr>
        <w:t>16.1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shd w:val="clear" w:color="auto" w:fill="EAF2FB"/>
        <w:spacing w:before="0" w:after="160"/>
        <w:ind w:left="170"/>
        <w:rPr/>
      </w:pPr>
      <w:r>
        <w:rPr>
          <w:rFonts w:eastAsia="Segoe UI" w:cs="Segoe UI" w:ascii="Segoe UI" w:hAnsi="Segoe UI"/>
          <w:color w:val="101820"/>
          <w:sz w:val="20"/>
        </w:rPr>
        <w:t>[Screen image not available: 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541"/>
        </w:numPr>
        <w:spacing w:before="0" w:after="60"/>
        <w:rPr/>
      </w:pPr>
      <w:r>
        <w:rPr>
          <w:rFonts w:eastAsia="Segoe UI" w:cs="Segoe UI" w:ascii="Segoe UI" w:hAnsi="Segoe UI"/>
          <w:color w:val="101820"/>
          <w:sz w:val="21"/>
        </w:rPr>
        <w:t>Open the report.</w:t>
      </w:r>
    </w:p>
    <w:p>
      <w:pPr>
        <w:pStyle w:val="Normal"/>
        <w:numPr>
          <w:ilvl w:val="0"/>
          <w:numId w:val="54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543"/>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544"/>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5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54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shd w:val="clear" w:color="auto" w:fill="EAF2FB"/>
        <w:spacing w:before="0" w:after="160"/>
        <w:ind w:left="170"/>
        <w:rPr/>
      </w:pPr>
      <w:r>
        <w:rPr>
          <w:rFonts w:eastAsia="Segoe UI" w:cs="Segoe UI" w:ascii="Segoe UI" w:hAnsi="Segoe UI"/>
          <w:color w:val="101820"/>
          <w:sz w:val="20"/>
        </w:rPr>
        <w:t>[Screen image not available: 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174" w:name="__RefHeading___Toc21865_17926050"/>
      <w:bookmarkEnd w:id="174"/>
      <w:r>
        <w:rPr>
          <w:rFonts w:eastAsia="Segoe UI" w:cs="Segoe UI"/>
          <w:b/>
          <w:color w:val="0F4761"/>
          <w:sz w:val="26"/>
        </w:rPr>
        <w:t>16.2  Dashboards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same number of days of the previous period (on 04 October, This Month compares 1 to 4 October with 1 to 4 September), so a period that has just started is not compared with a whole one. A change above 999% shows as &gt; +999%; no change is shown when the previous period had nothing to compare with. Policies loaded by the go-live migration count in </w:t>
      </w:r>
      <w:r>
        <w:rPr>
          <w:rFonts w:eastAsia="Segoe UI" w:cs="Segoe UI" w:ascii="Segoe UI" w:hAnsi="Segoe UI"/>
          <w:b/>
          <w:color w:val="101820"/>
          <w:sz w:val="21"/>
        </w:rPr>
        <w:t>Active Policies</w:t>
      </w:r>
      <w:r>
        <w:rPr>
          <w:rFonts w:eastAsia="Segoe UI" w:cs="Segoe UI" w:ascii="Segoe UI" w:hAnsi="Segoe UI"/>
          <w:color w:val="101820"/>
          <w:sz w:val="21"/>
        </w:rPr>
        <w:t xml:space="preserve"> but not in premium written or </w:t>
      </w:r>
      <w:r>
        <w:rPr>
          <w:rFonts w:eastAsia="Segoe UI" w:cs="Segoe UI" w:ascii="Segoe UI" w:hAnsi="Segoe UI"/>
          <w:b/>
          <w:color w:val="101820"/>
          <w:sz w:val="21"/>
        </w:rPr>
        <w:t>New Business</w:t>
      </w:r>
      <w:r>
        <w:rPr>
          <w:rFonts w:eastAsia="Segoe UI" w:cs="Segoe UI" w:ascii="Segoe UI" w:hAnsi="Segoe UI"/>
          <w:color w:val="101820"/>
          <w:sz w:val="21"/>
        </w:rPr>
        <w:t xml:space="preserve">. Measures the system does not capture are not shown. The dashboard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175" w:name="__RefHeading___Toc21867_17926050"/>
      <w:bookmarkEnd w:id="175"/>
      <w:r>
        <w:rPr>
          <w:rFonts w:eastAsia="Segoe UI" w:cs="Segoe UI"/>
          <w:b/>
          <w:color w:val="0F4761"/>
          <w:sz w:val="26"/>
        </w:rPr>
        <w:t>16.3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cover note expiry (06:20), post-dated cheques due (06:25), missing claim document reminders (06:35), receivable ageing (07:00), collection reminders (08:00), My Work reminders (every 15 minutes), the e-mail outbox (every 5 minutes), the integration outbox (every 2 minutes) and the renewal notice queue (every minute). Jobs delivered switched off, to be switched on by the process owner: accrual auto-reversal, recurring journals, period auto soft-close, bank reconciliation auto-match, the month-end close reminder, remittance schedules, overdue data subject requests, SMS renewal notices and payment reminders, campaign dispatch, lead assignment SLA, the EIS outbox and the BI extract. The System Administrator sees and runs the jobs on Master &gt; Schedules. The BrokerVerse Schedules and Batch Jobs document describes each job, what it reads and writes, and what to do when it fails.</w:t>
      </w:r>
    </w:p>
    <w:p>
      <w:pPr>
        <w:pStyle w:val="Heading2"/>
        <w:rPr/>
      </w:pPr>
      <w:bookmarkStart w:id="176" w:name="__RefHeading___Toc21869_17926050"/>
      <w:bookmarkEnd w:id="176"/>
      <w:r>
        <w:rPr>
          <w:rFonts w:eastAsia="Segoe UI" w:cs="Segoe UI"/>
          <w:b/>
          <w:color w:val="0F4761"/>
          <w:sz w:val="26"/>
        </w:rPr>
        <w:t>16.4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 supplier invoices to approve; post-dated cheques due; bounced cheques.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overdue.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 reminders at the time chosen; one alert for an overdue task.</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in the branded layout of Theme and Branding.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and the missing document reminders of claims, the commission debit note and the remittance statements to insurers, the cover note, the comparison report and the bank endorsement letter, campaign e-mails, scheduled reports to staff and the password reset code. Official receipts, premium invoices, cover notes, debit notes, comparison reports and bank letters travel as PDF attachments (up to </w:t>
      </w:r>
      <w:r>
        <w:rPr>
          <w:rFonts w:eastAsia="Consolas" w:cs="Consolas" w:ascii="Consolas" w:hAnsi="Consolas"/>
          <w:color w:val="101820"/>
          <w:sz w:val="19"/>
        </w:rPr>
        <w:t>email.max_attachment_mb</w:t>
      </w:r>
      <w:r>
        <w:rPr>
          <w:rFonts w:eastAsia="Segoe UI" w:cs="Segoe UI" w:ascii="Segoe UI" w:hAnsi="Segoe UI"/>
          <w:color w:val="101820"/>
          <w:sz w:val="21"/>
        </w:rPr>
        <w:t xml:space="preserve">); other documents as download links. </w:t>
      </w:r>
      <w:r>
        <w:rPr>
          <w:rFonts w:eastAsia="Segoe UI" w:cs="Segoe UI" w:ascii="Segoe UI" w:hAnsi="Segoe UI"/>
          <w:b/>
          <w:color w:val="101820"/>
          <w:sz w:val="21"/>
        </w:rPr>
        <w:t>SMS and Viber</w:t>
      </w:r>
      <w:r>
        <w:rPr>
          <w:rFonts w:eastAsia="Segoe UI" w:cs="Segoe UI" w:ascii="Segoe UI" w:hAnsi="Segoe UI"/>
          <w:color w:val="101820"/>
          <w:sz w:val="21"/>
        </w:rPr>
        <w:t xml:space="preserve"> messages (renewal notices, payment reminders, claim updates, CTPL authentication) are sent through the connectors of Master &gt; System &gt; Integrations with the texts of Message Templates, once a connector is live and the jobs are switched on; until then, and for WhatsApp, phone and letter, the action is only recorded. The wording of each e-mail is a template in Master &gt; Configuration; the BrokerVerse Communication Templates and Touchpoints document lists every e-mail and notification with its trigger, recipient and text.</w:t>
      </w:r>
    </w:p>
    <w:p>
      <w:pPr>
        <w:pStyle w:val="Normal"/>
        <w:shd w:val="clear" w:color="auto" w:fill="EAF2FB"/>
        <w:spacing w:before="0" w:after="160"/>
        <w:ind w:left="170"/>
        <w:rPr/>
      </w:pPr>
      <w:r>
        <w:rPr>
          <w:rFonts w:eastAsia="Segoe UI" w:cs="Segoe UI" w:ascii="Segoe UI" w:hAnsi="Segoe UI"/>
          <w:color w:val="101820"/>
          <w:sz w:val="20"/>
        </w:rPr>
        <w:t>[Screen image not available: Notifications under the bell]</w:t>
      </w:r>
      <w:r>
        <w:br w:type="page"/>
      </w:r>
    </w:p>
    <w:p>
      <w:pPr>
        <w:pStyle w:val="Heading1"/>
        <w:rPr/>
      </w:pPr>
      <w:bookmarkStart w:id="177" w:name="__RefHeading___Toc21871_17926050"/>
      <w:bookmarkEnd w:id="177"/>
      <w:r>
        <w:rPr>
          <w:rFonts w:eastAsia="Segoe UI" w:cs="Segoe UI" w:ascii="Segoe UI" w:hAnsi="Segoe UI"/>
          <w:b/>
          <w:color w:val="0F4761"/>
          <w:sz w:val="32"/>
        </w:rPr>
        <w:t>17.  Troubleshooting, FAQ and glossary</w:t>
      </w:r>
    </w:p>
    <w:p>
      <w:pPr>
        <w:pStyle w:val="Heading2"/>
        <w:rPr/>
      </w:pPr>
      <w:bookmarkStart w:id="178" w:name="__RefHeading___Toc21873_17926050"/>
      <w:bookmarkEnd w:id="178"/>
      <w:r>
        <w:rPr>
          <w:rFonts w:eastAsia="Segoe UI" w:cs="Segoe UI"/>
          <w:b/>
          <w:color w:val="0F4761"/>
          <w:sz w:val="26"/>
        </w:rPr>
        <w:t>17.1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code is not valid. Try the current code.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refused the code. Type the code the app shows now;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session has ended (password changed, account updated or signed in elsewhere). Please sign in again.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password or role changed, your account was updated, or you signed in on another computer.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new password does not meet all the rules below.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Choose a password that ticks every rule under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new passwords do not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 the same password in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Confirm 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cutover date (golive.cutover_date) first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refuses the migration workbook until the cutover date is set on Master &gt; Configuration, group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locked: the migration workbook can no longer be loaded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lock is on. Only the configuration workbook can still be loaded.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Cannot save: ... contrast ... is below WCAG AA 4.5:1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refuses a theme whose button, header or table header text does not reach 4.5:1. Change the text or background colour until the badge is green.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 to insurer is disabled on a claim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document of the checklist is still missing (</w:t>
            </w:r>
            <w:r>
              <w:rPr>
                <w:rFonts w:eastAsia="Consolas" w:cs="Consolas" w:ascii="Consolas" w:hAnsi="Consolas"/>
                <w:color w:val="101820"/>
                <w:kern w:val="0"/>
                <w:sz w:val="16"/>
                <w:szCs w:val="24"/>
                <w:lang w:val="en-US" w:eastAsia="ja-JP" w:bidi="ar-SA"/>
              </w:rPr>
              <w:t>claims.require_documents_before_submission</w:t>
            </w:r>
            <w:r>
              <w:rPr>
                <w:rFonts w:eastAsia="Segoe UI" w:cs="Segoe UI" w:ascii="Segoe UI" w:hAnsi="Segoe UI"/>
                <w:color w:val="101820"/>
                <w:kern w:val="0"/>
                <w:sz w:val="18"/>
                <w:szCs w:val="24"/>
                <w:lang w:val="en-US" w:eastAsia="ja-JP" w:bidi="ar-SA"/>
              </w:rPr>
              <w:t>). Mark it received, upload it or waive it with a reason.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disposal is refused: a month before it is not depreciated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Depreciation Run up to the month before the disposal first (</w:t>
            </w:r>
            <w:r>
              <w:rPr>
                <w:rFonts w:eastAsia="Consolas" w:cs="Consolas" w:ascii="Consolas" w:hAnsi="Consolas"/>
                <w:color w:val="101820"/>
                <w:kern w:val="0"/>
                <w:sz w:val="16"/>
                <w:szCs w:val="24"/>
                <w:lang w:val="en-US" w:eastAsia="ja-JP" w:bidi="ar-SA"/>
              </w:rPr>
              <w:t>fixed_assets.disposal_requires_depreciation_to_date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179" w:name="__RefHeading___Toc21875_17926050"/>
      <w:bookmarkEnd w:id="179"/>
      <w:r>
        <w:rPr>
          <w:rFonts w:eastAsia="Segoe UI" w:cs="Segoe UI"/>
          <w:b/>
          <w:color w:val="0F4761"/>
          <w:sz w:val="26"/>
        </w:rPr>
        <w:t>17.2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correct my name or contact number?</w:t>
      </w:r>
      <w:r>
        <w:rPr>
          <w:rFonts w:eastAsia="Segoe UI" w:cs="Segoe UI" w:ascii="Segoe UI" w:hAnsi="Segoe UI"/>
          <w:color w:val="101820"/>
          <w:sz w:val="21"/>
        </w:rPr>
        <w:t xml:space="preserve"> 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and </w:t>
      </w:r>
      <w:r>
        <w:rPr>
          <w:rFonts w:eastAsia="Segoe UI" w:cs="Segoe UI" w:ascii="Segoe UI" w:hAnsi="Segoe UI"/>
          <w:b/>
          <w:color w:val="101820"/>
          <w:sz w:val="21"/>
        </w:rPr>
        <w:t>Edit Profile</w:t>
      </w:r>
      <w:r>
        <w:rPr>
          <w:rFonts w:eastAsia="Segoe UI" w:cs="Segoe UI" w:ascii="Segoe UI" w:hAnsi="Segoe UI"/>
          <w:color w:val="101820"/>
          <w:sz w:val="21"/>
        </w:rPr>
        <w:t>. Your user ID, role, branch, designation, reporting line and e-mail address are kept by the System Administrator: ask for those changes.</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180" w:name="__RefHeading___Toc21877_17926050"/>
      <w:bookmarkEnd w:id="180"/>
      <w:r>
        <w:rPr>
          <w:rFonts w:eastAsia="Segoe UI" w:cs="Segoe UI"/>
          <w:b/>
          <w:color w:val="0F4761"/>
          <w:sz w:val="26"/>
        </w:rPr>
        <w:t>17.3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branding of one environment in one file (theme, application name, logo, favicon, sign-in picture, print logo), exported and imported on Theme and Branding. A bundled pack is delivered with the product and enabled on the same screen after the administrator confirms that the environment belongs to the client engagement whose contract with iorta TechNXT covers its marks; nothing is enabled by default.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cover: the CTPL certificate authenticated with the IC-accredited provider before it is released.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evidence of cover given by the broker while the insurer issues the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authority: the broker's letter to the repair shop with the approved repair cost, the insurer's share and the insured's participation.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a client's cheque received before its date, deposited and receipted on that date.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Politically exposed person: a client, owner or signatory who holds a prominent public position.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81" w:name="__RefHeading___Toc21879_17926050"/>
      <w:bookmarkStart w:id="182" w:name="_Toc233203395"/>
      <w:bookmarkEnd w:id="181"/>
      <w:r>
        <w:rPr>
          <w:rStyle w:val="BookTitle"/>
          <w:bCs w:val="false"/>
          <w:i w:val="false"/>
          <w:iCs w:val="false"/>
          <w:spacing w:val="0"/>
        </w:rPr>
        <w:t>18.  Document Sign-Off</w:t>
      </w:r>
      <w:bookmarkEnd w:id="18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3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3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3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2"/>
    <w:lvlOverride w:ilvl="0">
      <w:startOverride w:val="1"/>
    </w:lvlOverride>
  </w:num>
  <w:num w:numId="103">
    <w:abstractNumId w:val="2"/>
    <w:lvlOverride w:ilvl="0">
      <w:startOverride w:val="1"/>
    </w:lvlOverride>
  </w:num>
  <w:num w:numId="104">
    <w:abstractNumId w:val="2"/>
  </w:num>
  <w:num w:numId="105">
    <w:abstractNumId w:val="2"/>
  </w:num>
  <w:num w:numId="106">
    <w:abstractNumId w:val="2"/>
  </w:num>
  <w:num w:numId="107">
    <w:abstractNumId w:val="2"/>
    <w:lvlOverride w:ilvl="0">
      <w:startOverride w:val="1"/>
    </w:lvlOverride>
  </w:num>
  <w:num w:numId="108">
    <w:abstractNumId w:val="2"/>
  </w:num>
  <w:num w:numId="109">
    <w:abstractNumId w:val="2"/>
  </w:num>
  <w:num w:numId="110">
    <w:abstractNumId w:val="2"/>
  </w:num>
  <w:num w:numId="111">
    <w:abstractNumId w:val="2"/>
    <w:lvlOverride w:ilvl="0">
      <w:startOverride w:val="1"/>
    </w:lvlOverride>
  </w:num>
  <w:num w:numId="112">
    <w:abstractNumId w:val="2"/>
  </w:num>
  <w:num w:numId="113">
    <w:abstractNumId w:val="2"/>
  </w:num>
  <w:num w:numId="114">
    <w:abstractNumId w:val="2"/>
    <w:lvlOverride w:ilvl="0">
      <w:startOverride w:val="1"/>
    </w:lvlOverride>
  </w:num>
  <w:num w:numId="115">
    <w:abstractNumId w:val="2"/>
  </w:num>
  <w:num w:numId="116">
    <w:abstractNumId w:val="2"/>
  </w:num>
  <w:num w:numId="117">
    <w:abstractNumId w:val="2"/>
    <w:lvlOverride w:ilvl="0">
      <w:startOverride w:val="1"/>
    </w:lvlOverride>
  </w:num>
  <w:num w:numId="118">
    <w:abstractNumId w:val="2"/>
  </w:num>
  <w:num w:numId="119">
    <w:abstractNumId w:val="2"/>
  </w:num>
  <w:num w:numId="120">
    <w:abstractNumId w:val="2"/>
  </w:num>
  <w:num w:numId="121">
    <w:abstractNumId w:val="2"/>
    <w:lvlOverride w:ilvl="0">
      <w:startOverride w:val="1"/>
    </w:lvlOverride>
  </w:num>
  <w:num w:numId="122">
    <w:abstractNumId w:val="2"/>
  </w:num>
  <w:num w:numId="123">
    <w:abstractNumId w:val="2"/>
  </w:num>
  <w:num w:numId="124">
    <w:abstractNumId w:val="2"/>
  </w:num>
  <w:num w:numId="125">
    <w:abstractNumId w:val="2"/>
  </w:num>
  <w:num w:numId="126">
    <w:abstractNumId w:val="2"/>
    <w:lvlOverride w:ilvl="0">
      <w:startOverride w:val="1"/>
    </w:lvlOverride>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lvlOverride w:ilvl="0">
      <w:startOverride w:val="1"/>
    </w:lvlOverride>
  </w:num>
  <w:num w:numId="144">
    <w:abstractNumId w:val="2"/>
  </w:num>
  <w:num w:numId="145">
    <w:abstractNumId w:val="2"/>
  </w:num>
  <w:num w:numId="146">
    <w:abstractNumId w:val="2"/>
  </w:num>
  <w:num w:numId="147">
    <w:abstractNumId w:val="2"/>
  </w:num>
  <w:num w:numId="148">
    <w:abstractNumId w:val="2"/>
  </w:num>
  <w:num w:numId="149">
    <w:abstractNumId w:val="2"/>
    <w:lvlOverride w:ilvl="0">
      <w:startOverride w:val="1"/>
    </w:lvlOverride>
  </w:num>
  <w:num w:numId="150">
    <w:abstractNumId w:val="2"/>
  </w:num>
  <w:num w:numId="151">
    <w:abstractNumId w:val="2"/>
  </w:num>
  <w:num w:numId="152">
    <w:abstractNumId w:val="2"/>
    <w:lvlOverride w:ilvl="0">
      <w:startOverride w:val="1"/>
    </w:lvlOverride>
  </w:num>
  <w:num w:numId="153">
    <w:abstractNumId w:val="2"/>
  </w:num>
  <w:num w:numId="154">
    <w:abstractNumId w:val="2"/>
  </w:num>
  <w:num w:numId="155">
    <w:abstractNumId w:val="2"/>
  </w:num>
  <w:num w:numId="156">
    <w:abstractNumId w:val="2"/>
    <w:lvlOverride w:ilvl="0">
      <w:startOverride w:val="1"/>
    </w:lvlOverride>
  </w:num>
  <w:num w:numId="157">
    <w:abstractNumId w:val="2"/>
  </w:num>
  <w:num w:numId="158">
    <w:abstractNumId w:val="2"/>
  </w:num>
  <w:num w:numId="159">
    <w:abstractNumId w:val="2"/>
  </w:num>
  <w:num w:numId="160">
    <w:abstractNumId w:val="2"/>
    <w:lvlOverride w:ilvl="0">
      <w:startOverride w:val="1"/>
    </w:lvlOverride>
  </w:num>
  <w:num w:numId="161">
    <w:abstractNumId w:val="2"/>
  </w:num>
  <w:num w:numId="162">
    <w:abstractNumId w:val="2"/>
  </w:num>
  <w:num w:numId="163">
    <w:abstractNumId w:val="2"/>
  </w:num>
  <w:num w:numId="164">
    <w:abstractNumId w:val="2"/>
    <w:lvlOverride w:ilvl="0">
      <w:startOverride w:val="1"/>
    </w:lvlOverride>
  </w:num>
  <w:num w:numId="165">
    <w:abstractNumId w:val="2"/>
  </w:num>
  <w:num w:numId="166">
    <w:abstractNumId w:val="2"/>
  </w:num>
  <w:num w:numId="167">
    <w:abstractNumId w:val="2"/>
  </w:num>
  <w:num w:numId="168">
    <w:abstractNumId w:val="2"/>
    <w:lvlOverride w:ilvl="0">
      <w:startOverride w:val="1"/>
    </w:lvlOverride>
  </w:num>
  <w:num w:numId="169">
    <w:abstractNumId w:val="2"/>
  </w:num>
  <w:num w:numId="170">
    <w:abstractNumId w:val="2"/>
  </w:num>
  <w:num w:numId="171">
    <w:abstractNumId w:val="2"/>
    <w:lvlOverride w:ilvl="0">
      <w:startOverride w:val="1"/>
    </w:lvlOverride>
  </w:num>
  <w:num w:numId="172">
    <w:abstractNumId w:val="2"/>
  </w:num>
  <w:num w:numId="173">
    <w:abstractNumId w:val="2"/>
  </w:num>
  <w:num w:numId="174">
    <w:abstractNumId w:val="2"/>
  </w:num>
  <w:num w:numId="175">
    <w:abstractNumId w:val="2"/>
    <w:lvlOverride w:ilvl="0">
      <w:startOverride w:val="1"/>
    </w:lvlOverride>
  </w:num>
  <w:num w:numId="176">
    <w:abstractNumId w:val="2"/>
  </w:num>
  <w:num w:numId="177">
    <w:abstractNumId w:val="2"/>
  </w:num>
  <w:num w:numId="178">
    <w:abstractNumId w:val="2"/>
  </w:num>
  <w:num w:numId="179">
    <w:abstractNumId w:val="2"/>
  </w:num>
  <w:num w:numId="180">
    <w:abstractNumId w:val="2"/>
    <w:lvlOverride w:ilvl="0">
      <w:startOverride w:val="1"/>
    </w:lvlOverride>
  </w:num>
  <w:num w:numId="181">
    <w:abstractNumId w:val="2"/>
  </w:num>
  <w:num w:numId="182">
    <w:abstractNumId w:val="2"/>
  </w:num>
  <w:num w:numId="183">
    <w:abstractNumId w:val="2"/>
  </w:num>
  <w:num w:numId="184">
    <w:abstractNumId w:val="2"/>
    <w:lvlOverride w:ilvl="0">
      <w:startOverride w:val="1"/>
    </w:lvlOverride>
  </w:num>
  <w:num w:numId="185">
    <w:abstractNumId w:val="2"/>
  </w:num>
  <w:num w:numId="186">
    <w:abstractNumId w:val="2"/>
  </w:num>
  <w:num w:numId="187">
    <w:abstractNumId w:val="2"/>
    <w:lvlOverride w:ilvl="0">
      <w:startOverride w:val="1"/>
    </w:lvlOverride>
  </w:num>
  <w:num w:numId="188">
    <w:abstractNumId w:val="2"/>
  </w:num>
  <w:num w:numId="189">
    <w:abstractNumId w:val="2"/>
  </w:num>
  <w:num w:numId="190">
    <w:abstractNumId w:val="2"/>
  </w:num>
  <w:num w:numId="191">
    <w:abstractNumId w:val="2"/>
  </w:num>
  <w:num w:numId="192">
    <w:abstractNumId w:val="2"/>
    <w:lvlOverride w:ilvl="0">
      <w:startOverride w:val="1"/>
    </w:lvlOverride>
  </w:num>
  <w:num w:numId="193">
    <w:abstractNumId w:val="2"/>
  </w:num>
  <w:num w:numId="194">
    <w:abstractNumId w:val="2"/>
  </w:num>
  <w:num w:numId="195">
    <w:abstractNumId w:val="2"/>
  </w:num>
  <w:num w:numId="196">
    <w:abstractNumId w:val="2"/>
    <w:lvlOverride w:ilvl="0">
      <w:startOverride w:val="1"/>
    </w:lvlOverride>
  </w:num>
  <w:num w:numId="197">
    <w:abstractNumId w:val="2"/>
  </w:num>
  <w:num w:numId="198">
    <w:abstractNumId w:val="2"/>
  </w:num>
  <w:num w:numId="199">
    <w:abstractNumId w:val="2"/>
  </w:num>
  <w:num w:numId="200">
    <w:abstractNumId w:val="2"/>
    <w:lvlOverride w:ilvl="0">
      <w:startOverride w:val="1"/>
    </w:lvlOverride>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lvlOverride w:ilvl="0">
      <w:startOverride w:val="1"/>
    </w:lvlOverride>
  </w:num>
  <w:num w:numId="208">
    <w:abstractNumId w:val="2"/>
  </w:num>
  <w:num w:numId="209">
    <w:abstractNumId w:val="2"/>
  </w:num>
  <w:num w:numId="210">
    <w:abstractNumId w:val="2"/>
    <w:lvlOverride w:ilvl="0">
      <w:startOverride w:val="1"/>
    </w:lvlOverride>
  </w:num>
  <w:num w:numId="211">
    <w:abstractNumId w:val="2"/>
  </w:num>
  <w:num w:numId="212">
    <w:abstractNumId w:val="2"/>
  </w:num>
  <w:num w:numId="213">
    <w:abstractNumId w:val="2"/>
  </w:num>
  <w:num w:numId="214">
    <w:abstractNumId w:val="2"/>
  </w:num>
  <w:num w:numId="215">
    <w:abstractNumId w:val="2"/>
    <w:lvlOverride w:ilvl="0">
      <w:startOverride w:val="1"/>
    </w:lvlOverride>
  </w:num>
  <w:num w:numId="216">
    <w:abstractNumId w:val="2"/>
  </w:num>
  <w:num w:numId="217">
    <w:abstractNumId w:val="2"/>
  </w:num>
  <w:num w:numId="218">
    <w:abstractNumId w:val="2"/>
    <w:lvlOverride w:ilvl="0">
      <w:startOverride w:val="1"/>
    </w:lvlOverride>
  </w:num>
  <w:num w:numId="219">
    <w:abstractNumId w:val="2"/>
  </w:num>
  <w:num w:numId="220">
    <w:abstractNumId w:val="2"/>
  </w:num>
  <w:num w:numId="221">
    <w:abstractNumId w:val="2"/>
    <w:lvlOverride w:ilvl="0">
      <w:startOverride w:val="1"/>
    </w:lvlOverride>
  </w:num>
  <w:num w:numId="222">
    <w:abstractNumId w:val="2"/>
  </w:num>
  <w:num w:numId="223">
    <w:abstractNumId w:val="2"/>
  </w:num>
  <w:num w:numId="224">
    <w:abstractNumId w:val="2"/>
    <w:lvlOverride w:ilvl="0">
      <w:startOverride w:val="1"/>
    </w:lvlOverride>
  </w:num>
  <w:num w:numId="225">
    <w:abstractNumId w:val="2"/>
  </w:num>
  <w:num w:numId="226">
    <w:abstractNumId w:val="2"/>
  </w:num>
  <w:num w:numId="227">
    <w:abstractNumId w:val="2"/>
    <w:lvlOverride w:ilvl="0">
      <w:startOverride w:val="1"/>
    </w:lvlOverride>
  </w:num>
  <w:num w:numId="228">
    <w:abstractNumId w:val="2"/>
  </w:num>
  <w:num w:numId="229">
    <w:abstractNumId w:val="2"/>
  </w:num>
  <w:num w:numId="230">
    <w:abstractNumId w:val="2"/>
  </w:num>
  <w:num w:numId="231">
    <w:abstractNumId w:val="2"/>
    <w:lvlOverride w:ilvl="0">
      <w:startOverride w:val="1"/>
    </w:lvlOverride>
  </w:num>
  <w:num w:numId="232">
    <w:abstractNumId w:val="2"/>
  </w:num>
  <w:num w:numId="233">
    <w:abstractNumId w:val="2"/>
  </w:num>
  <w:num w:numId="234">
    <w:abstractNumId w:val="2"/>
    <w:lvlOverride w:ilvl="0">
      <w:startOverride w:val="1"/>
    </w:lvlOverride>
  </w:num>
  <w:num w:numId="235">
    <w:abstractNumId w:val="2"/>
  </w:num>
  <w:num w:numId="236">
    <w:abstractNumId w:val="2"/>
  </w:num>
  <w:num w:numId="237">
    <w:abstractNumId w:val="2"/>
  </w:num>
  <w:num w:numId="238">
    <w:abstractNumId w:val="2"/>
  </w:num>
  <w:num w:numId="239">
    <w:abstractNumId w:val="2"/>
  </w:num>
  <w:num w:numId="240">
    <w:abstractNumId w:val="2"/>
    <w:lvlOverride w:ilvl="0">
      <w:startOverride w:val="1"/>
    </w:lvlOverride>
  </w:num>
  <w:num w:numId="241">
    <w:abstractNumId w:val="2"/>
  </w:num>
  <w:num w:numId="242">
    <w:abstractNumId w:val="2"/>
  </w:num>
  <w:num w:numId="243">
    <w:abstractNumId w:val="2"/>
  </w:num>
  <w:num w:numId="244">
    <w:abstractNumId w:val="2"/>
    <w:lvlOverride w:ilvl="0">
      <w:startOverride w:val="1"/>
    </w:lvlOverride>
  </w:num>
  <w:num w:numId="245">
    <w:abstractNumId w:val="2"/>
  </w:num>
  <w:num w:numId="246">
    <w:abstractNumId w:val="2"/>
  </w:num>
  <w:num w:numId="247">
    <w:abstractNumId w:val="2"/>
  </w:num>
  <w:num w:numId="248">
    <w:abstractNumId w:val="2"/>
    <w:lvlOverride w:ilvl="0">
      <w:startOverride w:val="1"/>
    </w:lvlOverride>
  </w:num>
  <w:num w:numId="249">
    <w:abstractNumId w:val="2"/>
  </w:num>
  <w:num w:numId="250">
    <w:abstractNumId w:val="2"/>
  </w:num>
  <w:num w:numId="251">
    <w:abstractNumId w:val="2"/>
  </w:num>
  <w:num w:numId="252">
    <w:abstractNumId w:val="2"/>
  </w:num>
  <w:num w:numId="253">
    <w:abstractNumId w:val="2"/>
    <w:lvlOverride w:ilvl="0">
      <w:startOverride w:val="1"/>
    </w:lvlOverride>
  </w:num>
  <w:num w:numId="254">
    <w:abstractNumId w:val="2"/>
  </w:num>
  <w:num w:numId="255">
    <w:abstractNumId w:val="2"/>
  </w:num>
  <w:num w:numId="256">
    <w:abstractNumId w:val="2"/>
  </w:num>
  <w:num w:numId="257">
    <w:abstractNumId w:val="2"/>
  </w:num>
  <w:num w:numId="258">
    <w:abstractNumId w:val="2"/>
    <w:lvlOverride w:ilvl="0">
      <w:startOverride w:val="1"/>
    </w:lvlOverride>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lvlOverride w:ilvl="0">
      <w:startOverride w:val="1"/>
    </w:lvlOverride>
  </w:num>
  <w:num w:numId="267">
    <w:abstractNumId w:val="2"/>
  </w:num>
  <w:num w:numId="268">
    <w:abstractNumId w:val="2"/>
  </w:num>
  <w:num w:numId="269">
    <w:abstractNumId w:val="2"/>
  </w:num>
  <w:num w:numId="270">
    <w:abstractNumId w:val="2"/>
  </w:num>
  <w:num w:numId="271">
    <w:abstractNumId w:val="2"/>
    <w:lvlOverride w:ilvl="0">
      <w:startOverride w:val="1"/>
    </w:lvlOverride>
  </w:num>
  <w:num w:numId="272">
    <w:abstractNumId w:val="2"/>
  </w:num>
  <w:num w:numId="273">
    <w:abstractNumId w:val="2"/>
  </w:num>
  <w:num w:numId="274">
    <w:abstractNumId w:val="2"/>
  </w:num>
  <w:num w:numId="275">
    <w:abstractNumId w:val="2"/>
    <w:lvlOverride w:ilvl="0">
      <w:startOverride w:val="1"/>
    </w:lvlOverride>
  </w:num>
  <w:num w:numId="276">
    <w:abstractNumId w:val="2"/>
  </w:num>
  <w:num w:numId="277">
    <w:abstractNumId w:val="2"/>
  </w:num>
  <w:num w:numId="278">
    <w:abstractNumId w:val="2"/>
  </w:num>
  <w:num w:numId="279">
    <w:abstractNumId w:val="2"/>
  </w:num>
  <w:num w:numId="280">
    <w:abstractNumId w:val="2"/>
    <w:lvlOverride w:ilvl="0">
      <w:startOverride w:val="1"/>
    </w:lvlOverride>
  </w:num>
  <w:num w:numId="281">
    <w:abstractNumId w:val="2"/>
  </w:num>
  <w:num w:numId="282">
    <w:abstractNumId w:val="2"/>
  </w:num>
  <w:num w:numId="283">
    <w:abstractNumId w:val="2"/>
  </w:num>
  <w:num w:numId="284">
    <w:abstractNumId w:val="2"/>
    <w:lvlOverride w:ilvl="0">
      <w:startOverride w:val="1"/>
    </w:lvlOverride>
  </w:num>
  <w:num w:numId="285">
    <w:abstractNumId w:val="2"/>
  </w:num>
  <w:num w:numId="286">
    <w:abstractNumId w:val="2"/>
  </w:num>
  <w:num w:numId="287">
    <w:abstractNumId w:val="2"/>
  </w:num>
  <w:num w:numId="288">
    <w:abstractNumId w:val="2"/>
  </w:num>
  <w:num w:numId="289">
    <w:abstractNumId w:val="2"/>
    <w:lvlOverride w:ilvl="0">
      <w:startOverride w:val="1"/>
    </w:lvlOverride>
  </w:num>
  <w:num w:numId="290">
    <w:abstractNumId w:val="2"/>
  </w:num>
  <w:num w:numId="291">
    <w:abstractNumId w:val="2"/>
  </w:num>
  <w:num w:numId="292">
    <w:abstractNumId w:val="2"/>
    <w:lvlOverride w:ilvl="0">
      <w:startOverride w:val="1"/>
    </w:lvlOverride>
  </w:num>
  <w:num w:numId="293">
    <w:abstractNumId w:val="2"/>
  </w:num>
  <w:num w:numId="294">
    <w:abstractNumId w:val="2"/>
  </w:num>
  <w:num w:numId="295">
    <w:abstractNumId w:val="2"/>
    <w:lvlOverride w:ilvl="0">
      <w:startOverride w:val="1"/>
    </w:lvlOverride>
  </w:num>
  <w:num w:numId="296">
    <w:abstractNumId w:val="2"/>
  </w:num>
  <w:num w:numId="297">
    <w:abstractNumId w:val="2"/>
  </w:num>
  <w:num w:numId="298">
    <w:abstractNumId w:val="2"/>
  </w:num>
  <w:num w:numId="299">
    <w:abstractNumId w:val="2"/>
    <w:lvlOverride w:ilvl="0">
      <w:startOverride w:val="1"/>
    </w:lvlOverride>
  </w:num>
  <w:num w:numId="300">
    <w:abstractNumId w:val="2"/>
  </w:num>
  <w:num w:numId="301">
    <w:abstractNumId w:val="2"/>
  </w:num>
  <w:num w:numId="302">
    <w:abstractNumId w:val="2"/>
    <w:lvlOverride w:ilvl="0">
      <w:startOverride w:val="1"/>
    </w:lvlOverride>
  </w:num>
  <w:num w:numId="303">
    <w:abstractNumId w:val="2"/>
  </w:num>
  <w:num w:numId="304">
    <w:abstractNumId w:val="2"/>
  </w:num>
  <w:num w:numId="305">
    <w:abstractNumId w:val="2"/>
  </w:num>
  <w:num w:numId="306">
    <w:abstractNumId w:val="2"/>
  </w:num>
  <w:num w:numId="307">
    <w:abstractNumId w:val="2"/>
  </w:num>
  <w:num w:numId="308">
    <w:abstractNumId w:val="2"/>
  </w:num>
  <w:num w:numId="309">
    <w:abstractNumId w:val="2"/>
  </w:num>
  <w:num w:numId="310">
    <w:abstractNumId w:val="2"/>
    <w:lvlOverride w:ilvl="0">
      <w:startOverride w:val="1"/>
    </w:lvlOverride>
  </w:num>
  <w:num w:numId="311">
    <w:abstractNumId w:val="2"/>
  </w:num>
  <w:num w:numId="312">
    <w:abstractNumId w:val="2"/>
  </w:num>
  <w:num w:numId="313">
    <w:abstractNumId w:val="2"/>
  </w:num>
  <w:num w:numId="314">
    <w:abstractNumId w:val="2"/>
  </w:num>
  <w:num w:numId="315">
    <w:abstractNumId w:val="2"/>
    <w:lvlOverride w:ilvl="0">
      <w:startOverride w:val="1"/>
    </w:lvlOverride>
  </w:num>
  <w:num w:numId="316">
    <w:abstractNumId w:val="2"/>
  </w:num>
  <w:num w:numId="317">
    <w:abstractNumId w:val="2"/>
  </w:num>
  <w:num w:numId="318">
    <w:abstractNumId w:val="2"/>
  </w:num>
  <w:num w:numId="319">
    <w:abstractNumId w:val="2"/>
    <w:lvlOverride w:ilvl="0">
      <w:startOverride w:val="1"/>
    </w:lvlOverride>
  </w:num>
  <w:num w:numId="320">
    <w:abstractNumId w:val="2"/>
  </w:num>
  <w:num w:numId="321">
    <w:abstractNumId w:val="2"/>
  </w:num>
  <w:num w:numId="322">
    <w:abstractNumId w:val="2"/>
  </w:num>
  <w:num w:numId="323">
    <w:abstractNumId w:val="2"/>
  </w:num>
  <w:num w:numId="324">
    <w:abstractNumId w:val="2"/>
    <w:lvlOverride w:ilvl="0">
      <w:startOverride w:val="1"/>
    </w:lvlOverride>
  </w:num>
  <w:num w:numId="325">
    <w:abstractNumId w:val="2"/>
  </w:num>
  <w:num w:numId="326">
    <w:abstractNumId w:val="2"/>
  </w:num>
  <w:num w:numId="327">
    <w:abstractNumId w:val="2"/>
    <w:lvlOverride w:ilvl="0">
      <w:startOverride w:val="1"/>
    </w:lvlOverride>
  </w:num>
  <w:num w:numId="328">
    <w:abstractNumId w:val="2"/>
  </w:num>
  <w:num w:numId="329">
    <w:abstractNumId w:val="2"/>
  </w:num>
  <w:num w:numId="330">
    <w:abstractNumId w:val="2"/>
  </w:num>
  <w:num w:numId="331">
    <w:abstractNumId w:val="2"/>
  </w:num>
  <w:num w:numId="332">
    <w:abstractNumId w:val="2"/>
    <w:lvlOverride w:ilvl="0">
      <w:startOverride w:val="1"/>
    </w:lvlOverride>
  </w:num>
  <w:num w:numId="333">
    <w:abstractNumId w:val="2"/>
  </w:num>
  <w:num w:numId="334">
    <w:abstractNumId w:val="2"/>
  </w:num>
  <w:num w:numId="335">
    <w:abstractNumId w:val="2"/>
  </w:num>
  <w:num w:numId="336">
    <w:abstractNumId w:val="2"/>
  </w:num>
  <w:num w:numId="337">
    <w:abstractNumId w:val="2"/>
    <w:lvlOverride w:ilvl="0">
      <w:startOverride w:val="1"/>
    </w:lvlOverride>
  </w:num>
  <w:num w:numId="338">
    <w:abstractNumId w:val="2"/>
  </w:num>
  <w:num w:numId="339">
    <w:abstractNumId w:val="2"/>
  </w:num>
  <w:num w:numId="340">
    <w:abstractNumId w:val="2"/>
  </w:num>
  <w:num w:numId="341">
    <w:abstractNumId w:val="2"/>
  </w:num>
  <w:num w:numId="342">
    <w:abstractNumId w:val="2"/>
    <w:lvlOverride w:ilvl="0">
      <w:startOverride w:val="1"/>
    </w:lvlOverride>
  </w:num>
  <w:num w:numId="343">
    <w:abstractNumId w:val="2"/>
  </w:num>
  <w:num w:numId="344">
    <w:abstractNumId w:val="2"/>
  </w:num>
  <w:num w:numId="345">
    <w:abstractNumId w:val="2"/>
  </w:num>
  <w:num w:numId="346">
    <w:abstractNumId w:val="2"/>
    <w:lvlOverride w:ilvl="0">
      <w:startOverride w:val="1"/>
    </w:lvlOverride>
  </w:num>
  <w:num w:numId="347">
    <w:abstractNumId w:val="2"/>
  </w:num>
  <w:num w:numId="348">
    <w:abstractNumId w:val="2"/>
  </w:num>
  <w:num w:numId="349">
    <w:abstractNumId w:val="2"/>
    <w:lvlOverride w:ilvl="0">
      <w:startOverride w:val="1"/>
    </w:lvlOverride>
  </w:num>
  <w:num w:numId="350">
    <w:abstractNumId w:val="2"/>
  </w:num>
  <w:num w:numId="351">
    <w:abstractNumId w:val="2"/>
  </w:num>
  <w:num w:numId="352">
    <w:abstractNumId w:val="2"/>
  </w:num>
  <w:num w:numId="353">
    <w:abstractNumId w:val="2"/>
    <w:lvlOverride w:ilvl="0">
      <w:startOverride w:val="1"/>
    </w:lvlOverride>
  </w:num>
  <w:num w:numId="354">
    <w:abstractNumId w:val="2"/>
  </w:num>
  <w:num w:numId="355">
    <w:abstractNumId w:val="2"/>
  </w:num>
  <w:num w:numId="356">
    <w:abstractNumId w:val="2"/>
  </w:num>
  <w:num w:numId="357">
    <w:abstractNumId w:val="2"/>
    <w:lvlOverride w:ilvl="0">
      <w:startOverride w:val="1"/>
    </w:lvlOverride>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lvlOverride w:ilvl="0">
      <w:startOverride w:val="1"/>
    </w:lvlOverride>
  </w:num>
  <w:num w:numId="366">
    <w:abstractNumId w:val="2"/>
  </w:num>
  <w:num w:numId="367">
    <w:abstractNumId w:val="2"/>
  </w:num>
  <w:num w:numId="368">
    <w:abstractNumId w:val="2"/>
  </w:num>
  <w:num w:numId="369">
    <w:abstractNumId w:val="2"/>
  </w:num>
  <w:num w:numId="370">
    <w:abstractNumId w:val="2"/>
    <w:lvlOverride w:ilvl="0">
      <w:startOverride w:val="1"/>
    </w:lvlOverride>
  </w:num>
  <w:num w:numId="371">
    <w:abstractNumId w:val="2"/>
  </w:num>
  <w:num w:numId="372">
    <w:abstractNumId w:val="2"/>
  </w:num>
  <w:num w:numId="373">
    <w:abstractNumId w:val="2"/>
  </w:num>
  <w:num w:numId="374">
    <w:abstractNumId w:val="2"/>
    <w:lvlOverride w:ilvl="0">
      <w:startOverride w:val="1"/>
    </w:lvlOverride>
  </w:num>
  <w:num w:numId="375">
    <w:abstractNumId w:val="2"/>
  </w:num>
  <w:num w:numId="376">
    <w:abstractNumId w:val="2"/>
  </w:num>
  <w:num w:numId="377">
    <w:abstractNumId w:val="2"/>
  </w:num>
  <w:num w:numId="378">
    <w:abstractNumId w:val="2"/>
  </w:num>
  <w:num w:numId="379">
    <w:abstractNumId w:val="2"/>
  </w:num>
  <w:num w:numId="380">
    <w:abstractNumId w:val="2"/>
    <w:lvlOverride w:ilvl="0">
      <w:startOverride w:val="1"/>
    </w:lvlOverride>
  </w:num>
  <w:num w:numId="381">
    <w:abstractNumId w:val="2"/>
  </w:num>
  <w:num w:numId="382">
    <w:abstractNumId w:val="2"/>
  </w:num>
  <w:num w:numId="383">
    <w:abstractNumId w:val="2"/>
  </w:num>
  <w:num w:numId="384">
    <w:abstractNumId w:val="2"/>
    <w:lvlOverride w:ilvl="0">
      <w:startOverride w:val="1"/>
    </w:lvlOverride>
  </w:num>
  <w:num w:numId="385">
    <w:abstractNumId w:val="2"/>
  </w:num>
  <w:num w:numId="386">
    <w:abstractNumId w:val="2"/>
  </w:num>
  <w:num w:numId="387">
    <w:abstractNumId w:val="2"/>
  </w:num>
  <w:num w:numId="388">
    <w:abstractNumId w:val="2"/>
  </w:num>
  <w:num w:numId="389">
    <w:abstractNumId w:val="2"/>
  </w:num>
  <w:num w:numId="390">
    <w:abstractNumId w:val="2"/>
    <w:lvlOverride w:ilvl="0">
      <w:startOverride w:val="1"/>
    </w:lvlOverride>
  </w:num>
  <w:num w:numId="391">
    <w:abstractNumId w:val="2"/>
  </w:num>
  <w:num w:numId="392">
    <w:abstractNumId w:val="2"/>
  </w:num>
  <w:num w:numId="393">
    <w:abstractNumId w:val="2"/>
  </w:num>
  <w:num w:numId="394">
    <w:abstractNumId w:val="2"/>
  </w:num>
  <w:num w:numId="395">
    <w:abstractNumId w:val="2"/>
    <w:lvlOverride w:ilvl="0">
      <w:startOverride w:val="1"/>
    </w:lvlOverride>
  </w:num>
  <w:num w:numId="396">
    <w:abstractNumId w:val="2"/>
  </w:num>
  <w:num w:numId="397">
    <w:abstractNumId w:val="2"/>
  </w:num>
  <w:num w:numId="398">
    <w:abstractNumId w:val="2"/>
  </w:num>
  <w:num w:numId="399">
    <w:abstractNumId w:val="2"/>
  </w:num>
  <w:num w:numId="400">
    <w:abstractNumId w:val="2"/>
  </w:num>
  <w:num w:numId="401">
    <w:abstractNumId w:val="2"/>
    <w:lvlOverride w:ilvl="0">
      <w:startOverride w:val="1"/>
    </w:lvlOverride>
  </w:num>
  <w:num w:numId="402">
    <w:abstractNumId w:val="2"/>
  </w:num>
  <w:num w:numId="403">
    <w:abstractNumId w:val="2"/>
  </w:num>
  <w:num w:numId="404">
    <w:abstractNumId w:val="2"/>
  </w:num>
  <w:num w:numId="405">
    <w:abstractNumId w:val="2"/>
  </w:num>
  <w:num w:numId="406">
    <w:abstractNumId w:val="2"/>
  </w:num>
  <w:num w:numId="407">
    <w:abstractNumId w:val="2"/>
    <w:lvlOverride w:ilvl="0">
      <w:startOverride w:val="1"/>
    </w:lvlOverride>
  </w:num>
  <w:num w:numId="408">
    <w:abstractNumId w:val="2"/>
  </w:num>
  <w:num w:numId="409">
    <w:abstractNumId w:val="2"/>
  </w:num>
  <w:num w:numId="410">
    <w:abstractNumId w:val="2"/>
  </w:num>
  <w:num w:numId="411">
    <w:abstractNumId w:val="2"/>
  </w:num>
  <w:num w:numId="412">
    <w:abstractNumId w:val="2"/>
  </w:num>
  <w:num w:numId="413">
    <w:abstractNumId w:val="2"/>
    <w:lvlOverride w:ilvl="0">
      <w:startOverride w:val="1"/>
    </w:lvlOverride>
  </w:num>
  <w:num w:numId="414">
    <w:abstractNumId w:val="2"/>
  </w:num>
  <w:num w:numId="415">
    <w:abstractNumId w:val="2"/>
  </w:num>
  <w:num w:numId="416">
    <w:abstractNumId w:val="2"/>
  </w:num>
  <w:num w:numId="417">
    <w:abstractNumId w:val="2"/>
  </w:num>
  <w:num w:numId="418">
    <w:abstractNumId w:val="2"/>
    <w:lvlOverride w:ilvl="0">
      <w:startOverride w:val="1"/>
    </w:lvlOverride>
  </w:num>
  <w:num w:numId="419">
    <w:abstractNumId w:val="2"/>
  </w:num>
  <w:num w:numId="420">
    <w:abstractNumId w:val="2"/>
  </w:num>
  <w:num w:numId="421">
    <w:abstractNumId w:val="2"/>
  </w:num>
  <w:num w:numId="422">
    <w:abstractNumId w:val="2"/>
  </w:num>
  <w:num w:numId="423">
    <w:abstractNumId w:val="2"/>
    <w:lvlOverride w:ilvl="0">
      <w:startOverride w:val="1"/>
    </w:lvlOverride>
  </w:num>
  <w:num w:numId="424">
    <w:abstractNumId w:val="2"/>
  </w:num>
  <w:num w:numId="425">
    <w:abstractNumId w:val="2"/>
  </w:num>
  <w:num w:numId="426">
    <w:abstractNumId w:val="2"/>
  </w:num>
  <w:num w:numId="427">
    <w:abstractNumId w:val="2"/>
  </w:num>
  <w:num w:numId="428">
    <w:abstractNumId w:val="2"/>
    <w:lvlOverride w:ilvl="0">
      <w:startOverride w:val="1"/>
    </w:lvlOverride>
  </w:num>
  <w:num w:numId="429">
    <w:abstractNumId w:val="2"/>
  </w:num>
  <w:num w:numId="430">
    <w:abstractNumId w:val="2"/>
  </w:num>
  <w:num w:numId="431">
    <w:abstractNumId w:val="2"/>
    <w:lvlOverride w:ilvl="0">
      <w:startOverride w:val="1"/>
    </w:lvlOverride>
  </w:num>
  <w:num w:numId="432">
    <w:abstractNumId w:val="2"/>
  </w:num>
  <w:num w:numId="433">
    <w:abstractNumId w:val="2"/>
  </w:num>
  <w:num w:numId="434">
    <w:abstractNumId w:val="2"/>
  </w:num>
  <w:num w:numId="435">
    <w:abstractNumId w:val="2"/>
    <w:lvlOverride w:ilvl="0">
      <w:startOverride w:val="1"/>
    </w:lvlOverride>
  </w:num>
  <w:num w:numId="436">
    <w:abstractNumId w:val="2"/>
  </w:num>
  <w:num w:numId="437">
    <w:abstractNumId w:val="2"/>
  </w:num>
  <w:num w:numId="438">
    <w:abstractNumId w:val="2"/>
  </w:num>
  <w:num w:numId="439">
    <w:abstractNumId w:val="2"/>
  </w:num>
  <w:num w:numId="440">
    <w:abstractNumId w:val="2"/>
    <w:lvlOverride w:ilvl="0">
      <w:startOverride w:val="1"/>
    </w:lvlOverride>
  </w:num>
  <w:num w:numId="441">
    <w:abstractNumId w:val="2"/>
  </w:num>
  <w:num w:numId="442">
    <w:abstractNumId w:val="2"/>
  </w:num>
  <w:num w:numId="443">
    <w:abstractNumId w:val="2"/>
  </w:num>
  <w:num w:numId="444">
    <w:abstractNumId w:val="2"/>
  </w:num>
  <w:num w:numId="445">
    <w:abstractNumId w:val="2"/>
  </w:num>
  <w:num w:numId="446">
    <w:abstractNumId w:val="2"/>
  </w:num>
  <w:num w:numId="447">
    <w:abstractNumId w:val="2"/>
    <w:lvlOverride w:ilvl="0">
      <w:startOverride w:val="1"/>
    </w:lvlOverride>
  </w:num>
  <w:num w:numId="448">
    <w:abstractNumId w:val="2"/>
  </w:num>
  <w:num w:numId="449">
    <w:abstractNumId w:val="2"/>
  </w:num>
  <w:num w:numId="450">
    <w:abstractNumId w:val="2"/>
  </w:num>
  <w:num w:numId="451">
    <w:abstractNumId w:val="2"/>
    <w:lvlOverride w:ilvl="0">
      <w:startOverride w:val="1"/>
    </w:lvlOverride>
  </w:num>
  <w:num w:numId="452">
    <w:abstractNumId w:val="2"/>
  </w:num>
  <w:num w:numId="453">
    <w:abstractNumId w:val="2"/>
  </w:num>
  <w:num w:numId="454">
    <w:abstractNumId w:val="2"/>
  </w:num>
  <w:num w:numId="455">
    <w:abstractNumId w:val="2"/>
  </w:num>
  <w:num w:numId="456">
    <w:abstractNumId w:val="2"/>
    <w:lvlOverride w:ilvl="0">
      <w:startOverride w:val="1"/>
    </w:lvlOverride>
  </w:num>
  <w:num w:numId="457">
    <w:abstractNumId w:val="2"/>
  </w:num>
  <w:num w:numId="458">
    <w:abstractNumId w:val="2"/>
  </w:num>
  <w:num w:numId="459">
    <w:abstractNumId w:val="2"/>
  </w:num>
  <w:num w:numId="460">
    <w:abstractNumId w:val="2"/>
  </w:num>
  <w:num w:numId="461">
    <w:abstractNumId w:val="2"/>
    <w:lvlOverride w:ilvl="0">
      <w:startOverride w:val="1"/>
    </w:lvlOverride>
  </w:num>
  <w:num w:numId="462">
    <w:abstractNumId w:val="2"/>
  </w:num>
  <w:num w:numId="463">
    <w:abstractNumId w:val="2"/>
  </w:num>
  <w:num w:numId="464">
    <w:abstractNumId w:val="2"/>
  </w:num>
  <w:num w:numId="465">
    <w:abstractNumId w:val="2"/>
  </w:num>
  <w:num w:numId="466">
    <w:abstractNumId w:val="2"/>
    <w:lvlOverride w:ilvl="0">
      <w:startOverride w:val="1"/>
    </w:lvlOverride>
  </w:num>
  <w:num w:numId="467">
    <w:abstractNumId w:val="2"/>
  </w:num>
  <w:num w:numId="468">
    <w:abstractNumId w:val="2"/>
  </w:num>
  <w:num w:numId="469">
    <w:abstractNumId w:val="2"/>
    <w:lvlOverride w:ilvl="0">
      <w:startOverride w:val="1"/>
    </w:lvlOverride>
  </w:num>
  <w:num w:numId="470">
    <w:abstractNumId w:val="2"/>
  </w:num>
  <w:num w:numId="471">
    <w:abstractNumId w:val="2"/>
  </w:num>
  <w:num w:numId="472">
    <w:abstractNumId w:val="2"/>
  </w:num>
  <w:num w:numId="473">
    <w:abstractNumId w:val="2"/>
  </w:num>
  <w:num w:numId="474">
    <w:abstractNumId w:val="2"/>
    <w:lvlOverride w:ilvl="0">
      <w:startOverride w:val="1"/>
    </w:lvlOverride>
  </w:num>
  <w:num w:numId="475">
    <w:abstractNumId w:val="2"/>
  </w:num>
  <w:num w:numId="476">
    <w:abstractNumId w:val="2"/>
  </w:num>
  <w:num w:numId="477">
    <w:abstractNumId w:val="2"/>
    <w:lvlOverride w:ilvl="0">
      <w:startOverride w:val="1"/>
    </w:lvlOverride>
  </w:num>
  <w:num w:numId="478">
    <w:abstractNumId w:val="2"/>
  </w:num>
  <w:num w:numId="479">
    <w:abstractNumId w:val="2"/>
  </w:num>
  <w:num w:numId="480">
    <w:abstractNumId w:val="2"/>
    <w:lvlOverride w:ilvl="0">
      <w:startOverride w:val="1"/>
    </w:lvlOverride>
  </w:num>
  <w:num w:numId="481">
    <w:abstractNumId w:val="2"/>
  </w:num>
  <w:num w:numId="482">
    <w:abstractNumId w:val="2"/>
  </w:num>
  <w:num w:numId="483">
    <w:abstractNumId w:val="2"/>
    <w:lvlOverride w:ilvl="0">
      <w:startOverride w:val="1"/>
    </w:lvlOverride>
  </w:num>
  <w:num w:numId="484">
    <w:abstractNumId w:val="2"/>
  </w:num>
  <w:num w:numId="485">
    <w:abstractNumId w:val="2"/>
  </w:num>
  <w:num w:numId="486">
    <w:abstractNumId w:val="2"/>
  </w:num>
  <w:num w:numId="487">
    <w:abstractNumId w:val="2"/>
  </w:num>
  <w:num w:numId="488">
    <w:abstractNumId w:val="2"/>
  </w:num>
  <w:num w:numId="489">
    <w:abstractNumId w:val="2"/>
    <w:lvlOverride w:ilvl="0">
      <w:startOverride w:val="1"/>
    </w:lvlOverride>
  </w:num>
  <w:num w:numId="490">
    <w:abstractNumId w:val="2"/>
  </w:num>
  <w:num w:numId="491">
    <w:abstractNumId w:val="2"/>
  </w:num>
  <w:num w:numId="492">
    <w:abstractNumId w:val="2"/>
    <w:lvlOverride w:ilvl="0">
      <w:startOverride w:val="1"/>
    </w:lvlOverride>
  </w:num>
  <w:num w:numId="493">
    <w:abstractNumId w:val="2"/>
  </w:num>
  <w:num w:numId="494">
    <w:abstractNumId w:val="2"/>
  </w:num>
  <w:num w:numId="495">
    <w:abstractNumId w:val="2"/>
  </w:num>
  <w:num w:numId="496">
    <w:abstractNumId w:val="2"/>
  </w:num>
  <w:num w:numId="497">
    <w:abstractNumId w:val="2"/>
  </w:num>
  <w:num w:numId="498">
    <w:abstractNumId w:val="2"/>
    <w:lvlOverride w:ilvl="0">
      <w:startOverride w:val="1"/>
    </w:lvlOverride>
  </w:num>
  <w:num w:numId="499">
    <w:abstractNumId w:val="2"/>
  </w:num>
  <w:num w:numId="500">
    <w:abstractNumId w:val="2"/>
  </w:num>
  <w:num w:numId="501">
    <w:abstractNumId w:val="2"/>
  </w:num>
  <w:num w:numId="502">
    <w:abstractNumId w:val="2"/>
  </w:num>
  <w:num w:numId="503">
    <w:abstractNumId w:val="2"/>
  </w:num>
  <w:num w:numId="504">
    <w:abstractNumId w:val="2"/>
    <w:lvlOverride w:ilvl="0">
      <w:startOverride w:val="1"/>
    </w:lvlOverride>
  </w:num>
  <w:num w:numId="505">
    <w:abstractNumId w:val="2"/>
  </w:num>
  <w:num w:numId="506">
    <w:abstractNumId w:val="2"/>
  </w:num>
  <w:num w:numId="507">
    <w:abstractNumId w:val="2"/>
    <w:lvlOverride w:ilvl="0">
      <w:startOverride w:val="1"/>
    </w:lvlOverride>
  </w:num>
  <w:num w:numId="508">
    <w:abstractNumId w:val="2"/>
  </w:num>
  <w:num w:numId="509">
    <w:abstractNumId w:val="2"/>
  </w:num>
  <w:num w:numId="510">
    <w:abstractNumId w:val="2"/>
  </w:num>
  <w:num w:numId="511">
    <w:abstractNumId w:val="2"/>
    <w:lvlOverride w:ilvl="0">
      <w:startOverride w:val="1"/>
    </w:lvlOverride>
  </w:num>
  <w:num w:numId="512">
    <w:abstractNumId w:val="2"/>
  </w:num>
  <w:num w:numId="513">
    <w:abstractNumId w:val="2"/>
  </w:num>
  <w:num w:numId="514">
    <w:abstractNumId w:val="2"/>
  </w:num>
  <w:num w:numId="515">
    <w:abstractNumId w:val="2"/>
    <w:lvlOverride w:ilvl="0">
      <w:startOverride w:val="1"/>
    </w:lvlOverride>
  </w:num>
  <w:num w:numId="516">
    <w:abstractNumId w:val="2"/>
  </w:num>
  <w:num w:numId="517">
    <w:abstractNumId w:val="2"/>
  </w:num>
  <w:num w:numId="518">
    <w:abstractNumId w:val="2"/>
    <w:lvlOverride w:ilvl="0">
      <w:startOverride w:val="1"/>
    </w:lvlOverride>
  </w:num>
  <w:num w:numId="519">
    <w:abstractNumId w:val="2"/>
  </w:num>
  <w:num w:numId="520">
    <w:abstractNumId w:val="2"/>
    <w:lvlOverride w:ilvl="0">
      <w:startOverride w:val="1"/>
    </w:lvlOverride>
  </w:num>
  <w:num w:numId="521">
    <w:abstractNumId w:val="2"/>
  </w:num>
  <w:num w:numId="522">
    <w:abstractNumId w:val="2"/>
  </w:num>
  <w:num w:numId="523">
    <w:abstractNumId w:val="2"/>
  </w:num>
  <w:num w:numId="524">
    <w:abstractNumId w:val="2"/>
  </w:num>
  <w:num w:numId="525">
    <w:abstractNumId w:val="2"/>
    <w:lvlOverride w:ilvl="0">
      <w:startOverride w:val="1"/>
    </w:lvlOverride>
  </w:num>
  <w:num w:numId="526">
    <w:abstractNumId w:val="2"/>
  </w:num>
  <w:num w:numId="527">
    <w:abstractNumId w:val="2"/>
  </w:num>
  <w:num w:numId="528">
    <w:abstractNumId w:val="2"/>
  </w:num>
  <w:num w:numId="529">
    <w:abstractNumId w:val="2"/>
    <w:lvlOverride w:ilvl="0">
      <w:startOverride w:val="1"/>
    </w:lvlOverride>
  </w:num>
  <w:num w:numId="530">
    <w:abstractNumId w:val="2"/>
  </w:num>
  <w:num w:numId="531">
    <w:abstractNumId w:val="2"/>
  </w:num>
  <w:num w:numId="532">
    <w:abstractNumId w:val="2"/>
    <w:lvlOverride w:ilvl="0">
      <w:startOverride w:val="1"/>
    </w:lvlOverride>
  </w:num>
  <w:num w:numId="533">
    <w:abstractNumId w:val="2"/>
  </w:num>
  <w:num w:numId="534">
    <w:abstractNumId w:val="2"/>
  </w:num>
  <w:num w:numId="535">
    <w:abstractNumId w:val="2"/>
    <w:lvlOverride w:ilvl="0">
      <w:startOverride w:val="1"/>
    </w:lvlOverride>
  </w:num>
  <w:num w:numId="536">
    <w:abstractNumId w:val="2"/>
  </w:num>
  <w:num w:numId="537">
    <w:abstractNumId w:val="2"/>
  </w:num>
  <w:num w:numId="538">
    <w:abstractNumId w:val="2"/>
  </w:num>
  <w:num w:numId="539">
    <w:abstractNumId w:val="2"/>
  </w:num>
  <w:num w:numId="540">
    <w:abstractNumId w:val="2"/>
  </w:num>
  <w:num w:numId="541">
    <w:abstractNumId w:val="2"/>
    <w:lvlOverride w:ilvl="0">
      <w:startOverride w:val="1"/>
    </w:lvlOverride>
  </w:num>
  <w:num w:numId="542">
    <w:abstractNumId w:val="2"/>
  </w:num>
  <w:num w:numId="543">
    <w:abstractNumId w:val="2"/>
  </w:num>
  <w:num w:numId="544">
    <w:abstractNumId w:val="2"/>
  </w:num>
  <w:num w:numId="545">
    <w:abstractNumId w:val="2"/>
  </w:num>
  <w:num w:numId="54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133</Pages>
  <Words>49064</Words>
  <Characters>267524</Characters>
  <CharactersWithSpaces>312902</CharactersWithSpaces>
  <Paragraphs>3443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2026-10-09T06:08:25Z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