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6">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27">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17"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19"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1"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3"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Hypercare Exit Certificate</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Hypercare Exit Certificate</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5"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And handover to support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And handover to support</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64507_4049217194">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64509_4049217194">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64511_4049217194">
            <w:r>
              <w:rPr>
                <w:webHidden/>
                <w:rStyle w:val="IndexLink"/>
              </w:rPr>
              <w:t>3. About this certificate</w:t>
              <w:tab/>
              <w:t>4</w:t>
            </w:r>
          </w:hyperlink>
        </w:p>
        <w:p>
          <w:pPr>
            <w:pStyle w:val="TOC2"/>
            <w:tabs>
              <w:tab w:val="clear" w:pos="900"/>
              <w:tab w:val="clear" w:pos="9350"/>
              <w:tab w:val="right" w:pos="9025" w:leader="dot"/>
            </w:tabs>
            <w:rPr/>
          </w:pPr>
          <w:hyperlink w:anchor="__RefHeading___Toc64513_4049217194">
            <w:r>
              <w:rPr>
                <w:webHidden/>
                <w:rStyle w:val="IndexLink"/>
              </w:rPr>
              <w:t>3.1 When it is used</w:t>
              <w:tab/>
              <w:t>4</w:t>
            </w:r>
          </w:hyperlink>
        </w:p>
        <w:p>
          <w:pPr>
            <w:pStyle w:val="TOC1"/>
            <w:tabs>
              <w:tab w:val="clear" w:pos="900"/>
              <w:tab w:val="clear" w:pos="9350"/>
              <w:tab w:val="right" w:pos="9025" w:leader="dot"/>
            </w:tabs>
            <w:rPr/>
          </w:pPr>
          <w:hyperlink w:anchor="__RefHeading___Toc64515_4049217194">
            <w:r>
              <w:rPr>
                <w:webHidden/>
                <w:rStyle w:val="IndexLink"/>
              </w:rPr>
              <w:t>4. Project and dates</w:t>
              <w:tab/>
              <w:t>5</w:t>
            </w:r>
          </w:hyperlink>
        </w:p>
        <w:p>
          <w:pPr>
            <w:pStyle w:val="TOC1"/>
            <w:tabs>
              <w:tab w:val="clear" w:pos="900"/>
              <w:tab w:val="clear" w:pos="9350"/>
              <w:tab w:val="right" w:pos="9025" w:leader="dot"/>
            </w:tabs>
            <w:rPr/>
          </w:pPr>
          <w:hyperlink w:anchor="__RefHeading___Toc64517_4049217194">
            <w:r>
              <w:rPr>
                <w:webHidden/>
                <w:rStyle w:val="IndexLink"/>
              </w:rPr>
              <w:t>5. Exit criteria</w:t>
              <w:tab/>
              <w:t>6</w:t>
            </w:r>
          </w:hyperlink>
        </w:p>
        <w:p>
          <w:pPr>
            <w:pStyle w:val="TOC1"/>
            <w:tabs>
              <w:tab w:val="clear" w:pos="900"/>
              <w:tab w:val="clear" w:pos="9350"/>
              <w:tab w:val="right" w:pos="9025" w:leader="dot"/>
            </w:tabs>
            <w:rPr/>
          </w:pPr>
          <w:hyperlink w:anchor="__RefHeading___Toc64519_4049217194">
            <w:r>
              <w:rPr>
                <w:webHidden/>
                <w:rStyle w:val="IndexLink"/>
              </w:rPr>
              <w:t>6. Open items and known issues</w:t>
              <w:tab/>
              <w:t>7</w:t>
            </w:r>
          </w:hyperlink>
        </w:p>
        <w:p>
          <w:pPr>
            <w:pStyle w:val="TOC2"/>
            <w:tabs>
              <w:tab w:val="clear" w:pos="900"/>
              <w:tab w:val="clear" w:pos="9350"/>
              <w:tab w:val="right" w:pos="9025" w:leader="dot"/>
            </w:tabs>
            <w:rPr/>
          </w:pPr>
          <w:hyperlink w:anchor="__RefHeading___Toc64521_4049217194">
            <w:r>
              <w:rPr>
                <w:webHidden/>
                <w:rStyle w:val="IndexLink"/>
              </w:rPr>
              <w:t>6.1 Open items</w:t>
              <w:tab/>
              <w:t>7</w:t>
            </w:r>
          </w:hyperlink>
        </w:p>
        <w:p>
          <w:pPr>
            <w:pStyle w:val="TOC2"/>
            <w:tabs>
              <w:tab w:val="clear" w:pos="900"/>
              <w:tab w:val="clear" w:pos="9350"/>
              <w:tab w:val="right" w:pos="9025" w:leader="dot"/>
            </w:tabs>
            <w:rPr/>
          </w:pPr>
          <w:hyperlink w:anchor="__RefHeading___Toc64523_4049217194">
            <w:r>
              <w:rPr>
                <w:webHidden/>
                <w:rStyle w:val="IndexLink"/>
              </w:rPr>
              <w:t>6.2 Known issues</w:t>
              <w:tab/>
              <w:t>7</w:t>
            </w:r>
          </w:hyperlink>
        </w:p>
        <w:p>
          <w:pPr>
            <w:pStyle w:val="TOC1"/>
            <w:tabs>
              <w:tab w:val="clear" w:pos="900"/>
              <w:tab w:val="clear" w:pos="9350"/>
              <w:tab w:val="right" w:pos="9025" w:leader="dot"/>
            </w:tabs>
            <w:rPr/>
          </w:pPr>
          <w:hyperlink w:anchor="__RefHeading___Toc64525_4049217194">
            <w:r>
              <w:rPr>
                <w:webHidden/>
                <w:rStyle w:val="IndexLink"/>
              </w:rPr>
              <w:t>7. Handover checklist to the Support Agreement</w:t>
              <w:tab/>
              <w:t>9</w:t>
            </w:r>
          </w:hyperlink>
        </w:p>
        <w:p>
          <w:pPr>
            <w:pStyle w:val="TOC2"/>
            <w:tabs>
              <w:tab w:val="clear" w:pos="900"/>
              <w:tab w:val="clear" w:pos="9350"/>
              <w:tab w:val="right" w:pos="9025" w:leader="dot"/>
            </w:tabs>
            <w:rPr/>
          </w:pPr>
          <w:hyperlink w:anchor="__RefHeading___Toc64527_4049217194">
            <w:r>
              <w:rPr>
                <w:webHidden/>
                <w:rStyle w:val="IndexLink"/>
              </w:rPr>
              <w:t>7.1 Service set-up</w:t>
              <w:tab/>
              <w:t>9</w:t>
            </w:r>
          </w:hyperlink>
        </w:p>
        <w:p>
          <w:pPr>
            <w:pStyle w:val="TOC2"/>
            <w:tabs>
              <w:tab w:val="clear" w:pos="900"/>
              <w:tab w:val="clear" w:pos="9350"/>
              <w:tab w:val="right" w:pos="9025" w:leader="dot"/>
            </w:tabs>
            <w:rPr/>
          </w:pPr>
          <w:hyperlink w:anchor="__RefHeading___Toc64529_4049217194">
            <w:r>
              <w:rPr>
                <w:webHidden/>
                <w:rStyle w:val="IndexLink"/>
              </w:rPr>
              <w:t>7.2 Technical handover</w:t>
              <w:tab/>
              <w:t>9</w:t>
            </w:r>
          </w:hyperlink>
        </w:p>
        <w:p>
          <w:pPr>
            <w:pStyle w:val="TOC2"/>
            <w:tabs>
              <w:tab w:val="clear" w:pos="900"/>
              <w:tab w:val="clear" w:pos="9350"/>
              <w:tab w:val="right" w:pos="9025" w:leader="dot"/>
            </w:tabs>
            <w:rPr/>
          </w:pPr>
          <w:hyperlink w:anchor="__RefHeading___Toc64531_4049217194">
            <w:r>
              <w:rPr>
                <w:webHidden/>
                <w:rStyle w:val="IndexLink"/>
              </w:rPr>
              <w:t>7.3 Knowledge handover</w:t>
              <w:tab/>
              <w:t>9</w:t>
            </w:r>
          </w:hyperlink>
        </w:p>
        <w:p>
          <w:pPr>
            <w:pStyle w:val="TOC2"/>
            <w:tabs>
              <w:tab w:val="clear" w:pos="900"/>
              <w:tab w:val="clear" w:pos="9350"/>
              <w:tab w:val="right" w:pos="9025" w:leader="dot"/>
            </w:tabs>
            <w:rPr/>
          </w:pPr>
          <w:hyperlink w:anchor="__RefHeading___Toc64533_4049217194">
            <w:r>
              <w:rPr>
                <w:webHidden/>
                <w:rStyle w:val="IndexLink"/>
              </w:rPr>
              <w:t>7.4 Commercial and contract items</w:t>
              <w:tab/>
              <w:t>10</w:t>
            </w:r>
          </w:hyperlink>
        </w:p>
        <w:p>
          <w:pPr>
            <w:pStyle w:val="TOC1"/>
            <w:tabs>
              <w:tab w:val="clear" w:pos="900"/>
              <w:tab w:val="clear" w:pos="9350"/>
              <w:tab w:val="right" w:pos="9025" w:leader="dot"/>
            </w:tabs>
            <w:rPr/>
          </w:pPr>
          <w:hyperlink w:anchor="__RefHeading___Toc64535_4049217194">
            <w:r>
              <w:rPr>
                <w:webHidden/>
                <w:rStyle w:val="IndexLink"/>
              </w:rPr>
              <w:t>8. Decision and signatures</w:t>
              <w:tab/>
              <w:t>11</w:t>
            </w:r>
          </w:hyperlink>
        </w:p>
        <w:p>
          <w:pPr>
            <w:pStyle w:val="TOC1"/>
            <w:tabs>
              <w:tab w:val="clear" w:pos="900"/>
              <w:tab w:val="clear" w:pos="9350"/>
              <w:tab w:val="right" w:pos="9025" w:leader="dot"/>
            </w:tabs>
            <w:rPr/>
          </w:pPr>
          <w:hyperlink w:anchor="__RefHeading___Toc64537_4049217194">
            <w:r>
              <w:rPr>
                <w:webHidden/>
                <w:rStyle w:val="IndexLink"/>
                <w:i w:val="false"/>
                <w:iCs w:val="false"/>
              </w:rPr>
              <w:t>9. Document Sign-Off</w:t>
            </w:r>
            <w:r>
              <w:rPr>
                <w:rStyle w:val="IndexLink"/>
              </w:rPr>
              <w:tab/>
              <w:t>12</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64507_404921719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64509_404921719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Disaster recovery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L1/L2/L3</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Support levels 1, 2 and 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time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Service level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64511_4049217194"/>
      <w:bookmarkEnd w:id="6"/>
      <w:r>
        <w:rPr>
          <w:rFonts w:eastAsia="Segoe UI" w:cs="Segoe UI" w:ascii="Segoe UI" w:hAnsi="Segoe UI"/>
          <w:b/>
          <w:color w:val="0F4761"/>
          <w:sz w:val="32"/>
        </w:rPr>
        <w:t>3.  About this certificate</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 xml:space="preserve">This Hypercare Exit and Handover to Support Certificate records the end of hypercare under the Implementation Statement of Work (the </w:t>
      </w:r>
      <w:r>
        <w:rPr>
          <w:rFonts w:eastAsia="Segoe UI" w:cs="Segoe UI" w:ascii="Segoe UI" w:hAnsi="Segoe UI"/>
          <w:b/>
          <w:color w:val="101820"/>
          <w:sz w:val="21"/>
        </w:rPr>
        <w:t>SOW</w:t>
      </w:r>
      <w:r>
        <w:rPr>
          <w:rFonts w:eastAsia="Segoe UI" w:cs="Segoe UI" w:ascii="Segoe UI" w:hAnsi="Segoe UI"/>
          <w:color w:val="101820"/>
          <w:sz w:val="21"/>
        </w:rPr>
        <w:t xml:space="preserve">) and the start of production support under the Annual Maintenance and Support Agreement and Service Level Agreement (the </w:t>
      </w:r>
      <w:r>
        <w:rPr>
          <w:rFonts w:eastAsia="Segoe UI" w:cs="Segoe UI" w:ascii="Segoe UI" w:hAnsi="Segoe UI"/>
          <w:b/>
          <w:color w:val="101820"/>
          <w:sz w:val="21"/>
        </w:rPr>
        <w:t>Support Agreement</w:t>
      </w:r>
      <w:r>
        <w:rPr>
          <w:rFonts w:eastAsia="Segoe UI" w:cs="Segoe UI" w:ascii="Segoe UI" w:hAnsi="Segoe UI"/>
          <w:color w:val="101820"/>
          <w:sz w:val="21"/>
        </w:rPr>
        <w:t xml:space="preserve">) for iNXT BrokerVerse OOTB. It is issued under Order Form no. [number] and the Master Services Agreement (the </w:t>
      </w:r>
      <w:r>
        <w:rPr>
          <w:rFonts w:eastAsia="Segoe UI" w:cs="Segoe UI" w:ascii="Segoe UI" w:hAnsi="Segoe UI"/>
          <w:b/>
          <w:color w:val="101820"/>
          <w:sz w:val="21"/>
        </w:rPr>
        <w:t>MSA</w:t>
      </w:r>
      <w:r>
        <w:rPr>
          <w:rFonts w:eastAsia="Segoe UI" w:cs="Segoe UI" w:ascii="Segoe UI" w:hAnsi="Segoe UI"/>
          <w:color w:val="101820"/>
          <w:sz w:val="21"/>
        </w:rPr>
        <w:t>) between iorta TechNXT Corp. (</w:t>
      </w:r>
      <w:r>
        <w:rPr>
          <w:rFonts w:eastAsia="Segoe UI" w:cs="Segoe UI" w:ascii="Segoe UI" w:hAnsi="Segoe UI"/>
          <w:b/>
          <w:color w:val="101820"/>
          <w:sz w:val="21"/>
        </w:rPr>
        <w:t>iorta TechNXT</w:t>
      </w:r>
      <w:r>
        <w:rPr>
          <w:rFonts w:eastAsia="Segoe UI" w:cs="Segoe UI" w:ascii="Segoe UI" w:hAnsi="Segoe UI"/>
          <w:color w:val="101820"/>
          <w:sz w:val="21"/>
        </w:rPr>
        <w:t xml:space="preserve">) and [Client legal name] (the </w:t>
      </w:r>
      <w:r>
        <w:rPr>
          <w:rFonts w:eastAsia="Segoe UI" w:cs="Segoe UI" w:ascii="Segoe UI" w:hAnsi="Segoe UI"/>
          <w:b/>
          <w:color w:val="101820"/>
          <w:sz w:val="21"/>
        </w:rPr>
        <w:t>Client</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It has four parts: the exit criteria, the list of open items, the known issues, and the handover checklist to the Support Agreement. Capitalised terms have the meaning given in the MSA, the SOW and the Support Agreement. Text in [square brackets] is a placeholder or an option.</w:t>
      </w:r>
    </w:p>
    <w:p>
      <w:pPr>
        <w:pStyle w:val="Heading2"/>
        <w:rPr/>
      </w:pPr>
      <w:bookmarkStart w:id="7" w:name="__RefHeading___Toc64513_4049217194"/>
      <w:bookmarkEnd w:id="7"/>
      <w:r>
        <w:rPr>
          <w:rFonts w:eastAsia="Segoe UI" w:cs="Segoe UI"/>
          <w:b/>
          <w:color w:val="0F4761"/>
          <w:sz w:val="26"/>
        </w:rPr>
        <w:t>3.1  When it is used</w:t>
      </w:r>
    </w:p>
    <w:p>
      <w:pPr>
        <w:pStyle w:val="Normal"/>
        <w:numPr>
          <w:ilvl w:val="0"/>
          <w:numId w:val="1"/>
        </w:numPr>
        <w:spacing w:before="0" w:after="60"/>
        <w:rPr/>
      </w:pPr>
      <w:r>
        <w:rPr>
          <w:rFonts w:eastAsia="Segoe UI" w:cs="Segoe UI" w:ascii="Segoe UI" w:hAnsi="Segoe UI"/>
          <w:color w:val="101820"/>
          <w:sz w:val="21"/>
        </w:rPr>
        <w:t>Hypercare runs from Go-Live until the first month-end close is done: by default weeks 7 and 8 (Small), weeks 10 to 12 (Medium), 4 to 6 weeks (Large) or as planned at mobilisation (Enterprise). If the first month-end close falls after that window, hypercare extends to cover it at no extra charge.</w:t>
      </w:r>
    </w:p>
    <w:p>
      <w:pPr>
        <w:pStyle w:val="Normal"/>
        <w:numPr>
          <w:ilvl w:val="0"/>
          <w:numId w:val="1"/>
        </w:numPr>
        <w:spacing w:before="0" w:after="60"/>
        <w:rPr/>
      </w:pPr>
      <w:r>
        <w:rPr>
          <w:rFonts w:eastAsia="Segoe UI" w:cs="Segoe UI" w:ascii="Segoe UI" w:hAnsi="Segoe UI"/>
          <w:color w:val="101820"/>
          <w:sz w:val="21"/>
        </w:rPr>
        <w:t>iorta TechNXT submits this certificate when the exit criteria are met. The Acceptance procedure of the SOW applies: the Client signs it, or lists the criteria not met with reasons, within 5 Business Days. If the Client does neither, the hypercare exit is deemed accepted.</w:t>
      </w:r>
    </w:p>
    <w:p>
      <w:pPr>
        <w:pStyle w:val="Normal"/>
        <w:numPr>
          <w:ilvl w:val="0"/>
          <w:numId w:val="1"/>
        </w:numPr>
        <w:spacing w:before="0" w:after="60"/>
        <w:rPr/>
      </w:pPr>
      <w:r>
        <w:rPr>
          <w:rFonts w:eastAsia="Segoe UI" w:cs="Segoe UI" w:ascii="Segoe UI" w:hAnsi="Segoe UI"/>
          <w:color w:val="101820"/>
          <w:sz w:val="21"/>
        </w:rPr>
        <w:t>From the handover date, tickets are raised through the service desk of the Support Agreement and the service levels of the Support Agreement apply. During the Warranty Period of a perpetual licence, support is at no charge; for a subscription, support is included in the Monthly Fee.</w:t>
      </w:r>
      <w:r>
        <w:br w:type="page"/>
      </w:r>
    </w:p>
    <w:p>
      <w:pPr>
        <w:pStyle w:val="Heading1"/>
        <w:rPr/>
      </w:pPr>
      <w:bookmarkStart w:id="8" w:name="__RefHeading___Toc64515_4049217194"/>
      <w:bookmarkEnd w:id="8"/>
      <w:r>
        <w:rPr>
          <w:rFonts w:eastAsia="Segoe UI" w:cs="Segoe UI" w:ascii="Segoe UI" w:hAnsi="Segoe UI"/>
          <w:b/>
          <w:color w:val="0F4761"/>
          <w:sz w:val="32"/>
        </w:rPr>
        <w:t>4.  Project and dates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Certificate no.</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[HC-year-number]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 BrokerVerse OOTB implementation for [Client legal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MSA and Order Form</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MSA dated [date]; Order Form no. [number]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Acceptance Certificate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[GL-year-number], dated [date]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date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period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([extended to cover the first month-end close: yes / no])</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month-end close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[month year], Month-End Close run approved on [date]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release at handover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tag], deployed on [date]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Handover meeting</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Held on [date]; minutes ref. [reference]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Handover date (start of support under the Support Agreement)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 model</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Warranty Period to [date]; AMC from [date] / Subscription: support included]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Extended P1 support (24x7 Severity 1 support)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from [date] / No]</w:t>
            </w:r>
          </w:p>
        </w:tc>
      </w:tr>
    </w:tbl>
    <w:p>
      <w:pPr>
        <w:pStyle w:val="Heading1"/>
        <w:rPr/>
      </w:pPr>
      <w:r>
        <w:br w:type="page"/>
      </w:r>
      <w:bookmarkStart w:id="9" w:name="__RefHeading___Toc64517_4049217194"/>
      <w:bookmarkEnd w:id="9"/>
      <w:r>
        <w:rPr>
          <w:rFonts w:eastAsia="Segoe UI" w:cs="Segoe UI" w:ascii="Segoe UI" w:hAnsi="Segoe UI"/>
          <w:b/>
          <w:color w:val="0F4761"/>
          <w:sz w:val="32"/>
        </w:rPr>
        <w:t>5.  Exit criteria</w:t>
      </w:r>
    </w:p>
    <w:p>
      <w:pPr>
        <w:pStyle w:val="Normal"/>
        <w:spacing w:lineRule="auto" w:line="276" w:before="0" w:after="120"/>
        <w:rPr/>
      </w:pPr>
      <w:r>
        <w:rPr>
          <w:rFonts w:eastAsia="Segoe UI" w:cs="Segoe UI" w:ascii="Segoe UI" w:hAnsi="Segoe UI"/>
          <w:color w:val="101820"/>
          <w:sz w:val="21"/>
        </w:rPr>
        <w:t>These are the hypercare acceptance criteria of the SOW and the handover criteria of the Production Support Approach and Standards.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3601"/>
        <w:gridCol w:w="906"/>
        <w:gridCol w:w="3600"/>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36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Criterion</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Met</w:t>
            </w:r>
          </w:p>
        </w:tc>
        <w:tc>
          <w:tcPr>
            <w:tcW w:w="36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Evidence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open P1 or P2 issue (severity 1 or 2)</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36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log ref. [reference]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month-end close completed with the Accounting Manager's approval</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36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 run approved; trial balance reviewed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working papers of the first month produced and reviewed by the Client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36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Known issues and workarounds documented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36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Known-error records in the knowledge base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documentation current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36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sheet: addresses, versions, release tag, backups, monitoring, secrets owners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baseline recorded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36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workbook as built in production, dated [date]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Contacts and escalation matrix agreed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36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Annex A of the Support Agreement completed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L1 super users trained on raising tickets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36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Attendance and a test ticket no. [number]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 and alarms live; first backup verification passed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36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 dashboard; restore test record of [date]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36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Handover accepted by production support and the System Administrator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36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Signatures below</w:t>
            </w:r>
          </w:p>
        </w:tc>
      </w:tr>
    </w:tbl>
    <w:p>
      <w:pPr>
        <w:pStyle w:val="Heading1"/>
        <w:rPr/>
      </w:pPr>
      <w:r>
        <w:br w:type="page"/>
      </w:r>
      <w:bookmarkStart w:id="10" w:name="__RefHeading___Toc64519_4049217194"/>
      <w:bookmarkEnd w:id="10"/>
      <w:r>
        <w:rPr>
          <w:rFonts w:eastAsia="Segoe UI" w:cs="Segoe UI" w:ascii="Segoe UI" w:hAnsi="Segoe UI"/>
          <w:b/>
          <w:color w:val="0F4761"/>
          <w:sz w:val="32"/>
        </w:rPr>
        <w:t>6.  Open items and known issues</w:t>
      </w:r>
    </w:p>
    <w:p>
      <w:pPr>
        <w:pStyle w:val="Heading2"/>
        <w:rPr/>
      </w:pPr>
      <w:bookmarkStart w:id="11" w:name="__RefHeading___Toc64521_4049217194"/>
      <w:bookmarkEnd w:id="11"/>
      <w:r>
        <w:rPr>
          <w:rFonts w:eastAsia="Segoe UI" w:cs="Segoe UI"/>
          <w:b/>
          <w:color w:val="0F4761"/>
          <w:sz w:val="26"/>
        </w:rPr>
        <w:t>6.1  Open items</w:t>
      </w:r>
    </w:p>
    <w:p>
      <w:pPr>
        <w:pStyle w:val="Normal"/>
        <w:spacing w:lineRule="auto" w:line="276" w:before="0" w:after="120"/>
        <w:rPr/>
      </w:pPr>
      <w:r>
        <w:rPr>
          <w:rFonts w:eastAsia="Segoe UI" w:cs="Segoe UI" w:ascii="Segoe UI" w:hAnsi="Segoe UI"/>
          <w:color w:val="101820"/>
          <w:sz w:val="21"/>
        </w:rPr>
        <w:t>Open P3 and P4 items move to the production support backlog with their history. They do not prevent hypercare exit. Change requests that were approved during the project and scheduled after go-live stay under the Change Request Procedure.</w:t>
      </w:r>
    </w:p>
    <w:p>
      <w:pPr>
        <w:pStyle w:val="Heading3"/>
        <w:rPr/>
      </w:pPr>
      <w:r>
        <w:rPr>
          <w:rFonts w:eastAsia="Segoe UI" w:cs="Segoe UI"/>
          <w:b/>
          <w:color w:val="0F4761"/>
          <w:sz w:val="23"/>
        </w:rPr>
        <w:t>6.1.1  Open defects and requests</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7"/>
        <w:gridCol w:w="1125"/>
        <w:gridCol w:w="1479"/>
        <w:gridCol w:w="1124"/>
        <w:gridCol w:w="1217"/>
        <w:gridCol w:w="907"/>
        <w:gridCol w:w="2256"/>
      </w:tblGrid>
      <w:tr>
        <w:trPr>
          <w:tblHeader w:val="true"/>
        </w:trPr>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t>
            </w:r>
          </w:p>
        </w:tc>
        <w:tc>
          <w:tcPr>
            <w:tcW w:w="11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Ticket or defect no.</w:t>
            </w:r>
          </w:p>
        </w:tc>
        <w:tc>
          <w:tcPr>
            <w:tcW w:w="14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Description</w:t>
            </w:r>
          </w:p>
        </w:tc>
        <w:tc>
          <w:tcPr>
            <w:tcW w:w="11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Severity</w:t>
            </w:r>
          </w:p>
        </w:tc>
        <w:tc>
          <w:tcPr>
            <w:tcW w:w="12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Owner</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Target date</w:t>
            </w:r>
          </w:p>
        </w:tc>
        <w:tc>
          <w:tcPr>
            <w:tcW w:w="22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Route</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1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[number]</w:t>
            </w:r>
          </w:p>
        </w:tc>
        <w:tc>
          <w:tcPr>
            <w:tcW w:w="14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[description]</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[P3 / P4]</w:t>
            </w:r>
          </w:p>
        </w:tc>
        <w:tc>
          <w:tcPr>
            <w:tcW w:w="1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 Client]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[date]</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 data correction / planned release]</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1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[number]</w:t>
            </w:r>
          </w:p>
        </w:tc>
        <w:tc>
          <w:tcPr>
            <w:tcW w:w="14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[description]</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[P3 / P4]</w:t>
            </w:r>
          </w:p>
        </w:tc>
        <w:tc>
          <w:tcPr>
            <w:tcW w:w="1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[date]</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[route]</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1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[number]</w:t>
            </w:r>
          </w:p>
        </w:tc>
        <w:tc>
          <w:tcPr>
            <w:tcW w:w="14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[description]</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[P3 / P4]</w:t>
            </w:r>
          </w:p>
        </w:tc>
        <w:tc>
          <w:tcPr>
            <w:tcW w:w="1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[date]</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[route]</w:t>
            </w:r>
          </w:p>
        </w:tc>
      </w:tr>
    </w:tbl>
    <w:p>
      <w:pPr>
        <w:pStyle w:val="Normal"/>
        <w:spacing w:before="0" w:after="80"/>
        <w:rPr/>
      </w:pPr>
      <w:r>
        <w:rPr/>
      </w:r>
    </w:p>
    <w:p>
      <w:pPr>
        <w:pStyle w:val="Heading3"/>
        <w:rPr/>
      </w:pPr>
      <w:r>
        <w:rPr>
          <w:rFonts w:eastAsia="Segoe UI" w:cs="Segoe UI"/>
          <w:b/>
          <w:color w:val="0F4761"/>
          <w:sz w:val="23"/>
        </w:rPr>
        <w:t>6.1.2  Change requests in progress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830"/>
        <w:gridCol w:w="906"/>
        <w:gridCol w:w="3399"/>
        <w:gridCol w:w="1974"/>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t>
            </w:r>
          </w:p>
        </w:tc>
        <w:tc>
          <w:tcPr>
            <w:tcW w:w="18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CR number</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33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Status</w:t>
            </w:r>
          </w:p>
        </w:tc>
        <w:tc>
          <w:tcPr>
            <w:tcW w:w="1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Planned deployment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8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[CR-year-number]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[title]</w:t>
            </w:r>
          </w:p>
        </w:tc>
        <w:tc>
          <w:tcPr>
            <w:tcW w:w="33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 In progress / In UAT]</w:t>
            </w:r>
          </w:p>
        </w:tc>
        <w:tc>
          <w:tcPr>
            <w:tcW w:w="1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8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[CR-year-number]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[title]</w:t>
            </w:r>
          </w:p>
        </w:tc>
        <w:tc>
          <w:tcPr>
            <w:tcW w:w="33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[status]</w:t>
            </w:r>
          </w:p>
        </w:tc>
        <w:tc>
          <w:tcPr>
            <w:tcW w:w="1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[date]</w:t>
            </w:r>
          </w:p>
        </w:tc>
      </w:tr>
    </w:tbl>
    <w:p>
      <w:pPr>
        <w:pStyle w:val="Normal"/>
        <w:spacing w:before="0" w:after="80"/>
        <w:rPr/>
      </w:pPr>
      <w:r>
        <w:rPr/>
      </w:r>
    </w:p>
    <w:p>
      <w:pPr>
        <w:pStyle w:val="Heading3"/>
        <w:rPr/>
      </w:pPr>
      <w:r>
        <w:rPr>
          <w:rFonts w:eastAsia="Segoe UI" w:cs="Segoe UI"/>
          <w:b/>
          <w:color w:val="0F4761"/>
          <w:sz w:val="23"/>
        </w:rPr>
        <w:t>6.1.3  Client actions outstanding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5483"/>
        <w:gridCol w:w="1655"/>
        <w:gridCol w:w="969"/>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54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Action</w:t>
            </w:r>
          </w:p>
        </w:tc>
        <w:tc>
          <w:tcPr>
            <w:tcW w:w="16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 (Client)</w:t>
            </w:r>
          </w:p>
        </w:tc>
        <w:tc>
          <w:tcPr>
            <w:tcW w:w="96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Due 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54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 example: switch on two-step verification for the remaining roles]</w:t>
            </w:r>
          </w:p>
        </w:tc>
        <w:tc>
          <w:tcPr>
            <w:tcW w:w="16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c>
          <w:tcPr>
            <w:tcW w:w="9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54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 example: confirm the retention instruction for year-end backup copies]</w:t>
            </w:r>
          </w:p>
        </w:tc>
        <w:tc>
          <w:tcPr>
            <w:tcW w:w="16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c>
          <w:tcPr>
            <w:tcW w:w="9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54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 example: keep the old system read-only for the period the Client's record-keeping rules require]</w:t>
            </w:r>
          </w:p>
        </w:tc>
        <w:tc>
          <w:tcPr>
            <w:tcW w:w="16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c>
          <w:tcPr>
            <w:tcW w:w="9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bl>
    <w:p>
      <w:pPr>
        <w:pStyle w:val="Normal"/>
        <w:spacing w:before="0" w:after="80"/>
        <w:rPr/>
      </w:pPr>
      <w:r>
        <w:rPr/>
      </w:r>
    </w:p>
    <w:p>
      <w:pPr>
        <w:pStyle w:val="Heading2"/>
        <w:rPr/>
      </w:pPr>
      <w:bookmarkStart w:id="12" w:name="__RefHeading___Toc64523_4049217194"/>
      <w:bookmarkEnd w:id="12"/>
      <w:r>
        <w:rPr>
          <w:rFonts w:eastAsia="Segoe UI" w:cs="Segoe UI"/>
          <w:b/>
          <w:color w:val="0F4761"/>
          <w:sz w:val="26"/>
        </w:rPr>
        <w:t>6.2  Known issues</w:t>
      </w:r>
    </w:p>
    <w:p>
      <w:pPr>
        <w:pStyle w:val="Normal"/>
        <w:spacing w:lineRule="auto" w:line="276" w:before="0" w:after="120"/>
        <w:rPr/>
      </w:pPr>
      <w:r>
        <w:rPr>
          <w:rFonts w:eastAsia="Segoe UI" w:cs="Segoe UI" w:ascii="Segoe UI" w:hAnsi="Segoe UI"/>
          <w:color w:val="101820"/>
          <w:sz w:val="21"/>
        </w:rPr>
        <w:t>Known issues are items with a documented cause and a workaround, recorded as known-error records in the knowledge base. They are handled under the Support Agreement and fixed in a planned release where a fix is due.</w:t>
      </w:r>
    </w:p>
    <w:p>
      <w:pPr>
        <w:pStyle w:val="Heading3"/>
        <w:rPr/>
      </w:pPr>
      <w:r>
        <w:rPr>
          <w:rFonts w:eastAsia="Segoe UI" w:cs="Segoe UI"/>
          <w:b/>
          <w:color w:val="0F4761"/>
          <w:sz w:val="23"/>
        </w:rPr>
        <w:t>6.2.1  Known issues found in this implementation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599"/>
        <w:gridCol w:w="1325"/>
        <w:gridCol w:w="1765"/>
        <w:gridCol w:w="2420"/>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t>
            </w:r>
          </w:p>
        </w:tc>
        <w:tc>
          <w:tcPr>
            <w:tcW w:w="25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Known-error record</w:t>
            </w:r>
          </w:p>
        </w:tc>
        <w:tc>
          <w:tcPr>
            <w:tcW w:w="13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Symptom</w:t>
            </w:r>
          </w:p>
        </w:tc>
        <w:tc>
          <w:tcPr>
            <w:tcW w:w="176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Workaround</w:t>
            </w:r>
          </w:p>
        </w:tc>
        <w:tc>
          <w:tcPr>
            <w:tcW w:w="24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Fix planned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2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[KE-number]</w:t>
            </w:r>
          </w:p>
        </w:tc>
        <w:tc>
          <w:tcPr>
            <w:tcW w:w="1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[symptom]</w:t>
            </w:r>
          </w:p>
        </w:tc>
        <w:tc>
          <w:tcPr>
            <w:tcW w:w="17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[workaround]</w:t>
            </w:r>
          </w:p>
        </w:tc>
        <w:tc>
          <w:tcPr>
            <w:tcW w:w="24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or none]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2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[KE-number]</w:t>
            </w:r>
          </w:p>
        </w:tc>
        <w:tc>
          <w:tcPr>
            <w:tcW w:w="1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[symptom]</w:t>
            </w:r>
          </w:p>
        </w:tc>
        <w:tc>
          <w:tcPr>
            <w:tcW w:w="17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[workaround]</w:t>
            </w:r>
          </w:p>
        </w:tc>
        <w:tc>
          <w:tcPr>
            <w:tcW w:w="24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or none]</w:t>
            </w:r>
          </w:p>
        </w:tc>
      </w:tr>
    </w:tbl>
    <w:p>
      <w:pPr>
        <w:pStyle w:val="Normal"/>
        <w:spacing w:before="0" w:after="80"/>
        <w:rPr/>
      </w:pPr>
      <w:r>
        <w:rPr/>
      </w:r>
    </w:p>
    <w:p>
      <w:pPr>
        <w:pStyle w:val="Heading3"/>
        <w:rPr/>
      </w:pPr>
      <w:r>
        <w:rPr>
          <w:rFonts w:eastAsia="Segoe UI" w:cs="Segoe UI"/>
          <w:b/>
          <w:color w:val="0F4761"/>
          <w:sz w:val="23"/>
        </w:rPr>
        <w:t>6.2.2  Known limitations of the release</w:t>
      </w:r>
    </w:p>
    <w:p>
      <w:pPr>
        <w:pStyle w:val="Normal"/>
        <w:spacing w:lineRule="auto" w:line="276" w:before="0" w:after="120"/>
        <w:rPr/>
      </w:pPr>
      <w:r>
        <w:rPr>
          <w:rFonts w:eastAsia="Segoe UI" w:cs="Segoe UI" w:ascii="Segoe UI" w:hAnsi="Segoe UI"/>
          <w:color w:val="101820"/>
          <w:sz w:val="21"/>
        </w:rPr>
        <w:t>The release notes and the user manual (Appendix G, Known limitations) list the limitations of the OOTB release in use. Record here those that the Client has seen and accepted; delete the rest. The examples below are taken from the release documentation of the tested release and must be checked against the release in production.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54"/>
        <w:gridCol w:w="4055"/>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40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Limitation</w:t>
            </w:r>
          </w:p>
        </w:tc>
        <w:tc>
          <w:tcPr>
            <w:tcW w:w="40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Agreed handling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Two-step enrolment shows a setup key and a link, not a QR code</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type the key in the authenticator app</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Several masters have no Upload button; their templates are loaded by the System Administrator</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procedure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BIR reports give the figures in the BIR column order</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Client validates them with the BIR's tools before filing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bank payment file is produced; transfers are approved and their bank result recorded</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 if a bank file format is needed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[other limitation in the release notes]</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[handling]</w:t>
            </w:r>
          </w:p>
        </w:tc>
      </w:tr>
    </w:tbl>
    <w:p>
      <w:pPr>
        <w:pStyle w:val="Heading1"/>
        <w:rPr/>
      </w:pPr>
      <w:r>
        <w:br w:type="page"/>
      </w:r>
      <w:bookmarkStart w:id="13" w:name="__RefHeading___Toc64525_4049217194"/>
      <w:bookmarkEnd w:id="13"/>
      <w:r>
        <w:rPr>
          <w:rFonts w:eastAsia="Segoe UI" w:cs="Segoe UI" w:ascii="Segoe UI" w:hAnsi="Segoe UI"/>
          <w:b/>
          <w:color w:val="0F4761"/>
          <w:sz w:val="32"/>
        </w:rPr>
        <w:t>7.  Handover checklist to the Support Agreement</w:t>
      </w:r>
    </w:p>
    <w:p>
      <w:pPr>
        <w:pStyle w:val="Normal"/>
        <w:spacing w:lineRule="auto" w:line="276" w:before="0" w:after="120"/>
        <w:rPr/>
      </w:pPr>
      <w:r>
        <w:rPr>
          <w:rFonts w:eastAsia="Segoe UI" w:cs="Segoe UI" w:ascii="Segoe UI" w:hAnsi="Segoe UI"/>
          <w:color w:val="101820"/>
          <w:sz w:val="21"/>
        </w:rPr>
        <w:t>Each item is checked by the iorta TechNXT support manager and the Client IT head at the handover meeting.</w:t>
      </w:r>
    </w:p>
    <w:p>
      <w:pPr>
        <w:pStyle w:val="Heading2"/>
        <w:rPr/>
      </w:pPr>
      <w:bookmarkStart w:id="14" w:name="__RefHeading___Toc64527_4049217194"/>
      <w:bookmarkEnd w:id="14"/>
      <w:r>
        <w:rPr>
          <w:rFonts w:eastAsia="Segoe UI" w:cs="Segoe UI"/>
          <w:b/>
          <w:color w:val="0F4761"/>
          <w:sz w:val="26"/>
        </w:rPr>
        <w:t>7.1  Service set-up</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267"/>
        <w:gridCol w:w="955"/>
        <w:gridCol w:w="2886"/>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42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9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Done</w:t>
            </w:r>
          </w:p>
        </w:tc>
        <w:tc>
          <w:tcPr>
            <w:tcW w:w="288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42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 desk details given to the Client: portal or mailbox, and the P1 telephone line</w:t>
            </w:r>
          </w:p>
        </w:tc>
        <w:tc>
          <w:tcPr>
            <w:tcW w:w="9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28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Annex A of the Support Agreement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42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L1 contacts of the Client (up to [5]) registered on the service desk</w:t>
            </w:r>
          </w:p>
        </w:tc>
        <w:tc>
          <w:tcPr>
            <w:tcW w:w="9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28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2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Escalation matrix with names and telephone numbers on both sides</w:t>
            </w:r>
          </w:p>
        </w:tc>
        <w:tc>
          <w:tcPr>
            <w:tcW w:w="9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28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Annex 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2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 hours confirmed: 08:00 to 18:00 PHT, Monday to Friday, except Philippine regular holidays; extended P1 option [Yes / No]</w:t>
            </w:r>
          </w:p>
        </w:tc>
        <w:tc>
          <w:tcPr>
            <w:tcW w:w="9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28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Order Form</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42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Severity levels, response and restore targets and clock rules explained to the L1 contacts</w:t>
            </w:r>
          </w:p>
        </w:tc>
        <w:tc>
          <w:tcPr>
            <w:tcW w:w="9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28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Briefing date [date]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42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Minimum content of a ticket explained; a test ticket raised and closed</w:t>
            </w:r>
          </w:p>
        </w:tc>
        <w:tc>
          <w:tcPr>
            <w:tcW w:w="9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28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 no. [number]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2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maintenance window agreed (default Saturday 20:00 to Sunday 06:00 PHT)</w:t>
            </w:r>
          </w:p>
        </w:tc>
        <w:tc>
          <w:tcPr>
            <w:tcW w:w="9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28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[window]</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42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monthly service report due date and monthly service review date set</w:t>
            </w:r>
          </w:p>
        </w:tc>
        <w:tc>
          <w:tcPr>
            <w:tcW w:w="9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28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[dates]</w:t>
            </w:r>
          </w:p>
        </w:tc>
      </w:tr>
    </w:tbl>
    <w:p>
      <w:pPr>
        <w:pStyle w:val="Normal"/>
        <w:spacing w:before="0" w:after="80"/>
        <w:rPr/>
      </w:pPr>
      <w:r>
        <w:rPr/>
      </w:r>
    </w:p>
    <w:p>
      <w:pPr>
        <w:pStyle w:val="Heading2"/>
        <w:rPr/>
      </w:pPr>
      <w:bookmarkStart w:id="15" w:name="__RefHeading___Toc64529_4049217194"/>
      <w:bookmarkEnd w:id="15"/>
      <w:r>
        <w:rPr>
          <w:rFonts w:eastAsia="Segoe UI" w:cs="Segoe UI"/>
          <w:b/>
          <w:color w:val="0F4761"/>
          <w:sz w:val="26"/>
        </w:rPr>
        <w:t>7.2  Technical handover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3436"/>
        <w:gridCol w:w="3036"/>
        <w:gridCol w:w="1635"/>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34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30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Done</w:t>
            </w:r>
          </w:p>
        </w:tc>
        <w:tc>
          <w:tcPr>
            <w:tcW w:w="16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34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sheet current (addresses, versions, release tag, backups, monitoring, owners of the secrets)</w:t>
            </w:r>
          </w:p>
        </w:tc>
        <w:tc>
          <w:tcPr>
            <w:tcW w:w="3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1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34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 and alarms live and routed to the support team</w:t>
            </w:r>
          </w:p>
        </w:tc>
        <w:tc>
          <w:tcPr>
            <w:tcW w:w="3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1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34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Backups running; first restore test passed</w:t>
            </w:r>
          </w:p>
        </w:tc>
        <w:tc>
          <w:tcPr>
            <w:tcW w:w="3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1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Restore test of [date]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34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Sealed escrow copy of the encryption key and application secrets in place under dual control</w:t>
            </w:r>
          </w:p>
        </w:tc>
        <w:tc>
          <w:tcPr>
            <w:tcW w:w="3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 / Client hosted: Client confirms]</w:t>
            </w:r>
          </w:p>
        </w:tc>
        <w:tc>
          <w:tcPr>
            <w:tcW w:w="1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34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jobs reviewed with Accounting; daily health check started</w:t>
            </w:r>
          </w:p>
        </w:tc>
        <w:tc>
          <w:tcPr>
            <w:tcW w:w="3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1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34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Where the Client hosts: deployment guide handed over; release deployment responsibilities agreed</w:t>
            </w:r>
          </w:p>
        </w:tc>
        <w:tc>
          <w:tcPr>
            <w:tcW w:w="3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 / Not applicable]</w:t>
            </w:r>
          </w:p>
        </w:tc>
        <w:tc>
          <w:tcPr>
            <w:tcW w:w="16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bl>
    <w:p>
      <w:pPr>
        <w:pStyle w:val="Normal"/>
        <w:spacing w:before="0" w:after="80"/>
        <w:rPr/>
      </w:pPr>
      <w:r>
        <w:rPr/>
      </w:r>
    </w:p>
    <w:p>
      <w:pPr>
        <w:pStyle w:val="Heading2"/>
        <w:rPr/>
      </w:pPr>
      <w:bookmarkStart w:id="16" w:name="__RefHeading___Toc64531_4049217194"/>
      <w:bookmarkEnd w:id="16"/>
      <w:r>
        <w:rPr>
          <w:rFonts w:eastAsia="Segoe UI" w:cs="Segoe UI"/>
          <w:b/>
          <w:color w:val="0F4761"/>
          <w:sz w:val="26"/>
        </w:rPr>
        <w:t>7.3  Knowledge handover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5551"/>
        <w:gridCol w:w="1207"/>
        <w:gridCol w:w="1349"/>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555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12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Done</w:t>
            </w:r>
          </w:p>
        </w:tc>
        <w:tc>
          <w:tcPr>
            <w:tcW w:w="134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5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baseline as built in production handed to the System Administrator</w:t>
            </w:r>
          </w:p>
        </w:tc>
        <w:tc>
          <w:tcPr>
            <w:tcW w:w="1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1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5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log, defect log and RAID log closed or transferred</w:t>
            </w:r>
          </w:p>
        </w:tc>
        <w:tc>
          <w:tcPr>
            <w:tcW w:w="1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1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w:t>
            </w:r>
          </w:p>
        </w:tc>
        <w:tc>
          <w:tcPr>
            <w:tcW w:w="5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Knowledge base access given to the L1 contacts; known-error records published</w:t>
            </w:r>
          </w:p>
        </w:tc>
        <w:tc>
          <w:tcPr>
            <w:tcW w:w="1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1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w:t>
            </w:r>
          </w:p>
        </w:tc>
        <w:tc>
          <w:tcPr>
            <w:tcW w:w="5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control for configuration and data corrections in production explained (standard, normal and emergency changes)</w:t>
            </w:r>
          </w:p>
        </w:tc>
        <w:tc>
          <w:tcPr>
            <w:tcW w:w="1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1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w:t>
            </w:r>
          </w:p>
        </w:tc>
        <w:tc>
          <w:tcPr>
            <w:tcW w:w="5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process explained: release notes, UAT of releases, Client approval, deployment in the maintenance window</w:t>
            </w:r>
          </w:p>
        </w:tc>
        <w:tc>
          <w:tcPr>
            <w:tcW w:w="1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1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w:t>
            </w:r>
          </w:p>
        </w:tc>
        <w:tc>
          <w:tcPr>
            <w:tcW w:w="5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of users who join after go-live assigned to the key users</w:t>
            </w:r>
          </w:p>
        </w:tc>
        <w:tc>
          <w:tcPr>
            <w:tcW w:w="1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c>
          <w:tcPr>
            <w:tcW w:w="13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bl>
    <w:p>
      <w:pPr>
        <w:pStyle w:val="Normal"/>
        <w:spacing w:before="0" w:after="80"/>
        <w:rPr/>
      </w:pPr>
      <w:r>
        <w:rPr/>
      </w:r>
    </w:p>
    <w:p>
      <w:pPr>
        <w:pStyle w:val="Heading2"/>
        <w:rPr/>
      </w:pPr>
      <w:bookmarkStart w:id="17" w:name="__RefHeading___Toc64533_4049217194"/>
      <w:bookmarkEnd w:id="17"/>
      <w:r>
        <w:rPr>
          <w:rFonts w:eastAsia="Segoe UI" w:cs="Segoe UI"/>
          <w:b/>
          <w:color w:val="0F4761"/>
          <w:sz w:val="26"/>
        </w:rPr>
        <w:t>7.4  Commercial and contract items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67"/>
        <w:gridCol w:w="4041"/>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40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0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21</w:t>
            </w:r>
          </w:p>
        </w:tc>
        <w:tc>
          <w:tcPr>
            <w:tcW w:w="40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Warranty Period (perpetual)</w:t>
            </w:r>
          </w:p>
        </w:tc>
        <w:tc>
          <w:tcPr>
            <w:tcW w:w="4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w:t>
            </w:r>
          </w:p>
        </w:tc>
        <w:tc>
          <w:tcPr>
            <w:tcW w:w="40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 start and first AMC invoice (perpetual)</w:t>
            </w:r>
          </w:p>
        </w:tc>
        <w:tc>
          <w:tcPr>
            <w:tcW w:w="4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22% of the Licence Fee, yearly in advance, increasing 5% at each anniversary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23</w:t>
            </w:r>
          </w:p>
        </w:tc>
        <w:tc>
          <w:tcPr>
            <w:tcW w:w="40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Monthly Fee (subscription)</w:t>
            </w:r>
          </w:p>
        </w:tc>
        <w:tc>
          <w:tcPr>
            <w:tcW w:w="4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Billed from Go-Live: [date]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w:t>
            </w:r>
          </w:p>
        </w:tc>
        <w:tc>
          <w:tcPr>
            <w:tcW w:w="40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fee (if iorta TechNXT hosts)</w:t>
            </w:r>
          </w:p>
        </w:tc>
        <w:tc>
          <w:tcPr>
            <w:tcW w:w="4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Billed from environment handover: [date]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w:t>
            </w:r>
          </w:p>
        </w:tc>
        <w:tc>
          <w:tcPr>
            <w:tcW w:w="40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implementation milestones invoiced (40% on signing, 40% on UAT sign-off, 20% on go-live)</w:t>
            </w:r>
          </w:p>
        </w:tc>
        <w:tc>
          <w:tcPr>
            <w:tcW w:w="4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w:t>
            </w:r>
          </w:p>
        </w:tc>
        <w:tc>
          <w:tcPr>
            <w:tcW w:w="40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code escrow deposit due (perpetual, if selected)</w:t>
            </w:r>
          </w:p>
        </w:tc>
        <w:tc>
          <w:tcPr>
            <w:tcW w:w="4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60 days of Go-Live: by [date]</w:t>
            </w:r>
          </w:p>
        </w:tc>
      </w:tr>
    </w:tbl>
    <w:p>
      <w:pPr>
        <w:pStyle w:val="Heading1"/>
        <w:rPr/>
      </w:pPr>
      <w:r>
        <w:br w:type="page"/>
      </w:r>
      <w:bookmarkStart w:id="18" w:name="__RefHeading___Toc64535_4049217194"/>
      <w:bookmarkEnd w:id="18"/>
      <w:r>
        <w:rPr>
          <w:rFonts w:eastAsia="Segoe UI" w:cs="Segoe UI" w:ascii="Segoe UI" w:hAnsi="Segoe UI"/>
          <w:b/>
          <w:color w:val="0F4761"/>
          <w:sz w:val="32"/>
        </w:rPr>
        <w:t>8.  Decision and signatures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8"/>
        <w:gridCol w:w="6656"/>
      </w:tblGrid>
      <w:tr>
        <w:trPr>
          <w:tblHeader w:val="true"/>
        </w:trPr>
        <w:tc>
          <w:tcPr>
            <w:tcW w:w="23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66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Decision</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 accepted / Accepted with the open items above / Not accepted: criteria not met attached]</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Effect</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project team hands over to production support. From the handover date the service levels of the Support Agreement apply and tickets go through the service desk.</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Deemed acceptance</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If the Client neither signs nor gives a written list of the criteria not met within 5 Business Days of submission, the hypercare exit is deemed accepted under the SOW.</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916"/>
        <w:gridCol w:w="1653"/>
        <w:gridCol w:w="1539"/>
        <w:gridCol w:w="906"/>
      </w:tblGrid>
      <w:tr>
        <w:trPr>
          <w:tblHeader w:val="true"/>
        </w:trPr>
        <w:tc>
          <w:tcPr>
            <w:tcW w:w="491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16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Name</w:t>
            </w:r>
          </w:p>
        </w:tc>
        <w:tc>
          <w:tcPr>
            <w:tcW w:w="15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Signature</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Date</w:t>
            </w:r>
          </w:p>
        </w:tc>
      </w:tr>
      <w:tr>
        <w:trPr/>
        <w:tc>
          <w:tcPr>
            <w:tcW w:w="49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System Administrator</w:t>
            </w:r>
          </w:p>
        </w:tc>
        <w:tc>
          <w:tcPr>
            <w:tcW w:w="1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____________</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49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IT head</w:t>
            </w:r>
          </w:p>
        </w:tc>
        <w:tc>
          <w:tcPr>
            <w:tcW w:w="1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____________</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49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Accounting Manager</w:t>
            </w:r>
          </w:p>
        </w:tc>
        <w:tc>
          <w:tcPr>
            <w:tcW w:w="1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____________</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49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sponsor (accepts for the Client)</w:t>
            </w:r>
          </w:p>
        </w:tc>
        <w:tc>
          <w:tcPr>
            <w:tcW w:w="1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title]</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____________</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49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project manager</w:t>
            </w:r>
          </w:p>
        </w:tc>
        <w:tc>
          <w:tcPr>
            <w:tcW w:w="1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____________</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49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support manager</w:t>
            </w:r>
          </w:p>
        </w:tc>
        <w:tc>
          <w:tcPr>
            <w:tcW w:w="1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____________</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49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head of delivery</w:t>
            </w:r>
          </w:p>
        </w:tc>
        <w:tc>
          <w:tcPr>
            <w:tcW w:w="1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____________</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19" w:name="__RefHeading___Toc64537_4049217194"/>
      <w:bookmarkStart w:id="20" w:name="_Toc233203395"/>
      <w:bookmarkEnd w:id="19"/>
      <w:r>
        <w:rPr>
          <w:rStyle w:val="BookTitle"/>
          <w:bCs w:val="false"/>
          <w:i w:val="false"/>
          <w:iCs w:val="false"/>
          <w:spacing w:val="0"/>
        </w:rPr>
        <w:t>9.  Document Sign-Off</w:t>
      </w:r>
      <w:bookmarkEnd w:id="20"/>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before first use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5">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4">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4">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2026-10-04T01:46:12Z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