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3936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3938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3940_4049217194">
            <w:r>
              <w:rPr>
                <w:webHidden/>
                <w:rStyle w:val="IndexLink"/>
              </w:rPr>
              <w:t>3. About these templates</w:t>
              <w:tab/>
              <w:t>4</w:t>
            </w:r>
          </w:hyperlink>
        </w:p>
        <w:p>
          <w:pPr>
            <w:pStyle w:val="TOC2"/>
            <w:tabs>
              <w:tab w:val="clear" w:pos="900"/>
              <w:tab w:val="clear" w:pos="9350"/>
              <w:tab w:val="right" w:pos="9025" w:leader="dot"/>
            </w:tabs>
            <w:rPr/>
          </w:pPr>
          <w:hyperlink w:anchor="__RefHeading___Toc73942_4049217194">
            <w:r>
              <w:rPr>
                <w:webHidden/>
                <w:rStyle w:val="IndexLink"/>
              </w:rPr>
              <w:t>3.1 Purpose</w:t>
              <w:tab/>
              <w:t>4</w:t>
            </w:r>
          </w:hyperlink>
        </w:p>
        <w:p>
          <w:pPr>
            <w:pStyle w:val="TOC2"/>
            <w:tabs>
              <w:tab w:val="clear" w:pos="900"/>
              <w:tab w:val="clear" w:pos="9350"/>
              <w:tab w:val="right" w:pos="9025" w:leader="dot"/>
            </w:tabs>
            <w:rPr/>
          </w:pPr>
          <w:hyperlink w:anchor="__RefHeading___Toc73944_4049217194">
            <w:r>
              <w:rPr>
                <w:webHidden/>
                <w:rStyle w:val="IndexLink"/>
              </w:rPr>
              <w:t>3.2 How to use</w:t>
              <w:tab/>
              <w:t>4</w:t>
            </w:r>
          </w:hyperlink>
        </w:p>
        <w:p>
          <w:pPr>
            <w:pStyle w:val="TOC2"/>
            <w:tabs>
              <w:tab w:val="clear" w:pos="900"/>
              <w:tab w:val="clear" w:pos="9350"/>
              <w:tab w:val="right" w:pos="9025" w:leader="dot"/>
            </w:tabs>
            <w:rPr/>
          </w:pPr>
          <w:hyperlink w:anchor="__RefHeading___Toc73946_4049217194">
            <w:r>
              <w:rPr>
                <w:webHidden/>
                <w:rStyle w:val="IndexLink"/>
              </w:rPr>
              <w:t>3.3 Sources</w:t>
              <w:tab/>
              <w:t>5</w:t>
            </w:r>
          </w:hyperlink>
        </w:p>
        <w:p>
          <w:pPr>
            <w:pStyle w:val="TOC1"/>
            <w:tabs>
              <w:tab w:val="clear" w:pos="900"/>
              <w:tab w:val="clear" w:pos="9350"/>
              <w:tab w:val="right" w:pos="9025" w:leader="dot"/>
            </w:tabs>
            <w:rPr/>
          </w:pPr>
          <w:hyperlink w:anchor="__RefHeading___Toc73948_4049217194">
            <w:r>
              <w:rPr>
                <w:webHidden/>
                <w:rStyle w:val="IndexLink"/>
              </w:rPr>
              <w:t>4. Part A: Privacy impact assessment</w:t>
              <w:tab/>
              <w:t>6</w:t>
            </w:r>
          </w:hyperlink>
        </w:p>
        <w:p>
          <w:pPr>
            <w:pStyle w:val="TOC2"/>
            <w:tabs>
              <w:tab w:val="clear" w:pos="900"/>
              <w:tab w:val="clear" w:pos="9350"/>
              <w:tab w:val="right" w:pos="9025" w:leader="dot"/>
            </w:tabs>
            <w:rPr/>
          </w:pPr>
          <w:hyperlink w:anchor="__RefHeading___Toc73950_4049217194">
            <w:r>
              <w:rPr>
                <w:webHidden/>
                <w:rStyle w:val="IndexLink"/>
              </w:rPr>
              <w:t>4.1 Identification</w:t>
              <w:tab/>
              <w:t>6</w:t>
            </w:r>
          </w:hyperlink>
        </w:p>
        <w:p>
          <w:pPr>
            <w:pStyle w:val="TOC2"/>
            <w:tabs>
              <w:tab w:val="clear" w:pos="900"/>
              <w:tab w:val="clear" w:pos="9350"/>
              <w:tab w:val="right" w:pos="9025" w:leader="dot"/>
            </w:tabs>
            <w:rPr/>
          </w:pPr>
          <w:hyperlink w:anchor="__RefHeading___Toc73952_4049217194">
            <w:r>
              <w:rPr>
                <w:webHidden/>
                <w:rStyle w:val="IndexLink"/>
              </w:rPr>
              <w:t>4.2 Description of the processing</w:t>
              <w:tab/>
              <w:t>6</w:t>
            </w:r>
          </w:hyperlink>
        </w:p>
        <w:p>
          <w:pPr>
            <w:pStyle w:val="TOC2"/>
            <w:tabs>
              <w:tab w:val="clear" w:pos="900"/>
              <w:tab w:val="clear" w:pos="9350"/>
              <w:tab w:val="right" w:pos="9025" w:leader="dot"/>
            </w:tabs>
            <w:rPr/>
          </w:pPr>
          <w:hyperlink w:anchor="__RefHeading___Toc73954_4049217194">
            <w:r>
              <w:rPr>
                <w:webHidden/>
                <w:rStyle w:val="IndexLink"/>
              </w:rPr>
              <w:t>4.3 Data flow</w:t>
              <w:tab/>
              <w:t>7</w:t>
            </w:r>
          </w:hyperlink>
        </w:p>
        <w:p>
          <w:pPr>
            <w:pStyle w:val="TOC2"/>
            <w:tabs>
              <w:tab w:val="clear" w:pos="900"/>
              <w:tab w:val="clear" w:pos="9350"/>
              <w:tab w:val="right" w:pos="9025" w:leader="dot"/>
            </w:tabs>
            <w:rPr/>
          </w:pPr>
          <w:hyperlink w:anchor="__RefHeading___Toc73956_4049217194">
            <w:r>
              <w:rPr>
                <w:webHidden/>
                <w:rStyle w:val="IndexLink"/>
              </w:rPr>
              <w:t>4.4 Privacy principles</w:t>
              <w:tab/>
              <w:t>7</w:t>
            </w:r>
          </w:hyperlink>
        </w:p>
        <w:p>
          <w:pPr>
            <w:pStyle w:val="TOC2"/>
            <w:tabs>
              <w:tab w:val="clear" w:pos="900"/>
              <w:tab w:val="clear" w:pos="9350"/>
              <w:tab w:val="right" w:pos="9025" w:leader="dot"/>
            </w:tabs>
            <w:rPr/>
          </w:pPr>
          <w:hyperlink w:anchor="__RefHeading___Toc73958_4049217194">
            <w:r>
              <w:rPr>
                <w:webHidden/>
                <w:rStyle w:val="IndexLink"/>
              </w:rPr>
              <w:t>4.5 Risk assessment</w:t>
              <w:tab/>
              <w:t>8</w:t>
            </w:r>
          </w:hyperlink>
        </w:p>
        <w:p>
          <w:pPr>
            <w:pStyle w:val="TOC2"/>
            <w:tabs>
              <w:tab w:val="clear" w:pos="900"/>
              <w:tab w:val="clear" w:pos="9350"/>
              <w:tab w:val="right" w:pos="9025" w:leader="dot"/>
            </w:tabs>
            <w:rPr/>
          </w:pPr>
          <w:hyperlink w:anchor="__RefHeading___Toc73960_4049217194">
            <w:r>
              <w:rPr>
                <w:webHidden/>
                <w:rStyle w:val="IndexLink"/>
              </w:rPr>
              <w:t>4.6 Recommendations and action plan</w:t>
              <w:tab/>
              <w:t>9</w:t>
            </w:r>
          </w:hyperlink>
        </w:p>
        <w:p>
          <w:pPr>
            <w:pStyle w:val="TOC2"/>
            <w:tabs>
              <w:tab w:val="clear" w:pos="900"/>
              <w:tab w:val="clear" w:pos="9350"/>
              <w:tab w:val="right" w:pos="9025" w:leader="dot"/>
            </w:tabs>
            <w:rPr/>
          </w:pPr>
          <w:hyperlink w:anchor="__RefHeading___Toc73962_4049217194">
            <w:r>
              <w:rPr>
                <w:webHidden/>
                <w:rStyle w:val="IndexLink"/>
              </w:rPr>
              <w:t>4.7 Sign-off of the assessment</w:t>
              <w:tab/>
              <w:t>9</w:t>
            </w:r>
          </w:hyperlink>
        </w:p>
        <w:p>
          <w:pPr>
            <w:pStyle w:val="TOC1"/>
            <w:tabs>
              <w:tab w:val="clear" w:pos="900"/>
              <w:tab w:val="clear" w:pos="9350"/>
              <w:tab w:val="right" w:pos="9025" w:leader="dot"/>
            </w:tabs>
            <w:rPr/>
          </w:pPr>
          <w:hyperlink w:anchor="__RefHeading___Toc73964_4049217194">
            <w:r>
              <w:rPr>
                <w:webHidden/>
                <w:rStyle w:val="IndexLink"/>
              </w:rPr>
              <w:t>5. Part B: Records of processing activities</w:t>
              <w:tab/>
              <w:t>10</w:t>
            </w:r>
          </w:hyperlink>
        </w:p>
        <w:p>
          <w:pPr>
            <w:pStyle w:val="TOC2"/>
            <w:tabs>
              <w:tab w:val="clear" w:pos="900"/>
              <w:tab w:val="clear" w:pos="9350"/>
              <w:tab w:val="right" w:pos="9025" w:leader="dot"/>
            </w:tabs>
            <w:rPr/>
          </w:pPr>
          <w:hyperlink w:anchor="__RefHeading___Toc73966_4049217194">
            <w:r>
              <w:rPr>
                <w:webHidden/>
                <w:rStyle w:val="IndexLink"/>
              </w:rPr>
              <w:t>5.1 Controller and processor</w:t>
              <w:tab/>
              <w:t>10</w:t>
            </w:r>
          </w:hyperlink>
        </w:p>
        <w:p>
          <w:pPr>
            <w:pStyle w:val="TOC2"/>
            <w:tabs>
              <w:tab w:val="clear" w:pos="900"/>
              <w:tab w:val="clear" w:pos="9350"/>
              <w:tab w:val="right" w:pos="9025" w:leader="dot"/>
            </w:tabs>
            <w:rPr/>
          </w:pPr>
          <w:hyperlink w:anchor="__RefHeading___Toc73968_4049217194">
            <w:r>
              <w:rPr>
                <w:webHidden/>
                <w:rStyle w:val="IndexLink"/>
              </w:rPr>
              <w:t>5.2 Processing activities</w:t>
              <w:tab/>
              <w:t>10</w:t>
            </w:r>
          </w:hyperlink>
        </w:p>
        <w:p>
          <w:pPr>
            <w:pStyle w:val="TOC2"/>
            <w:tabs>
              <w:tab w:val="clear" w:pos="900"/>
              <w:tab w:val="clear" w:pos="9350"/>
              <w:tab w:val="right" w:pos="9025" w:leader="dot"/>
            </w:tabs>
            <w:rPr/>
          </w:pPr>
          <w:hyperlink w:anchor="__RefHeading___Toc73970_4049217194">
            <w:r>
              <w:rPr>
                <w:webHidden/>
                <w:rStyle w:val="IndexLink"/>
              </w:rPr>
              <w:t>5.3 Transfers outside the Philippines</w:t>
              <w:tab/>
              <w:t>12</w:t>
            </w:r>
          </w:hyperlink>
        </w:p>
        <w:p>
          <w:pPr>
            <w:pStyle w:val="TOC2"/>
            <w:tabs>
              <w:tab w:val="clear" w:pos="900"/>
              <w:tab w:val="clear" w:pos="9350"/>
              <w:tab w:val="right" w:pos="9025" w:leader="dot"/>
            </w:tabs>
            <w:rPr/>
          </w:pPr>
          <w:hyperlink w:anchor="__RefHeading___Toc73972_4049217194">
            <w:r>
              <w:rPr>
                <w:webHidden/>
                <w:rStyle w:val="IndexLink"/>
              </w:rPr>
              <w:t>5.4 Security measures (summary)</w:t>
              <w:tab/>
              <w:t>12</w:t>
            </w:r>
          </w:hyperlink>
        </w:p>
        <w:p>
          <w:pPr>
            <w:pStyle w:val="TOC2"/>
            <w:tabs>
              <w:tab w:val="clear" w:pos="900"/>
              <w:tab w:val="clear" w:pos="9350"/>
              <w:tab w:val="right" w:pos="9025" w:leader="dot"/>
            </w:tabs>
            <w:rPr/>
          </w:pPr>
          <w:hyperlink w:anchor="__RefHeading___Toc73974_4049217194">
            <w:r>
              <w:rPr>
                <w:webHidden/>
                <w:rStyle w:val="IndexLink"/>
              </w:rPr>
              <w:t>5.5 Review log</w:t>
              <w:tab/>
              <w:t>12</w:t>
            </w:r>
          </w:hyperlink>
        </w:p>
        <w:p>
          <w:pPr>
            <w:pStyle w:val="TOC1"/>
            <w:tabs>
              <w:tab w:val="clear" w:pos="900"/>
              <w:tab w:val="clear" w:pos="9350"/>
              <w:tab w:val="right" w:pos="9025" w:leader="dot"/>
            </w:tabs>
            <w:rPr/>
          </w:pPr>
          <w:hyperlink w:anchor="__RefHeading___Toc73976_4049217194">
            <w:r>
              <w:rPr>
                <w:webHidden/>
                <w:rStyle w:val="IndexLink"/>
                <w:i w:val="false"/>
                <w:iCs w:val="false"/>
              </w:rPr>
              <w:t>6.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3936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 by the broker</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pre-filled from the BrokerVerse data dictionary and configuration; completed and owned by the broker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3938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 of the DPA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Records of processing activities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3940_4049217194"/>
      <w:bookmarkEnd w:id="6"/>
      <w:r>
        <w:rPr>
          <w:rFonts w:eastAsia="Segoe UI" w:cs="Segoe UI" w:ascii="Segoe UI" w:hAnsi="Segoe UI"/>
          <w:b/>
          <w:color w:val="0F4761"/>
          <w:sz w:val="32"/>
        </w:rPr>
        <w:t>3.  About these templates</w:t>
      </w:r>
    </w:p>
    <w:p>
      <w:pPr>
        <w:pStyle w:val="Heading2"/>
        <w:rPr/>
      </w:pPr>
      <w:bookmarkStart w:id="7" w:name="__RefHeading___Toc73942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 broker is the personal information controller (PIC) for the personal data held in iNXT BrokerVerse OOTB; iorta TechNXT acts as personal information processor (PIP) when it hosts, supports or accesses the system. Under the Data Privacy Act of 2012, its IRR and the issuances of the NPC, the broker documents its processing and assesses the privacy risks of a new system before it goes live. This document gives the broker's DPO two working templates for BrokerVerse:</w:t>
      </w:r>
    </w:p>
    <w:p>
      <w:pPr>
        <w:pStyle w:val="Normal"/>
        <w:numPr>
          <w:ilvl w:val="0"/>
          <w:numId w:val="1"/>
        </w:numPr>
        <w:spacing w:before="0" w:after="60"/>
        <w:rPr/>
      </w:pPr>
      <w:r>
        <w:rPr>
          <w:rFonts w:eastAsia="Segoe UI" w:cs="Segoe UI" w:ascii="Segoe UI" w:hAnsi="Segoe UI"/>
          <w:color w:val="101820"/>
          <w:sz w:val="21"/>
        </w:rPr>
        <w:t>a privacy impact assessment (PIA) of the BrokerVerse implementation, following the structure of the NPC guidelines on privacy impact assessments (NPC Advisory 2017-03);</w:t>
      </w:r>
    </w:p>
    <w:p>
      <w:pPr>
        <w:pStyle w:val="Normal"/>
        <w:numPr>
          <w:ilvl w:val="0"/>
          <w:numId w:val="1"/>
        </w:numPr>
        <w:spacing w:before="0" w:after="60"/>
        <w:rPr/>
      </w:pPr>
      <w:r>
        <w:rPr>
          <w:rFonts w:eastAsia="Segoe UI" w:cs="Segoe UI" w:ascii="Segoe UI" w:hAnsi="Segoe UI"/>
          <w:color w:val="101820"/>
          <w:sz w:val="21"/>
        </w:rPr>
        <w:t>records of processing activities (ROPA) for the processing done in BrokerVerse, as part of the organisational security measures of the IRR.</w:t>
      </w:r>
    </w:p>
    <w:p>
      <w:pPr>
        <w:pStyle w:val="Normal"/>
        <w:spacing w:lineRule="auto" w:line="276" w:before="0" w:after="120"/>
        <w:rPr/>
      </w:pPr>
      <w:r>
        <w:rPr>
          <w:rFonts w:eastAsia="Segoe UI" w:cs="Segoe UI" w:ascii="Segoe UI" w:hAnsi="Segoe UI"/>
          <w:color w:val="101820"/>
          <w:sz w:val="21"/>
        </w:rPr>
        <w:t>Both are pre-filled with what BrokerVerse holds and does, taken from the data dictionary, the configuration and the code of the release. The broker completes the parts in [square brackets], removes processing it does not use, adds its own purposes and legal bases, and approves the result.</w:t>
      </w:r>
    </w:p>
    <w:p>
      <w:pPr>
        <w:pStyle w:val="Normal"/>
        <w:shd w:val="clear" w:color="auto" w:fill="EAF2FB"/>
        <w:spacing w:before="0" w:after="160"/>
        <w:ind w:left="170"/>
        <w:rPr/>
      </w:pPr>
      <w:r>
        <w:rPr>
          <w:rFonts w:eastAsia="Segoe UI" w:cs="Segoe UI" w:ascii="Segoe UI" w:hAnsi="Segoe UI"/>
          <w:color w:val="101820"/>
          <w:sz w:val="20"/>
        </w:rPr>
        <w:t>This document is not legal advice. The DPO confirms the legal bases, the retention periods and the NPC issuances in force at the date of the assessment, including the rules on registration (NPC Circular 2022-04) and on breach management (NPC Circular 16-03 or its replacement).</w:t>
      </w:r>
    </w:p>
    <w:p>
      <w:pPr>
        <w:pStyle w:val="Heading2"/>
        <w:rPr/>
      </w:pPr>
      <w:bookmarkStart w:id="8" w:name="__RefHeading___Toc73944_4049217194"/>
      <w:bookmarkEnd w:id="8"/>
      <w:r>
        <w:rPr>
          <w:rFonts w:eastAsia="Segoe UI" w:cs="Segoe UI"/>
          <w:b/>
          <w:color w:val="0F4761"/>
          <w:sz w:val="26"/>
        </w:rPr>
        <w:t>3.2  How to use</w:t>
      </w:r>
    </w:p>
    <w:p>
      <w:pPr>
        <w:pStyle w:val="Normal"/>
        <w:numPr>
          <w:ilvl w:val="0"/>
          <w:numId w:val="4"/>
        </w:numPr>
        <w:spacing w:before="0" w:after="60"/>
        <w:rPr/>
      </w:pPr>
      <w:r>
        <w:rPr>
          <w:rFonts w:eastAsia="Segoe UI" w:cs="Segoe UI" w:ascii="Segoe UI" w:hAnsi="Segoe UI"/>
          <w:color w:val="101820"/>
          <w:sz w:val="21"/>
        </w:rPr>
        <w:t>Hold a PIA workshop in the discovery phase with the DPO, the process owners (sales, placement, policy, claims, accounting), the broker's IT head and the iorta TechNXT project manager.</w:t>
      </w:r>
    </w:p>
    <w:p>
      <w:pPr>
        <w:pStyle w:val="Normal"/>
        <w:numPr>
          <w:ilvl w:val="0"/>
          <w:numId w:val="2"/>
        </w:numPr>
        <w:spacing w:before="0" w:after="60"/>
        <w:rPr/>
      </w:pPr>
      <w:r>
        <w:rPr>
          <w:rFonts w:eastAsia="Segoe UI" w:cs="Segoe UI" w:ascii="Segoe UI" w:hAnsi="Segoe UI"/>
          <w:color w:val="101820"/>
          <w:sz w:val="21"/>
        </w:rPr>
        <w:t>Walk through the records of processing (chapter 6) line by line; confirm or change each pre-filled line.</w:t>
      </w:r>
    </w:p>
    <w:p>
      <w:pPr>
        <w:pStyle w:val="Normal"/>
        <w:numPr>
          <w:ilvl w:val="0"/>
          <w:numId w:val="2"/>
        </w:numPr>
        <w:spacing w:before="0" w:after="60"/>
        <w:rPr/>
      </w:pPr>
      <w:r>
        <w:rPr>
          <w:rFonts w:eastAsia="Segoe UI" w:cs="Segoe UI" w:ascii="Segoe UI" w:hAnsi="Segoe UI"/>
          <w:color w:val="101820"/>
          <w:sz w:val="21"/>
        </w:rPr>
        <w:t>Rate the risks in chapter 5 with the scale below and agree the controls and owners.</w:t>
      </w:r>
    </w:p>
    <w:p>
      <w:pPr>
        <w:pStyle w:val="Normal"/>
        <w:numPr>
          <w:ilvl w:val="0"/>
          <w:numId w:val="2"/>
        </w:numPr>
        <w:spacing w:before="0" w:after="60"/>
        <w:rPr/>
      </w:pPr>
      <w:r>
        <w:rPr>
          <w:rFonts w:eastAsia="Segoe UI" w:cs="Segoe UI" w:ascii="Segoe UI" w:hAnsi="Segoe UI"/>
          <w:color w:val="101820"/>
          <w:sz w:val="21"/>
        </w:rPr>
        <w:t>Record the decisions taken in configuration (two-step verification roles, retention years, notice version, hosting location) in the configuration workbook.</w:t>
      </w:r>
    </w:p>
    <w:p>
      <w:pPr>
        <w:pStyle w:val="Normal"/>
        <w:numPr>
          <w:ilvl w:val="0"/>
          <w:numId w:val="2"/>
        </w:numPr>
        <w:spacing w:before="0" w:after="60"/>
        <w:rPr/>
      </w:pPr>
      <w:r>
        <w:rPr>
          <w:rFonts w:eastAsia="Segoe UI" w:cs="Segoe UI" w:ascii="Segoe UI" w:hAnsi="Segoe UI"/>
          <w:color w:val="101820"/>
          <w:sz w:val="21"/>
        </w:rPr>
        <w:t>The DPO signs the PIA before go-live; review it at least once a year and whenever the processing changes (new line of business, new hosting location, new integration).</w:t>
      </w:r>
    </w:p>
    <w:p>
      <w:pPr>
        <w:pStyle w:val="Heading2"/>
        <w:rPr/>
      </w:pPr>
      <w:bookmarkStart w:id="9" w:name="__RefHeading___Toc73946_4049217194"/>
      <w:bookmarkEnd w:id="9"/>
      <w:r>
        <w:rPr>
          <w:rFonts w:eastAsia="Segoe UI" w:cs="Segoe UI"/>
          <w:b/>
          <w:color w:val="0F4761"/>
          <w:sz w:val="26"/>
        </w:rPr>
        <w:t>3.3  Sources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Dictionary (chapter on personal data and retention)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and columns that hold personal, sensitive and credential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measures, hosting options, cross-border transfer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sub-processors, breach notice, return and deletion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chapter on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data subject requests, export and anonymisation</w:t>
            </w:r>
          </w:p>
        </w:tc>
      </w:tr>
    </w:tbl>
    <w:p>
      <w:pPr>
        <w:pStyle w:val="Heading1"/>
        <w:rPr/>
      </w:pPr>
      <w:r>
        <w:br w:type="page"/>
      </w:r>
      <w:bookmarkStart w:id="10" w:name="__RefHeading___Toc73948_4049217194"/>
      <w:bookmarkEnd w:id="10"/>
      <w:r>
        <w:rPr>
          <w:rFonts w:eastAsia="Segoe UI" w:cs="Segoe UI" w:ascii="Segoe UI" w:hAnsi="Segoe UI"/>
          <w:b/>
          <w:color w:val="0F4761"/>
          <w:sz w:val="32"/>
        </w:rPr>
        <w:t>4.  Part A: Privacy impact assessment</w:t>
      </w:r>
    </w:p>
    <w:p>
      <w:pPr>
        <w:pStyle w:val="Heading2"/>
        <w:rPr/>
      </w:pPr>
      <w:bookmarkStart w:id="11" w:name="__RefHeading___Toc73950_4049217194"/>
      <w:bookmarkEnd w:id="11"/>
      <w:r>
        <w:rPr>
          <w:rFonts w:eastAsia="Segoe UI" w:cs="Segoe UI"/>
          <w:b/>
          <w:color w:val="0F4761"/>
          <w:sz w:val="26"/>
        </w:rPr>
        <w:t>4.1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(PIC)</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contact]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assessed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release [1.0], insurance broking and broker accounting</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under the Data Processing Agreement dated [date]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Singapore / Philippine partner [name, city] / broker's own data centre]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team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functions]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assessment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review</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at most 12 months later]</w:t>
            </w:r>
          </w:p>
        </w:tc>
      </w:tr>
    </w:tbl>
    <w:p>
      <w:pPr>
        <w:pStyle w:val="Normal"/>
        <w:spacing w:before="0" w:after="80"/>
        <w:rPr/>
      </w:pPr>
      <w:r>
        <w:rPr/>
      </w:r>
    </w:p>
    <w:p>
      <w:pPr>
        <w:pStyle w:val="Heading2"/>
        <w:rPr/>
      </w:pPr>
      <w:bookmarkStart w:id="12" w:name="__RefHeading___Toc73952_4049217194"/>
      <w:bookmarkEnd w:id="12"/>
      <w:r>
        <w:rPr>
          <w:rFonts w:eastAsia="Segoe UI" w:cs="Segoe UI"/>
          <w:b/>
          <w:color w:val="0F4761"/>
          <w:sz w:val="26"/>
        </w:rPr>
        <w:t>4.2  Description of the processing</w:t>
      </w:r>
    </w:p>
    <w:p>
      <w:pPr>
        <w:pStyle w:val="Normal"/>
        <w:spacing w:lineRule="auto" w:line="276" w:before="0" w:after="120"/>
        <w:rPr/>
      </w:pPr>
      <w:r>
        <w:rPr>
          <w:rFonts w:eastAsia="Segoe UI" w:cs="Segoe UI" w:ascii="Segoe UI" w:hAnsi="Segoe UI"/>
          <w:color w:val="101820"/>
          <w:sz w:val="21"/>
        </w:rPr>
        <w:t>BrokerVerse supports the broker's business from the first contact with a prospect to the renewal of the policy, and the broker's accounting. Personal data enters the system when staff record a prospect, prepare a quotation, issue a policy, register a claim, record a payment or set up a referrer, and through uploads of go-live data from the old system. It leaves the system to insurers and reinsurers (requests for quotation, placement slips, loss advices, bordereaux, remittance statements), to clients (quotations, policy schedules, official receipts, invoices, reminders by e-mail), to payment gateways (payment links) and to the BIR (Form 2307 and alphalists prepared by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clients (insured persons and the contact persons of insured companies), drivers and third parties in claims, claimants and payees, referrers and sub-agents, staff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Volume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of clients, policies a year, claims a year,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contact details, addresses, birth date, gender, vehicle details, property locations, payment references, bank details of referrers, sign-in history of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type, number and image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birth date, injury and health details in claims where captured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encrypted two-step secrets, one-time links and tokens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System Administrator, Sales &amp; Marketing, Processing Team, Operations, Claims, Accounting, Accounting Manager; permissions checked by the server on every action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(L2, L3) for incidents and changes, under the Data Processing Agreement; [location of the support team]</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in the system</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and financial records kept; personal data of a client or prospect may be anonymised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operational logs deleted after their retention days</w:t>
            </w:r>
          </w:p>
        </w:tc>
      </w:tr>
    </w:tbl>
    <w:p>
      <w:pPr>
        <w:pStyle w:val="Normal"/>
        <w:spacing w:before="0" w:after="80"/>
        <w:rPr/>
      </w:pPr>
      <w:r>
        <w:rPr/>
      </w:r>
    </w:p>
    <w:p>
      <w:pPr>
        <w:pStyle w:val="Heading2"/>
        <w:rPr/>
      </w:pPr>
      <w:bookmarkStart w:id="13" w:name="__RefHeading___Toc73954_4049217194"/>
      <w:bookmarkEnd w:id="13"/>
      <w:r>
        <w:rPr>
          <w:rFonts w:eastAsia="Segoe UI" w:cs="Segoe UI"/>
          <w:b/>
          <w:color w:val="0F4761"/>
          <w:sz w:val="26"/>
        </w:rPr>
        <w:t>4.3  Data flow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the data enters or leaves</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Typed on the Prospects, Quotations, Policy, Claims and masters screens; uploaded from the go-live templates; client approval of a quotation through a signed link</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limited by configuration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for motor); upload type checked against file content; signed links that expire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placement, issue, servicing, claims, billing, remittance, commission, accounting,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permissions; maker-checker and authority limits; audit trail with before and after values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Disclosure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through the outbox (with PDF attachments for receipts, invoices, policy schedules and debit notes); PDF slips and statements; payment links to PayMongo or Dragonpay; CSV and Excel exports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Outbox with recipients and attachments listed; master switch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exports limited by permission; card data entered only on the gateway's page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database and file store at the hosting location; backups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database, files and backups (hosted options); TLS in transit; two-step secrets encrypted in the application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job; anonymisation from a data subject request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days;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anonymisation refused while records must be kept</w:t>
            </w:r>
          </w:p>
        </w:tc>
      </w:tr>
    </w:tbl>
    <w:p>
      <w:pPr>
        <w:pStyle w:val="Normal"/>
        <w:spacing w:before="0" w:after="80"/>
        <w:rPr/>
      </w:pPr>
      <w:r>
        <w:rPr/>
      </w:r>
    </w:p>
    <w:p>
      <w:pPr>
        <w:pStyle w:val="Heading2"/>
        <w:rPr/>
      </w:pPr>
      <w:bookmarkStart w:id="14" w:name="__RefHeading___Toc73956_4049217194"/>
      <w:bookmarkEnd w:id="14"/>
      <w:r>
        <w:rPr>
          <w:rFonts w:eastAsia="Segoe UI" w:cs="Segoe UI"/>
          <w:b/>
          <w:color w:val="0F4761"/>
          <w:sz w:val="26"/>
        </w:rPr>
        <w:t>4.4  Privacy principles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3704"/>
        <w:gridCol w:w="3695"/>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Principle</w:t>
            </w:r>
          </w:p>
        </w:tc>
        <w:tc>
          <w:tcPr>
            <w:tcW w:w="37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met</w:t>
            </w:r>
          </w:p>
        </w:tc>
        <w:tc>
          <w:tcPr>
            <w:tcW w:w="36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Gap or action for the broker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Transparency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of the broker; acknowledgement recorded as the Processing consent with the notice version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or update the privacy notice; set the notice version]</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Legitimate purpose</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Purposes in the records of processing (chapter 6); marketing only with the Marketing consent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purposes; brief the sales team]</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Proportionality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required for motor only by default; optional fields can be left empty</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optional fields are used]</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Corrections on the Clients and Prospects screens; Personal Details Change endorsement for issued policies; audit trail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Records kept for the insurance, tax and AMLA periods; anonymisation after </w:t>
            </w:r>
            <w:r>
              <w:rPr>
                <w:rFonts w:eastAsia="Consolas" w:cs="Consolas" w:ascii="Consolas" w:hAnsi="Consolas"/>
                <w:color w:val="101820"/>
                <w:kern w:val="0"/>
                <w:sz w:val="16"/>
                <w:szCs w:val="24"/>
                <w:lang w:val="en-US" w:eastAsia="ja-JP" w:bidi="ar-SA"/>
              </w:rPr>
              <w:t>privacy.retention_years</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retention schedule; set the years]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chapters of the Architecture, Infrastructure, Security and Data Privacy document; Annex 2 of the Data Processing Agreement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two-step verification roles; review access twice a year]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due date 15 calendar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as JSON or Excel, anonymisation, consent withdrawal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response period; switch on the overdue request job]</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Accountability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Data Processing Agreement with iorta TechNXT; sub-processors listed in its Annex 3</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with the NPC where required]</w:t>
            </w:r>
          </w:p>
        </w:tc>
      </w:tr>
    </w:tbl>
    <w:p>
      <w:pPr>
        <w:pStyle w:val="Normal"/>
        <w:spacing w:before="0" w:after="80"/>
        <w:rPr/>
      </w:pPr>
      <w:r>
        <w:rPr/>
      </w:r>
    </w:p>
    <w:p>
      <w:pPr>
        <w:pStyle w:val="Heading2"/>
        <w:rPr/>
      </w:pPr>
      <w:bookmarkStart w:id="15" w:name="__RefHeading___Toc73958_4049217194"/>
      <w:bookmarkEnd w:id="15"/>
      <w:r>
        <w:rPr>
          <w:rFonts w:eastAsia="Segoe UI" w:cs="Segoe UI"/>
          <w:b/>
          <w:color w:val="0F4761"/>
          <w:sz w:val="26"/>
        </w:rPr>
        <w:t>4.5  Risk assessment</w:t>
      </w:r>
    </w:p>
    <w:p>
      <w:pPr>
        <w:pStyle w:val="Normal"/>
        <w:spacing w:lineRule="auto" w:line="276" w:before="0" w:after="120"/>
        <w:rPr/>
      </w:pPr>
      <w:r>
        <w:rPr>
          <w:rFonts w:eastAsia="Segoe UI" w:cs="Segoe UI" w:ascii="Segoe UI" w:hAnsi="Segoe UI"/>
          <w:color w:val="101820"/>
          <w:sz w:val="21"/>
        </w:rPr>
        <w:t>Rate each risk on likelihood (1 Unlikely, 2 Possible, 3 Likely, 4 Almost certain) and impact (1 Negligible, 2 Limited, 3 Significant, 4 Maximum) for the data subjects. Risk = likelihood x impact: 1 to 3 Low, 4 to 8 Medium, 9 to 16 High. The ratings below are blank on purpose; the assessment team sets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498"/>
        <w:gridCol w:w="1680"/>
        <w:gridCol w:w="1361"/>
        <w:gridCol w:w="907"/>
        <w:gridCol w:w="906"/>
        <w:gridCol w:w="17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 to data subjects</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Existing controls in BrokerVerse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Further action and 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Unauthorised access by a staff user beyond the job</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deny by default; record scope for scoped roles; Access Reviews; dormant accounts deactivated after 90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takeover through a stolen password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policy, lockout after 5 failures, two-step verification per role, idle sign-out after 30 minutes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[Set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with personal data or attachments sent to the wrong address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 defaults to the client's e-mail; outbox shows recipients and attachments; retry only on failure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[Procedure for checking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Excess data shared with insurers and reinsurers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Slips and bordereaux carry the data the placement or claim needs; Sharing consent recorded</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(Excel, CSV, PDF) stored on laptops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limited by permission; audit of report runs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[Device and storage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kept longer than needed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after the retention years; housekeeping of logs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anonymisation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Cross-border transfer (hosting in Singapore)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certifications; encryption;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transfer in the notice and here]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Processor staff access to production data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staff, multi-factor sign-in, logged access (recommended hosting design)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 the access list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in the audit trail and in uploaded documents after anonymisation</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clears the party's fields; the audit trail keeps earlier values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[Decide the audit trail retention]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 detected or not notified in time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Alarms on failed sign-ins and token reuse (hosted); processor notice within the period of the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response team and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personal identifiers readable by a database administrator</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field-level encryption in this release; storage encryption and restricted database access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 or require a change request]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risk found in the workshop]</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6" w:name="__RefHeading___Toc73960_4049217194"/>
      <w:bookmarkEnd w:id="16"/>
      <w:r>
        <w:rPr>
          <w:rFonts w:eastAsia="Segoe UI" w:cs="Segoe UI"/>
          <w:b/>
          <w:color w:val="0F4761"/>
          <w:sz w:val="26"/>
        </w:rPr>
        <w:t>4.6  Recommendations and action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74"/>
        <w:gridCol w:w="1876"/>
        <w:gridCol w:w="165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w:t>
            </w:r>
          </w:p>
        </w:tc>
        <w:tc>
          <w:tcPr>
            <w:tcW w:w="1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Publish the privacy notice and set </w:t>
            </w:r>
            <w:r>
              <w:rPr>
                <w:rFonts w:eastAsia="Consolas" w:cs="Consolas" w:ascii="Consolas" w:hAnsi="Consolas"/>
                <w:color w:val="101820"/>
                <w:kern w:val="0"/>
                <w:sz w:val="14"/>
                <w:szCs w:val="24"/>
                <w:lang w:val="en-US" w:eastAsia="ja-JP" w:bidi="ar-SA"/>
              </w:rPr>
              <w:t>privacy.notice_version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Processing consent for clients at onboarding; Marketing consent before campaigns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head]</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From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two-step verification at least for System Administrator, Accounting and Accounting Manager</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Switch on the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 xml:space="preserve"> job (Master &gt; Schedules) and give </w:t>
            </w:r>
            <w:r>
              <w:rPr>
                <w:rFonts w:eastAsia="Consolas" w:cs="Consolas" w:ascii="Consolas" w:hAnsi="Consolas"/>
                <w:color w:val="101820"/>
                <w:kern w:val="0"/>
                <w:sz w:val="14"/>
                <w:szCs w:val="24"/>
                <w:lang w:val="en-US" w:eastAsia="ja-JP" w:bidi="ar-SA"/>
              </w:rPr>
              <w:t>read:privacy</w:t>
            </w:r>
            <w:r>
              <w:rPr>
                <w:rFonts w:eastAsia="Segoe UI" w:cs="Segoe UI" w:ascii="Segoe UI" w:hAnsi="Segoe UI"/>
                <w:color w:val="101820"/>
                <w:kern w:val="0"/>
                <w:sz w:val="16"/>
                <w:szCs w:val="24"/>
                <w:lang w:val="en-US" w:eastAsia="ja-JP" w:bidi="ar-SA"/>
              </w:rPr>
              <w:t xml:space="preserve"> to the privacy team</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Confirm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privacy.retention_years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phase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7" w:name="__RefHeading___Toc73962_4049217194"/>
      <w:bookmarkEnd w:id="17"/>
      <w:r>
        <w:rPr>
          <w:rFonts w:eastAsia="Segoe UI" w:cs="Segoe UI"/>
          <w:b/>
          <w:color w:val="0F4761"/>
          <w:sz w:val="26"/>
        </w:rPr>
        <w:t>4.7  Sign-off of the assessment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5"/>
        <w:gridCol w:w="906"/>
        <w:gridCol w:w="4806"/>
        <w:gridCol w:w="906"/>
      </w:tblGrid>
      <w:tr>
        <w:trPr>
          <w:tblHeader w:val="true"/>
        </w:trPr>
        <w:tc>
          <w:tcPr>
            <w:tcW w:w="2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4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actions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IT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8" w:name="__RefHeading___Toc73964_4049217194"/>
      <w:bookmarkEnd w:id="18"/>
      <w:r>
        <w:rPr>
          <w:rFonts w:eastAsia="Segoe UI" w:cs="Segoe UI" w:ascii="Segoe UI" w:hAnsi="Segoe UI"/>
          <w:b/>
          <w:color w:val="0F4761"/>
          <w:sz w:val="32"/>
        </w:rPr>
        <w:t>5.  Part B: Records of processing activities</w:t>
      </w:r>
    </w:p>
    <w:p>
      <w:pPr>
        <w:pStyle w:val="Heading2"/>
        <w:rPr/>
      </w:pPr>
      <w:bookmarkStart w:id="19" w:name="__RefHeading___Toc73966_4049217194"/>
      <w:bookmarkEnd w:id="19"/>
      <w:r>
        <w:rPr>
          <w:rFonts w:eastAsia="Segoe UI" w:cs="Segoe UI"/>
          <w:b/>
          <w:color w:val="0F4761"/>
          <w:sz w:val="26"/>
        </w:rPr>
        <w:t>5.1  Controller and processor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 [NPC registration number, if registered]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telephone]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of iNXT BrokerVerse OOTB, Data Processing Agreement dated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Annex 3 of the Data Processing Agreement: [hosting provider and region]; [e-mail provider, if any]; [support tooling]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[other systems]</w:t>
            </w:r>
          </w:p>
        </w:tc>
      </w:tr>
    </w:tbl>
    <w:p>
      <w:pPr>
        <w:pStyle w:val="Normal"/>
        <w:spacing w:before="0" w:after="80"/>
        <w:rPr/>
      </w:pPr>
      <w:r>
        <w:rPr/>
      </w:r>
    </w:p>
    <w:p>
      <w:pPr>
        <w:pStyle w:val="Heading2"/>
        <w:rPr/>
      </w:pPr>
      <w:bookmarkStart w:id="20" w:name="__RefHeading___Toc73968_4049217194"/>
      <w:bookmarkEnd w:id="20"/>
      <w:r>
        <w:rPr>
          <w:rFonts w:eastAsia="Segoe UI" w:cs="Segoe UI"/>
          <w:b/>
          <w:color w:val="0F4761"/>
          <w:sz w:val="26"/>
        </w:rPr>
        <w:t>5.2  Processing activities</w:t>
      </w:r>
    </w:p>
    <w:p>
      <w:pPr>
        <w:pStyle w:val="Normal"/>
        <w:spacing w:lineRule="auto" w:line="276" w:before="0" w:after="120"/>
        <w:rPr/>
      </w:pPr>
      <w:r>
        <w:rPr>
          <w:rFonts w:eastAsia="Segoe UI" w:cs="Segoe UI" w:ascii="Segoe UI" w:hAnsi="Segoe UI"/>
          <w:color w:val="101820"/>
          <w:sz w:val="21"/>
        </w:rPr>
        <w:t>One row per activity. The columns follow what the IRR expects the records to show: purpose, data subjects, categories of data, recipients, transfers, retention and security. The legal basis is the DPO's decision; the entries are suggestions.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60"/>
        <w:gridCol w:w="1210"/>
        <w:gridCol w:w="1104"/>
        <w:gridCol w:w="1165"/>
        <w:gridCol w:w="1263"/>
        <w:gridCol w:w="1184"/>
        <w:gridCol w:w="1165"/>
        <w:gridCol w:w="1263"/>
      </w:tblGrid>
      <w:tr>
        <w:trPr>
          <w:tblHeader w:val="true"/>
        </w:trPr>
        <w:tc>
          <w:tcPr>
            <w:tcW w:w="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 and purpose</w:t>
            </w:r>
          </w:p>
        </w:tc>
        <w:tc>
          <w:tcPr>
            <w:tcW w:w="11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subjects</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Personal data (sensitive in bold)</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in BrokerVerse</w:t>
            </w:r>
          </w:p>
        </w:tc>
        <w:tc>
          <w:tcPr>
            <w:tcW w:w="11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Legal basis (to confirm)</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Recipients</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Retention</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quotation: record prospects, price and send quotations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contact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company, e-mail, phone, address, gender, </w:t>
            </w:r>
            <w:r>
              <w:rPr>
                <w:rFonts w:eastAsia="Segoe UI" w:cs="Segoe UI" w:ascii="Segoe UI" w:hAnsi="Segoe UI"/>
                <w:b/>
                <w:color w:val="101820"/>
                <w:kern w:val="0"/>
                <w:sz w:val="16"/>
                <w:szCs w:val="24"/>
                <w:lang w:val="en-US" w:eastAsia="ja-JP" w:bidi="ar-SA"/>
              </w:rPr>
              <w:t>birth date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(corporate)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package_quotes</w:t>
            </w:r>
            <w:r>
              <w:rPr>
                <w:rFonts w:eastAsia="Segoe UI" w:cs="Segoe UI" w:ascii="Segoe UI" w:hAnsi="Segoe UI"/>
                <w:color w:val="101820"/>
                <w:kern w:val="0"/>
                <w:sz w:val="16"/>
                <w:szCs w:val="24"/>
                <w:lang w:val="en-US" w:eastAsia="ja-JP" w:bidi="ar-SA"/>
              </w:rPr>
              <w:t>; Operations &gt; Sales &amp; Marketing</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Steps at the request of the data subject before a contract; consent for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(quotation submitted); 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if not converted, then anonymise or delete]</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risk details, vehicle details, property location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broker_slips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placements</w:t>
            </w:r>
            <w:r>
              <w:rPr>
                <w:rFonts w:eastAsia="Segoe UI" w:cs="Segoe UI" w:ascii="Segoe UI" w:hAnsi="Segoe UI"/>
                <w:color w:val="101820"/>
                <w:kern w:val="0"/>
                <w:sz w:val="16"/>
                <w:szCs w:val="24"/>
                <w:lang w:val="en-US" w:eastAsia="ja-JP" w:bidi="ar-SA"/>
              </w:rPr>
              <w:t>; Request for Quotation, Placement Slips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with the data subject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and co-insurers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policy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 and servicing, including KYC</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contact details, address, vehicle (plate, chassis, motor number), </w:t>
            </w:r>
            <w:r>
              <w:rPr>
                <w:rFonts w:eastAsia="Segoe UI" w:cs="Segoe UI" w:ascii="Segoe UI" w:hAnsi="Segoe UI"/>
                <w:b/>
                <w:color w:val="101820"/>
                <w:kern w:val="0"/>
                <w:sz w:val="16"/>
                <w:szCs w:val="24"/>
                <w:lang w:val="en-US" w:eastAsia="ja-JP" w:bidi="ar-SA"/>
              </w:rPr>
              <w:t>government ID type, number and image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birth date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clients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policies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endorsements</w:t>
            </w:r>
            <w:r>
              <w:rPr>
                <w:rFonts w:eastAsia="Segoe UI" w:cs="Segoe UI" w:ascii="Segoe UI" w:hAnsi="Segoe UI"/>
                <w:color w:val="101820"/>
                <w:kern w:val="0"/>
                <w:sz w:val="16"/>
                <w:szCs w:val="24"/>
                <w:lang w:val="en-US" w:eastAsia="ja-JP" w:bidi="ar-SA"/>
              </w:rPr>
              <w:t>, documents; Operations &gt; Policy, Clients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(KYC, AMLA where it applies)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client (policy schedule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[Life of the policy plus 10 years;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handling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drivers, third parties, claimants, payees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Loss details and address, </w:t>
            </w:r>
            <w:r>
              <w:rPr>
                <w:rFonts w:eastAsia="Segoe UI" w:cs="Segoe UI" w:ascii="Segoe UI" w:hAnsi="Segoe UI"/>
                <w:b/>
                <w:color w:val="101820"/>
                <w:kern w:val="0"/>
                <w:sz w:val="16"/>
                <w:szCs w:val="24"/>
                <w:lang w:val="en-US" w:eastAsia="ja-JP" w:bidi="ar-SA"/>
              </w:rPr>
              <w:t>driver and third-party details</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injury details where captured</w:t>
            </w:r>
            <w:r>
              <w:rPr>
                <w:rFonts w:eastAsia="Segoe UI" w:cs="Segoe UI" w:ascii="Segoe UI" w:hAnsi="Segoe UI"/>
                <w:color w:val="101820"/>
                <w:kern w:val="0"/>
                <w:sz w:val="16"/>
                <w:szCs w:val="24"/>
                <w:lang w:val="en-US" w:eastAsia="ja-JP" w:bidi="ar-SA"/>
              </w:rPr>
              <w:t>, payee and bank details, claim documents and photos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w:t>
            </w:r>
            <w:r>
              <w:rPr>
                <w:rFonts w:eastAsia="Segoe UI" w:cs="Segoe UI" w:ascii="Segoe UI" w:hAnsi="Segoe UI"/>
                <w:color w:val="101820"/>
                <w:kern w:val="0"/>
                <w:sz w:val="16"/>
                <w:szCs w:val="24"/>
                <w:lang w:val="en-US" w:eastAsia="ja-JP" w:bidi="ar-SA"/>
              </w:rPr>
              <w:t>, claim documents; Operations &gt; Claims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establishment of legal claims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adjusters, reinsurers (recoveries)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[Closure of the claim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receipts, collections and online payments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payers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customer code, amounts, payment references, payer name, e-mail and mobile on payment links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receipts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policy_payments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payment_links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Accounts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(books of accounts)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(receipts and invoices by e-mail); payment gateways (PayMongo, Dragonpay)</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and accounting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(as insured)</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on remittance lines, statements and debit notes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commission_debit_note_lines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insurer_statement_lines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to referrers and sub-agents; withholding tax</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Referrers, sub-agents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e-mail, phone, bank name and account number, </w:t>
            </w:r>
            <w:r>
              <w:rPr>
                <w:rFonts w:eastAsia="Segoe UI" w:cs="Segoe UI" w:ascii="Segoe UI" w:hAnsi="Segoe UI"/>
                <w:b/>
                <w:color w:val="101820"/>
                <w:kern w:val="0"/>
                <w:sz w:val="16"/>
                <w:szCs w:val="24"/>
                <w:lang w:val="en-US" w:eastAsia="ja-JP" w:bidi="ar-SA"/>
              </w:rPr>
              <w:t>TIN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commission_referrers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disbursements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bir_2307_certificates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(withholding tax)</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(payment); BIR (Form 2307, QAP filed by the broker)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cessions and recoveries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sum insured, claim amounts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cessions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reinsurance_recoveries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legitimate interest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treaty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 campaigns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contact details, policy and premium</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renewal_notices</w:t>
            </w:r>
            <w:r>
              <w:rPr>
                <w:rFonts w:eastAsia="Segoe UI" w:cs="Segoe UI" w:ascii="Segoe UI" w:hAnsi="Segoe UI"/>
                <w:color w:val="101820"/>
                <w:kern w:val="0"/>
                <w:sz w:val="16"/>
                <w:szCs w:val="24"/>
                <w:lang w:val="en-US" w:eastAsia="ja-JP" w:bidi="ar-SA"/>
              </w:rPr>
              <w:t>; Operations &gt; Renewals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(renewal notices); consent for win-back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activity 3]</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and data subject requests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prospects, requesters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per purpose with evidence; requester name and contact; request details and outcome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privacy_consents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data_subject_requests</w:t>
            </w:r>
            <w:r>
              <w:rPr>
                <w:rFonts w:eastAsia="Segoe UI" w:cs="Segoe UI" w:ascii="Segoe UI" w:hAnsi="Segoe UI"/>
                <w:color w:val="101820"/>
                <w:kern w:val="0"/>
                <w:sz w:val="16"/>
                <w:szCs w:val="24"/>
                <w:lang w:val="en-US" w:eastAsia="ja-JP" w:bidi="ar-SA"/>
              </w:rPr>
              <w:t>; Master &gt; Data Privacy</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obligation (DPA)</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(export)</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as evidence; the DPO sets the period]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administration and security monitoring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Staff users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username, e-mail, phone, employee code, department, designation, reporting line, sign-in history with IP and browser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users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Master &gt; Generals &gt; User Management, Audit Trail</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Legitimate interest (security); contract of employment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support (incidents)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history 365 days (</w:t>
            </w:r>
            <w:r>
              <w:rPr>
                <w:rFonts w:eastAsia="Consolas" w:cs="Consolas" w:ascii="Consolas" w:hAnsi="Consolas"/>
                <w:color w:val="101820"/>
                <w:kern w:val="0"/>
                <w:sz w:val="14"/>
                <w:szCs w:val="24"/>
                <w:lang w:val="en-US" w:eastAsia="ja-JP" w:bidi="ar-SA"/>
              </w:rPr>
              <w:t>housekeeping.login_history_days</w:t>
            </w:r>
            <w:r>
              <w:rPr>
                <w:rFonts w:eastAsia="Segoe UI" w:cs="Segoe UI" w:ascii="Segoe UI" w:hAnsi="Segoe UI"/>
                <w:color w:val="101820"/>
                <w:kern w:val="0"/>
                <w:sz w:val="16"/>
                <w:szCs w:val="24"/>
                <w:lang w:val="en-US" w:eastAsia="ja-JP" w:bidi="ar-SA"/>
              </w:rPr>
              <w:t>); audit trail kept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delivery</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Recipients of e-mails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Address, cc, message body and attachments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email_outbox</w:t>
            </w:r>
            <w:r>
              <w:rPr>
                <w:rFonts w:eastAsia="Segoe UI" w:cs="Segoe UI" w:ascii="Segoe UI" w:hAnsi="Segoe UI"/>
                <w:color w:val="101820"/>
                <w:kern w:val="0"/>
                <w:sz w:val="16"/>
                <w:szCs w:val="24"/>
                <w:lang w:val="en-US" w:eastAsia="ja-JP" w:bidi="ar-SA"/>
              </w:rPr>
              <w:t>; Master &gt; E-mail Outbox</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activity the e-mail belongs to</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SMTP provider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180 days, failed 730 days (</w:t>
            </w:r>
            <w:r>
              <w:rPr>
                <w:rFonts w:eastAsia="Consolas" w:cs="Consolas" w:ascii="Consolas" w:hAnsi="Consolas"/>
                <w:color w:val="101820"/>
                <w:kern w:val="0"/>
                <w:sz w:val="14"/>
                <w:szCs w:val="24"/>
                <w:lang w:val="en-US" w:eastAsia="ja-JP" w:bidi="ar-SA"/>
              </w:rPr>
              <w:t>housekeeping.email_outbox_*</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activity of the broker]</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21" w:name="__RefHeading___Toc73970_4049217194"/>
      <w:bookmarkEnd w:id="21"/>
      <w:r>
        <w:rPr>
          <w:rFonts w:eastAsia="Segoe UI" w:cs="Segoe UI"/>
          <w:b/>
          <w:color w:val="0F4761"/>
          <w:sz w:val="26"/>
        </w:rPr>
        <w:t>5.3  Transfers outside the Philippines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90"/>
        <w:gridCol w:w="1688"/>
        <w:gridCol w:w="2790"/>
        <w:gridCol w:w="1745"/>
      </w:tblGrid>
      <w:tr>
        <w:trPr>
          <w:tblHeader w:val="true"/>
        </w:trPr>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Transfer</w:t>
            </w:r>
          </w:p>
        </w:tc>
        <w:tc>
          <w:tcPr>
            <w:tcW w:w="16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Country</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Safeguard</w:t>
            </w:r>
          </w:p>
        </w:tc>
        <w:tc>
          <w:tcPr>
            <w:tcW w:w="1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Recorded in the privacy notice</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database, files and backups (options A and B)</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provider's data processing terms and certifications; encryption</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access by iorta TechNXT staff</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of the support team]</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named staff; logged access</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or reinsurer abroad]</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22" w:name="__RefHeading___Toc73972_4049217194"/>
      <w:bookmarkEnd w:id="22"/>
      <w:r>
        <w:rPr>
          <w:rFonts w:eastAsia="Segoe UI" w:cs="Segoe UI"/>
          <w:b/>
          <w:color w:val="0F4761"/>
          <w:sz w:val="26"/>
        </w:rPr>
        <w:t>5.4  Security measures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privacy notice; Data Processing Agreement with the processor; access reviews twice a year (recommended); training of staff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controls of the hosting provider or partner; [broker office 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password policy and lockout; two-step verification per role; permission check on every action; maker-checker and authority limits; audit trail; HTTPS and TLS; storage encryption of database, files and backups; daily backups with point-in-time recovery; monitoring and alarms (hosted options)</w:t>
            </w:r>
          </w:p>
        </w:tc>
      </w:tr>
    </w:tbl>
    <w:p>
      <w:pPr>
        <w:pStyle w:val="Normal"/>
        <w:spacing w:before="0" w:after="80"/>
        <w:rPr/>
      </w:pPr>
      <w:r>
        <w:rPr/>
      </w:r>
    </w:p>
    <w:p>
      <w:pPr>
        <w:pStyle w:val="Heading2"/>
        <w:rPr/>
      </w:pPr>
      <w:bookmarkStart w:id="23" w:name="__RefHeading___Toc73974_4049217194"/>
      <w:bookmarkEnd w:id="23"/>
      <w:r>
        <w:rPr>
          <w:rFonts w:eastAsia="Segoe UI" w:cs="Segoe UI"/>
          <w:b/>
          <w:color w:val="0F4761"/>
          <w:sz w:val="26"/>
        </w:rPr>
        <w:t>5.5  Review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1"/>
        <w:gridCol w:w="6260"/>
        <w:gridCol w:w="1253"/>
      </w:tblGrid>
      <w:tr>
        <w:trPr>
          <w:tblHeader w:val="true"/>
        </w:trPr>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 to the records</w:t>
            </w:r>
          </w:p>
        </w:tc>
        <w:tc>
          <w:tcPr>
            <w:tcW w:w="1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By</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version for go-live</w:t>
            </w:r>
          </w:p>
        </w:tc>
        <w:tc>
          <w:tcPr>
            <w:tcW w:w="1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73976_4049217194"/>
      <w:bookmarkStart w:id="25" w:name="_Toc233203395"/>
      <w:bookmarkEnd w:id="24"/>
      <w:r>
        <w:rPr>
          <w:rStyle w:val="BookTitle"/>
          <w:bCs w:val="false"/>
          <w:i w:val="false"/>
          <w:iCs w:val="false"/>
          <w:spacing w:val="0"/>
        </w:rPr>
        <w:t>6.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The broker's DPO completes, confirms the legal references in force and approves the assessment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2026-10-04T01:46:17Z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