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2">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3">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3"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5"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7"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9"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Regulatory Compliance</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Regulatory Compliance</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1"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Matrix for Philippine brokers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Matrix for Philippine brokers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44145_4049217194">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144147_4049217194">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144149_4049217194">
            <w:r>
              <w:rPr>
                <w:webHidden/>
                <w:rStyle w:val="IndexLink"/>
              </w:rPr>
              <w:t>3. Introduction</w:t>
              <w:tab/>
              <w:t>4</w:t>
            </w:r>
          </w:hyperlink>
        </w:p>
        <w:p>
          <w:pPr>
            <w:pStyle w:val="TOC2"/>
            <w:tabs>
              <w:tab w:val="clear" w:pos="900"/>
              <w:tab w:val="clear" w:pos="9350"/>
              <w:tab w:val="right" w:pos="9025" w:leader="dot"/>
            </w:tabs>
            <w:rPr/>
          </w:pPr>
          <w:hyperlink w:anchor="__RefHeading___Toc144151_4049217194">
            <w:r>
              <w:rPr>
                <w:webHidden/>
                <w:rStyle w:val="IndexLink"/>
              </w:rPr>
              <w:t>3.1 Purpose</w:t>
              <w:tab/>
              <w:t>4</w:t>
            </w:r>
          </w:hyperlink>
        </w:p>
        <w:p>
          <w:pPr>
            <w:pStyle w:val="TOC2"/>
            <w:tabs>
              <w:tab w:val="clear" w:pos="900"/>
              <w:tab w:val="clear" w:pos="9350"/>
              <w:tab w:val="right" w:pos="9025" w:leader="dot"/>
            </w:tabs>
            <w:rPr/>
          </w:pPr>
          <w:hyperlink w:anchor="__RefHeading___Toc144153_4049217194">
            <w:r>
              <w:rPr>
                <w:webHidden/>
                <w:rStyle w:val="IndexLink"/>
              </w:rPr>
              <w:t>3.2 How to read this matrix</w:t>
              <w:tab/>
              <w:t>4</w:t>
            </w:r>
          </w:hyperlink>
        </w:p>
        <w:p>
          <w:pPr>
            <w:pStyle w:val="TOC1"/>
            <w:tabs>
              <w:tab w:val="clear" w:pos="900"/>
              <w:tab w:val="clear" w:pos="9350"/>
              <w:tab w:val="right" w:pos="9025" w:leader="dot"/>
            </w:tabs>
            <w:rPr/>
          </w:pPr>
          <w:hyperlink w:anchor="__RefHeading___Toc144155_4049217194">
            <w:r>
              <w:rPr>
                <w:webHidden/>
                <w:rStyle w:val="IndexLink"/>
              </w:rPr>
              <w:t>4. General controls used throughout</w:t>
              <w:tab/>
              <w:t>6</w:t>
            </w:r>
          </w:hyperlink>
        </w:p>
        <w:p>
          <w:pPr>
            <w:pStyle w:val="TOC1"/>
            <w:tabs>
              <w:tab w:val="clear" w:pos="900"/>
              <w:tab w:val="clear" w:pos="9350"/>
              <w:tab w:val="right" w:pos="9025" w:leader="dot"/>
            </w:tabs>
            <w:rPr/>
          </w:pPr>
          <w:hyperlink w:anchor="__RefHeading___Toc144157_4049217194">
            <w:r>
              <w:rPr>
                <w:webHidden/>
                <w:rStyle w:val="IndexLink"/>
              </w:rPr>
              <w:t>5. Insurance Code (RA 10607): broker obligations</w:t>
              <w:tab/>
              <w:t>7</w:t>
            </w:r>
          </w:hyperlink>
        </w:p>
        <w:p>
          <w:pPr>
            <w:pStyle w:val="TOC1"/>
            <w:tabs>
              <w:tab w:val="clear" w:pos="900"/>
              <w:tab w:val="clear" w:pos="9350"/>
              <w:tab w:val="right" w:pos="9025" w:leader="dot"/>
            </w:tabs>
            <w:rPr/>
          </w:pPr>
          <w:hyperlink w:anchor="__RefHeading___Toc144159_4049217194">
            <w:r>
              <w:rPr>
                <w:webHidden/>
                <w:rStyle w:val="IndexLink"/>
              </w:rPr>
              <w:t>6. BIR: taxes, receipts and books</w:t>
              <w:tab/>
              <w:t>9</w:t>
            </w:r>
          </w:hyperlink>
        </w:p>
        <w:p>
          <w:pPr>
            <w:pStyle w:val="TOC2"/>
            <w:tabs>
              <w:tab w:val="clear" w:pos="900"/>
              <w:tab w:val="clear" w:pos="9350"/>
              <w:tab w:val="right" w:pos="9025" w:leader="dot"/>
            </w:tabs>
            <w:rPr/>
          </w:pPr>
          <w:hyperlink w:anchor="__RefHeading___Toc144161_4049217194">
            <w:r>
              <w:rPr>
                <w:webHidden/>
                <w:rStyle w:val="IndexLink"/>
              </w:rPr>
              <w:t>6.1 Books of accounts and Computerized Accounting System</w:t>
              <w:tab/>
              <w:t>9</w:t>
            </w:r>
          </w:hyperlink>
        </w:p>
        <w:p>
          <w:pPr>
            <w:pStyle w:val="TOC2"/>
            <w:tabs>
              <w:tab w:val="clear" w:pos="900"/>
              <w:tab w:val="clear" w:pos="9350"/>
              <w:tab w:val="right" w:pos="9025" w:leader="dot"/>
            </w:tabs>
            <w:rPr/>
          </w:pPr>
          <w:hyperlink w:anchor="__RefHeading___Toc144163_4049217194">
            <w:r>
              <w:rPr>
                <w:webHidden/>
                <w:rStyle w:val="IndexLink"/>
              </w:rPr>
              <w:t>6.2 Invoices and receipts</w:t>
              <w:tab/>
              <w:t>9</w:t>
            </w:r>
          </w:hyperlink>
        </w:p>
        <w:p>
          <w:pPr>
            <w:pStyle w:val="TOC2"/>
            <w:tabs>
              <w:tab w:val="clear" w:pos="900"/>
              <w:tab w:val="clear" w:pos="9350"/>
              <w:tab w:val="right" w:pos="9025" w:leader="dot"/>
            </w:tabs>
            <w:rPr/>
          </w:pPr>
          <w:hyperlink w:anchor="__RefHeading___Toc144165_4049217194">
            <w:r>
              <w:rPr>
                <w:webHidden/>
                <w:rStyle w:val="IndexLink"/>
              </w:rPr>
              <w:t>6.3 VAT or percentage tax on commission</w:t>
              <w:tab/>
              <w:t>10</w:t>
            </w:r>
          </w:hyperlink>
        </w:p>
        <w:p>
          <w:pPr>
            <w:pStyle w:val="TOC2"/>
            <w:tabs>
              <w:tab w:val="clear" w:pos="900"/>
              <w:tab w:val="clear" w:pos="9350"/>
              <w:tab w:val="right" w:pos="9025" w:leader="dot"/>
            </w:tabs>
            <w:rPr/>
          </w:pPr>
          <w:hyperlink w:anchor="__RefHeading___Toc144167_4049217194">
            <w:r>
              <w:rPr>
                <w:webHidden/>
                <w:rStyle w:val="IndexLink"/>
              </w:rPr>
              <w:t>6.4 Withholding taxes</w:t>
              <w:tab/>
              <w:t>10</w:t>
            </w:r>
          </w:hyperlink>
        </w:p>
        <w:p>
          <w:pPr>
            <w:pStyle w:val="TOC2"/>
            <w:tabs>
              <w:tab w:val="clear" w:pos="900"/>
              <w:tab w:val="clear" w:pos="9350"/>
              <w:tab w:val="right" w:pos="9025" w:leader="dot"/>
            </w:tabs>
            <w:rPr/>
          </w:pPr>
          <w:hyperlink w:anchor="__RefHeading___Toc144169_4049217194">
            <w:r>
              <w:rPr>
                <w:webHidden/>
                <w:rStyle w:val="IndexLink"/>
              </w:rPr>
              <w:t>6.5 Summary lists and alphalists</w:t>
              <w:tab/>
              <w:t>11</w:t>
            </w:r>
          </w:hyperlink>
        </w:p>
        <w:p>
          <w:pPr>
            <w:pStyle w:val="TOC1"/>
            <w:tabs>
              <w:tab w:val="clear" w:pos="900"/>
              <w:tab w:val="clear" w:pos="9350"/>
              <w:tab w:val="right" w:pos="9025" w:leader="dot"/>
            </w:tabs>
            <w:rPr/>
          </w:pPr>
          <w:hyperlink w:anchor="__RefHeading___Toc144171_4049217194">
            <w:r>
              <w:rPr>
                <w:webHidden/>
                <w:rStyle w:val="IndexLink"/>
              </w:rPr>
              <w:t>7. Taxes and charges on premium</w:t>
              <w:tab/>
              <w:t>12</w:t>
            </w:r>
          </w:hyperlink>
        </w:p>
        <w:p>
          <w:pPr>
            <w:pStyle w:val="TOC1"/>
            <w:tabs>
              <w:tab w:val="clear" w:pos="900"/>
              <w:tab w:val="clear" w:pos="9350"/>
              <w:tab w:val="right" w:pos="9025" w:leader="dot"/>
            </w:tabs>
            <w:rPr/>
          </w:pPr>
          <w:hyperlink w:anchor="__RefHeading___Toc144173_4049217194">
            <w:r>
              <w:rPr>
                <w:webHidden/>
                <w:rStyle w:val="IndexLink"/>
              </w:rPr>
              <w:t>8. CTPL and motor rules</w:t>
              <w:tab/>
              <w:t>13</w:t>
            </w:r>
          </w:hyperlink>
        </w:p>
        <w:p>
          <w:pPr>
            <w:pStyle w:val="TOC1"/>
            <w:tabs>
              <w:tab w:val="clear" w:pos="900"/>
              <w:tab w:val="clear" w:pos="9350"/>
              <w:tab w:val="right" w:pos="9025" w:leader="dot"/>
            </w:tabs>
            <w:rPr/>
          </w:pPr>
          <w:hyperlink w:anchor="__RefHeading___Toc144175_4049217194">
            <w:r>
              <w:rPr>
                <w:webHidden/>
                <w:rStyle w:val="IndexLink"/>
              </w:rPr>
              <w:t>9. Data Privacy Act (RA 10173)</w:t>
              <w:tab/>
              <w:t>14</w:t>
            </w:r>
          </w:hyperlink>
        </w:p>
        <w:p>
          <w:pPr>
            <w:pStyle w:val="TOC1"/>
            <w:tabs>
              <w:tab w:val="clear" w:pos="900"/>
              <w:tab w:val="clear" w:pos="9350"/>
              <w:tab w:val="right" w:pos="9025" w:leader="dot"/>
            </w:tabs>
            <w:rPr/>
          </w:pPr>
          <w:hyperlink w:anchor="__RefHeading___Toc144177_4049217194">
            <w:r>
              <w:rPr>
                <w:webHidden/>
                <w:rStyle w:val="IndexLink"/>
              </w:rPr>
              <w:t>10. Anti-Money Laundering Act (where applicable)</w:t>
              <w:tab/>
              <w:t>16</w:t>
            </w:r>
          </w:hyperlink>
        </w:p>
        <w:p>
          <w:pPr>
            <w:pStyle w:val="TOC1"/>
            <w:tabs>
              <w:tab w:val="clear" w:pos="900"/>
              <w:tab w:val="clear" w:pos="9350"/>
              <w:tab w:val="right" w:pos="9025" w:leader="dot"/>
            </w:tabs>
            <w:rPr/>
          </w:pPr>
          <w:hyperlink w:anchor="__RefHeading___Toc144179_4049217194">
            <w:r>
              <w:rPr>
                <w:webHidden/>
                <w:rStyle w:val="IndexLink"/>
              </w:rPr>
              <w:t>11. Summary of what remains with the broker</w:t>
              <w:tab/>
              <w:t>17</w:t>
            </w:r>
          </w:hyperlink>
        </w:p>
        <w:p>
          <w:pPr>
            <w:pStyle w:val="TOC1"/>
            <w:tabs>
              <w:tab w:val="clear" w:pos="900"/>
              <w:tab w:val="clear" w:pos="9350"/>
              <w:tab w:val="right" w:pos="9025" w:leader="dot"/>
            </w:tabs>
            <w:rPr/>
          </w:pPr>
          <w:hyperlink w:anchor="__RefHeading___Toc144181_4049217194">
            <w:r>
              <w:rPr>
                <w:webHidden/>
                <w:rStyle w:val="IndexLink"/>
                <w:i w:val="false"/>
                <w:iCs w:val="false"/>
              </w:rPr>
              <w:t>12. Document Sign-Off</w:t>
            </w:r>
            <w:r>
              <w:rPr>
                <w:rStyle w:val="IndexLink"/>
              </w:rPr>
              <w:tab/>
              <w:t>18</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44145_40492171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44147_40492171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NIRC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Internal Revenue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 (RA 11976)</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Creditable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Alphanumeric tax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Alphalist of Withholding Taxes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Quarterly Alphalist of Payees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List of Sales and Purchases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Computerized Accounting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Authority to Print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Documentary stamp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Fire service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LGU</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unit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Land Transportation Office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(RA 10173)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Act (RA 9160, as amended)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CDD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Customer due diligence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44149_4049217194"/>
      <w:bookmarkEnd w:id="6"/>
      <w:r>
        <w:rPr>
          <w:rFonts w:eastAsia="Segoe UI" w:cs="Segoe UI" w:ascii="Segoe UI" w:hAnsi="Segoe UI"/>
          <w:b/>
          <w:color w:val="0F4761"/>
          <w:sz w:val="32"/>
        </w:rPr>
        <w:t>3.  Introduction</w:t>
      </w:r>
    </w:p>
    <w:p>
      <w:pPr>
        <w:pStyle w:val="Heading2"/>
        <w:rPr/>
      </w:pPr>
      <w:bookmarkStart w:id="7" w:name="__RefHeading___Toc144151_4049217194"/>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matrix shows how BrokerVerse OOTB supports the main regulatory obligations of a Philippine non-life insurance broker. For each obligation it gives the requirement in general terms, the screens, settings and reports of BrokerVerse that support it, and what remains the broker's responsibility.</w:t>
      </w:r>
    </w:p>
    <w:p>
      <w:pPr>
        <w:pStyle w:val="Heading2"/>
        <w:rPr/>
      </w:pPr>
      <w:bookmarkStart w:id="8" w:name="__RefHeading___Toc144153_4049217194"/>
      <w:bookmarkEnd w:id="8"/>
      <w:r>
        <w:rPr>
          <w:rFonts w:eastAsia="Segoe UI" w:cs="Segoe UI"/>
          <w:b/>
          <w:color w:val="0F4761"/>
          <w:sz w:val="26"/>
        </w:rPr>
        <w:t>3.2  How to read this matrix</w:t>
      </w:r>
    </w:p>
    <w:p>
      <w:pPr>
        <w:pStyle w:val="Normal"/>
        <w:numPr>
          <w:ilvl w:val="0"/>
          <w:numId w:val="1"/>
        </w:numPr>
        <w:spacing w:before="0" w:after="60"/>
        <w:rPr/>
      </w:pPr>
      <w:r>
        <w:rPr>
          <w:rFonts w:eastAsia="Segoe UI" w:cs="Segoe UI" w:ascii="Segoe UI" w:hAnsi="Segoe UI"/>
          <w:b/>
          <w:color w:val="101820"/>
          <w:sz w:val="21"/>
        </w:rPr>
        <w:t>Requirement</w:t>
      </w:r>
      <w:r>
        <w:rPr>
          <w:rFonts w:eastAsia="Segoe UI" w:cs="Segoe UI" w:ascii="Segoe UI" w:hAnsi="Segoe UI"/>
          <w:color w:val="101820"/>
          <w:sz w:val="21"/>
        </w:rPr>
        <w:t xml:space="preserve"> describes the obligation in general terms. It is not a legal text and does not quote circulars, regulations or rulings. The broker's compliance officer, tax adviser and DPO confirm the requirements that apply to the broker, at the current state of the law, and the exact forms, deadlines and formats.</w:t>
      </w:r>
    </w:p>
    <w:p>
      <w:pPr>
        <w:pStyle w:val="Normal"/>
        <w:numPr>
          <w:ilvl w:val="0"/>
          <w:numId w:val="1"/>
        </w:numPr>
        <w:spacing w:before="0" w:after="60"/>
        <w:rPr/>
      </w:pPr>
      <w:r>
        <w:rPr>
          <w:rFonts w:eastAsia="Segoe UI" w:cs="Segoe UI" w:ascii="Segoe UI" w:hAnsi="Segoe UI"/>
          <w:b/>
          <w:color w:val="101820"/>
          <w:sz w:val="21"/>
        </w:rPr>
        <w:t>How BrokerVerse supports it</w:t>
      </w:r>
      <w:r>
        <w:rPr>
          <w:rFonts w:eastAsia="Segoe UI" w:cs="Segoe UI" w:ascii="Segoe UI" w:hAnsi="Segoe UI"/>
          <w:color w:val="101820"/>
          <w:sz w:val="21"/>
        </w:rPr>
        <w:t xml:space="preserve"> names the screens (by menu path), settings (Master &gt; Configuration keys) and reports as they are in BrokerVerse OOTB version 1.0. Delivered values (rates, days) are the values the system ships with and can be changed in configuration.</w:t>
      </w:r>
    </w:p>
    <w:p>
      <w:pPr>
        <w:pStyle w:val="Normal"/>
        <w:numPr>
          <w:ilvl w:val="0"/>
          <w:numId w:val="1"/>
        </w:numPr>
        <w:spacing w:before="0" w:after="60"/>
        <w:rPr/>
      </w:pPr>
      <w:r>
        <w:rPr>
          <w:rFonts w:eastAsia="Segoe UI" w:cs="Segoe UI" w:ascii="Segoe UI" w:hAnsi="Segoe UI"/>
          <w:b/>
          <w:color w:val="101820"/>
          <w:sz w:val="21"/>
        </w:rPr>
        <w:t>Broker's responsibility</w:t>
      </w:r>
      <w:r>
        <w:rPr>
          <w:rFonts w:eastAsia="Segoe UI" w:cs="Segoe UI" w:ascii="Segoe UI" w:hAnsi="Segoe UI"/>
          <w:color w:val="101820"/>
          <w:sz w:val="21"/>
        </w:rPr>
        <w:t xml:space="preserve"> lists what the system does not do, and what the broker must decide, verify, file or keep.</w:t>
      </w:r>
    </w:p>
    <w:p>
      <w:pPr>
        <w:pStyle w:val="Normal"/>
        <w:shd w:val="clear" w:color="auto" w:fill="EAF2FB"/>
        <w:spacing w:before="0" w:after="160"/>
        <w:ind w:left="170"/>
        <w:rPr/>
      </w:pPr>
      <w:r>
        <w:rPr>
          <w:rFonts w:eastAsia="Segoe UI" w:cs="Segoe UI" w:ascii="Segoe UI" w:hAnsi="Segoe UI"/>
          <w:color w:val="101820"/>
          <w:sz w:val="20"/>
        </w:rPr>
        <w:t>This document is not legal or tax advice. The system produces records, working papers and controls. Registrations, filings, payments to government, notifications and the interpretation of the law remain with the broker.</w:t>
      </w:r>
      <w:r>
        <w:br w:type="page"/>
      </w:r>
    </w:p>
    <w:p>
      <w:pPr>
        <w:pStyle w:val="Heading1"/>
        <w:rPr/>
      </w:pPr>
      <w:bookmarkStart w:id="9" w:name="__RefHeading___Toc144155_4049217194"/>
      <w:bookmarkEnd w:id="9"/>
      <w:r>
        <w:rPr>
          <w:rFonts w:eastAsia="Segoe UI" w:cs="Segoe UI" w:ascii="Segoe UI" w:hAnsi="Segoe UI"/>
          <w:b/>
          <w:color w:val="0F4761"/>
          <w:sz w:val="32"/>
        </w:rPr>
        <w:t>4.  General controls used throughout</w:t>
      </w:r>
    </w:p>
    <w:p>
      <w:pPr>
        <w:pStyle w:val="Normal"/>
        <w:spacing w:lineRule="auto" w:line="276" w:before="0" w:after="120"/>
        <w:rPr/>
      </w:pPr>
      <w:r>
        <w:rPr>
          <w:rFonts w:eastAsia="Segoe UI" w:cs="Segoe UI" w:ascii="Segoe UI" w:hAnsi="Segoe UI"/>
          <w:color w:val="101820"/>
          <w:sz w:val="21"/>
        </w:rPr>
        <w:t>Several controls support every obligation in this matrix. They are referred to below without repeating them.</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040"/>
        <w:gridCol w:w="4973"/>
      </w:tblGrid>
      <w:tr>
        <w:trPr>
          <w:tblHeader w:val="true"/>
        </w:trPr>
        <w:tc>
          <w:tcPr>
            <w:tcW w:w="4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w:t>
            </w:r>
          </w:p>
        </w:tc>
        <w:tc>
          <w:tcPr>
            <w:tcW w:w="49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provides it</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user IDs and role-based access</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Seven roles; deny by default; menus and every API action checked against the role's permissions (Master &gt; Generals &gt; User Management)</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 journal vouchers, payment vouchers, commission payouts, remittances, debit notes, claim settlements, month-end and year-end close, bank reconciliations (user manual, chapter 3)</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Audit Trail: every create, update, approval, report run and sign-in, with before and after values; entries are kept (</w:t>
            </w:r>
            <w:r>
              <w:rPr>
                <w:rFonts w:eastAsia="Consolas" w:cs="Consolas" w:ascii="Consolas" w:hAnsi="Consolas"/>
                <w:color w:val="101820"/>
                <w:kern w:val="0"/>
                <w:sz w:val="16"/>
                <w:szCs w:val="24"/>
                <w:lang w:val="en-US" w:eastAsia="ja-JP" w:bidi="ar-SA"/>
              </w:rPr>
              <w:t>housekeeping.audit_log_days</w:t>
            </w:r>
            <w:r>
              <w:rPr>
                <w:rFonts w:eastAsia="Segoe UI" w:cs="Segoe UI" w:ascii="Segoe UI" w:hAnsi="Segoe UI"/>
                <w:color w:val="101820"/>
                <w:kern w:val="0"/>
                <w:sz w:val="18"/>
                <w:szCs w:val="24"/>
                <w:lang w:val="en-US" w:eastAsia="ja-JP" w:bidi="ar-SA"/>
              </w:rPr>
              <w:t xml:space="preserve"> is 0)</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Numbered documents</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61 number series in Master &gt; Document Numbering; counters only move forward</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control</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 &gt; Period Management: open, soft-closed, closed and locked periods; reopening needs a remark and is recorded</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Printed documents</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document and report PDF carries the letterhead of the primary company (name, address, TIN, contact details) from the Company master</w:t>
            </w:r>
          </w:p>
        </w:tc>
      </w:tr>
    </w:tbl>
    <w:p>
      <w:pPr>
        <w:pStyle w:val="Heading1"/>
        <w:rPr/>
      </w:pPr>
      <w:r>
        <w:br w:type="page"/>
      </w:r>
      <w:bookmarkStart w:id="10" w:name="__RefHeading___Toc144157_4049217194"/>
      <w:bookmarkEnd w:id="10"/>
      <w:r>
        <w:rPr>
          <w:rFonts w:eastAsia="Segoe UI" w:cs="Segoe UI" w:ascii="Segoe UI" w:hAnsi="Segoe UI"/>
          <w:b/>
          <w:color w:val="0F4761"/>
          <w:sz w:val="32"/>
        </w:rPr>
        <w:t>5.  Insurance Code (RA 10607): broker obligations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 of business. A licensed broker keeps complete records of the insurance it places (clients, insurers, policies, premiums, commissions) and makes them available to the IC on examination.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records: Request for Quotation (broker slips, offers), Quotations, Placement Slips with each insurer's confirmation, policies with participants, endorsements, claims, renewals, each with its number series and audit trail. Reports: Production Register, Premium by Product / Month / Insurer, Co-insurance Register, Broker Commission Statement, Claims Position, Renewal Retention (Reports &gt; All Reports; XLSX, CSV or PDF)</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records for the period the IC requires, including records of the old system; provide them on examination; keep the IC licence current (licence number held on the Company master)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Premiums collected are held for the insurer. Premium a broker collects from clients belongs to the insurer and must be accounted for separately from the broker's own funds.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ledger keeps premium due to each insurer apart from commission income: the policy journal credits Premiums Payable to Insurers per insurer and Brokerage Commission Income separately; VAT, DST and LGT on premium go to their own accounts (</w:t>
            </w:r>
            <w:r>
              <w:rPr>
                <w:rFonts w:eastAsia="Consolas" w:cs="Consolas" w:ascii="Consolas" w:hAnsi="Consolas"/>
                <w:color w:val="101820"/>
                <w:kern w:val="0"/>
                <w:sz w:val="16"/>
                <w:szCs w:val="24"/>
                <w:lang w:val="en-US" w:eastAsia="ja-JP" w:bidi="ar-SA"/>
              </w:rPr>
              <w:t>accounting.split_premium_taxes</w:t>
            </w:r>
            <w:r>
              <w:rPr>
                <w:rFonts w:eastAsia="Segoe UI" w:cs="Segoe UI" w:ascii="Segoe UI" w:hAnsi="Segoe UI"/>
                <w:color w:val="101820"/>
                <w:kern w:val="0"/>
                <w:sz w:val="18"/>
                <w:szCs w:val="24"/>
                <w:lang w:val="en-US" w:eastAsia="ja-JP" w:bidi="ar-SA"/>
              </w:rPr>
              <w:t>). The delivered chart of accounts has Cash in Bank - Premium Trust Account (Clients' Money); bank accounts can be set up as Trust Account and linked to it. Reports: Due to Insurers by Co-insurer, Aged Payables to Insurers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whether to keep premiums in a separate trust bank account and receive collections there; reconcile it monthly (Accounts &gt; Bank Reconciliation)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to insurers within the agreed terms. The broker remits premium collected, net of its commission where the agreement allows, within the terms agreed with each insurer.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Insurance Company master: Remittance Terms (days after collection), else </w:t>
            </w:r>
            <w:r>
              <w:rPr>
                <w:rFonts w:eastAsia="Consolas" w:cs="Consolas" w:ascii="Consolas" w:hAnsi="Consolas"/>
                <w:color w:val="101820"/>
                <w:kern w:val="0"/>
                <w:sz w:val="16"/>
                <w:szCs w:val="24"/>
                <w:lang w:val="en-US" w:eastAsia="ja-JP" w:bidi="ar-SA"/>
              </w:rPr>
              <w:t>remittance.default_due_days</w:t>
            </w:r>
            <w:r>
              <w:rPr>
                <w:rFonts w:eastAsia="Segoe UI" w:cs="Segoe UI" w:ascii="Segoe UI" w:hAnsi="Segoe UI"/>
                <w:color w:val="101820"/>
                <w:kern w:val="0"/>
                <w:sz w:val="18"/>
                <w:szCs w:val="24"/>
                <w:lang w:val="en-US" w:eastAsia="ja-JP" w:bidi="ar-SA"/>
              </w:rPr>
              <w:t xml:space="preserve"> (delivered 30). Accounts &gt; Remittance: Automated Processing builds the remittance per insurer net of commission, approved within the approver's limit in Master &gt; Generals &gt; User Management &gt; Authority Matrix (Remittance approval and Remittance settlement; delivered limits: Accounting up to PHP 1,000,000.00, Accounting Manager without limit), settlement by payment voucher, Electronic Transfer records, Tracking, Statements and Reconciliation. Accounts &gt; Credit Control &gt; Remittance Ageing; Aged Payables to Insurers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Agree the terms with each insurer and enter them; run the remittance and make the payments in time; settle the amounts due at go-live by payment voucher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payment and credit terms. Under the Insurance Code a non-life policy is not binding until the premium is paid, except where a credit term is allowed, for example under broker agreements with the insurers.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Insurance Company master: Premium Payment Warranty (days), else </w:t>
            </w:r>
            <w:r>
              <w:rPr>
                <w:rFonts w:eastAsia="Consolas" w:cs="Consolas" w:ascii="Consolas" w:hAnsi="Consolas"/>
                <w:color w:val="101820"/>
                <w:kern w:val="0"/>
                <w:sz w:val="16"/>
                <w:szCs w:val="24"/>
                <w:lang w:val="en-US" w:eastAsia="ja-JP" w:bidi="ar-SA"/>
              </w:rPr>
              <w:t>collections.default_credit_days</w:t>
            </w:r>
            <w:r>
              <w:rPr>
                <w:rFonts w:eastAsia="Segoe UI" w:cs="Segoe UI" w:ascii="Segoe UI" w:hAnsi="Segoe UI"/>
                <w:color w:val="101820"/>
                <w:kern w:val="0"/>
                <w:sz w:val="18"/>
                <w:szCs w:val="24"/>
                <w:lang w:val="en-US" w:eastAsia="ja-JP" w:bidi="ar-SA"/>
              </w:rPr>
              <w:t xml:space="preserve"> (delivered 30), sets the due date of each premium bill. Accounts &gt; Collections with ageing (30, 60, 90, 120 days); Collection reminders job (daily 08:00); Accounts &gt; Credit Control &gt; Premium Warranty Monitor and Instalment Plans; claims on a policy with unpaid premium are refused (</w:t>
            </w:r>
            <w:r>
              <w:rPr>
                <w:rFonts w:eastAsia="Consolas" w:cs="Consolas" w:ascii="Consolas" w:hAnsi="Consolas"/>
                <w:color w:val="101820"/>
                <w:kern w:val="0"/>
                <w:sz w:val="16"/>
                <w:szCs w:val="24"/>
                <w:lang w:val="en-US" w:eastAsia="ja-JP" w:bidi="ar-SA"/>
              </w:rPr>
              <w:t>claims.block_unpaid_premium</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Agree the credit terms with each insurer; follow up unpaid premium; notify the insurer and handle cancellation for non-payment as the insurer agreement and the law require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for premium collected. Every collection is acknowledged with a receipt and accounted for.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Receipts: official receipts against open bills from the Official Receipt series, printed on the letterhead; only Accounting posts receipts; other roles record the payment for verification; returned cheques cancel the receipt and reopen the bill. Receipts Register; Collection Report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 the receipt series with the BIR (see chapter 6) and set the next number to match; keep cancelled receipts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The broker accounts for the commission it earns from each insurer and for commission it shares with sub-agents or referrers.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per insurer, product and cover (Master &gt; Finance &gt; Commission Rate Matrix); commission income per insurer on each policy; direct bill commission debit notes; referrer commission payable only after full collection (</w:t>
            </w:r>
            <w:r>
              <w:rPr>
                <w:rFonts w:eastAsia="Consolas" w:cs="Consolas" w:ascii="Consolas" w:hAnsi="Consolas"/>
                <w:color w:val="101820"/>
                <w:kern w:val="0"/>
                <w:sz w:val="16"/>
                <w:szCs w:val="24"/>
                <w:lang w:val="en-US" w:eastAsia="ja-JP" w:bidi="ar-SA"/>
              </w:rPr>
              <w:t>commission.require_full_payment</w:t>
            </w:r>
            <w:r>
              <w:rPr>
                <w:rFonts w:eastAsia="Segoe UI" w:cs="Segoe UI" w:ascii="Segoe UI" w:hAnsi="Segoe UI"/>
                <w:color w:val="101820"/>
                <w:kern w:val="0"/>
                <w:sz w:val="18"/>
                <w:szCs w:val="24"/>
                <w:lang w:val="en-US" w:eastAsia="ja-JP" w:bidi="ar-SA"/>
              </w:rPr>
              <w:t>) with withholding tax. Broker Commission Statement; Commission Dashboard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Ensure commission rates match the agreements and the limits that apply; ensure sharing with referrers is allowed under the IC rules for the persons concerned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with authorised insurers. A broker places business with insurers authorised to do business in the Philippines.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are placed with and issued for insurers kept in the Insurance Company master (Master &gt; Generals &gt; Insurance Management)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insurer master to authorised insurers; check the status of each insurer's certificate of authority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to the IC. The broker submits the reports and financial statements the IC requires.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Financial statements (Accounts &gt; Period End &gt; Financial Statements; Income Statement, Balance Sheet, Trial Balance reports) and production reports provide the figures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Prepare and file the IC reports in the IC's format; the system has no IC-format report</w:t>
            </w:r>
          </w:p>
        </w:tc>
      </w:tr>
    </w:tbl>
    <w:p>
      <w:pPr>
        <w:pStyle w:val="Heading1"/>
        <w:rPr/>
      </w:pPr>
      <w:r>
        <w:br w:type="page"/>
      </w:r>
      <w:bookmarkStart w:id="11" w:name="__RefHeading___Toc144159_4049217194"/>
      <w:bookmarkEnd w:id="11"/>
      <w:r>
        <w:rPr>
          <w:rFonts w:eastAsia="Segoe UI" w:cs="Segoe UI" w:ascii="Segoe UI" w:hAnsi="Segoe UI"/>
          <w:b/>
          <w:color w:val="0F4761"/>
          <w:sz w:val="32"/>
        </w:rPr>
        <w:t>6.  BIR: taxes, receipts and books</w:t>
      </w:r>
    </w:p>
    <w:p>
      <w:pPr>
        <w:pStyle w:val="Heading2"/>
        <w:rPr/>
      </w:pPr>
      <w:bookmarkStart w:id="12" w:name="__RefHeading___Toc144161_4049217194"/>
      <w:bookmarkEnd w:id="12"/>
      <w:r>
        <w:rPr>
          <w:rFonts w:eastAsia="Segoe UI" w:cs="Segoe UI"/>
          <w:b/>
          <w:color w:val="0F4761"/>
          <w:sz w:val="26"/>
        </w:rPr>
        <w:t>6.1  Books of accounts and Computerized Accounting System</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Books of accounts. A taxpayer keeps books of accounts (journals and ledgers) and preserves them, with supporting documents, for the period the NIRC requires.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Double-entry general ledger: every operational event posts a journal from its posting rule (Master &gt; Finance &gt; Posting Rules); Journal Voucher, Correction JV, Reversal JV; General Ledger Detail, Journal Register, Trial Balance, Trial Balance (Opening / Movement / Closing), Income Statement, Balance Sheet. Journals cannot be posted unbalanced, on inactive accounts or into closed periods; each journal points back to its source document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the form of the books (computerized books, or printed loose-leaf books) with the tax adviser; print, bind or submit them as the BIR requires; preserve them for the required period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Registration of a computerized accounting system. A taxpayer who keeps its books or issues its receipts or invoices with a computerized system registers it with the BIR, or obtains the acknowledgement the current regulations provide for, before use.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system provides what a registration file typically needs: a description of the modules and controls (this documentation package and the user manual), sample outputs of journals, ledgers, trial balance and receipts, the number series with their counters, the audit trail, user access controls and period locks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the registration or acknowledgement application under the current BIR rules, with the system description and sample outputs; register any change the BIR requires to be registered; keep the system version on record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Taxpayer details on documents. Registered name, address and TIN appear on documents and BIR forms.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Company master: company name, TIN, address; printed on every document and report. BIR group in Master &gt; Configuration: </w:t>
            </w:r>
            <w:r>
              <w:rPr>
                <w:rFonts w:eastAsia="Consolas" w:cs="Consolas" w:ascii="Consolas" w:hAnsi="Consolas"/>
                <w:color w:val="101820"/>
                <w:kern w:val="0"/>
                <w:sz w:val="16"/>
                <w:szCs w:val="24"/>
                <w:lang w:val="en-US" w:eastAsia="ja-JP" w:bidi="ar-SA"/>
              </w:rPr>
              <w:t>bir.withholding_agent_tin</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bir.registered_name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bir.registered_address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bir.zip_code</w:t>
            </w:r>
            <w:r>
              <w:rPr>
                <w:rFonts w:eastAsia="Segoe UI" w:cs="Segoe UI" w:ascii="Segoe UI" w:hAnsi="Segoe UI"/>
                <w:color w:val="101820"/>
                <w:kern w:val="0"/>
                <w:sz w:val="18"/>
                <w:szCs w:val="24"/>
                <w:lang w:val="en-US" w:eastAsia="ja-JP" w:bidi="ar-SA"/>
              </w:rPr>
              <w:t xml:space="preserve"> (delivered empty) for the BIR forms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Fill in the BIR settings before the first filing; keep the Company master the same as the BIR registration</w:t>
            </w:r>
          </w:p>
        </w:tc>
      </w:tr>
    </w:tbl>
    <w:p>
      <w:pPr>
        <w:pStyle w:val="Normal"/>
        <w:spacing w:before="0" w:after="80"/>
        <w:rPr/>
      </w:pPr>
      <w:r>
        <w:rPr/>
      </w:r>
    </w:p>
    <w:p>
      <w:pPr>
        <w:pStyle w:val="Heading2"/>
        <w:rPr/>
      </w:pPr>
      <w:bookmarkStart w:id="13" w:name="__RefHeading___Toc144163_4049217194"/>
      <w:bookmarkEnd w:id="13"/>
      <w:r>
        <w:rPr>
          <w:rFonts w:eastAsia="Segoe UI" w:cs="Segoe UI"/>
          <w:b/>
          <w:color w:val="0F4761"/>
          <w:sz w:val="26"/>
        </w:rPr>
        <w:t>6.2  Invoices and receipts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Invoices and receipts under the EOPT Act. Under the EOPT Act the invoice is the primary document for a sale of services, including VAT on services; an official receipt is a supplementary document. Invoices and receipts are registered and printed or generated as the BIR requires.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series for the documents the broker issues: invoice / bill (INV), official receipt (OR, RT), commission debit note to insurers (DN), payment voucher (PV), BIR Form 2307 (CWT) and others; next numbers can continue the old system's numbering; printed on the letterhead with TIN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with the tax adviser which BrokerVerse documents serve as the broker's registered invoices and receipts (for example the commission debit note or another invoice for commission income); register the series (ATP or the system-generated equivalent) and set the numbering to match; verify the printed layout carries every field the BIR requires; layout changes are outside the OOTB scope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Cancelled and voided documents are kept.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receipt is cancelled with a reason (its payment journals are reversed and the bill reopens), not deleted; a BIR Form 2307 certificate is cancelled with a reason; the audit trail keeps each change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cancelled originals as the BIR requires</w:t>
            </w:r>
          </w:p>
        </w:tc>
      </w:tr>
    </w:tbl>
    <w:p>
      <w:pPr>
        <w:pStyle w:val="Normal"/>
        <w:spacing w:before="0" w:after="80"/>
        <w:rPr/>
      </w:pPr>
      <w:r>
        <w:rPr/>
      </w:r>
    </w:p>
    <w:p>
      <w:pPr>
        <w:pStyle w:val="Heading2"/>
        <w:rPr/>
      </w:pPr>
      <w:bookmarkStart w:id="14" w:name="__RefHeading___Toc144165_4049217194"/>
      <w:bookmarkEnd w:id="14"/>
      <w:r>
        <w:rPr>
          <w:rFonts w:eastAsia="Segoe UI" w:cs="Segoe UI"/>
          <w:b/>
          <w:color w:val="0F4761"/>
          <w:sz w:val="26"/>
        </w:rPr>
        <w:t>6.3  VAT or percentage tax on commission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on the broker's commission. A VAT-registered broker charges output VAT on its commission and fees, claims input VAT on purchases, and files the quarterly VAT return.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Output VAT on commission: direct bill commission debit notes add VAT at the rate of the tax code </w:t>
            </w:r>
            <w:r>
              <w:rPr>
                <w:rFonts w:eastAsia="Consolas" w:cs="Consolas" w:ascii="Consolas" w:hAnsi="Consolas"/>
                <w:color w:val="101820"/>
                <w:kern w:val="0"/>
                <w:sz w:val="16"/>
                <w:szCs w:val="24"/>
                <w:lang w:val="en-US" w:eastAsia="ja-JP" w:bidi="ar-SA"/>
              </w:rPr>
              <w:t>direct_bill.commission_vat_code</w:t>
            </w:r>
            <w:r>
              <w:rPr>
                <w:rFonts w:eastAsia="Segoe UI" w:cs="Segoe UI" w:ascii="Segoe UI" w:hAnsi="Segoe UI"/>
                <w:color w:val="101820"/>
                <w:kern w:val="0"/>
                <w:sz w:val="18"/>
                <w:szCs w:val="24"/>
                <w:lang w:val="en-US" w:eastAsia="ja-JP" w:bidi="ar-SA"/>
              </w:rPr>
              <w:t xml:space="preserve"> (VAT12-OUT, 12%), broker-billed commission at </w:t>
            </w:r>
            <w:r>
              <w:rPr>
                <w:rFonts w:eastAsia="Consolas" w:cs="Consolas" w:ascii="Consolas" w:hAnsi="Consolas"/>
                <w:color w:val="101820"/>
                <w:kern w:val="0"/>
                <w:sz w:val="16"/>
                <w:szCs w:val="24"/>
                <w:lang w:val="en-US" w:eastAsia="ja-JP" w:bidi="ar-SA"/>
              </w:rPr>
              <w:t>tax.commission_vat_code</w:t>
            </w:r>
            <w:r>
              <w:rPr>
                <w:rFonts w:eastAsia="Segoe UI" w:cs="Segoe UI" w:ascii="Segoe UI" w:hAnsi="Segoe UI"/>
                <w:color w:val="101820"/>
                <w:kern w:val="0"/>
                <w:sz w:val="18"/>
                <w:szCs w:val="24"/>
                <w:lang w:val="en-US" w:eastAsia="ja-JP" w:bidi="ar-SA"/>
              </w:rPr>
              <w:t>; commission booked with Output VAT Payable. Tax codes for VAT output 12%, input 12%, zero-rated and exempt (Master &gt; Finance &gt; Taxation). Accounts &gt; Tax &gt; VAT Summary: vatable revenue, output VAT, input VAT and net VAT payable per month or quarter, as the working paper for the VAT return (BIR Form 2550Q)</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with the tax adviser how VAT applies to each commission stream, including commission netted from premium remittances; file and pay the VAT return; check the VAT Summary against the ledger before filing</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Percentage tax for a non-VAT broker. A broker that is not VAT-registered pays percentage tax on its gross sales or receipts instead of VAT.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direct_bill.broker_vat_registered</w:t>
            </w:r>
            <w:r>
              <w:rPr>
                <w:rFonts w:eastAsia="Segoe UI" w:cs="Segoe UI" w:ascii="Segoe UI" w:hAnsi="Segoe UI"/>
                <w:color w:val="101820"/>
                <w:kern w:val="0"/>
                <w:sz w:val="18"/>
                <w:szCs w:val="24"/>
                <w:lang w:val="en-US" w:eastAsia="ja-JP" w:bidi="ar-SA"/>
              </w:rPr>
              <w:t xml:space="preserve"> (delivered on) removes VAT from commission debit notes when switched off. Commission income is in the ledger by insurer (Income Statement, General Ledger Detail)</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Compute and file the percentage tax return (BIR Form 2551Q); the system has no percentage tax working paper; add a tax code in Taxation only with the tax adviser</w:t>
            </w:r>
          </w:p>
        </w:tc>
      </w:tr>
    </w:tbl>
    <w:p>
      <w:pPr>
        <w:pStyle w:val="Normal"/>
        <w:spacing w:before="0" w:after="80"/>
        <w:rPr/>
      </w:pPr>
      <w:r>
        <w:rPr/>
      </w:r>
    </w:p>
    <w:p>
      <w:pPr>
        <w:pStyle w:val="Heading2"/>
        <w:rPr/>
      </w:pPr>
      <w:bookmarkStart w:id="15" w:name="__RefHeading___Toc144167_4049217194"/>
      <w:bookmarkEnd w:id="15"/>
      <w:r>
        <w:rPr>
          <w:rFonts w:eastAsia="Segoe UI" w:cs="Segoe UI"/>
          <w:b/>
          <w:color w:val="0F4761"/>
          <w:sz w:val="26"/>
        </w:rPr>
        <w:t>6.4  Withholding taxes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EWT on payments the broker makes. As withholding agent, the broker withholds expanded withholding tax on commission paid to agents and referrers and on other income payments subject to it, remits it, and issues BIR Form 2307 to the payee.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Withholding on referrer commission at the rate of a tax code: the payee's own code, else the code of its type (</w:t>
            </w:r>
            <w:r>
              <w:rPr>
                <w:rFonts w:eastAsia="Consolas" w:cs="Consolas" w:ascii="Consolas" w:hAnsi="Consolas"/>
                <w:color w:val="101820"/>
                <w:kern w:val="0"/>
                <w:sz w:val="16"/>
                <w:szCs w:val="24"/>
                <w:lang w:val="en-US" w:eastAsia="ja-JP" w:bidi="ar-SA"/>
              </w:rPr>
              <w:t>commission.wht_code_by_type</w:t>
            </w:r>
            <w:r>
              <w:rPr>
                <w:rFonts w:eastAsia="Segoe UI" w:cs="Segoe UI" w:ascii="Segoe UI" w:hAnsi="Segoe UI"/>
                <w:color w:val="101820"/>
                <w:kern w:val="0"/>
                <w:sz w:val="18"/>
                <w:szCs w:val="24"/>
                <w:lang w:val="en-US" w:eastAsia="ja-JP" w:bidi="ar-SA"/>
              </w:rPr>
              <w:t xml:space="preserve">: Agent WI515 5%, Sub-agent WI515 5%, External WC515 10% delivered); EWT tax codes with ATC (for example WI139 and WC139 on broker commission, WI515 on commission of sales representatives and referrers; ATC per payee type in </w:t>
            </w:r>
            <w:r>
              <w:rPr>
                <w:rFonts w:eastAsia="Consolas" w:cs="Consolas" w:ascii="Consolas" w:hAnsi="Consolas"/>
                <w:color w:val="101820"/>
                <w:kern w:val="0"/>
                <w:sz w:val="16"/>
                <w:szCs w:val="24"/>
                <w:lang w:val="en-US" w:eastAsia="ja-JP" w:bidi="ar-SA"/>
              </w:rPr>
              <w:t>bir.atc_by_payee</w:t>
            </w:r>
            <w:r>
              <w:rPr>
                <w:rFonts w:eastAsia="Segoe UI" w:cs="Segoe UI" w:ascii="Segoe UI" w:hAnsi="Segoe UI"/>
                <w:color w:val="101820"/>
                <w:kern w:val="0"/>
                <w:sz w:val="18"/>
                <w:szCs w:val="24"/>
                <w:lang w:val="en-US" w:eastAsia="ja-JP" w:bidi="ar-SA"/>
              </w:rPr>
              <w:t>); payment vouchers post the tax withheld. Accounts &gt; Tax &gt; BIR Form 2307, Issued by us: certificates per payee and quarter with number series CWT; QAP: Quarterly Alphalist of Payees for the quarterly remittance return (BIR Form 1601-EQ)</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rates and ATC per payee with the tax adviser, including the payee's sworn declarations where rates depend on them; file and pay the monthly (BIR Form 0619-E) and quarterly (1601-EQ) returns with the QAP; issue Form 2307 to payees on time; prepare the annual information return and alphalist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CWT withheld from the broker. Insurers and clients that are withholding agents withhold tax on commission paid to the broker and issue BIR Form 2307; the broker claims the credit.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Direct bill: the insurer's EWT (tax code </w:t>
            </w:r>
            <w:r>
              <w:rPr>
                <w:rFonts w:eastAsia="Consolas" w:cs="Consolas" w:ascii="Consolas" w:hAnsi="Consolas"/>
                <w:color w:val="101820"/>
                <w:kern w:val="0"/>
                <w:sz w:val="16"/>
                <w:szCs w:val="24"/>
                <w:lang w:val="en-US" w:eastAsia="ja-JP" w:bidi="ar-SA"/>
              </w:rPr>
              <w:t>direct_bill.insurer_ewt_code</w:t>
            </w:r>
            <w:r>
              <w:rPr>
                <w:rFonts w:eastAsia="Segoe UI" w:cs="Segoe UI" w:ascii="Segoe UI" w:hAnsi="Segoe UI"/>
                <w:color w:val="101820"/>
                <w:kern w:val="0"/>
                <w:sz w:val="18"/>
                <w:szCs w:val="24"/>
                <w:lang w:val="en-US" w:eastAsia="ja-JP" w:bidi="ar-SA"/>
              </w:rPr>
              <w:t>, delivered WC139 10%) is posted to Creditable Withholding Tax (BIR 2307) when the debit note collection is recorded. Accounts &gt; Tax &gt; BIR Form 2307, Received; SAWT: Summary Alphalist of Withholding Taxes for the income tax return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 the Forms 2307 from insurers and clients and match them to the Received list; attach the SAWT to the returns as required; follow up missing certificates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Final withholding where it applies.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Final withholding tax codes are in the Taxation master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with the tax adviser whether any payment is subject to final withholding</w:t>
            </w:r>
          </w:p>
        </w:tc>
      </w:tr>
    </w:tbl>
    <w:p>
      <w:pPr>
        <w:pStyle w:val="Normal"/>
        <w:spacing w:before="0" w:after="80"/>
        <w:rPr/>
      </w:pPr>
      <w:r>
        <w:rPr/>
      </w:r>
    </w:p>
    <w:p>
      <w:pPr>
        <w:pStyle w:val="Heading2"/>
        <w:rPr/>
      </w:pPr>
      <w:bookmarkStart w:id="16" w:name="__RefHeading___Toc144169_4049217194"/>
      <w:bookmarkEnd w:id="16"/>
      <w:r>
        <w:rPr>
          <w:rFonts w:eastAsia="Segoe UI" w:cs="Segoe UI"/>
          <w:b/>
          <w:color w:val="0F4761"/>
          <w:sz w:val="26"/>
        </w:rPr>
        <w:t>6.5  Summary lists and alphalists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List of Sales and Purchases. VAT-registered taxpayers who meet the BIR thresholds submit quarterly summary lists of sales and purchases.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SLSP Sales and SLSP Purchases, in the BIR column order, as CSV, Excel or PDF</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 whether the broker is required to submit; validate the files with the BIR's validation tools and current format before submission (user manual, chapter 18)</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Alphalists in the BIR format.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SAWT and QAP give the figures in the BIR column order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Validate against the current BIR format and the eFPS or eBIRForms validation before filing; the system does not file</w:t>
            </w:r>
          </w:p>
        </w:tc>
      </w:tr>
    </w:tbl>
    <w:p>
      <w:pPr>
        <w:pStyle w:val="Heading1"/>
        <w:rPr/>
      </w:pPr>
      <w:r>
        <w:br w:type="page"/>
      </w:r>
      <w:bookmarkStart w:id="17" w:name="__RefHeading___Toc144171_4049217194"/>
      <w:bookmarkEnd w:id="17"/>
      <w:r>
        <w:rPr>
          <w:rFonts w:eastAsia="Segoe UI" w:cs="Segoe UI" w:ascii="Segoe UI" w:hAnsi="Segoe UI"/>
          <w:b/>
          <w:color w:val="0F4761"/>
          <w:sz w:val="32"/>
        </w:rPr>
        <w:t>7.  Taxes and charges on premium</w:t>
      </w:r>
    </w:p>
    <w:p>
      <w:pPr>
        <w:pStyle w:val="Normal"/>
        <w:spacing w:lineRule="auto" w:line="276" w:before="0" w:after="120"/>
        <w:rPr/>
      </w:pPr>
      <w:r>
        <w:rPr>
          <w:rFonts w:eastAsia="Segoe UI" w:cs="Segoe UI" w:ascii="Segoe UI" w:hAnsi="Segoe UI"/>
          <w:color w:val="101820"/>
          <w:sz w:val="21"/>
        </w:rPr>
        <w:t>These taxes are imposed on the insurance premium and are paid to the government by the insurer. The broker bills them to the client as part of the gross premium and passes them to the insurer with the premium.</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Documentary stamp tax on non-life policies. The NIRC imposes DST on non-life insurance policies, computed on the premium charged (PHP 0.50 on each PHP 4.00 of premium or fractional part).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DST of PHP 0.50 on each PHP 4.00 of net premium, a fractional PHP 4.00 counting as a whole one (DST rule of Master &gt; Finance &gt; Premium Taxes &amp; LGU Rates, the single source of premium tax rates) on every quotation, package, policy, endorsement and renewal; shown on the quotation and billing statement; booked to Premium DST due to insurers and remitted with the premium</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with each insurer the DST basis and rounding the insurer applies, so the broker's bill agrees with the insurer's policy; the insurer files and pays the DST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 government tax on premium. Local government units may impose a tax on premiums, at rates set by local ordinance.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LGT at the rate of the client's city or municipality in Master &gt; Finance &gt; Premium Taxes &amp; LGU Rates, else the LGT rule rate (0.75% delivered), on every quotation, package and renewal; booked to Premium LGT due to insurers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with each insurer the LGT rate it applies for the client's location and keep the rates current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on non-life premium. Non-life premium is subject to VAT, which the insurer reports.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at 12% of net premium (VAT rule of Premium Taxes &amp; LGU Rates) on products under the VAT regime; products with the premium tax regime use premium tax instead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the tax regime of each product with the insurer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Fire service tax on fire insurance premium (Fire Code, RA 9514).</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FST at 2% (FST rule of Premium Taxes &amp; LGU Rates) on the fire lines of the rule (fire, industrial all risks, householder)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the lines to which each insurer applies FST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Return premium. Taxes follow the premium on endorsements and cancellations.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Return premium gives negative tax amounts; each charge is rounded to 2 decimals on its own so printed totals add up</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Agree the treatment of taxes on return premium with each insurer</w:t>
            </w:r>
          </w:p>
        </w:tc>
      </w:tr>
    </w:tbl>
    <w:p>
      <w:pPr>
        <w:pStyle w:val="Heading1"/>
        <w:rPr/>
      </w:pPr>
      <w:r>
        <w:br w:type="page"/>
      </w:r>
      <w:bookmarkStart w:id="18" w:name="__RefHeading___Toc144173_4049217194"/>
      <w:bookmarkEnd w:id="18"/>
      <w:r>
        <w:rPr>
          <w:rFonts w:eastAsia="Segoe UI" w:cs="Segoe UI" w:ascii="Segoe UI" w:hAnsi="Segoe UI"/>
          <w:b/>
          <w:color w:val="0F4761"/>
          <w:sz w:val="32"/>
        </w:rPr>
        <w:t>8.  CTPL and motor rules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CTPL. Compulsory Third Party Liability cover is required for the registration of a motor vehicle with the LTO, at the premium set by the IC tariff for the vehicle class.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 &gt; Product Templates &gt; MOT-003-2025 Motor Insurance Basic Plan, tab CTPL &amp; Auto PA: CTPL 1-year and 3-year amounts per vehicle class, default seats. The vehicle class on a quotation sets the CTPL amount; CTPL is read-only, inclusive of taxes and fees, not taxed again and never discounted; 3-year CTPL offered for brand-new vehicles where the class has a 3-year tariff</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tariff equal to the current IC tariff and the insurers' rates (the delivered amounts were confirmed on 29 September 2026); complete the CTPL authentication and certificate in the insurer's or the government's system, which is outside BrokerVerse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CTPL certificate details. The policy records the certificate issued.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fields Cert Number and Authen Code (CTPL certificate number and authentication code)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the certificate number and authentication code for each CTPL policy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and owner identification. Motor policies identify the vehicle and the insured.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 policy issue is refused without government ID type, number and image, chassis number, motor number, and plate or MV file number (</w:t>
            </w:r>
            <w:r>
              <w:rPr>
                <w:rFonts w:eastAsia="Consolas" w:cs="Consolas" w:ascii="Consolas" w:hAnsi="Consolas"/>
                <w:color w:val="101820"/>
                <w:kern w:val="0"/>
                <w:sz w:val="16"/>
                <w:szCs w:val="24"/>
                <w:lang w:val="en-US" w:eastAsia="ja-JP" w:bidi="ar-SA"/>
              </w:rPr>
              <w:t>policy.kyc_required_fields</w:t>
            </w:r>
            <w:r>
              <w:rPr>
                <w:rFonts w:eastAsia="Segoe UI" w:cs="Segoe UI" w:ascii="Segoe UI" w:hAnsi="Segoe UI"/>
                <w:color w:val="101820"/>
                <w:kern w:val="0"/>
                <w:sz w:val="18"/>
                <w:szCs w:val="24"/>
                <w:lang w:val="en-US" w:eastAsia="ja-JP" w:bidi="ar-SA"/>
              </w:rPr>
              <w:t xml:space="preserve">); accepted IDs in </w:t>
            </w:r>
            <w:r>
              <w:rPr>
                <w:rFonts w:eastAsia="Consolas" w:cs="Consolas" w:ascii="Consolas" w:hAnsi="Consolas"/>
                <w:color w:val="101820"/>
                <w:kern w:val="0"/>
                <w:sz w:val="16"/>
                <w:szCs w:val="24"/>
                <w:lang w:val="en-US" w:eastAsia="ja-JP" w:bidi="ar-SA"/>
              </w:rPr>
              <w:t>policy.kyc_id_types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Verify the documents presented; keep the list of accepted IDs current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 Passenger Personal Accident.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Priced per seat from the motor template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rates and limits with the insurers</w:t>
            </w:r>
          </w:p>
        </w:tc>
      </w:tr>
    </w:tbl>
    <w:p>
      <w:pPr>
        <w:pStyle w:val="Heading1"/>
        <w:rPr/>
      </w:pPr>
      <w:r>
        <w:br w:type="page"/>
      </w:r>
      <w:bookmarkStart w:id="19" w:name="__RefHeading___Toc144175_4049217194"/>
      <w:bookmarkEnd w:id="19"/>
      <w:r>
        <w:rPr>
          <w:rFonts w:eastAsia="Segoe UI" w:cs="Segoe UI" w:ascii="Segoe UI" w:hAnsi="Segoe UI"/>
          <w:b/>
          <w:color w:val="0F4761"/>
          <w:sz w:val="32"/>
        </w:rPr>
        <w:t>9.  Data Privacy Act (RA 10173)</w:t>
      </w:r>
    </w:p>
    <w:p>
      <w:pPr>
        <w:pStyle w:val="Normal"/>
        <w:spacing w:lineRule="auto" w:line="276" w:before="0" w:after="120"/>
        <w:rPr/>
      </w:pPr>
      <w:r>
        <w:rPr>
          <w:rFonts w:eastAsia="Segoe UI" w:cs="Segoe UI" w:ascii="Segoe UI" w:hAnsi="Segoe UI"/>
          <w:color w:val="101820"/>
          <w:sz w:val="21"/>
        </w:rPr>
        <w:t>The broker is the personal information controller for the personal data of prospects, clients, claimants, referrers and staff held in BrokerVerse. iorta TechNXT, as host and support provider, acts as personal information processor under the agreement with the broker.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Lawful, proportionate processing. Personal data is collected for declared, specified purposes and only as much as needed.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Required fields are limited by configuration: KYC items are required for motor only by default (</w:t>
            </w:r>
            <w:r>
              <w:rPr>
                <w:rFonts w:eastAsia="Consolas" w:cs="Consolas" w:ascii="Consolas" w:hAnsi="Consolas"/>
                <w:color w:val="101820"/>
                <w:kern w:val="0"/>
                <w:sz w:val="16"/>
                <w:szCs w:val="24"/>
                <w:lang w:val="en-US" w:eastAsia="ja-JP" w:bidi="ar-SA"/>
              </w:rPr>
              <w:t>policy.kyc_required_fields</w:t>
            </w:r>
            <w:r>
              <w:rPr>
                <w:rFonts w:eastAsia="Segoe UI" w:cs="Segoe UI" w:ascii="Segoe UI" w:hAnsi="Segoe UI"/>
                <w:color w:val="101820"/>
                <w:kern w:val="0"/>
                <w:sz w:val="18"/>
                <w:szCs w:val="24"/>
                <w:lang w:val="en-US" w:eastAsia="ja-JP" w:bidi="ar-SA"/>
              </w:rPr>
              <w:t>); TIN is required for corporate prospects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Define the purposes and the legal basis; publish a privacy notice; obtain consent where consent is the basis and record it (Data privacy tab of the client, prospect view; Master &gt; Data Privacy &gt; Consent Register, with the notice version in </w:t>
            </w:r>
            <w:r>
              <w:rPr>
                <w:rFonts w:eastAsia="Consolas" w:cs="Consolas" w:ascii="Consolas" w:hAnsi="Consolas"/>
                <w:color w:val="101820"/>
                <w:kern w:val="0"/>
                <w:sz w:val="16"/>
                <w:szCs w:val="24"/>
                <w:lang w:val="en-US" w:eastAsia="ja-JP" w:bidi="ar-SA"/>
              </w:rPr>
              <w:t>privacy.notice_version</w:t>
            </w:r>
            <w:r>
              <w:rPr>
                <w:rFonts w:eastAsia="Segoe UI" w:cs="Segoe UI" w:ascii="Segoe UI" w:hAnsi="Segoe UI"/>
                <w:color w:val="101820"/>
                <w:kern w:val="0"/>
                <w:sz w:val="18"/>
                <w:szCs w:val="24"/>
                <w:lang w:val="en-US" w:eastAsia="ja-JP" w:bidi="ar-SA"/>
              </w:rPr>
              <w:t>); decide which optional fields the teams fill in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Organisational, physical and technical security measures.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Role-based access, deny by default, checked by the server on every action; password policy (8 characters, mixed case, digit, symbol, history 5, expiry 90 days); lockout after 5 wrong passwords; idle sign-out after 30 minutes; two-step verification for the roles set in </w:t>
            </w:r>
            <w:r>
              <w:rPr>
                <w:rFonts w:eastAsia="Consolas" w:cs="Consolas" w:ascii="Consolas" w:hAnsi="Consolas"/>
                <w:color w:val="101820"/>
                <w:kern w:val="0"/>
                <w:sz w:val="16"/>
                <w:szCs w:val="24"/>
                <w:lang w:val="en-US" w:eastAsia="ja-JP" w:bidi="ar-SA"/>
              </w:rPr>
              <w:t>security.require_2fa_roles</w:t>
            </w:r>
            <w:r>
              <w:rPr>
                <w:rFonts w:eastAsia="Segoe UI" w:cs="Segoe UI" w:ascii="Segoe UI" w:hAnsi="Segoe UI"/>
                <w:color w:val="101820"/>
                <w:kern w:val="0"/>
                <w:sz w:val="18"/>
                <w:szCs w:val="24"/>
                <w:lang w:val="en-US" w:eastAsia="ja-JP" w:bidi="ar-SA"/>
              </w:rPr>
              <w:t>; two-step secrets encrypted at rest; documents served only to signed-in users or through signed links that expire (</w:t>
            </w:r>
            <w:r>
              <w:rPr>
                <w:rFonts w:eastAsia="Consolas" w:cs="Consolas" w:ascii="Consolas" w:hAnsi="Consolas"/>
                <w:color w:val="101820"/>
                <w:kern w:val="0"/>
                <w:sz w:val="16"/>
                <w:szCs w:val="24"/>
                <w:lang w:val="en-US" w:eastAsia="ja-JP" w:bidi="ar-SA"/>
              </w:rPr>
              <w:t>FILE_URL_TTL_SECONDS</w:t>
            </w:r>
            <w:r>
              <w:rPr>
                <w:rFonts w:eastAsia="Segoe UI" w:cs="Segoe UI" w:ascii="Segoe UI" w:hAnsi="Segoe UI"/>
                <w:color w:val="101820"/>
                <w:kern w:val="0"/>
                <w:sz w:val="18"/>
                <w:szCs w:val="24"/>
                <w:lang w:val="en-US" w:eastAsia="ja-JP" w:bidi="ar-SA"/>
              </w:rPr>
              <w:t>, default 30 minutes); upload types checked against file content (</w:t>
            </w:r>
            <w:r>
              <w:rPr>
                <w:rFonts w:eastAsia="Consolas" w:cs="Consolas" w:ascii="Consolas" w:hAnsi="Consolas"/>
                <w:color w:val="101820"/>
                <w:kern w:val="0"/>
                <w:sz w:val="16"/>
                <w:szCs w:val="24"/>
                <w:lang w:val="en-US" w:eastAsia="ja-JP" w:bidi="ar-SA"/>
              </w:rPr>
              <w:t>uploads.allowed_types</w:t>
            </w:r>
            <w:r>
              <w:rPr>
                <w:rFonts w:eastAsia="Segoe UI" w:cs="Segoe UI" w:ascii="Segoe UI" w:hAnsi="Segoe UI"/>
                <w:color w:val="101820"/>
                <w:kern w:val="0"/>
                <w:sz w:val="18"/>
                <w:szCs w:val="24"/>
                <w:lang w:val="en-US" w:eastAsia="ja-JP" w:bidi="ar-SA"/>
              </w:rPr>
              <w:t>); passwords and tokens redacted from logs; HTTPS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the two-step verification roles (recommended: system-admin, accounting, accounting-manager); grant roles on a need-to-know basis; keep devices and browsers secure; adopt the security policy the DPA and NPC rules require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control and review.</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User Management: User Access Matrix, Segregation of Duties, Access Reviews; Audit Trail of sign-ins and changes; login history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 access at least as often as the broker's policy says (iorta TechNXT recommends monthly for administrators); remove leavers at once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subject rights: to be informed, to access, to correct, to object, to erasure or blocking, to data portability.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Data Privacy &gt; Data Subject Requests: register of requests (DSR series) by type (access, rectification, erasure or blocking, objection, data portability, withdrawal of consent) with a due date 15 calendar days after receipt (</w:t>
            </w:r>
            <w:r>
              <w:rPr>
                <w:rFonts w:eastAsia="Consolas" w:cs="Consolas" w:ascii="Consolas" w:hAnsi="Consolas"/>
                <w:color w:val="101820"/>
                <w:kern w:val="0"/>
                <w:sz w:val="16"/>
                <w:szCs w:val="24"/>
                <w:lang w:val="en-US" w:eastAsia="ja-JP" w:bidi="ar-SA"/>
              </w:rPr>
              <w:t>privacy.request_due_days</w:t>
            </w:r>
            <w:r>
              <w:rPr>
                <w:rFonts w:eastAsia="Segoe UI" w:cs="Segoe UI" w:ascii="Segoe UI" w:hAnsi="Segoe UI"/>
                <w:color w:val="101820"/>
                <w:kern w:val="0"/>
                <w:sz w:val="18"/>
                <w:szCs w:val="24"/>
                <w:lang w:val="en-US" w:eastAsia="ja-JP" w:bidi="ar-SA"/>
              </w:rPr>
              <w:t>); Export personal data (JSON or Excel); Anonymise with a dry run, refused while the records must be kept (</w:t>
            </w:r>
            <w:r>
              <w:rPr>
                <w:rFonts w:eastAsia="Consolas" w:cs="Consolas" w:ascii="Consolas" w:hAnsi="Consolas"/>
                <w:color w:val="101820"/>
                <w:kern w:val="0"/>
                <w:sz w:val="16"/>
                <w:szCs w:val="24"/>
                <w:lang w:val="en-US" w:eastAsia="ja-JP" w:bidi="ar-SA"/>
              </w:rPr>
              <w:t>privacy.retention_years</w:t>
            </w:r>
            <w:r>
              <w:rPr>
                <w:rFonts w:eastAsia="Segoe UI" w:cs="Segoe UI" w:ascii="Segoe UI" w:hAnsi="Segoe UI"/>
                <w:color w:val="101820"/>
                <w:kern w:val="0"/>
                <w:sz w:val="18"/>
                <w:szCs w:val="24"/>
                <w:lang w:val="en-US" w:eastAsia="ja-JP" w:bidi="ar-SA"/>
              </w:rPr>
              <w:t xml:space="preserve">, 10 years after the last policy expiry); consent withdrawal per purpose; corrections on the Clients and Prospects screens, with every change in the audit trail; the </w:t>
            </w:r>
            <w:r>
              <w:rPr>
                <w:rFonts w:eastAsia="Consolas" w:cs="Consolas" w:ascii="Consolas" w:hAnsi="Consolas"/>
                <w:color w:val="101820"/>
                <w:kern w:val="0"/>
                <w:sz w:val="16"/>
                <w:szCs w:val="24"/>
                <w:lang w:val="en-US" w:eastAsia="ja-JP" w:bidi="ar-SA"/>
              </w:rPr>
              <w:t>privacy-requests-due</w:t>
            </w:r>
            <w:r>
              <w:rPr>
                <w:rFonts w:eastAsia="Segoe UI" w:cs="Segoe UI" w:ascii="Segoe UI" w:hAnsi="Segoe UI"/>
                <w:color w:val="101820"/>
                <w:kern w:val="0"/>
                <w:sz w:val="18"/>
                <w:szCs w:val="24"/>
                <w:lang w:val="en-US" w:eastAsia="ja-JP" w:bidi="ar-SA"/>
              </w:rPr>
              <w:t xml:space="preserve"> job notifies the privacy team of overdue requests (delivered switched off)</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procedure for requests from data subjects; verify the identity of the requester; confirm the response period and the retention years with the DPO; switch on the overdue request job</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Retention and disposal. Personal data is kept only as long as needed for the purpose or as the law requires, then disposed of securely.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Operational logs are deleted after their retention days (</w:t>
            </w:r>
            <w:r>
              <w:rPr>
                <w:rFonts w:eastAsia="Consolas" w:cs="Consolas" w:ascii="Consolas" w:hAnsi="Consolas"/>
                <w:color w:val="101820"/>
                <w:kern w:val="0"/>
                <w:sz w:val="16"/>
                <w:szCs w:val="24"/>
                <w:lang w:val="en-US" w:eastAsia="ja-JP" w:bidi="ar-SA"/>
              </w:rPr>
              <w:t>housekeeping.*</w:t>
            </w:r>
            <w:r>
              <w:rPr>
                <w:rFonts w:eastAsia="Segoe UI" w:cs="Segoe UI" w:ascii="Segoe UI" w:hAnsi="Segoe UI"/>
                <w:color w:val="101820"/>
                <w:kern w:val="0"/>
                <w:sz w:val="18"/>
                <w:szCs w:val="24"/>
                <w:lang w:val="en-US" w:eastAsia="ja-JP" w:bidi="ar-SA"/>
              </w:rPr>
              <w:t xml:space="preserve">: sign-in history 365 days, sent e-mails 180 days, read notifications 180 days); business records and the audit trail are kept; the personal data of a client or prospect can be anonymised once </w:t>
            </w:r>
            <w:r>
              <w:rPr>
                <w:rFonts w:eastAsia="Consolas" w:cs="Consolas" w:ascii="Consolas" w:hAnsi="Consolas"/>
                <w:color w:val="101820"/>
                <w:kern w:val="0"/>
                <w:sz w:val="16"/>
                <w:szCs w:val="24"/>
                <w:lang w:val="en-US" w:eastAsia="ja-JP" w:bidi="ar-SA"/>
              </w:rPr>
              <w:t>privacy.retention_years</w:t>
            </w:r>
            <w:r>
              <w:rPr>
                <w:rFonts w:eastAsia="Segoe UI" w:cs="Segoe UI" w:ascii="Segoe UI" w:hAnsi="Segoe UI"/>
                <w:color w:val="101820"/>
                <w:kern w:val="0"/>
                <w:sz w:val="18"/>
                <w:szCs w:val="24"/>
                <w:lang w:val="en-US" w:eastAsia="ja-JP" w:bidi="ar-SA"/>
              </w:rPr>
              <w:t xml:space="preserve"> has passed, keeping amounts, numbers and dates for the books. Proposed retention per record type in architecture document 10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the retention schedule with the compliance officer (insurance, tax and AMLA retention rules apply too); approve any disposal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data breach management. Breaches that meet the NPC criteria are notified to the NPC and the affected data subjects within 72 hours of knowledge.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Detection support: login history, audit trail, monitoring alarms on failed sign-ins and locked accounts; iorta TechNXT informs the broker of a suspected breach without delay (Production Support Approach and Standards)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Assess the breach, notify the NPC and data subjects, keep the breach register and file the reports the NPC requires; the DPO leads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DPO and registration.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 system function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Appoint a DPO; register with the NPC where the rules require it; train staff</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Outsourcing and transfer. Processing by a service provider is covered by an agreement; data processed outside the Philippines stays under the controller's accountability.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hosts BrokerVerse on AWS, region ap-southeast-1 (Singapore), unless agreed otherwise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 the outsourcing or data processing agreement; disclose the processing and its location in the privacy notice</w:t>
            </w:r>
          </w:p>
        </w:tc>
      </w:tr>
    </w:tbl>
    <w:p>
      <w:pPr>
        <w:pStyle w:val="Heading1"/>
        <w:rPr/>
      </w:pPr>
      <w:r>
        <w:br w:type="page"/>
      </w:r>
      <w:bookmarkStart w:id="20" w:name="__RefHeading___Toc144177_4049217194"/>
      <w:bookmarkEnd w:id="20"/>
      <w:r>
        <w:rPr>
          <w:rFonts w:eastAsia="Segoe UI" w:cs="Segoe UI" w:ascii="Segoe UI" w:hAnsi="Segoe UI"/>
          <w:b/>
          <w:color w:val="0F4761"/>
          <w:sz w:val="32"/>
        </w:rPr>
        <w:t>10.  Anti-Money Laundering Act (where applicable)</w:t>
      </w:r>
    </w:p>
    <w:p>
      <w:pPr>
        <w:pStyle w:val="Normal"/>
        <w:spacing w:lineRule="auto" w:line="276" w:before="0" w:after="120"/>
        <w:rPr/>
      </w:pPr>
      <w:r>
        <w:rPr>
          <w:rFonts w:eastAsia="Segoe UI" w:cs="Segoe UI" w:ascii="Segoe UI" w:hAnsi="Segoe UI"/>
          <w:color w:val="101820"/>
          <w:sz w:val="21"/>
        </w:rPr>
        <w:t>Persons supervised or regulated by the IC are covered persons under the AMLA, as amended. Whether and how the obligations apply to a given broker and transaction is confirmed by the broker's compliance officer under the AMLA, its implementing rules and the IC's guidelines.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due diligence. Identify and verify the customer and, for juridical persons, the entity and its authorised persons, before or during the business relationship.</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and prospect records: name, birth date, gender, address, contact details, TIN (required for corporate prospects), company name; government ID type, number and image required for motor issue and configurable for other lines (</w:t>
            </w:r>
            <w:r>
              <w:rPr>
                <w:rFonts w:eastAsia="Consolas" w:cs="Consolas" w:ascii="Consolas" w:hAnsi="Consolas"/>
                <w:color w:val="101820"/>
                <w:kern w:val="0"/>
                <w:sz w:val="16"/>
                <w:szCs w:val="24"/>
                <w:lang w:val="en-US" w:eastAsia="ja-JP" w:bidi="ar-SA"/>
              </w:rPr>
              <w:t>policy.kyc_required_fields</w:t>
            </w:r>
            <w:r>
              <w:rPr>
                <w:rFonts w:eastAsia="Segoe UI" w:cs="Segoe UI" w:ascii="Segoe UI" w:hAnsi="Segoe UI"/>
                <w:color w:val="101820"/>
                <w:kern w:val="0"/>
                <w:sz w:val="18"/>
                <w:szCs w:val="24"/>
                <w:lang w:val="en-US" w:eastAsia="ja-JP" w:bidi="ar-SA"/>
              </w:rPr>
              <w:t xml:space="preserve">); accepted IDs in </w:t>
            </w:r>
            <w:r>
              <w:rPr>
                <w:rFonts w:eastAsia="Consolas" w:cs="Consolas" w:ascii="Consolas" w:hAnsi="Consolas"/>
                <w:color w:val="101820"/>
                <w:kern w:val="0"/>
                <w:sz w:val="16"/>
                <w:szCs w:val="24"/>
                <w:lang w:val="en-US" w:eastAsia="ja-JP" w:bidi="ar-SA"/>
              </w:rPr>
              <w:t>policy.kyc_id_types</w:t>
            </w:r>
            <w:r>
              <w:rPr>
                <w:rFonts w:eastAsia="Segoe UI" w:cs="Segoe UI" w:ascii="Segoe UI" w:hAnsi="Segoe UI"/>
                <w:color w:val="101820"/>
                <w:kern w:val="0"/>
                <w:sz w:val="18"/>
                <w:szCs w:val="24"/>
                <w:lang w:val="en-US" w:eastAsia="ja-JP" w:bidi="ar-SA"/>
              </w:rPr>
              <w:t>; documents attached to the client and policy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Adopt a money laundering and terrorist financing prevention programme; apply risk-based CDD, including enhanced due diligence where required and beneficial ownership for juridical persons; extend the KYC fields required to other lines in the setting if the programme requires it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keeping. Keep customer identification and transaction records for at least five years, or longer where a case is pending.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records, documents and the audit trail are kept; nothing is deleted by housekeeping except operational logs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and enforce the retention; keep records of the old system for the remaining period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Covered and suspicious transaction reporting to the AMLC.</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 data for review: Receipts Register (payment mode, amount, reference), Collection Report, SOA/Premium Receivable, client accounting history (Accounts &gt; All Clients Accounting)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 transactions, identify covered and suspicious transactions and report them to the AMLC; the system has no transaction monitoring, sanctions or PEP screening, or AMLC reporting function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and compliance testing.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manual and role decks for system use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AMLA training of staff; internal audit of compliance</w:t>
            </w:r>
          </w:p>
        </w:tc>
      </w:tr>
    </w:tbl>
    <w:p>
      <w:pPr>
        <w:pStyle w:val="Heading1"/>
        <w:rPr/>
      </w:pPr>
      <w:r>
        <w:br w:type="page"/>
      </w:r>
      <w:bookmarkStart w:id="21" w:name="__RefHeading___Toc144179_4049217194"/>
      <w:bookmarkEnd w:id="21"/>
      <w:r>
        <w:rPr>
          <w:rFonts w:eastAsia="Segoe UI" w:cs="Segoe UI" w:ascii="Segoe UI" w:hAnsi="Segoe UI"/>
          <w:b/>
          <w:color w:val="0F4761"/>
          <w:sz w:val="32"/>
        </w:rPr>
        <w:t>11.  Summary of what remains with the broker</w:t>
      </w:r>
    </w:p>
    <w:p>
      <w:pPr>
        <w:pStyle w:val="Normal"/>
        <w:numPr>
          <w:ilvl w:val="0"/>
          <w:numId w:val="1"/>
        </w:numPr>
        <w:spacing w:before="0" w:after="60"/>
        <w:rPr/>
      </w:pPr>
      <w:r>
        <w:rPr>
          <w:rFonts w:eastAsia="Segoe UI" w:cs="Segoe UI" w:ascii="Segoe UI" w:hAnsi="Segoe UI"/>
          <w:color w:val="101820"/>
          <w:sz w:val="21"/>
        </w:rPr>
        <w:t>All registrations and filings: IC reports, BIR returns, alphalists and certificates, CAS registration or acknowledgement and the registration of invoices and receipts, NPC registration and breach notifications, AMLC reports.</w:t>
      </w:r>
    </w:p>
    <w:p>
      <w:pPr>
        <w:pStyle w:val="Normal"/>
        <w:numPr>
          <w:ilvl w:val="0"/>
          <w:numId w:val="1"/>
        </w:numPr>
        <w:spacing w:before="0" w:after="60"/>
        <w:rPr/>
      </w:pPr>
      <w:r>
        <w:rPr>
          <w:rFonts w:eastAsia="Segoe UI" w:cs="Segoe UI" w:ascii="Segoe UI" w:hAnsi="Segoe UI"/>
          <w:color w:val="101820"/>
          <w:sz w:val="21"/>
        </w:rPr>
        <w:t>Confirmation of every rate, ATC and GL account delivered with the system, by the broker's tax adviser, and of the motor tariff, by the insurers.</w:t>
      </w:r>
    </w:p>
    <w:p>
      <w:pPr>
        <w:pStyle w:val="Normal"/>
        <w:numPr>
          <w:ilvl w:val="0"/>
          <w:numId w:val="1"/>
        </w:numPr>
        <w:spacing w:before="0" w:after="60"/>
        <w:rPr/>
      </w:pPr>
      <w:r>
        <w:rPr>
          <w:rFonts w:eastAsia="Segoe UI" w:cs="Segoe UI" w:ascii="Segoe UI" w:hAnsi="Segoe UI"/>
          <w:color w:val="101820"/>
          <w:sz w:val="21"/>
        </w:rPr>
        <w:t>The choice of documents that serve as registered invoices and receipts, and the check of their printed layout.</w:t>
      </w:r>
    </w:p>
    <w:p>
      <w:pPr>
        <w:pStyle w:val="Normal"/>
        <w:numPr>
          <w:ilvl w:val="0"/>
          <w:numId w:val="1"/>
        </w:numPr>
        <w:spacing w:before="0" w:after="60"/>
        <w:rPr/>
      </w:pPr>
      <w:r>
        <w:rPr>
          <w:rFonts w:eastAsia="Segoe UI" w:cs="Segoe UI" w:ascii="Segoe UI" w:hAnsi="Segoe UI"/>
          <w:color w:val="101820"/>
          <w:sz w:val="21"/>
        </w:rPr>
        <w:t>Retention schedules for business records and personal data, and disposal.</w:t>
      </w:r>
    </w:p>
    <w:p>
      <w:pPr>
        <w:pStyle w:val="Normal"/>
        <w:numPr>
          <w:ilvl w:val="0"/>
          <w:numId w:val="1"/>
        </w:numPr>
        <w:spacing w:before="0" w:after="60"/>
        <w:rPr/>
      </w:pPr>
      <w:r>
        <w:rPr>
          <w:rFonts w:eastAsia="Segoe UI" w:cs="Segoe UI" w:ascii="Segoe UI" w:hAnsi="Segoe UI"/>
          <w:color w:val="101820"/>
          <w:sz w:val="21"/>
        </w:rPr>
        <w:t>Policies and procedures: credit control and cancellation, premium trust account, AMLA programme, privacy management programme, access reviews.</w:t>
      </w:r>
    </w:p>
    <w:p>
      <w:pPr>
        <w:pStyle w:val="Normal"/>
        <w:numPr>
          <w:ilvl w:val="0"/>
          <w:numId w:val="1"/>
        </w:numPr>
        <w:spacing w:before="0" w:after="60"/>
        <w:rPr/>
      </w:pPr>
      <w:r>
        <w:rPr>
          <w:rFonts w:eastAsia="Segoe UI" w:cs="Segoe UI" w:ascii="Segoe UI" w:hAnsi="Segoe UI"/>
          <w:color w:val="101820"/>
          <w:sz w:val="21"/>
        </w:rPr>
        <w:t>Keeping the configuration current when laws, rates and agreements change, using Master &gt; Configuration, Master &gt; Finance &gt; Taxation, Premium Taxes &amp; LGU Rates and the Product Configurator.</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22" w:name="__RefHeading___Toc144181_4049217194"/>
      <w:bookmarkStart w:id="23" w:name="_Toc233203395"/>
      <w:bookmarkEnd w:id="22"/>
      <w:r>
        <w:rPr>
          <w:rStyle w:val="BookTitle"/>
          <w:bCs w:val="false"/>
          <w:i w:val="false"/>
          <w:iCs w:val="false"/>
          <w:spacing w:val="0"/>
        </w:rPr>
        <w:t>12.  Document Sign-Off</w:t>
      </w:r>
      <w:bookmarkEnd w:id="23"/>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1">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0">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0">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2026-10-04T01:47:08Z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