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0">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1">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1"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3"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5"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7"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Training Plan</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Training Plan</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9"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BrokerVerse OOTB, role by role</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BrokerVerse OOTB, role by role</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91277_4049217194">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91279_4049217194">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91281_4049217194">
            <w:r>
              <w:rPr>
                <w:webHidden/>
                <w:rStyle w:val="IndexLink"/>
              </w:rPr>
              <w:t>3. Introduction</w:t>
              <w:tab/>
              <w:t>4</w:t>
            </w:r>
          </w:hyperlink>
        </w:p>
        <w:p>
          <w:pPr>
            <w:pStyle w:val="TOC2"/>
            <w:tabs>
              <w:tab w:val="clear" w:pos="900"/>
              <w:tab w:val="clear" w:pos="9350"/>
              <w:tab w:val="right" w:pos="9025" w:leader="dot"/>
            </w:tabs>
            <w:rPr/>
          </w:pPr>
          <w:hyperlink w:anchor="__RefHeading___Toc91283_4049217194">
            <w:r>
              <w:rPr>
                <w:webHidden/>
                <w:rStyle w:val="IndexLink"/>
              </w:rPr>
              <w:t>3.1 Purpose</w:t>
              <w:tab/>
              <w:t>4</w:t>
            </w:r>
          </w:hyperlink>
        </w:p>
        <w:p>
          <w:pPr>
            <w:pStyle w:val="TOC2"/>
            <w:tabs>
              <w:tab w:val="clear" w:pos="900"/>
              <w:tab w:val="clear" w:pos="9350"/>
              <w:tab w:val="right" w:pos="9025" w:leader="dot"/>
            </w:tabs>
            <w:rPr/>
          </w:pPr>
          <w:hyperlink w:anchor="__RefHeading___Toc91285_4049217194">
            <w:r>
              <w:rPr>
                <w:webHidden/>
                <w:rStyle w:val="IndexLink"/>
              </w:rPr>
              <w:t>3.2 Approach in brief</w:t>
              <w:tab/>
              <w:t>4</w:t>
            </w:r>
          </w:hyperlink>
        </w:p>
        <w:p>
          <w:pPr>
            <w:pStyle w:val="TOC2"/>
            <w:tabs>
              <w:tab w:val="clear" w:pos="900"/>
              <w:tab w:val="clear" w:pos="9350"/>
              <w:tab w:val="right" w:pos="9025" w:leader="dot"/>
            </w:tabs>
            <w:rPr/>
          </w:pPr>
          <w:hyperlink w:anchor="__RefHeading___Toc91287_4049217194">
            <w:r>
              <w:rPr>
                <w:webHidden/>
                <w:rStyle w:val="IndexLink"/>
              </w:rPr>
              <w:t>3.3 Roles trained</w:t>
              <w:tab/>
              <w:t>4</w:t>
            </w:r>
          </w:hyperlink>
        </w:p>
        <w:p>
          <w:pPr>
            <w:pStyle w:val="TOC1"/>
            <w:tabs>
              <w:tab w:val="clear" w:pos="900"/>
              <w:tab w:val="clear" w:pos="9350"/>
              <w:tab w:val="right" w:pos="9025" w:leader="dot"/>
            </w:tabs>
            <w:rPr/>
          </w:pPr>
          <w:hyperlink w:anchor="__RefHeading___Toc91289_4049217194">
            <w:r>
              <w:rPr>
                <w:webHidden/>
                <w:rStyle w:val="IndexLink"/>
              </w:rPr>
              <w:t>4. Training materials</w:t>
              <w:tab/>
              <w:t>5</w:t>
            </w:r>
          </w:hyperlink>
        </w:p>
        <w:p>
          <w:pPr>
            <w:pStyle w:val="TOC1"/>
            <w:tabs>
              <w:tab w:val="clear" w:pos="900"/>
              <w:tab w:val="clear" w:pos="9350"/>
              <w:tab w:val="right" w:pos="9025" w:leader="dot"/>
            </w:tabs>
            <w:rPr/>
          </w:pPr>
          <w:hyperlink w:anchor="__RefHeading___Toc91291_4049217194">
            <w:r>
              <w:rPr>
                <w:webHidden/>
                <w:rStyle w:val="IndexLink"/>
              </w:rPr>
              <w:t>5. Curriculum by role</w:t>
              <w:tab/>
              <w:t>6</w:t>
            </w:r>
          </w:hyperlink>
        </w:p>
        <w:p>
          <w:pPr>
            <w:pStyle w:val="TOC2"/>
            <w:tabs>
              <w:tab w:val="clear" w:pos="900"/>
              <w:tab w:val="clear" w:pos="9350"/>
              <w:tab w:val="right" w:pos="9025" w:leader="dot"/>
            </w:tabs>
            <w:rPr/>
          </w:pPr>
          <w:hyperlink w:anchor="__RefHeading___Toc91293_4049217194">
            <w:r>
              <w:rPr>
                <w:webHidden/>
                <w:rStyle w:val="IndexLink"/>
              </w:rPr>
              <w:t>5.1 All roles: common module (1.5 hours)</w:t>
              <w:tab/>
              <w:t>6</w:t>
            </w:r>
          </w:hyperlink>
        </w:p>
        <w:p>
          <w:pPr>
            <w:pStyle w:val="TOC2"/>
            <w:tabs>
              <w:tab w:val="clear" w:pos="900"/>
              <w:tab w:val="clear" w:pos="9350"/>
              <w:tab w:val="right" w:pos="9025" w:leader="dot"/>
            </w:tabs>
            <w:rPr/>
          </w:pPr>
          <w:hyperlink w:anchor="__RefHeading___Toc91295_4049217194">
            <w:r>
              <w:rPr>
                <w:webHidden/>
                <w:rStyle w:val="IndexLink"/>
              </w:rPr>
              <w:t>5.2 System Administrator (17.5 hours, 2.5 days)</w:t>
              <w:tab/>
              <w:t>6</w:t>
            </w:r>
          </w:hyperlink>
        </w:p>
        <w:p>
          <w:pPr>
            <w:pStyle w:val="TOC2"/>
            <w:tabs>
              <w:tab w:val="clear" w:pos="900"/>
              <w:tab w:val="clear" w:pos="9350"/>
              <w:tab w:val="right" w:pos="9025" w:leader="dot"/>
            </w:tabs>
            <w:rPr/>
          </w:pPr>
          <w:hyperlink w:anchor="__RefHeading___Toc91297_4049217194">
            <w:r>
              <w:rPr>
                <w:webHidden/>
                <w:rStyle w:val="IndexLink"/>
              </w:rPr>
              <w:t>5.3 Sales &amp; Marketing (10.5 hours, 1.5 days)</w:t>
              <w:tab/>
              <w:t>7</w:t>
            </w:r>
          </w:hyperlink>
        </w:p>
        <w:p>
          <w:pPr>
            <w:pStyle w:val="TOC2"/>
            <w:tabs>
              <w:tab w:val="clear" w:pos="900"/>
              <w:tab w:val="clear" w:pos="9350"/>
              <w:tab w:val="right" w:pos="9025" w:leader="dot"/>
            </w:tabs>
            <w:rPr/>
          </w:pPr>
          <w:hyperlink w:anchor="__RefHeading___Toc91299_4049217194">
            <w:r>
              <w:rPr>
                <w:webHidden/>
                <w:rStyle w:val="IndexLink"/>
              </w:rPr>
              <w:t>5.4 Processing Team (21 hours, 3 days)</w:t>
              <w:tab/>
              <w:t>7</w:t>
            </w:r>
          </w:hyperlink>
        </w:p>
        <w:p>
          <w:pPr>
            <w:pStyle w:val="TOC2"/>
            <w:tabs>
              <w:tab w:val="clear" w:pos="900"/>
              <w:tab w:val="clear" w:pos="9350"/>
              <w:tab w:val="right" w:pos="9025" w:leader="dot"/>
            </w:tabs>
            <w:rPr/>
          </w:pPr>
          <w:hyperlink w:anchor="__RefHeading___Toc91301_4049217194">
            <w:r>
              <w:rPr>
                <w:webHidden/>
                <w:rStyle w:val="IndexLink"/>
              </w:rPr>
              <w:t>5.5 Operations (10.5 hours, 1.5 days)</w:t>
              <w:tab/>
              <w:t>8</w:t>
            </w:r>
          </w:hyperlink>
        </w:p>
        <w:p>
          <w:pPr>
            <w:pStyle w:val="TOC2"/>
            <w:tabs>
              <w:tab w:val="clear" w:pos="900"/>
              <w:tab w:val="clear" w:pos="9350"/>
              <w:tab w:val="right" w:pos="9025" w:leader="dot"/>
            </w:tabs>
            <w:rPr/>
          </w:pPr>
          <w:hyperlink w:anchor="__RefHeading___Toc91303_4049217194">
            <w:r>
              <w:rPr>
                <w:webHidden/>
                <w:rStyle w:val="IndexLink"/>
              </w:rPr>
              <w:t>5.6 Claims (7 hours, 1 day)</w:t>
              <w:tab/>
              <w:t>8</w:t>
            </w:r>
          </w:hyperlink>
        </w:p>
        <w:p>
          <w:pPr>
            <w:pStyle w:val="TOC2"/>
            <w:tabs>
              <w:tab w:val="clear" w:pos="900"/>
              <w:tab w:val="clear" w:pos="9350"/>
              <w:tab w:val="right" w:pos="9025" w:leader="dot"/>
            </w:tabs>
            <w:rPr/>
          </w:pPr>
          <w:hyperlink w:anchor="__RefHeading___Toc91305_4049217194">
            <w:r>
              <w:rPr>
                <w:webHidden/>
                <w:rStyle w:val="IndexLink"/>
              </w:rPr>
              <w:t>5.7 Accounting (28 hours, 4 days)</w:t>
              <w:tab/>
              <w:t>9</w:t>
            </w:r>
          </w:hyperlink>
        </w:p>
        <w:p>
          <w:pPr>
            <w:pStyle w:val="TOC2"/>
            <w:tabs>
              <w:tab w:val="clear" w:pos="900"/>
              <w:tab w:val="clear" w:pos="9350"/>
              <w:tab w:val="right" w:pos="9025" w:leader="dot"/>
            </w:tabs>
            <w:rPr/>
          </w:pPr>
          <w:hyperlink w:anchor="__RefHeading___Toc91307_4049217194">
            <w:r>
              <w:rPr>
                <w:webHidden/>
                <w:rStyle w:val="IndexLink"/>
              </w:rPr>
              <w:t>5.8 Accounting Manager (7 hours, 1 day, after the Accounting curriculum)</w:t>
              <w:tab/>
              <w:t>10</w:t>
            </w:r>
          </w:hyperlink>
        </w:p>
        <w:p>
          <w:pPr>
            <w:pStyle w:val="TOC2"/>
            <w:tabs>
              <w:tab w:val="clear" w:pos="900"/>
              <w:tab w:val="clear" w:pos="9350"/>
              <w:tab w:val="right" w:pos="9025" w:leader="dot"/>
            </w:tabs>
            <w:rPr/>
          </w:pPr>
          <w:hyperlink w:anchor="__RefHeading___Toc91309_4049217194">
            <w:r>
              <w:rPr>
                <w:webHidden/>
                <w:rStyle w:val="IndexLink"/>
              </w:rPr>
              <w:t>5.9 Summary of durations</w:t>
              <w:tab/>
              <w:t>10</w:t>
            </w:r>
          </w:hyperlink>
        </w:p>
        <w:p>
          <w:pPr>
            <w:pStyle w:val="TOC1"/>
            <w:tabs>
              <w:tab w:val="clear" w:pos="900"/>
              <w:tab w:val="clear" w:pos="9350"/>
              <w:tab w:val="right" w:pos="9025" w:leader="dot"/>
            </w:tabs>
            <w:rPr/>
          </w:pPr>
          <w:hyperlink w:anchor="__RefHeading___Toc91311_4049217194">
            <w:r>
              <w:rPr>
                <w:webHidden/>
                <w:rStyle w:val="IndexLink"/>
              </w:rPr>
              <w:t>6. Train the trainer</w:t>
              <w:tab/>
              <w:t>11</w:t>
            </w:r>
          </w:hyperlink>
        </w:p>
        <w:p>
          <w:pPr>
            <w:pStyle w:val="TOC2"/>
            <w:tabs>
              <w:tab w:val="clear" w:pos="900"/>
              <w:tab w:val="clear" w:pos="9350"/>
              <w:tab w:val="right" w:pos="9025" w:leader="dot"/>
            </w:tabs>
            <w:rPr/>
          </w:pPr>
          <w:hyperlink w:anchor="__RefHeading___Toc91313_4049217194">
            <w:r>
              <w:rPr>
                <w:webHidden/>
                <w:rStyle w:val="IndexLink"/>
              </w:rPr>
              <w:t>6.1 Who</w:t>
              <w:tab/>
              <w:t>11</w:t>
            </w:r>
          </w:hyperlink>
        </w:p>
        <w:p>
          <w:pPr>
            <w:pStyle w:val="TOC2"/>
            <w:tabs>
              <w:tab w:val="clear" w:pos="900"/>
              <w:tab w:val="clear" w:pos="9350"/>
              <w:tab w:val="right" w:pos="9025" w:leader="dot"/>
            </w:tabs>
            <w:rPr/>
          </w:pPr>
          <w:hyperlink w:anchor="__RefHeading___Toc91315_4049217194">
            <w:r>
              <w:rPr>
                <w:webHidden/>
                <w:rStyle w:val="IndexLink"/>
              </w:rPr>
              <w:t>6.2 Programme</w:t>
              <w:tab/>
              <w:t>11</w:t>
            </w:r>
          </w:hyperlink>
        </w:p>
        <w:p>
          <w:pPr>
            <w:pStyle w:val="TOC2"/>
            <w:tabs>
              <w:tab w:val="clear" w:pos="900"/>
              <w:tab w:val="clear" w:pos="9350"/>
              <w:tab w:val="right" w:pos="9025" w:leader="dot"/>
            </w:tabs>
            <w:rPr/>
          </w:pPr>
          <w:hyperlink w:anchor="__RefHeading___Toc91317_4049217194">
            <w:r>
              <w:rPr>
                <w:webHidden/>
                <w:rStyle w:val="IndexLink"/>
              </w:rPr>
              <w:t>6.3 Exit criteria for a key user</w:t>
              <w:tab/>
              <w:t>11</w:t>
            </w:r>
          </w:hyperlink>
        </w:p>
        <w:p>
          <w:pPr>
            <w:pStyle w:val="TOC1"/>
            <w:tabs>
              <w:tab w:val="clear" w:pos="900"/>
              <w:tab w:val="clear" w:pos="9350"/>
              <w:tab w:val="right" w:pos="9025" w:leader="dot"/>
            </w:tabs>
            <w:rPr/>
          </w:pPr>
          <w:hyperlink w:anchor="__RefHeading___Toc91319_4049217194">
            <w:r>
              <w:rPr>
                <w:webHidden/>
                <w:rStyle w:val="IndexLink"/>
              </w:rPr>
              <w:t>7. Delivery</w:t>
              <w:tab/>
              <w:t>12</w:t>
            </w:r>
          </w:hyperlink>
        </w:p>
        <w:p>
          <w:pPr>
            <w:pStyle w:val="TOC2"/>
            <w:tabs>
              <w:tab w:val="clear" w:pos="900"/>
              <w:tab w:val="clear" w:pos="9350"/>
              <w:tab w:val="right" w:pos="9025" w:leader="dot"/>
            </w:tabs>
            <w:rPr/>
          </w:pPr>
          <w:hyperlink w:anchor="__RefHeading___Toc91321_4049217194">
            <w:r>
              <w:rPr>
                <w:webHidden/>
                <w:rStyle w:val="IndexLink"/>
              </w:rPr>
              <w:t>7.1 Schedule</w:t>
              <w:tab/>
              <w:t>12</w:t>
            </w:r>
          </w:hyperlink>
        </w:p>
        <w:p>
          <w:pPr>
            <w:pStyle w:val="TOC2"/>
            <w:tabs>
              <w:tab w:val="clear" w:pos="900"/>
              <w:tab w:val="clear" w:pos="9350"/>
              <w:tab w:val="right" w:pos="9025" w:leader="dot"/>
            </w:tabs>
            <w:rPr/>
          </w:pPr>
          <w:hyperlink w:anchor="__RefHeading___Toc91323_4049217194">
            <w:r>
              <w:rPr>
                <w:webHidden/>
                <w:rStyle w:val="IndexLink"/>
              </w:rPr>
              <w:t>7.2 Sessions</w:t>
              <w:tab/>
              <w:t>12</w:t>
            </w:r>
          </w:hyperlink>
        </w:p>
        <w:p>
          <w:pPr>
            <w:pStyle w:val="TOC2"/>
            <w:tabs>
              <w:tab w:val="clear" w:pos="900"/>
              <w:tab w:val="clear" w:pos="9350"/>
              <w:tab w:val="right" w:pos="9025" w:leader="dot"/>
            </w:tabs>
            <w:rPr/>
          </w:pPr>
          <w:hyperlink w:anchor="__RefHeading___Toc91325_4049217194">
            <w:r>
              <w:rPr>
                <w:webHidden/>
                <w:rStyle w:val="IndexLink"/>
              </w:rPr>
              <w:t>7.3 Training environment readiness</w:t>
              <w:tab/>
              <w:t>12</w:t>
            </w:r>
          </w:hyperlink>
        </w:p>
        <w:p>
          <w:pPr>
            <w:pStyle w:val="TOC1"/>
            <w:tabs>
              <w:tab w:val="clear" w:pos="900"/>
              <w:tab w:val="clear" w:pos="9350"/>
              <w:tab w:val="right" w:pos="9025" w:leader="dot"/>
            </w:tabs>
            <w:rPr/>
          </w:pPr>
          <w:hyperlink w:anchor="__RefHeading___Toc91327_4049217194">
            <w:r>
              <w:rPr>
                <w:webHidden/>
                <w:rStyle w:val="IndexLink"/>
              </w:rPr>
              <w:t>8. Assessment</w:t>
              <w:tab/>
              <w:t>13</w:t>
            </w:r>
          </w:hyperlink>
        </w:p>
        <w:p>
          <w:pPr>
            <w:pStyle w:val="TOC2"/>
            <w:tabs>
              <w:tab w:val="clear" w:pos="900"/>
              <w:tab w:val="clear" w:pos="9350"/>
              <w:tab w:val="right" w:pos="9025" w:leader="dot"/>
            </w:tabs>
            <w:rPr/>
          </w:pPr>
          <w:hyperlink w:anchor="__RefHeading___Toc91329_4049217194">
            <w:r>
              <w:rPr>
                <w:webHidden/>
                <w:rStyle w:val="IndexLink"/>
              </w:rPr>
              <w:t>8.1 Method</w:t>
              <w:tab/>
              <w:t>13</w:t>
            </w:r>
          </w:hyperlink>
        </w:p>
        <w:p>
          <w:pPr>
            <w:pStyle w:val="TOC2"/>
            <w:tabs>
              <w:tab w:val="clear" w:pos="900"/>
              <w:tab w:val="clear" w:pos="9350"/>
              <w:tab w:val="right" w:pos="9025" w:leader="dot"/>
            </w:tabs>
            <w:rPr/>
          </w:pPr>
          <w:hyperlink w:anchor="__RefHeading___Toc91331_4049217194">
            <w:r>
              <w:rPr>
                <w:webHidden/>
                <w:rStyle w:val="IndexLink"/>
              </w:rPr>
              <w:t>8.2 Pass criteria</w:t>
              <w:tab/>
              <w:t>13</w:t>
            </w:r>
          </w:hyperlink>
        </w:p>
        <w:p>
          <w:pPr>
            <w:pStyle w:val="TOC2"/>
            <w:tabs>
              <w:tab w:val="clear" w:pos="900"/>
              <w:tab w:val="clear" w:pos="9350"/>
              <w:tab w:val="right" w:pos="9025" w:leader="dot"/>
            </w:tabs>
            <w:rPr/>
          </w:pPr>
          <w:hyperlink w:anchor="__RefHeading___Toc91333_4049217194">
            <w:r>
              <w:rPr>
                <w:webHidden/>
                <w:rStyle w:val="IndexLink"/>
              </w:rPr>
              <w:t>8.3 Evaluation of the training</w:t>
              <w:tab/>
              <w:t>13</w:t>
            </w:r>
          </w:hyperlink>
        </w:p>
        <w:p>
          <w:pPr>
            <w:pStyle w:val="TOC1"/>
            <w:tabs>
              <w:tab w:val="clear" w:pos="900"/>
              <w:tab w:val="clear" w:pos="9350"/>
              <w:tab w:val="right" w:pos="9025" w:leader="dot"/>
            </w:tabs>
            <w:rPr/>
          </w:pPr>
          <w:hyperlink w:anchor="__RefHeading___Toc91335_4049217194">
            <w:r>
              <w:rPr>
                <w:webHidden/>
                <w:rStyle w:val="IndexLink"/>
              </w:rPr>
              <w:t>9. Change management</w:t>
              <w:tab/>
              <w:t>14</w:t>
            </w:r>
          </w:hyperlink>
        </w:p>
        <w:p>
          <w:pPr>
            <w:pStyle w:val="TOC2"/>
            <w:tabs>
              <w:tab w:val="clear" w:pos="900"/>
              <w:tab w:val="clear" w:pos="9350"/>
              <w:tab w:val="right" w:pos="9025" w:leader="dot"/>
            </w:tabs>
            <w:rPr/>
          </w:pPr>
          <w:hyperlink w:anchor="__RefHeading___Toc91337_4049217194">
            <w:r>
              <w:rPr>
                <w:webHidden/>
                <w:rStyle w:val="IndexLink"/>
              </w:rPr>
              <w:t>9.1 What changes for users</w:t>
              <w:tab/>
              <w:t>14</w:t>
            </w:r>
          </w:hyperlink>
        </w:p>
        <w:p>
          <w:pPr>
            <w:pStyle w:val="TOC2"/>
            <w:tabs>
              <w:tab w:val="clear" w:pos="900"/>
              <w:tab w:val="clear" w:pos="9350"/>
              <w:tab w:val="right" w:pos="9025" w:leader="dot"/>
            </w:tabs>
            <w:rPr/>
          </w:pPr>
          <w:hyperlink w:anchor="__RefHeading___Toc91339_4049217194">
            <w:r>
              <w:rPr>
                <w:webHidden/>
                <w:rStyle w:val="IndexLink"/>
              </w:rPr>
              <w:t>9.2 Stakeholders and communication</w:t>
              <w:tab/>
              <w:t>14</w:t>
            </w:r>
          </w:hyperlink>
        </w:p>
        <w:p>
          <w:pPr>
            <w:pStyle w:val="TOC2"/>
            <w:tabs>
              <w:tab w:val="clear" w:pos="900"/>
              <w:tab w:val="clear" w:pos="9350"/>
              <w:tab w:val="right" w:pos="9025" w:leader="dot"/>
            </w:tabs>
            <w:rPr/>
          </w:pPr>
          <w:hyperlink w:anchor="__RefHeading___Toc91341_4049217194">
            <w:r>
              <w:rPr>
                <w:webHidden/>
                <w:rStyle w:val="IndexLink"/>
              </w:rPr>
              <w:t>9.3 Readiness</w:t>
              <w:tab/>
              <w:t>15</w:t>
            </w:r>
          </w:hyperlink>
        </w:p>
        <w:p>
          <w:pPr>
            <w:pStyle w:val="TOC2"/>
            <w:tabs>
              <w:tab w:val="clear" w:pos="900"/>
              <w:tab w:val="clear" w:pos="9350"/>
              <w:tab w:val="right" w:pos="9025" w:leader="dot"/>
            </w:tabs>
            <w:rPr/>
          </w:pPr>
          <w:hyperlink w:anchor="__RefHeading___Toc91343_4049217194">
            <w:r>
              <w:rPr>
                <w:webHidden/>
                <w:rStyle w:val="IndexLink"/>
              </w:rPr>
              <w:t>9.4 Support at go-live and reinforcement</w:t>
              <w:tab/>
              <w:t>15</w:t>
            </w:r>
          </w:hyperlink>
        </w:p>
        <w:p>
          <w:pPr>
            <w:pStyle w:val="TOC1"/>
            <w:tabs>
              <w:tab w:val="clear" w:pos="900"/>
              <w:tab w:val="clear" w:pos="9350"/>
              <w:tab w:val="right" w:pos="9025" w:leader="dot"/>
            </w:tabs>
            <w:rPr/>
          </w:pPr>
          <w:hyperlink w:anchor="__RefHeading___Toc91345_4049217194">
            <w:r>
              <w:rPr>
                <w:webHidden/>
                <w:rStyle w:val="IndexLink"/>
                <w:i w:val="false"/>
                <w:iCs w:val="false"/>
              </w:rPr>
              <w:t>10. Document Sign-Off</w:t>
            </w:r>
            <w:r>
              <w:rPr>
                <w:rStyle w:val="IndexLink"/>
              </w:rPr>
              <w:tab/>
              <w:t>16</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91277_404921719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91279_404921719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TTT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Train the trainer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Journal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Payment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KYC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Know your customer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Alphalist of Withholding Taxes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Quarterly Alphalist of Payees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SLSP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List of Sales and Purchases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Project manager</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91281_4049217194"/>
      <w:bookmarkEnd w:id="6"/>
      <w:r>
        <w:rPr>
          <w:rFonts w:eastAsia="Segoe UI" w:cs="Segoe UI" w:ascii="Segoe UI" w:hAnsi="Segoe UI"/>
          <w:b/>
          <w:color w:val="0F4761"/>
          <w:sz w:val="32"/>
        </w:rPr>
        <w:t>3.  Introduction</w:t>
      </w:r>
    </w:p>
    <w:p>
      <w:pPr>
        <w:pStyle w:val="Heading2"/>
        <w:rPr/>
      </w:pPr>
      <w:bookmarkStart w:id="7" w:name="__RefHeading___Toc91283_4049217194"/>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plan sets out how the broker's people learn to use BrokerVerse OOTB and how the change in their daily work is managed: the training per role, the curriculum and durations, the train-the-trainer approach, the materials, the assessment, and the change management activities around go-live.</w:t>
      </w:r>
    </w:p>
    <w:p>
      <w:pPr>
        <w:pStyle w:val="Heading2"/>
        <w:rPr/>
      </w:pPr>
      <w:bookmarkStart w:id="8" w:name="__RefHeading___Toc91285_4049217194"/>
      <w:bookmarkEnd w:id="8"/>
      <w:r>
        <w:rPr>
          <w:rFonts w:eastAsia="Segoe UI" w:cs="Segoe UI"/>
          <w:b/>
          <w:color w:val="0F4761"/>
          <w:sz w:val="26"/>
        </w:rPr>
        <w:t>3.2  Approach in brief</w:t>
      </w:r>
    </w:p>
    <w:p>
      <w:pPr>
        <w:pStyle w:val="Normal"/>
        <w:numPr>
          <w:ilvl w:val="0"/>
          <w:numId w:val="1"/>
        </w:numPr>
        <w:spacing w:before="0" w:after="60"/>
        <w:rPr/>
      </w:pPr>
      <w:r>
        <w:rPr>
          <w:rFonts w:eastAsia="Segoe UI" w:cs="Segoe UI" w:ascii="Segoe UI" w:hAnsi="Segoe UI"/>
          <w:b/>
          <w:color w:val="101820"/>
          <w:sz w:val="21"/>
        </w:rPr>
        <w:t>Role-based.</w:t>
      </w:r>
      <w:r>
        <w:rPr>
          <w:rFonts w:eastAsia="Segoe UI" w:cs="Segoe UI" w:ascii="Segoe UI" w:hAnsi="Segoe UI"/>
          <w:color w:val="101820"/>
          <w:sz w:val="21"/>
        </w:rPr>
        <w:t xml:space="preserve"> Training follows the seven delivered roles. Each user is trained in the screens of the role the user will hold, as the menus differ by role.</w:t>
      </w:r>
    </w:p>
    <w:p>
      <w:pPr>
        <w:pStyle w:val="Normal"/>
        <w:numPr>
          <w:ilvl w:val="0"/>
          <w:numId w:val="1"/>
        </w:numPr>
        <w:spacing w:before="0" w:after="60"/>
        <w:rPr/>
      </w:pPr>
      <w:r>
        <w:rPr>
          <w:rFonts w:eastAsia="Segoe UI" w:cs="Segoe UI" w:ascii="Segoe UI" w:hAnsi="Segoe UI"/>
          <w:b/>
          <w:color w:val="101820"/>
          <w:sz w:val="21"/>
        </w:rPr>
        <w:t>Train the trainer.</w:t>
      </w:r>
      <w:r>
        <w:rPr>
          <w:rFonts w:eastAsia="Segoe UI" w:cs="Segoe UI" w:ascii="Segoe UI" w:hAnsi="Segoe UI"/>
          <w:color w:val="101820"/>
          <w:sz w:val="21"/>
        </w:rPr>
        <w:t xml:space="preserve"> iorta TechNXT trains the broker's key users. The key users then train their teams, with iorta TechNXT present at the first sessions.</w:t>
      </w:r>
    </w:p>
    <w:p>
      <w:pPr>
        <w:pStyle w:val="Normal"/>
        <w:numPr>
          <w:ilvl w:val="0"/>
          <w:numId w:val="1"/>
        </w:numPr>
        <w:spacing w:before="0" w:after="60"/>
        <w:rPr/>
      </w:pPr>
      <w:r>
        <w:rPr>
          <w:rFonts w:eastAsia="Segoe UI" w:cs="Segoe UI" w:ascii="Segoe UI" w:hAnsi="Segoe UI"/>
          <w:b/>
          <w:color w:val="101820"/>
          <w:sz w:val="21"/>
        </w:rPr>
        <w:t>Hands on.</w:t>
      </w:r>
      <w:r>
        <w:rPr>
          <w:rFonts w:eastAsia="Segoe UI" w:cs="Segoe UI" w:ascii="Segoe UI" w:hAnsi="Segoe UI"/>
          <w:color w:val="101820"/>
          <w:sz w:val="21"/>
        </w:rPr>
        <w:t xml:space="preserve"> At least two thirds of each session is practice on the test environment with training data, following the steps of the user manual.</w:t>
      </w:r>
    </w:p>
    <w:p>
      <w:pPr>
        <w:pStyle w:val="Normal"/>
        <w:numPr>
          <w:ilvl w:val="0"/>
          <w:numId w:val="1"/>
        </w:numPr>
        <w:spacing w:before="0" w:after="60"/>
        <w:rPr/>
      </w:pPr>
      <w:r>
        <w:rPr>
          <w:rFonts w:eastAsia="Segoe UI" w:cs="Segoe UI" w:ascii="Segoe UI" w:hAnsi="Segoe UI"/>
          <w:b/>
          <w:color w:val="101820"/>
          <w:sz w:val="21"/>
        </w:rPr>
        <w:t>Assessed.</w:t>
      </w:r>
      <w:r>
        <w:rPr>
          <w:rFonts w:eastAsia="Segoe UI" w:cs="Segoe UI" w:ascii="Segoe UI" w:hAnsi="Segoe UI"/>
          <w:color w:val="101820"/>
          <w:sz w:val="21"/>
        </w:rPr>
        <w:t xml:space="preserve"> Every user completes a practical assessment before receiving production access.</w:t>
      </w:r>
    </w:p>
    <w:p>
      <w:pPr>
        <w:pStyle w:val="Normal"/>
        <w:numPr>
          <w:ilvl w:val="0"/>
          <w:numId w:val="1"/>
        </w:numPr>
        <w:spacing w:before="0" w:after="60"/>
        <w:rPr/>
      </w:pPr>
      <w:r>
        <w:rPr>
          <w:rFonts w:eastAsia="Segoe UI" w:cs="Segoe UI" w:ascii="Segoe UI" w:hAnsi="Segoe UI"/>
          <w:b/>
          <w:color w:val="101820"/>
          <w:sz w:val="21"/>
        </w:rPr>
        <w:t>Just in time.</w:t>
      </w:r>
      <w:r>
        <w:rPr>
          <w:rFonts w:eastAsia="Segoe UI" w:cs="Segoe UI" w:ascii="Segoe UI" w:hAnsi="Segoe UI"/>
          <w:color w:val="101820"/>
          <w:sz w:val="21"/>
        </w:rPr>
        <w:t xml:space="preserve"> End-user training takes place in the two weeks before go-live, so the learning is fresh on day one.</w:t>
      </w:r>
    </w:p>
    <w:p>
      <w:pPr>
        <w:pStyle w:val="Heading2"/>
        <w:rPr/>
      </w:pPr>
      <w:bookmarkStart w:id="9" w:name="__RefHeading___Toc91287_4049217194"/>
      <w:bookmarkEnd w:id="9"/>
      <w:r>
        <w:rPr>
          <w:rFonts w:eastAsia="Segoe UI" w:cs="Segoe UI"/>
          <w:b/>
          <w:color w:val="0F4761"/>
          <w:sz w:val="26"/>
        </w:rPr>
        <w:t>3.3  Roles trained</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63"/>
        <w:gridCol w:w="3025"/>
        <w:gridCol w:w="3027"/>
      </w:tblGrid>
      <w:tr>
        <w:trPr>
          <w:tblHeader w:val="true"/>
        </w:trPr>
        <w:tc>
          <w:tcPr>
            <w:tcW w:w="29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 in BrokerVerse</w:t>
            </w:r>
          </w:p>
        </w:tc>
        <w:tc>
          <w:tcPr>
            <w:tcW w:w="30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in the broker</w:t>
            </w:r>
          </w:p>
        </w:tc>
        <w:tc>
          <w:tcPr>
            <w:tcW w:w="30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 xml:space="preserve">Role decks in </w:t>
            </w:r>
            <w:r>
              <w:rPr>
                <w:rFonts w:eastAsia="Consolas" w:cs="Consolas" w:ascii="Consolas" w:hAnsi="Consolas"/>
                <w:color w:val="0F4761"/>
                <w:kern w:val="0"/>
                <w:sz w:val="16"/>
                <w:szCs w:val="24"/>
                <w:lang w:val="en-US" w:eastAsia="ja-JP" w:bidi="ar-SA"/>
              </w:rPr>
              <w:t>docs/decks</w:t>
            </w:r>
          </w:p>
        </w:tc>
      </w:tr>
      <w:tr>
        <w:trPr/>
        <w:tc>
          <w:tcPr>
            <w:tcW w:w="29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(Super Admin Access)</w:t>
            </w:r>
          </w:p>
        </w:tc>
        <w:tc>
          <w:tcPr>
            <w:tcW w:w="3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or system owner; at most a few people</w:t>
            </w:r>
          </w:p>
        </w:tc>
        <w:tc>
          <w:tcPr>
            <w:tcW w:w="3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BrokerVerse_System_Administrator_Guide.pptx</w:t>
            </w:r>
            <w:r>
              <w:rPr>
                <w:rFonts w:eastAsia="Segoe UI" w:cs="Segoe UI" w:ascii="Segoe UI" w:hAnsi="Segoe UI"/>
                <w:color w:val="101820"/>
                <w:kern w:val="0"/>
                <w:sz w:val="18"/>
                <w:szCs w:val="24"/>
                <w:lang w:val="en-US" w:eastAsia="ja-JP" w:bidi="ar-SA"/>
              </w:rPr>
              <w:t xml:space="preserve"> (22 slides)</w:t>
            </w:r>
          </w:p>
        </w:tc>
      </w:tr>
      <w:tr>
        <w:trPr/>
        <w:tc>
          <w:tcPr>
            <w:tcW w:w="29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(Account Executive)</w:t>
            </w:r>
          </w:p>
        </w:tc>
        <w:tc>
          <w:tcPr>
            <w:tcW w:w="3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executives, marketing staff</w:t>
            </w:r>
          </w:p>
        </w:tc>
        <w:tc>
          <w:tcPr>
            <w:tcW w:w="3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BrokerVerse_Sales_and_Marketing_Guide.pptx</w:t>
            </w:r>
            <w:r>
              <w:rPr>
                <w:rFonts w:eastAsia="Segoe UI" w:cs="Segoe UI" w:ascii="Segoe UI" w:hAnsi="Segoe UI"/>
                <w:color w:val="101820"/>
                <w:kern w:val="0"/>
                <w:sz w:val="18"/>
                <w:szCs w:val="24"/>
                <w:lang w:val="en-US" w:eastAsia="ja-JP" w:bidi="ar-SA"/>
              </w:rPr>
              <w:t xml:space="preserve"> (18 slides)</w:t>
            </w:r>
          </w:p>
        </w:tc>
      </w:tr>
      <w:tr>
        <w:trPr/>
        <w:tc>
          <w:tcPr>
            <w:tcW w:w="29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(Placement &amp; Policy Processing)</w:t>
            </w:r>
          </w:p>
        </w:tc>
        <w:tc>
          <w:tcPr>
            <w:tcW w:w="3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underwriting support and policy processing staff</w:t>
            </w:r>
          </w:p>
        </w:tc>
        <w:tc>
          <w:tcPr>
            <w:tcW w:w="3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BrokerVerse_Processing_Team_Guide.pptx</w:t>
            </w:r>
            <w:r>
              <w:rPr>
                <w:rFonts w:eastAsia="Segoe UI" w:cs="Segoe UI" w:ascii="Segoe UI" w:hAnsi="Segoe UI"/>
                <w:color w:val="101820"/>
                <w:kern w:val="0"/>
                <w:sz w:val="18"/>
                <w:szCs w:val="24"/>
                <w:lang w:val="en-US" w:eastAsia="ja-JP" w:bidi="ar-SA"/>
              </w:rPr>
              <w:t xml:space="preserve"> (22 slides)</w:t>
            </w:r>
          </w:p>
        </w:tc>
      </w:tr>
      <w:tr>
        <w:trPr/>
        <w:tc>
          <w:tcPr>
            <w:tcW w:w="29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(Client Servicing)</w:t>
            </w:r>
          </w:p>
        </w:tc>
        <w:tc>
          <w:tcPr>
            <w:tcW w:w="3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servicing and customer care staff</w:t>
            </w:r>
          </w:p>
        </w:tc>
        <w:tc>
          <w:tcPr>
            <w:tcW w:w="3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BrokerVerse_Operations_Guide.pptx</w:t>
            </w:r>
            <w:r>
              <w:rPr>
                <w:rFonts w:eastAsia="Segoe UI" w:cs="Segoe UI" w:ascii="Segoe UI" w:hAnsi="Segoe UI"/>
                <w:color w:val="101820"/>
                <w:kern w:val="0"/>
                <w:sz w:val="18"/>
                <w:szCs w:val="24"/>
                <w:lang w:val="en-US" w:eastAsia="ja-JP" w:bidi="ar-SA"/>
              </w:rPr>
              <w:t xml:space="preserve"> (19 slides)</w:t>
            </w:r>
          </w:p>
        </w:tc>
      </w:tr>
      <w:tr>
        <w:trPr/>
        <w:tc>
          <w:tcPr>
            <w:tcW w:w="29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3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officers and approvers</w:t>
            </w:r>
          </w:p>
        </w:tc>
        <w:tc>
          <w:tcPr>
            <w:tcW w:w="3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BrokerVerse_Claims_Guide.pptx</w:t>
            </w:r>
            <w:r>
              <w:rPr>
                <w:rFonts w:eastAsia="Segoe UI" w:cs="Segoe UI" w:ascii="Segoe UI" w:hAnsi="Segoe UI"/>
                <w:color w:val="101820"/>
                <w:kern w:val="0"/>
                <w:sz w:val="18"/>
                <w:szCs w:val="24"/>
                <w:lang w:val="en-US" w:eastAsia="ja-JP" w:bidi="ar-SA"/>
              </w:rPr>
              <w:t xml:space="preserve"> (18 slides)</w:t>
            </w:r>
          </w:p>
        </w:tc>
      </w:tr>
      <w:tr>
        <w:trPr/>
        <w:tc>
          <w:tcPr>
            <w:tcW w:w="29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3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collection, disbursement, remittance and general ledger staff</w:t>
            </w:r>
          </w:p>
        </w:tc>
        <w:tc>
          <w:tcPr>
            <w:tcW w:w="3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BrokerVerse_Accounting_Guide.pptx</w:t>
            </w:r>
            <w:r>
              <w:rPr>
                <w:rFonts w:eastAsia="Segoe UI" w:cs="Segoe UI" w:ascii="Segoe UI" w:hAnsi="Segoe UI"/>
                <w:color w:val="101820"/>
                <w:kern w:val="0"/>
                <w:sz w:val="18"/>
                <w:szCs w:val="24"/>
                <w:lang w:val="en-US" w:eastAsia="ja-JP" w:bidi="ar-SA"/>
              </w:rPr>
              <w:t xml:space="preserve"> (22 slides)</w:t>
            </w:r>
          </w:p>
        </w:tc>
      </w:tr>
      <w:tr>
        <w:trPr/>
        <w:tc>
          <w:tcPr>
            <w:tcW w:w="29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c>
          <w:tcPr>
            <w:tcW w:w="3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Finance manager, controller; inherits Accounting</w:t>
            </w:r>
          </w:p>
        </w:tc>
        <w:tc>
          <w:tcPr>
            <w:tcW w:w="3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BrokerVerse_Accounting_Manager_Guide.pptx</w:t>
            </w:r>
            <w:r>
              <w:rPr>
                <w:rFonts w:eastAsia="Segoe UI" w:cs="Segoe UI" w:ascii="Segoe UI" w:hAnsi="Segoe UI"/>
                <w:color w:val="101820"/>
                <w:kern w:val="0"/>
                <w:sz w:val="18"/>
                <w:szCs w:val="24"/>
                <w:lang w:val="en-US" w:eastAsia="ja-JP" w:bidi="ar-SA"/>
              </w:rPr>
              <w:t xml:space="preserve"> (19 slides)</w:t>
            </w:r>
          </w:p>
        </w:tc>
      </w:tr>
    </w:tbl>
    <w:p>
      <w:pPr>
        <w:pStyle w:val="Heading1"/>
        <w:rPr/>
      </w:pPr>
      <w:r>
        <w:br w:type="page"/>
      </w:r>
      <w:bookmarkStart w:id="10" w:name="__RefHeading___Toc91289_4049217194"/>
      <w:bookmarkEnd w:id="10"/>
      <w:r>
        <w:rPr>
          <w:rFonts w:eastAsia="Segoe UI" w:cs="Segoe UI" w:ascii="Segoe UI" w:hAnsi="Segoe UI"/>
          <w:b/>
          <w:color w:val="0F4761"/>
          <w:sz w:val="32"/>
        </w:rPr>
        <w:t>4.  Training materials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Material</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 User Manual (</w:t>
            </w:r>
            <w:r>
              <w:rPr>
                <w:rFonts w:eastAsia="Consolas" w:cs="Consolas" w:ascii="Consolas" w:hAnsi="Consolas"/>
                <w:color w:val="101820"/>
                <w:kern w:val="0"/>
                <w:sz w:val="16"/>
                <w:szCs w:val="24"/>
                <w:lang w:val="en-US" w:eastAsia="ja-JP" w:bidi="ar-SA"/>
              </w:rPr>
              <w:t>docs/package/05_Delivery/BrokerVerse_User_Manual.pdf</w:t>
            </w:r>
            <w:r>
              <w:rPr>
                <w:rFonts w:eastAsia="Segoe UI" w:cs="Segoe UI" w:ascii="Segoe UI" w:hAnsi="Segoe UI"/>
                <w:color w:val="101820"/>
                <w:kern w:val="0"/>
                <w:sz w:val="18"/>
                <w:szCs w:val="24"/>
                <w:lang w:val="en-US" w:eastAsia="ja-JP" w:bidi="ar-SA"/>
              </w:rPr>
              <w: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 for every screen, with one chapter per role; the end-to-end business process; a module reference; reports, dashboards, schedules and notifications; troubleshooting, FAQ and glossary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 decks (</w:t>
            </w:r>
            <w:r>
              <w:rPr>
                <w:rFonts w:eastAsia="Consolas" w:cs="Consolas" w:ascii="Consolas" w:hAnsi="Consolas"/>
                <w:color w:val="101820"/>
                <w:kern w:val="0"/>
                <w:sz w:val="16"/>
                <w:szCs w:val="24"/>
                <w:lang w:val="en-US" w:eastAsia="ja-JP" w:bidi="ar-SA"/>
              </w:rPr>
              <w:t>docs/decks</w:t>
            </w:r>
            <w:r>
              <w:rPr>
                <w:rFonts w:eastAsia="Segoe UI" w:cs="Segoe UI" w:ascii="Segoe UI" w:hAnsi="Segoe UI"/>
                <w:color w:val="101820"/>
                <w:kern w:val="0"/>
                <w:sz w:val="18"/>
                <w:szCs w:val="24"/>
                <w:lang w:val="en-US" w:eastAsia="ja-JP" w:bidi="ar-SA"/>
              </w:rPr>
              <w: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PowerPoint per role: the role, its menu map, key functions with screens, its part of the end-to-end flow, reports, schedules, notifications, known limitations and tips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Getting started guide (</w:t>
            </w:r>
            <w:r>
              <w:rPr>
                <w:rFonts w:eastAsia="Consolas" w:cs="Consolas" w:ascii="Consolas" w:hAnsi="Consolas"/>
                <w:color w:val="101820"/>
                <w:kern w:val="0"/>
                <w:sz w:val="16"/>
                <w:szCs w:val="24"/>
                <w:lang w:val="en-US" w:eastAsia="ja-JP" w:bidi="ar-SA"/>
              </w:rPr>
              <w:t>docs/onboarding/GETTING_STARTED.md</w:t>
            </w:r>
            <w:r>
              <w:rPr>
                <w:rFonts w:eastAsia="Segoe UI" w:cs="Segoe UI" w:ascii="Segoe UI" w:hAnsi="Segoe UI"/>
                <w:color w:val="101820"/>
                <w:kern w:val="0"/>
                <w:sz w:val="18"/>
                <w:szCs w:val="24"/>
                <w:lang w:val="en-US" w:eastAsia="ja-JP" w:bidi="ar-SA"/>
              </w:rPr>
              <w: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sign-in, password rules, two-step verification, menus per role, how to ask for help; handed to every user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scripts (</w:t>
            </w:r>
            <w:r>
              <w:rPr>
                <w:rFonts w:eastAsia="Consolas" w:cs="Consolas" w:ascii="Consolas" w:hAnsi="Consolas"/>
                <w:color w:val="101820"/>
                <w:kern w:val="0"/>
                <w:sz w:val="16"/>
                <w:szCs w:val="24"/>
                <w:lang w:val="en-US" w:eastAsia="ja-JP" w:bidi="ar-SA"/>
              </w:rPr>
              <w:t>docs/onboarding/UAT_SCRIPTS.md</w:t>
            </w:r>
            <w:r>
              <w:rPr>
                <w:rFonts w:eastAsia="Segoe UI" w:cs="Segoe UI" w:ascii="Segoe UI" w:hAnsi="Segoe UI"/>
                <w:color w:val="101820"/>
                <w:kern w:val="0"/>
                <w:sz w:val="18"/>
                <w:szCs w:val="24"/>
                <w:lang w:val="en-US" w:eastAsia="ja-JP" w:bidi="ar-SA"/>
              </w:rPr>
              <w: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Basis for the practical exercises and the assessment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Upload templates (</w:t>
            </w:r>
            <w:r>
              <w:rPr>
                <w:rFonts w:eastAsia="Consolas" w:cs="Consolas" w:ascii="Consolas" w:hAnsi="Consolas"/>
                <w:color w:val="101820"/>
                <w:kern w:val="0"/>
                <w:sz w:val="16"/>
                <w:szCs w:val="24"/>
                <w:lang w:val="en-US" w:eastAsia="ja-JP" w:bidi="ar-SA"/>
              </w:rPr>
              <w:t>docs/templates</w:t>
            </w:r>
            <w:r>
              <w:rPr>
                <w:rFonts w:eastAsia="Segoe UI" w:cs="Segoe UI" w:ascii="Segoe UI" w:hAnsi="Segoe UI"/>
                <w:color w:val="101820"/>
                <w:kern w:val="0"/>
                <w:sz w:val="18"/>
                <w:szCs w:val="24"/>
                <w:lang w:val="en-US" w:eastAsia="ja-JP" w:bidi="ar-SA"/>
              </w:rPr>
              <w: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Exercises for users who load data (System Administrator, Accounting, Sales &amp; Marketing, Processing Team)</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environment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test environment with training users (one per trainee) and training data; the delivered sample data (</w:t>
            </w:r>
            <w:r>
              <w:rPr>
                <w:rFonts w:eastAsia="Consolas" w:cs="Consolas" w:ascii="Consolas" w:hAnsi="Consolas"/>
                <w:color w:val="101820"/>
                <w:kern w:val="0"/>
                <w:sz w:val="16"/>
                <w:szCs w:val="24"/>
                <w:lang w:val="en-US" w:eastAsia="ja-JP" w:bidi="ar-SA"/>
              </w:rPr>
              <w:t>SEED_SAMPLE_DATA=true</w:t>
            </w:r>
            <w:r>
              <w:rPr>
                <w:rFonts w:eastAsia="Segoe UI" w:cs="Segoe UI" w:ascii="Segoe UI" w:hAnsi="Segoe UI"/>
                <w:color w:val="101820"/>
                <w:kern w:val="0"/>
                <w:sz w:val="18"/>
                <w:szCs w:val="24"/>
                <w:lang w:val="en-US" w:eastAsia="ja-JP" w:bidi="ar-SA"/>
              </w:rPr>
              <w:t>) may be used there, never in production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Exercise book (prepared by the key users with iorta TechNXT)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broker's own examples: products, insurers, a typical motor and fire risk, a typical month-end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Training users and their passwords are handed to trainees privately, as for production users. Trainees never use production for practice.</w:t>
      </w:r>
      <w:r>
        <w:br w:type="page"/>
      </w:r>
    </w:p>
    <w:p>
      <w:pPr>
        <w:pStyle w:val="Heading1"/>
        <w:rPr/>
      </w:pPr>
      <w:bookmarkStart w:id="11" w:name="__RefHeading___Toc91291_4049217194"/>
      <w:bookmarkEnd w:id="11"/>
      <w:r>
        <w:rPr>
          <w:rFonts w:eastAsia="Segoe UI" w:cs="Segoe UI" w:ascii="Segoe UI" w:hAnsi="Segoe UI"/>
          <w:b/>
          <w:color w:val="0F4761"/>
          <w:sz w:val="32"/>
        </w:rPr>
        <w:t>5.  Curriculum by role</w:t>
      </w:r>
    </w:p>
    <w:p>
      <w:pPr>
        <w:pStyle w:val="Normal"/>
        <w:spacing w:lineRule="auto" w:line="276" w:before="0" w:after="120"/>
        <w:rPr/>
      </w:pPr>
      <w:r>
        <w:rPr>
          <w:rFonts w:eastAsia="Segoe UI" w:cs="Segoe UI" w:ascii="Segoe UI" w:hAnsi="Segoe UI"/>
          <w:color w:val="101820"/>
          <w:sz w:val="21"/>
        </w:rPr>
        <w:t>Durations are in hours of classroom time; a day is 7 hours. The manual chapters are those of the BrokerVerse User Manual.</w:t>
      </w:r>
    </w:p>
    <w:p>
      <w:pPr>
        <w:pStyle w:val="Normal"/>
        <w:shd w:val="clear" w:color="auto" w:fill="EAF2FB"/>
        <w:spacing w:before="0" w:after="160"/>
        <w:ind w:left="170"/>
        <w:rPr/>
      </w:pPr>
      <w:r>
        <w:rPr>
          <w:rFonts w:eastAsia="Segoe UI" w:cs="Segoe UI" w:ascii="Segoe UI" w:hAnsi="Segoe UI"/>
          <w:color w:val="101820"/>
          <w:sz w:val="20"/>
        </w:rPr>
        <w:t>Note: version 1.0 of the user manual and the role decks do not describe Operations &gt; Sales &amp; Marketing &gt; Quick Quote and Compare Insurers, Accounts &gt; Credit Control and Accounts &gt; Insurer Reconciliation. Until they do, the consultant teaches these screens by walkthrough and the key users add the steps to their exercise book.</w:t>
      </w:r>
    </w:p>
    <w:p>
      <w:pPr>
        <w:pStyle w:val="Heading2"/>
        <w:rPr/>
      </w:pPr>
      <w:bookmarkStart w:id="12" w:name="__RefHeading___Toc91293_4049217194"/>
      <w:bookmarkEnd w:id="12"/>
      <w:r>
        <w:rPr>
          <w:rFonts w:eastAsia="Segoe UI" w:cs="Segoe UI"/>
          <w:b/>
          <w:color w:val="0F4761"/>
          <w:sz w:val="26"/>
        </w:rPr>
        <w:t>5.1  All roles: common module (1.5 hours)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02"/>
        <w:gridCol w:w="4809"/>
        <w:gridCol w:w="2103"/>
      </w:tblGrid>
      <w:tr>
        <w:trPr>
          <w:tblHeader w:val="true"/>
        </w:trPr>
        <w:tc>
          <w:tcPr>
            <w:tcW w:w="21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Topic</w:t>
            </w:r>
          </w:p>
        </w:tc>
        <w:tc>
          <w:tcPr>
            <w:tcW w:w="48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c>
          <w:tcPr>
            <w:tcW w:w="21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Manual</w:t>
            </w:r>
          </w:p>
        </w:tc>
      </w:tr>
      <w:tr>
        <w:trPr/>
        <w:tc>
          <w:tcPr>
            <w:tcW w:w="21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Signing in</w:t>
            </w:r>
          </w:p>
        </w:tc>
        <w:tc>
          <w:tcPr>
            <w:tcW w:w="48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sign-in, password change, password rules (8 characters, upper and lower case, digit, symbol, history 5, expiry 90 days), lockout after 5 wrong passwords, idle sign-out after 30 minutes, forgotten password</w:t>
            </w:r>
          </w:p>
        </w:tc>
        <w:tc>
          <w:tcPr>
            <w:tcW w:w="21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2</w:t>
            </w:r>
          </w:p>
        </w:tc>
      </w:tr>
      <w:tr>
        <w:trPr/>
        <w:tc>
          <w:tcPr>
            <w:tcW w:w="21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Two-step verification</w:t>
            </w:r>
          </w:p>
        </w:tc>
        <w:tc>
          <w:tcPr>
            <w:tcW w:w="48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Set-up with an authenticator app; what to do when the phone is lost</w:t>
            </w:r>
          </w:p>
        </w:tc>
        <w:tc>
          <w:tcPr>
            <w:tcW w:w="21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2</w:t>
            </w:r>
          </w:p>
        </w:tc>
      </w:tr>
      <w:tr>
        <w:trPr/>
        <w:tc>
          <w:tcPr>
            <w:tcW w:w="21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Finding your way</w:t>
            </w:r>
          </w:p>
        </w:tc>
        <w:tc>
          <w:tcPr>
            <w:tcW w:w="48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 by role, dashboards, notifications (bell), lists, search and filters, view and edit</w:t>
            </w:r>
          </w:p>
        </w:tc>
        <w:tc>
          <w:tcPr>
            <w:tcW w:w="21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Chapters 2, 4</w:t>
            </w:r>
          </w:p>
        </w:tc>
      </w:tr>
      <w:tr>
        <w:trPr/>
        <w:tc>
          <w:tcPr>
            <w:tcW w:w="21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broking cycle</w:t>
            </w:r>
          </w:p>
        </w:tc>
        <w:tc>
          <w:tcPr>
            <w:tcW w:w="48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thirteen steps from lead to month-end and who does each; maker-checker points</w:t>
            </w:r>
          </w:p>
        </w:tc>
        <w:tc>
          <w:tcPr>
            <w:tcW w:w="21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3</w:t>
            </w:r>
          </w:p>
        </w:tc>
      </w:tr>
      <w:tr>
        <w:trPr/>
        <w:tc>
          <w:tcPr>
            <w:tcW w:w="21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Formats</w:t>
            </w:r>
          </w:p>
        </w:tc>
        <w:tc>
          <w:tcPr>
            <w:tcW w:w="48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Dates DD/MM/YYYY, amounts in PHP, mobile number and TIN formats, government IDs accepted for KYC</w:t>
            </w:r>
          </w:p>
        </w:tc>
        <w:tc>
          <w:tcPr>
            <w:tcW w:w="21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2</w:t>
            </w:r>
          </w:p>
        </w:tc>
      </w:tr>
      <w:tr>
        <w:trPr/>
        <w:tc>
          <w:tcPr>
            <w:tcW w:w="21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Getting help</w:t>
            </w:r>
          </w:p>
        </w:tc>
        <w:tc>
          <w:tcPr>
            <w:tcW w:w="48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user first, then the System Administrator; what to put in a report: screen, record number, time, request ID</w:t>
            </w:r>
          </w:p>
        </w:tc>
        <w:tc>
          <w:tcPr>
            <w:tcW w:w="21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2, Appendix H</w:t>
            </w:r>
          </w:p>
        </w:tc>
      </w:tr>
    </w:tbl>
    <w:p>
      <w:pPr>
        <w:pStyle w:val="Normal"/>
        <w:spacing w:before="0" w:after="80"/>
        <w:rPr/>
      </w:pPr>
      <w:r>
        <w:rPr/>
      </w:r>
    </w:p>
    <w:p>
      <w:pPr>
        <w:pStyle w:val="Heading2"/>
        <w:rPr/>
      </w:pPr>
      <w:bookmarkStart w:id="13" w:name="__RefHeading___Toc91295_4049217194"/>
      <w:bookmarkEnd w:id="13"/>
      <w:r>
        <w:rPr>
          <w:rFonts w:eastAsia="Segoe UI" w:cs="Segoe UI"/>
          <w:b/>
          <w:color w:val="0F4761"/>
          <w:sz w:val="26"/>
        </w:rPr>
        <w:t>5.2  System Administrator (17.5 hours, 2.5 days)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85"/>
        <w:gridCol w:w="906"/>
        <w:gridCol w:w="3286"/>
        <w:gridCol w:w="1537"/>
      </w:tblGrid>
      <w:tr>
        <w:trPr>
          <w:tblHeader w:val="true"/>
        </w:trPr>
        <w:tc>
          <w:tcPr>
            <w:tcW w:w="32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Module</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Hours</w:t>
            </w:r>
          </w:p>
        </w:tc>
        <w:tc>
          <w:tcPr>
            <w:tcW w:w="328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c>
          <w:tcPr>
            <w:tcW w:w="15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Manual</w:t>
            </w:r>
          </w:p>
        </w:tc>
      </w:tr>
      <w:tr>
        <w:trPr/>
        <w:tc>
          <w:tcPr>
            <w:tcW w:w="32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Common module</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32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above</w:t>
            </w:r>
          </w:p>
        </w:tc>
        <w:tc>
          <w:tcPr>
            <w:tcW w:w="1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2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management</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32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roles, temporary passwords, locking and unlocking, two-step verification resets; User Access Matrix, Role Permissions, Authority Matrix, Delegations, Segregation of Duties, Access Reviews</w:t>
            </w:r>
          </w:p>
        </w:tc>
        <w:tc>
          <w:tcPr>
            <w:tcW w:w="1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23</w:t>
            </w:r>
          </w:p>
        </w:tc>
      </w:tr>
      <w:tr>
        <w:trPr/>
        <w:tc>
          <w:tcPr>
            <w:tcW w:w="32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Organisation and letterhead</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32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 (primary company prints on every document), branches, departments, System Settings</w:t>
            </w:r>
          </w:p>
        </w:tc>
        <w:tc>
          <w:tcPr>
            <w:tcW w:w="1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23</w:t>
            </w:r>
          </w:p>
        </w:tc>
      </w:tr>
      <w:tr>
        <w:trPr/>
        <w:tc>
          <w:tcPr>
            <w:tcW w:w="32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 and uploads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32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 Management masters, Location, Employee Management, Finance masters; upload templates, row errors, loading masters without an Upload button</w:t>
            </w:r>
          </w:p>
        </w:tc>
        <w:tc>
          <w:tcPr>
            <w:tcW w:w="1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23</w:t>
            </w:r>
          </w:p>
        </w:tc>
      </w:tr>
      <w:tr>
        <w:trPr/>
        <w:tc>
          <w:tcPr>
            <w:tcW w:w="32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32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Configuration groups: security, notification and e-mail texts, placement journey, limits, tax, claims, renewals, remittance; effect of a change; audit</w:t>
            </w:r>
          </w:p>
        </w:tc>
        <w:tc>
          <w:tcPr>
            <w:tcW w:w="1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23, Appendix C</w:t>
            </w:r>
          </w:p>
        </w:tc>
      </w:tr>
      <w:tr>
        <w:trPr/>
        <w:tc>
          <w:tcPr>
            <w:tcW w:w="32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numbering</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32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Series, prefix, format, next number; continuing the old numbering; official receipt series and the Authority to Print</w:t>
            </w:r>
          </w:p>
        </w:tc>
        <w:tc>
          <w:tcPr>
            <w:tcW w:w="1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23, Appendix B</w:t>
            </w:r>
          </w:p>
        </w:tc>
      </w:tr>
      <w:tr>
        <w:trPr/>
        <w:tc>
          <w:tcPr>
            <w:tcW w:w="32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Schedules and E-mail Outbox</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32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15 jobs, switching on, Run now, run history; the outbox and resending</w:t>
            </w:r>
          </w:p>
        </w:tc>
        <w:tc>
          <w:tcPr>
            <w:tcW w:w="1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23, Appendix D</w:t>
            </w:r>
          </w:p>
        </w:tc>
      </w:tr>
      <w:tr>
        <w:trPr/>
        <w:tc>
          <w:tcPr>
            <w:tcW w:w="32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 rules and account determination (overview)</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32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roles, posting rules, Simulate, Configuration Approvals</w:t>
            </w:r>
          </w:p>
        </w:tc>
        <w:tc>
          <w:tcPr>
            <w:tcW w:w="1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23</w:t>
            </w:r>
          </w:p>
        </w:tc>
      </w:tr>
      <w:tr>
        <w:trPr/>
        <w:tc>
          <w:tcPr>
            <w:tcW w:w="32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Trail and first-line support</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w:t>
            </w:r>
          </w:p>
        </w:tc>
        <w:tc>
          <w:tcPr>
            <w:tcW w:w="32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Trail filters; access reviews; triage of user reports; raising tickets to iorta TechNXT</w:t>
            </w:r>
          </w:p>
        </w:tc>
        <w:tc>
          <w:tcPr>
            <w:tcW w:w="1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23, Appendix F</w:t>
            </w:r>
          </w:p>
        </w:tc>
      </w:tr>
    </w:tbl>
    <w:p>
      <w:pPr>
        <w:pStyle w:val="Normal"/>
        <w:spacing w:before="0" w:after="80"/>
        <w:rPr/>
      </w:pPr>
      <w:r>
        <w:rPr/>
      </w:r>
    </w:p>
    <w:p>
      <w:pPr>
        <w:pStyle w:val="Heading2"/>
        <w:rPr/>
      </w:pPr>
      <w:bookmarkStart w:id="14" w:name="__RefHeading___Toc91297_4049217194"/>
      <w:bookmarkEnd w:id="14"/>
      <w:r>
        <w:rPr>
          <w:rFonts w:eastAsia="Segoe UI" w:cs="Segoe UI"/>
          <w:b/>
          <w:color w:val="0F4761"/>
          <w:sz w:val="26"/>
        </w:rPr>
        <w:t>5.3  Sales &amp; Marketing (10.5 hours, 1.5 days)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7"/>
        <w:gridCol w:w="908"/>
        <w:gridCol w:w="3291"/>
        <w:gridCol w:w="3257"/>
      </w:tblGrid>
      <w:tr>
        <w:trPr>
          <w:tblHeader w:val="true"/>
        </w:trPr>
        <w:tc>
          <w:tcPr>
            <w:tcW w:w="15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Module</w:t>
            </w:r>
          </w:p>
        </w:tc>
        <w:tc>
          <w:tcPr>
            <w:tcW w:w="9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Hours</w:t>
            </w:r>
          </w:p>
        </w:tc>
        <w:tc>
          <w:tcPr>
            <w:tcW w:w="329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c>
          <w:tcPr>
            <w:tcW w:w="3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Manual</w:t>
            </w:r>
          </w:p>
        </w:tc>
      </w:tr>
      <w:tr>
        <w:trPr/>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Common module</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3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above</w:t>
            </w:r>
          </w:p>
        </w:tc>
        <w:tc>
          <w:tcPr>
            <w:tcW w:w="3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w:t>
            </w:r>
          </w:p>
        </w:tc>
        <w:tc>
          <w:tcPr>
            <w:tcW w:w="3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Executive Dashboard, Sales Dashboard</w:t>
            </w:r>
          </w:p>
        </w:tc>
        <w:tc>
          <w:tcPr>
            <w:tcW w:w="3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4</w:t>
            </w:r>
          </w:p>
        </w:tc>
      </w:tr>
      <w:tr>
        <w:trPr/>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3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Create a prospect per line, edit, bulk upload with the template</w:t>
            </w:r>
          </w:p>
        </w:tc>
        <w:tc>
          <w:tcPr>
            <w:tcW w:w="3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5</w:t>
            </w:r>
          </w:p>
        </w:tc>
      </w:tr>
      <w:tr>
        <w:trPr/>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3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Motor quotation: vehicle class, CTPL, covers, taxes; sending for customer approval; quotation validity and maker-checker; Quick Quote and Compare Insurers for package products</w:t>
            </w:r>
          </w:p>
        </w:tc>
        <w:tc>
          <w:tcPr>
            <w:tcW w:w="3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8; Quick Quote by walkthrough (see note)</w:t>
            </w:r>
          </w:p>
        </w:tc>
      </w:tr>
      <w:tr>
        <w:trPr/>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Requests for quotation</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w:t>
            </w:r>
          </w:p>
        </w:tc>
        <w:tc>
          <w:tcPr>
            <w:tcW w:w="3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Passing a commercial risk to the Processing Team for a broker slip</w:t>
            </w:r>
          </w:p>
        </w:tc>
        <w:tc>
          <w:tcPr>
            <w:tcW w:w="3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7</w:t>
            </w:r>
          </w:p>
        </w:tc>
      </w:tr>
      <w:tr>
        <w:trPr/>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capture</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3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Proceed to Payment: pay later, bank transfer, cheque, online payment, cash; Accounting verifies</w:t>
            </w:r>
          </w:p>
        </w:tc>
        <w:tc>
          <w:tcPr>
            <w:tcW w:w="3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Chapters 9, 13</w:t>
            </w:r>
          </w:p>
        </w:tc>
      </w:tr>
      <w:tr>
        <w:trPr/>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and renewals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3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Renewal Queue, At-Risk Policies, Negotiations; renewal notices</w:t>
            </w:r>
          </w:p>
        </w:tc>
        <w:tc>
          <w:tcPr>
            <w:tcW w:w="3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Chapters 6, 12</w:t>
            </w:r>
          </w:p>
        </w:tc>
      </w:tr>
      <w:tr>
        <w:trPr/>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and reports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32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Dashboard; Production Register, Lead Conversion Funnel, Receivables Ageing</w:t>
            </w:r>
          </w:p>
        </w:tc>
        <w:tc>
          <w:tcPr>
            <w:tcW w:w="3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Chapters 15, 24</w:t>
            </w:r>
          </w:p>
        </w:tc>
      </w:tr>
    </w:tbl>
    <w:p>
      <w:pPr>
        <w:pStyle w:val="Normal"/>
        <w:spacing w:before="0" w:after="80"/>
        <w:rPr/>
      </w:pPr>
      <w:r>
        <w:rPr/>
      </w:r>
    </w:p>
    <w:p>
      <w:pPr>
        <w:pStyle w:val="Heading2"/>
        <w:rPr/>
      </w:pPr>
      <w:bookmarkStart w:id="15" w:name="__RefHeading___Toc91299_4049217194"/>
      <w:bookmarkEnd w:id="15"/>
      <w:r>
        <w:rPr>
          <w:rFonts w:eastAsia="Segoe UI" w:cs="Segoe UI"/>
          <w:b/>
          <w:color w:val="0F4761"/>
          <w:sz w:val="26"/>
        </w:rPr>
        <w:t>5.4  Processing Team (21 hours, 3 days)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91"/>
        <w:gridCol w:w="907"/>
        <w:gridCol w:w="3863"/>
        <w:gridCol w:w="1252"/>
      </w:tblGrid>
      <w:tr>
        <w:trPr>
          <w:tblHeader w:val="true"/>
        </w:trPr>
        <w:tc>
          <w:tcPr>
            <w:tcW w:w="299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Module</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Hours</w:t>
            </w:r>
          </w:p>
        </w:tc>
        <w:tc>
          <w:tcPr>
            <w:tcW w:w="38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c>
          <w:tcPr>
            <w:tcW w:w="125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Manual</w:t>
            </w:r>
          </w:p>
        </w:tc>
      </w:tr>
      <w:tr>
        <w:trPr/>
        <w:tc>
          <w:tcPr>
            <w:tcW w:w="29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Common module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above</w:t>
            </w:r>
          </w:p>
        </w:tc>
        <w:tc>
          <w:tcPr>
            <w:tcW w:w="12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9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Dashboard, Executive Dashboard</w:t>
            </w:r>
          </w:p>
        </w:tc>
        <w:tc>
          <w:tcPr>
            <w:tcW w:w="12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4</w:t>
            </w:r>
          </w:p>
        </w:tc>
      </w:tr>
      <w:tr>
        <w:trPr/>
        <w:tc>
          <w:tcPr>
            <w:tcW w:w="29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journey</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Journey per line of business; required and optional steps</w:t>
            </w:r>
          </w:p>
        </w:tc>
        <w:tc>
          <w:tcPr>
            <w:tcW w:w="12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3</w:t>
            </w:r>
          </w:p>
        </w:tc>
      </w:tr>
      <w:tr>
        <w:trPr/>
        <w:tc>
          <w:tcPr>
            <w:tcW w:w="29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Requests for quotation (broker slips)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broker slip, submit to market, record offers and declines, compare offers</w:t>
            </w:r>
          </w:p>
        </w:tc>
        <w:tc>
          <w:tcPr>
            <w:tcW w:w="12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7</w:t>
            </w:r>
          </w:p>
        </w:tc>
      </w:tr>
      <w:tr>
        <w:trPr/>
        <w:tc>
          <w:tcPr>
            <w:tcW w:w="29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slips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Preparing the quotation slip from the chosen offer; pricing, taxes, commission</w:t>
            </w:r>
          </w:p>
        </w:tc>
        <w:tc>
          <w:tcPr>
            <w:tcW w:w="12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Chapters 7, 8</w:t>
            </w:r>
          </w:p>
        </w:tc>
      </w:tr>
      <w:tr>
        <w:trPr/>
        <w:tc>
          <w:tcPr>
            <w:tcW w:w="29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slips and co-insurance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Firm order to the lead and co-insurers, shares totalling 100%, confirmations, binding</w:t>
            </w:r>
          </w:p>
        </w:tc>
        <w:tc>
          <w:tcPr>
            <w:tcW w:w="12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7</w:t>
            </w:r>
          </w:p>
        </w:tc>
      </w:tr>
      <w:tr>
        <w:trPr/>
        <w:tc>
          <w:tcPr>
            <w:tcW w:w="29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Issue from the placement slip or the motor quotation; KYC and vehicle identifiers; Record Issued Policy; documents and billing</w:t>
            </w:r>
          </w:p>
        </w:tc>
        <w:tc>
          <w:tcPr>
            <w:tcW w:w="12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Chapters 7, 9</w:t>
            </w:r>
          </w:p>
        </w:tc>
      </w:tr>
      <w:tr>
        <w:trPr/>
        <w:tc>
          <w:tcPr>
            <w:tcW w:w="29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 types, premium recalculation, additional and return premium, completing with the insurer's document</w:t>
            </w:r>
          </w:p>
        </w:tc>
        <w:tc>
          <w:tcPr>
            <w:tcW w:w="12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10</w:t>
            </w:r>
          </w:p>
        </w:tc>
      </w:tr>
      <w:tr>
        <w:trPr/>
        <w:tc>
          <w:tcPr>
            <w:tcW w:w="29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Approving renewal terms; renewal batch and queue</w:t>
            </w:r>
          </w:p>
        </w:tc>
        <w:tc>
          <w:tcPr>
            <w:tcW w:w="12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12</w:t>
            </w:r>
          </w:p>
        </w:tc>
      </w:tr>
      <w:tr>
        <w:trPr/>
        <w:tc>
          <w:tcPr>
            <w:tcW w:w="29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Configurator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templates, the motor tariff (CTPL and Auto Passenger PA), coverage builder, rating engine, acceptance rules, market and risk mapping</w:t>
            </w:r>
          </w:p>
        </w:tc>
        <w:tc>
          <w:tcPr>
            <w:tcW w:w="12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22</w:t>
            </w:r>
          </w:p>
        </w:tc>
      </w:tr>
      <w:tr>
        <w:trPr/>
        <w:tc>
          <w:tcPr>
            <w:tcW w:w="29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 and reports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Treaties, cession tracking, claims recovery; Placement Pipeline, Market Response, Co-insurance Register, Production Register</w:t>
            </w:r>
          </w:p>
        </w:tc>
        <w:tc>
          <w:tcPr>
            <w:tcW w:w="12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Chapters 20, 24</w:t>
            </w:r>
          </w:p>
        </w:tc>
      </w:tr>
    </w:tbl>
    <w:p>
      <w:pPr>
        <w:pStyle w:val="Normal"/>
        <w:spacing w:before="0" w:after="80"/>
        <w:rPr/>
      </w:pPr>
      <w:r>
        <w:rPr/>
      </w:r>
    </w:p>
    <w:p>
      <w:pPr>
        <w:pStyle w:val="Heading2"/>
        <w:rPr/>
      </w:pPr>
      <w:bookmarkStart w:id="16" w:name="__RefHeading___Toc91301_4049217194"/>
      <w:bookmarkEnd w:id="16"/>
      <w:r>
        <w:rPr>
          <w:rFonts w:eastAsia="Segoe UI" w:cs="Segoe UI"/>
          <w:b/>
          <w:color w:val="0F4761"/>
          <w:sz w:val="26"/>
        </w:rPr>
        <w:t>5.5  Operations (10.5 hours, 1.5 days)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11"/>
        <w:gridCol w:w="906"/>
        <w:gridCol w:w="4524"/>
        <w:gridCol w:w="1272"/>
      </w:tblGrid>
      <w:tr>
        <w:trPr>
          <w:tblHeader w:val="true"/>
        </w:trPr>
        <w:tc>
          <w:tcPr>
            <w:tcW w:w="23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Module</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Hours</w:t>
            </w:r>
          </w:p>
        </w:tc>
        <w:tc>
          <w:tcPr>
            <w:tcW w:w="45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c>
          <w:tcPr>
            <w:tcW w:w="12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Manual</w:t>
            </w:r>
          </w:p>
        </w:tc>
      </w:tr>
      <w:tr>
        <w:trPr/>
        <w:tc>
          <w:tcPr>
            <w:tcW w:w="2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Common module</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45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above</w:t>
            </w:r>
          </w:p>
        </w:tc>
        <w:tc>
          <w:tcPr>
            <w:tcW w:w="12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and policies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45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Finding a client, policies, open bills; policy details and documents</w:t>
            </w:r>
          </w:p>
        </w:tc>
        <w:tc>
          <w:tcPr>
            <w:tcW w:w="12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Chapters 6, 9</w:t>
            </w:r>
          </w:p>
        </w:tc>
      </w:tr>
      <w:tr>
        <w:trPr/>
        <w:tc>
          <w:tcPr>
            <w:tcW w:w="2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 requests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45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Raising an endorsement request; what the Processing Team completes</w:t>
            </w:r>
          </w:p>
        </w:tc>
        <w:tc>
          <w:tcPr>
            <w:tcW w:w="12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10</w:t>
            </w:r>
          </w:p>
        </w:tc>
      </w:tr>
      <w:tr>
        <w:trPr/>
        <w:tc>
          <w:tcPr>
            <w:tcW w:w="2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items and payments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w:t>
            </w:r>
          </w:p>
        </w:tc>
        <w:tc>
          <w:tcPr>
            <w:tcW w:w="45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Expiring policies, pending quotations, pending payments; capturing the client's payment with proof</w:t>
            </w:r>
          </w:p>
        </w:tc>
        <w:tc>
          <w:tcPr>
            <w:tcW w:w="12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13</w:t>
            </w:r>
          </w:p>
        </w:tc>
      </w:tr>
      <w:tr>
        <w:trPr/>
        <w:tc>
          <w:tcPr>
            <w:tcW w:w="2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45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Policy, renewal notices, lapse management</w:t>
            </w:r>
          </w:p>
        </w:tc>
        <w:tc>
          <w:tcPr>
            <w:tcW w:w="12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12</w:t>
            </w:r>
          </w:p>
        </w:tc>
      </w:tr>
      <w:tr>
        <w:trPr/>
        <w:tc>
          <w:tcPr>
            <w:tcW w:w="2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Quotations for servicing</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45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Quoting a change or a new cover for an existing client</w:t>
            </w:r>
          </w:p>
        </w:tc>
        <w:tc>
          <w:tcPr>
            <w:tcW w:w="12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8</w:t>
            </w:r>
          </w:p>
        </w:tc>
      </w:tr>
      <w:tr>
        <w:trPr/>
        <w:tc>
          <w:tcPr>
            <w:tcW w:w="2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w:t>
            </w:r>
          </w:p>
        </w:tc>
        <w:tc>
          <w:tcPr>
            <w:tcW w:w="45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Register, Claims Position, Renewal Retention</w:t>
            </w:r>
          </w:p>
        </w:tc>
        <w:tc>
          <w:tcPr>
            <w:tcW w:w="12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24</w:t>
            </w:r>
          </w:p>
        </w:tc>
      </w:tr>
    </w:tbl>
    <w:p>
      <w:pPr>
        <w:pStyle w:val="Normal"/>
        <w:spacing w:before="0" w:after="80"/>
        <w:rPr/>
      </w:pPr>
      <w:r>
        <w:rPr/>
      </w:r>
    </w:p>
    <w:p>
      <w:pPr>
        <w:pStyle w:val="Heading2"/>
        <w:rPr/>
      </w:pPr>
      <w:bookmarkStart w:id="17" w:name="__RefHeading___Toc91303_4049217194"/>
      <w:bookmarkEnd w:id="17"/>
      <w:r>
        <w:rPr>
          <w:rFonts w:eastAsia="Segoe UI" w:cs="Segoe UI"/>
          <w:b/>
          <w:color w:val="0F4761"/>
          <w:sz w:val="26"/>
        </w:rPr>
        <w:t>5.6  Claims (7 hours, 1 day)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92"/>
        <w:gridCol w:w="907"/>
        <w:gridCol w:w="3987"/>
        <w:gridCol w:w="1528"/>
      </w:tblGrid>
      <w:tr>
        <w:trPr>
          <w:tblHeader w:val="true"/>
        </w:trPr>
        <w:tc>
          <w:tcPr>
            <w:tcW w:w="25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Module</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Hours</w:t>
            </w:r>
          </w:p>
        </w:tc>
        <w:tc>
          <w:tcPr>
            <w:tcW w:w="39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c>
          <w:tcPr>
            <w:tcW w:w="15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Manual</w:t>
            </w:r>
          </w:p>
        </w:tc>
      </w:tr>
      <w:tr>
        <w:trPr/>
        <w:tc>
          <w:tcPr>
            <w:tcW w:w="25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Common module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39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above</w:t>
            </w:r>
          </w:p>
        </w:tc>
        <w:tc>
          <w:tcPr>
            <w:tcW w:w="15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5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Registering a claim</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39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claim on an active policy; checks on loss date and unpaid premium</w:t>
            </w:r>
          </w:p>
        </w:tc>
        <w:tc>
          <w:tcPr>
            <w:tcW w:w="15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11</w:t>
            </w:r>
          </w:p>
        </w:tc>
      </w:tr>
      <w:tr>
        <w:trPr/>
        <w:tc>
          <w:tcPr>
            <w:tcW w:w="25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 and letters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39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Uploading documents, acknowledgement and other claim letters</w:t>
            </w:r>
          </w:p>
        </w:tc>
        <w:tc>
          <w:tcPr>
            <w:tcW w:w="15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11</w:t>
            </w:r>
          </w:p>
        </w:tc>
      </w:tr>
      <w:tr>
        <w:trPr/>
        <w:tc>
          <w:tcPr>
            <w:tcW w:w="25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follow-up</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39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reference, adjuster, follow-up notes, claim history and audit trail</w:t>
            </w:r>
          </w:p>
        </w:tc>
        <w:tc>
          <w:tcPr>
            <w:tcW w:w="15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11</w:t>
            </w:r>
          </w:p>
        </w:tc>
      </w:tr>
      <w:tr>
        <w:trPr/>
        <w:tc>
          <w:tcPr>
            <w:tcW w:w="25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Settlement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39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Settlement amount, discharge voucher, maker-checker approval; settlement paid through the broker</w:t>
            </w:r>
          </w:p>
        </w:tc>
        <w:tc>
          <w:tcPr>
            <w:tcW w:w="15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11</w:t>
            </w:r>
          </w:p>
        </w:tc>
      </w:tr>
      <w:tr>
        <w:trPr/>
        <w:tc>
          <w:tcPr>
            <w:tcW w:w="25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 recovery and reports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w:t>
            </w:r>
          </w:p>
        </w:tc>
        <w:tc>
          <w:tcPr>
            <w:tcW w:w="39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Dashboard, Claims Recovery, Claims Position</w:t>
            </w:r>
          </w:p>
        </w:tc>
        <w:tc>
          <w:tcPr>
            <w:tcW w:w="15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Chapters 4, 20, 24</w:t>
            </w:r>
          </w:p>
        </w:tc>
      </w:tr>
    </w:tbl>
    <w:p>
      <w:pPr>
        <w:pStyle w:val="Normal"/>
        <w:spacing w:before="0" w:after="80"/>
        <w:rPr/>
      </w:pPr>
      <w:r>
        <w:rPr/>
      </w:r>
    </w:p>
    <w:p>
      <w:pPr>
        <w:pStyle w:val="Heading2"/>
        <w:rPr/>
      </w:pPr>
      <w:bookmarkStart w:id="18" w:name="__RefHeading___Toc91305_4049217194"/>
      <w:bookmarkEnd w:id="18"/>
      <w:r>
        <w:rPr>
          <w:rFonts w:eastAsia="Segoe UI" w:cs="Segoe UI"/>
          <w:b/>
          <w:color w:val="0F4761"/>
          <w:sz w:val="26"/>
        </w:rPr>
        <w:t>5.7  Accounting (28 hours, 4 days)</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27"/>
        <w:gridCol w:w="906"/>
        <w:gridCol w:w="3015"/>
        <w:gridCol w:w="2964"/>
      </w:tblGrid>
      <w:tr>
        <w:trPr>
          <w:tblHeader w:val="true"/>
        </w:trPr>
        <w:tc>
          <w:tcPr>
            <w:tcW w:w="21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Module</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Hours</w:t>
            </w:r>
          </w:p>
        </w:tc>
        <w:tc>
          <w:tcPr>
            <w:tcW w:w="301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c>
          <w:tcPr>
            <w:tcW w:w="29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Manual</w:t>
            </w:r>
          </w:p>
        </w:tc>
      </w:tr>
      <w:tr>
        <w:trPr/>
        <w:tc>
          <w:tcPr>
            <w:tcW w:w="2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Common module</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30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above</w:t>
            </w:r>
          </w:p>
        </w:tc>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and payment verification</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30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receipts against open bills, verifying captured payments, bulk receipts, printing, returned cheques</w:t>
            </w:r>
          </w:p>
        </w:tc>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Chapters 13, 14</w:t>
            </w:r>
          </w:p>
        </w:tc>
      </w:tr>
      <w:tr>
        <w:trPr/>
        <w:tc>
          <w:tcPr>
            <w:tcW w:w="2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Collections and credit control</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30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Collections, ageing, reminders; Credit Control: instalment plans, premium warranty monitor, client credit limits, remittance ageing</w:t>
            </w:r>
          </w:p>
        </w:tc>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14; Credit Control by walkthrough (see note)</w:t>
            </w:r>
          </w:p>
        </w:tc>
      </w:tr>
      <w:tr>
        <w:trPr/>
        <w:tc>
          <w:tcPr>
            <w:tcW w:w="2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Disbursement and petty cash</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30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vouchers, maker-checker, cheque printing, bulk upload; petty cash funds, requests, replenishment</w:t>
            </w:r>
          </w:p>
        </w:tc>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14</w:t>
            </w:r>
          </w:p>
        </w:tc>
      </w:tr>
      <w:tr>
        <w:trPr/>
        <w:tc>
          <w:tcPr>
            <w:tcW w:w="2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and direct bill</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30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Automated processing, approval levels, settlement, electronic transfer records, remittance reconciliation; direct bill debit notes and collection of commission net of EWT</w:t>
            </w:r>
          </w:p>
        </w:tc>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16</w:t>
            </w:r>
          </w:p>
        </w:tc>
      </w:tr>
      <w:tr>
        <w:trPr/>
        <w:tc>
          <w:tcPr>
            <w:tcW w:w="2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and incentives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30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Referrer accounts, eligibility after full collection, approval, payout with withholding tax; incentive calculations and approval</w:t>
            </w:r>
          </w:p>
        </w:tc>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Chapters 15, 21</w:t>
            </w:r>
          </w:p>
        </w:tc>
      </w:tr>
      <w:tr>
        <w:trPr/>
        <w:tc>
          <w:tcPr>
            <w:tcW w:w="2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Journals and the ledger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30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 voucher, correction and reversal JV, open entry matching and unmatching, Accounting Query, All Clients Accounting; what each business event posts</w:t>
            </w:r>
          </w:p>
        </w:tc>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14, 23</w:t>
            </w:r>
          </w:p>
        </w:tc>
      </w:tr>
      <w:tr>
        <w:trPr/>
        <w:tc>
          <w:tcPr>
            <w:tcW w:w="2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30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Statement import with preview, auto match, manual match, bank items, preparing the reconciliation, reports</w:t>
            </w:r>
          </w:p>
        </w:tc>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19</w:t>
            </w:r>
          </w:p>
        </w:tc>
      </w:tr>
      <w:tr>
        <w:trPr/>
        <w:tc>
          <w:tcPr>
            <w:tcW w:w="2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reconciliation</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30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Statements and their matching; approval by the Accounting Manager</w:t>
            </w:r>
          </w:p>
        </w:tc>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Walkthrough (see note)</w:t>
            </w:r>
          </w:p>
        </w:tc>
      </w:tr>
      <w:tr>
        <w:trPr/>
        <w:tc>
          <w:tcPr>
            <w:tcW w:w="2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w:t>
            </w:r>
          </w:p>
        </w:tc>
        <w:tc>
          <w:tcPr>
            <w:tcW w:w="30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codes; BIR Form 2307 issued and received; VAT Summary, SAWT, QAP, SLSP; BIR settings before the first filing</w:t>
            </w:r>
          </w:p>
        </w:tc>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18</w:t>
            </w:r>
          </w:p>
        </w:tc>
      </w:tr>
      <w:tr>
        <w:trPr/>
        <w:tc>
          <w:tcPr>
            <w:tcW w:w="2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end</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30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Management, Month-End Close run and checklist, recurring journals, financial statements; go-live opening data</w:t>
            </w:r>
          </w:p>
        </w:tc>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17</w:t>
            </w:r>
          </w:p>
        </w:tc>
      </w:tr>
      <w:tr>
        <w:trPr/>
        <w:tc>
          <w:tcPr>
            <w:tcW w:w="21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30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SOA/Premium Receivable, Collection Report, Payables, Journal, Trial Balance, Aged Payables to Insurers, Due to Insurers by Co-insurer</w:t>
            </w:r>
          </w:p>
        </w:tc>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24</w:t>
            </w:r>
          </w:p>
        </w:tc>
      </w:tr>
    </w:tbl>
    <w:p>
      <w:pPr>
        <w:pStyle w:val="Normal"/>
        <w:spacing w:before="0" w:after="80"/>
        <w:rPr/>
      </w:pPr>
      <w:r>
        <w:rPr/>
      </w:r>
    </w:p>
    <w:p>
      <w:pPr>
        <w:pStyle w:val="Heading2"/>
        <w:rPr/>
      </w:pPr>
      <w:bookmarkStart w:id="19" w:name="__RefHeading___Toc91307_4049217194"/>
      <w:bookmarkEnd w:id="19"/>
      <w:r>
        <w:rPr>
          <w:rFonts w:eastAsia="Segoe UI" w:cs="Segoe UI"/>
          <w:b/>
          <w:color w:val="0F4761"/>
          <w:sz w:val="26"/>
        </w:rPr>
        <w:t>5.8  Accounting Manager (7 hours, 1 day, after the Accounting curriculum)</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6"/>
        <w:gridCol w:w="907"/>
        <w:gridCol w:w="3753"/>
        <w:gridCol w:w="1217"/>
      </w:tblGrid>
      <w:tr>
        <w:trPr>
          <w:tblHeader w:val="true"/>
        </w:trPr>
        <w:tc>
          <w:tcPr>
            <w:tcW w:w="31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Module</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Hours</w:t>
            </w:r>
          </w:p>
        </w:tc>
        <w:tc>
          <w:tcPr>
            <w:tcW w:w="37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c>
          <w:tcPr>
            <w:tcW w:w="12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Manual</w:t>
            </w:r>
          </w:p>
        </w:tc>
      </w:tr>
      <w:tr>
        <w:trPr/>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37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only the Accounting Manager approves; maker-checker rules; delegations</w:t>
            </w:r>
          </w:p>
        </w:tc>
        <w:tc>
          <w:tcPr>
            <w:tcW w:w="1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Chapters 3, 17</w:t>
            </w:r>
          </w:p>
        </w:tc>
      </w:tr>
      <w:tr>
        <w:trPr/>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and year-end close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37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Reviewing and approving the close run; year-end close and carry forward</w:t>
            </w:r>
          </w:p>
        </w:tc>
        <w:tc>
          <w:tcPr>
            <w:tcW w:w="1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17</w:t>
            </w:r>
          </w:p>
        </w:tc>
      </w:tr>
      <w:tr>
        <w:trPr/>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control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37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Reopening a period with remarks; soft-closed periods and postings into them</w:t>
            </w:r>
          </w:p>
        </w:tc>
        <w:tc>
          <w:tcPr>
            <w:tcW w:w="1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17</w:t>
            </w:r>
          </w:p>
        </w:tc>
      </w:tr>
      <w:tr>
        <w:trPr/>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and insurer reconciliation approval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37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Approving and locking bank reconciliations; approving insurer statement reconciliations and credit control items</w:t>
            </w:r>
          </w:p>
        </w:tc>
        <w:tc>
          <w:tcPr>
            <w:tcW w:w="1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19</w:t>
            </w:r>
          </w:p>
        </w:tc>
      </w:tr>
      <w:tr>
        <w:trPr/>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approvals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37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determination and posting rule changes proposed by another user; tax codes and GL accounts</w:t>
            </w:r>
          </w:p>
        </w:tc>
        <w:tc>
          <w:tcPr>
            <w:tcW w:w="1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 23</w:t>
            </w:r>
          </w:p>
        </w:tc>
      </w:tr>
      <w:tr>
        <w:trPr/>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Financial statements and BIR review</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w:t>
            </w:r>
          </w:p>
        </w:tc>
        <w:tc>
          <w:tcPr>
            <w:tcW w:w="37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Trial balance, income statement, balance sheet, GL detail; reviewing the BIR working papers before filing</w:t>
            </w:r>
          </w:p>
        </w:tc>
        <w:tc>
          <w:tcPr>
            <w:tcW w:w="1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Chapters 17, 18</w:t>
            </w:r>
          </w:p>
        </w:tc>
      </w:tr>
    </w:tbl>
    <w:p>
      <w:pPr>
        <w:pStyle w:val="Normal"/>
        <w:spacing w:before="0" w:after="80"/>
        <w:rPr/>
      </w:pPr>
      <w:r>
        <w:rPr/>
      </w:r>
    </w:p>
    <w:p>
      <w:pPr>
        <w:pStyle w:val="Heading2"/>
        <w:rPr/>
      </w:pPr>
      <w:bookmarkStart w:id="20" w:name="__RefHeading___Toc91309_4049217194"/>
      <w:bookmarkEnd w:id="20"/>
      <w:r>
        <w:rPr>
          <w:rFonts w:eastAsia="Segoe UI" w:cs="Segoe UI"/>
          <w:b/>
          <w:color w:val="0F4761"/>
          <w:sz w:val="26"/>
        </w:rPr>
        <w:t>5.9  Summary of durations</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33"/>
        <w:gridCol w:w="3119"/>
        <w:gridCol w:w="4161"/>
      </w:tblGrid>
      <w:tr>
        <w:trPr>
          <w:tblHeader w:val="true"/>
        </w:trPr>
        <w:tc>
          <w:tcPr>
            <w:tcW w:w="17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31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Key users (TTT)</w:t>
            </w:r>
          </w:p>
        </w:tc>
        <w:tc>
          <w:tcPr>
            <w:tcW w:w="41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End users</w:t>
            </w:r>
          </w:p>
        </w:tc>
      </w:tr>
      <w:tr>
        <w:trPr/>
        <w:tc>
          <w:tcPr>
            <w:tcW w:w="17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c>
          <w:tcPr>
            <w:tcW w:w="31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 days</w:t>
            </w:r>
          </w:p>
        </w:tc>
        <w:tc>
          <w:tcPr>
            <w:tcW w:w="4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applicable (all System Administrators are trained by iorta TechNXT)</w:t>
            </w:r>
          </w:p>
        </w:tc>
      </w:tr>
      <w:tr>
        <w:trPr/>
        <w:tc>
          <w:tcPr>
            <w:tcW w:w="17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w:t>
            </w:r>
          </w:p>
        </w:tc>
        <w:tc>
          <w:tcPr>
            <w:tcW w:w="31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 days plus 0.5 day trainer skills</w:t>
            </w:r>
          </w:p>
        </w:tc>
        <w:tc>
          <w:tcPr>
            <w:tcW w:w="4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 days</w:t>
            </w:r>
          </w:p>
        </w:tc>
      </w:tr>
      <w:tr>
        <w:trPr/>
        <w:tc>
          <w:tcPr>
            <w:tcW w:w="17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c>
          <w:tcPr>
            <w:tcW w:w="31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days plus 0.5 day trainer skills</w:t>
            </w:r>
          </w:p>
        </w:tc>
        <w:tc>
          <w:tcPr>
            <w:tcW w:w="4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days</w:t>
            </w:r>
          </w:p>
        </w:tc>
      </w:tr>
      <w:tr>
        <w:trPr/>
        <w:tc>
          <w:tcPr>
            <w:tcW w:w="17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w:t>
            </w:r>
          </w:p>
        </w:tc>
        <w:tc>
          <w:tcPr>
            <w:tcW w:w="31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 days plus 0.5 day trainer skills</w:t>
            </w:r>
          </w:p>
        </w:tc>
        <w:tc>
          <w:tcPr>
            <w:tcW w:w="4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 days</w:t>
            </w:r>
          </w:p>
        </w:tc>
      </w:tr>
      <w:tr>
        <w:trPr/>
        <w:tc>
          <w:tcPr>
            <w:tcW w:w="17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31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day plus 0.5 day trainer skills</w:t>
            </w:r>
          </w:p>
        </w:tc>
        <w:tc>
          <w:tcPr>
            <w:tcW w:w="4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day</w:t>
            </w:r>
          </w:p>
        </w:tc>
      </w:tr>
      <w:tr>
        <w:trPr/>
        <w:tc>
          <w:tcPr>
            <w:tcW w:w="17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31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days plus 0.5 day trainer skills</w:t>
            </w:r>
          </w:p>
        </w:tc>
        <w:tc>
          <w:tcPr>
            <w:tcW w:w="4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days</w:t>
            </w:r>
          </w:p>
        </w:tc>
      </w:tr>
      <w:tr>
        <w:trPr/>
        <w:tc>
          <w:tcPr>
            <w:tcW w:w="17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c>
          <w:tcPr>
            <w:tcW w:w="31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day after Accounting</w:t>
            </w:r>
          </w:p>
        </w:tc>
        <w:tc>
          <w:tcPr>
            <w:tcW w:w="4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applicable (trained by iorta TechNXT)</w:t>
            </w:r>
          </w:p>
        </w:tc>
      </w:tr>
    </w:tbl>
    <w:p>
      <w:pPr>
        <w:pStyle w:val="Heading1"/>
        <w:rPr/>
      </w:pPr>
      <w:r>
        <w:br w:type="page"/>
      </w:r>
      <w:bookmarkStart w:id="21" w:name="__RefHeading___Toc91311_4049217194"/>
      <w:bookmarkEnd w:id="21"/>
      <w:r>
        <w:rPr>
          <w:rFonts w:eastAsia="Segoe UI" w:cs="Segoe UI" w:ascii="Segoe UI" w:hAnsi="Segoe UI"/>
          <w:b/>
          <w:color w:val="0F4761"/>
          <w:sz w:val="32"/>
        </w:rPr>
        <w:t>6.  Train the trainer</w:t>
      </w:r>
    </w:p>
    <w:p>
      <w:pPr>
        <w:pStyle w:val="Heading2"/>
        <w:rPr/>
      </w:pPr>
      <w:bookmarkStart w:id="22" w:name="__RefHeading___Toc91313_4049217194"/>
      <w:bookmarkEnd w:id="22"/>
      <w:r>
        <w:rPr>
          <w:rFonts w:eastAsia="Segoe UI" w:cs="Segoe UI"/>
          <w:b/>
          <w:color w:val="0F4761"/>
          <w:sz w:val="26"/>
        </w:rPr>
        <w:t>6.1  Who</w:t>
      </w:r>
    </w:p>
    <w:p>
      <w:pPr>
        <w:pStyle w:val="Normal"/>
        <w:spacing w:lineRule="auto" w:line="276" w:before="0" w:after="120"/>
        <w:rPr/>
      </w:pPr>
      <w:r>
        <w:rPr>
          <w:rFonts w:eastAsia="Segoe UI" w:cs="Segoe UI" w:ascii="Segoe UI" w:hAnsi="Segoe UI"/>
          <w:color w:val="101820"/>
          <w:sz w:val="21"/>
        </w:rPr>
        <w:t>One key user per team (two for teams of more than 15 users), named at mobilisation. Key users take part in discovery and UAT, so they reach training already knowing the configuration.</w:t>
      </w:r>
    </w:p>
    <w:p>
      <w:pPr>
        <w:pStyle w:val="Heading2"/>
        <w:rPr/>
      </w:pPr>
      <w:bookmarkStart w:id="23" w:name="__RefHeading___Toc91315_4049217194"/>
      <w:bookmarkEnd w:id="23"/>
      <w:r>
        <w:rPr>
          <w:rFonts w:eastAsia="Segoe UI" w:cs="Segoe UI"/>
          <w:b/>
          <w:color w:val="0F4761"/>
          <w:sz w:val="26"/>
        </w:rPr>
        <w:t>6.2  Programme</w:t>
      </w:r>
    </w:p>
    <w:p>
      <w:pPr>
        <w:pStyle w:val="Normal"/>
        <w:numPr>
          <w:ilvl w:val="0"/>
          <w:numId w:val="4"/>
        </w:numPr>
        <w:spacing w:before="0" w:after="60"/>
        <w:rPr/>
      </w:pPr>
      <w:r>
        <w:rPr>
          <w:rFonts w:eastAsia="Segoe UI" w:cs="Segoe UI" w:ascii="Segoe UI" w:hAnsi="Segoe UI"/>
          <w:b/>
          <w:color w:val="101820"/>
          <w:sz w:val="21"/>
        </w:rPr>
        <w:t>Role curriculum</w:t>
      </w:r>
      <w:r>
        <w:rPr>
          <w:rFonts w:eastAsia="Segoe UI" w:cs="Segoe UI" w:ascii="Segoe UI" w:hAnsi="Segoe UI"/>
          <w:color w:val="101820"/>
          <w:sz w:val="21"/>
        </w:rPr>
        <w:t xml:space="preserve"> delivered by an iorta TechNXT consultant, on the test environment with the broker's configuration.</w:t>
      </w:r>
    </w:p>
    <w:p>
      <w:pPr>
        <w:pStyle w:val="Normal"/>
        <w:numPr>
          <w:ilvl w:val="0"/>
          <w:numId w:val="2"/>
        </w:numPr>
        <w:spacing w:before="0" w:after="60"/>
        <w:rPr/>
      </w:pPr>
      <w:r>
        <w:rPr>
          <w:rFonts w:eastAsia="Segoe UI" w:cs="Segoe UI" w:ascii="Segoe UI" w:hAnsi="Segoe UI"/>
          <w:b/>
          <w:color w:val="101820"/>
          <w:sz w:val="21"/>
        </w:rPr>
        <w:t>Trainer skills</w:t>
      </w:r>
      <w:r>
        <w:rPr>
          <w:rFonts w:eastAsia="Segoe UI" w:cs="Segoe UI" w:ascii="Segoe UI" w:hAnsi="Segoe UI"/>
          <w:color w:val="101820"/>
          <w:sz w:val="21"/>
        </w:rPr>
        <w:t xml:space="preserve"> (half a day): structuring a session, demonstrating then letting trainees practise, handling questions, using the exercise book, running the assessment.</w:t>
      </w:r>
    </w:p>
    <w:p>
      <w:pPr>
        <w:pStyle w:val="Normal"/>
        <w:numPr>
          <w:ilvl w:val="0"/>
          <w:numId w:val="2"/>
        </w:numPr>
        <w:spacing w:before="0" w:after="60"/>
        <w:rPr/>
      </w:pPr>
      <w:r>
        <w:rPr>
          <w:rFonts w:eastAsia="Segoe UI" w:cs="Segoe UI" w:ascii="Segoe UI" w:hAnsi="Segoe UI"/>
          <w:b/>
          <w:color w:val="101820"/>
          <w:sz w:val="21"/>
        </w:rPr>
        <w:t>Exercise book</w:t>
      </w:r>
      <w:r>
        <w:rPr>
          <w:rFonts w:eastAsia="Segoe UI" w:cs="Segoe UI" w:ascii="Segoe UI" w:hAnsi="Segoe UI"/>
          <w:color w:val="101820"/>
          <w:sz w:val="21"/>
        </w:rPr>
        <w:t xml:space="preserve"> prepared by each key user with the consultant: the broker's own examples for each module.</w:t>
      </w:r>
    </w:p>
    <w:p>
      <w:pPr>
        <w:pStyle w:val="Normal"/>
        <w:numPr>
          <w:ilvl w:val="0"/>
          <w:numId w:val="2"/>
        </w:numPr>
        <w:spacing w:before="0" w:after="60"/>
        <w:rPr/>
      </w:pPr>
      <w:r>
        <w:rPr>
          <w:rFonts w:eastAsia="Segoe UI" w:cs="Segoe UI" w:ascii="Segoe UI" w:hAnsi="Segoe UI"/>
          <w:b/>
          <w:color w:val="101820"/>
          <w:sz w:val="21"/>
        </w:rPr>
        <w:t>Teach-back</w:t>
      </w:r>
      <w:r>
        <w:rPr>
          <w:rFonts w:eastAsia="Segoe UI" w:cs="Segoe UI" w:ascii="Segoe UI" w:hAnsi="Segoe UI"/>
          <w:color w:val="101820"/>
          <w:sz w:val="21"/>
        </w:rPr>
        <w:t>: each key user delivers one module to the consultant and peers and gets feedback.</w:t>
      </w:r>
    </w:p>
    <w:p>
      <w:pPr>
        <w:pStyle w:val="Normal"/>
        <w:numPr>
          <w:ilvl w:val="0"/>
          <w:numId w:val="2"/>
        </w:numPr>
        <w:spacing w:before="0" w:after="60"/>
        <w:rPr/>
      </w:pPr>
      <w:r>
        <w:rPr>
          <w:rFonts w:eastAsia="Segoe UI" w:cs="Segoe UI" w:ascii="Segoe UI" w:hAnsi="Segoe UI"/>
          <w:b/>
          <w:color w:val="101820"/>
          <w:sz w:val="21"/>
        </w:rPr>
        <w:t>Co-delivery</w:t>
      </w:r>
      <w:r>
        <w:rPr>
          <w:rFonts w:eastAsia="Segoe UI" w:cs="Segoe UI" w:ascii="Segoe UI" w:hAnsi="Segoe UI"/>
          <w:color w:val="101820"/>
          <w:sz w:val="21"/>
        </w:rPr>
        <w:t>: the key user leads the first end-user session with the consultant in the room; the consultant answers system questions and notes follow-ups.</w:t>
      </w:r>
    </w:p>
    <w:p>
      <w:pPr>
        <w:pStyle w:val="Normal"/>
        <w:numPr>
          <w:ilvl w:val="0"/>
          <w:numId w:val="2"/>
        </w:numPr>
        <w:spacing w:before="0" w:after="60"/>
        <w:rPr/>
      </w:pPr>
      <w:r>
        <w:rPr>
          <w:rFonts w:eastAsia="Segoe UI" w:cs="Segoe UI" w:ascii="Segoe UI" w:hAnsi="Segoe UI"/>
          <w:b/>
          <w:color w:val="101820"/>
          <w:sz w:val="21"/>
        </w:rPr>
        <w:t>Solo delivery</w:t>
      </w:r>
      <w:r>
        <w:rPr>
          <w:rFonts w:eastAsia="Segoe UI" w:cs="Segoe UI" w:ascii="Segoe UI" w:hAnsi="Segoe UI"/>
          <w:color w:val="101820"/>
          <w:sz w:val="21"/>
        </w:rPr>
        <w:t>: the key user runs the remaining sessions; the consultant is on call.</w:t>
      </w:r>
    </w:p>
    <w:p>
      <w:pPr>
        <w:pStyle w:val="Heading2"/>
        <w:rPr/>
      </w:pPr>
      <w:bookmarkStart w:id="24" w:name="__RefHeading___Toc91317_4049217194"/>
      <w:bookmarkEnd w:id="24"/>
      <w:r>
        <w:rPr>
          <w:rFonts w:eastAsia="Segoe UI" w:cs="Segoe UI"/>
          <w:b/>
          <w:color w:val="0F4761"/>
          <w:sz w:val="26"/>
        </w:rPr>
        <w:t>6.3  Exit criteria for a key user</w:t>
      </w:r>
    </w:p>
    <w:p>
      <w:pPr>
        <w:pStyle w:val="Normal"/>
        <w:numPr>
          <w:ilvl w:val="0"/>
          <w:numId w:val="1"/>
        </w:numPr>
        <w:spacing w:before="0" w:after="60"/>
        <w:rPr/>
      </w:pPr>
      <w:r>
        <w:rPr>
          <w:rFonts w:eastAsia="Segoe UI" w:cs="Segoe UI" w:ascii="Segoe UI" w:hAnsi="Segoe UI"/>
          <w:color w:val="101820"/>
          <w:sz w:val="21"/>
        </w:rPr>
        <w:t>Passed the role assessment with at least 90%.</w:t>
      </w:r>
    </w:p>
    <w:p>
      <w:pPr>
        <w:pStyle w:val="Normal"/>
        <w:numPr>
          <w:ilvl w:val="0"/>
          <w:numId w:val="1"/>
        </w:numPr>
        <w:spacing w:before="0" w:after="60"/>
        <w:rPr/>
      </w:pPr>
      <w:r>
        <w:rPr>
          <w:rFonts w:eastAsia="Segoe UI" w:cs="Segoe UI" w:ascii="Segoe UI" w:hAnsi="Segoe UI"/>
          <w:color w:val="101820"/>
          <w:sz w:val="21"/>
        </w:rPr>
        <w:t>Delivered a teach-back to the consultant's satisfaction.</w:t>
      </w:r>
    </w:p>
    <w:p>
      <w:pPr>
        <w:pStyle w:val="Normal"/>
        <w:numPr>
          <w:ilvl w:val="0"/>
          <w:numId w:val="1"/>
        </w:numPr>
        <w:spacing w:before="0" w:after="60"/>
        <w:rPr/>
      </w:pPr>
      <w:r>
        <w:rPr>
          <w:rFonts w:eastAsia="Segoe UI" w:cs="Segoe UI" w:ascii="Segoe UI" w:hAnsi="Segoe UI"/>
          <w:color w:val="101820"/>
          <w:sz w:val="21"/>
        </w:rPr>
        <w:t>Knows how to raise a support ticket and what to include.</w:t>
      </w:r>
      <w:r>
        <w:br w:type="page"/>
      </w:r>
    </w:p>
    <w:p>
      <w:pPr>
        <w:pStyle w:val="Heading1"/>
        <w:rPr/>
      </w:pPr>
      <w:bookmarkStart w:id="25" w:name="__RefHeading___Toc91319_4049217194"/>
      <w:bookmarkEnd w:id="25"/>
      <w:r>
        <w:rPr>
          <w:rFonts w:eastAsia="Segoe UI" w:cs="Segoe UI" w:ascii="Segoe UI" w:hAnsi="Segoe UI"/>
          <w:b/>
          <w:color w:val="0F4761"/>
          <w:sz w:val="32"/>
        </w:rPr>
        <w:t>7.  Delivery</w:t>
      </w:r>
    </w:p>
    <w:p>
      <w:pPr>
        <w:pStyle w:val="Heading2"/>
        <w:rPr/>
      </w:pPr>
      <w:bookmarkStart w:id="26" w:name="__RefHeading___Toc91321_4049217194"/>
      <w:bookmarkEnd w:id="26"/>
      <w:r>
        <w:rPr>
          <w:rFonts w:eastAsia="Segoe UI" w:cs="Segoe UI"/>
          <w:b/>
          <w:color w:val="0F4761"/>
          <w:sz w:val="26"/>
        </w:rPr>
        <w:t>7.1  Schedule</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541"/>
        <w:gridCol w:w="2735"/>
        <w:gridCol w:w="2737"/>
      </w:tblGrid>
      <w:tr>
        <w:trPr>
          <w:tblHeader w:val="true"/>
        </w:trPr>
        <w:tc>
          <w:tcPr>
            <w:tcW w:w="35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Plan</w:t>
            </w:r>
          </w:p>
        </w:tc>
        <w:tc>
          <w:tcPr>
            <w:tcW w:w="27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Train the trainer</w:t>
            </w:r>
          </w:p>
        </w:tc>
        <w:tc>
          <w:tcPr>
            <w:tcW w:w="27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End-user training</w:t>
            </w:r>
          </w:p>
        </w:tc>
      </w:tr>
      <w:tr>
        <w:trPr/>
        <w:tc>
          <w:tcPr>
            <w:tcW w:w="35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(8 weeks)</w:t>
            </w:r>
          </w:p>
        </w:tc>
        <w:tc>
          <w:tcPr>
            <w:tcW w:w="27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4</w:t>
            </w:r>
          </w:p>
        </w:tc>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5</w:t>
            </w:r>
          </w:p>
        </w:tc>
      </w:tr>
      <w:tr>
        <w:trPr/>
        <w:tc>
          <w:tcPr>
            <w:tcW w:w="35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 (12 weeks)</w:t>
            </w:r>
          </w:p>
        </w:tc>
        <w:tc>
          <w:tcPr>
            <w:tcW w:w="27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7</w:t>
            </w:r>
          </w:p>
        </w:tc>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Weeks 8 and 9</w:t>
            </w:r>
          </w:p>
        </w:tc>
      </w:tr>
      <w:tr>
        <w:trPr/>
        <w:tc>
          <w:tcPr>
            <w:tcW w:w="35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 (16 to 20 weeks)</w:t>
            </w:r>
          </w:p>
        </w:tc>
        <w:tc>
          <w:tcPr>
            <w:tcW w:w="27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Weeks 10 and 11</w:t>
            </w:r>
          </w:p>
        </w:tc>
        <w:tc>
          <w:tcPr>
            <w:tcW w:w="2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Weeks 12 and 13</w:t>
            </w:r>
          </w:p>
        </w:tc>
      </w:tr>
    </w:tbl>
    <w:p>
      <w:pPr>
        <w:pStyle w:val="Normal"/>
        <w:spacing w:before="0" w:after="80"/>
        <w:rPr/>
      </w:pPr>
      <w:r>
        <w:rPr/>
      </w:r>
    </w:p>
    <w:p>
      <w:pPr>
        <w:pStyle w:val="Heading2"/>
        <w:rPr/>
      </w:pPr>
      <w:bookmarkStart w:id="27" w:name="__RefHeading___Toc91323_4049217194"/>
      <w:bookmarkEnd w:id="27"/>
      <w:r>
        <w:rPr>
          <w:rFonts w:eastAsia="Segoe UI" w:cs="Segoe UI"/>
          <w:b/>
          <w:color w:val="0F4761"/>
          <w:sz w:val="26"/>
        </w:rPr>
        <w:t>7.2  Sessions</w:t>
      </w:r>
    </w:p>
    <w:p>
      <w:pPr>
        <w:pStyle w:val="Normal"/>
        <w:numPr>
          <w:ilvl w:val="0"/>
          <w:numId w:val="1"/>
        </w:numPr>
        <w:spacing w:before="0" w:after="60"/>
        <w:rPr/>
      </w:pPr>
      <w:r>
        <w:rPr>
          <w:rFonts w:eastAsia="Segoe UI" w:cs="Segoe UI" w:ascii="Segoe UI" w:hAnsi="Segoe UI"/>
          <w:color w:val="101820"/>
          <w:sz w:val="21"/>
        </w:rPr>
        <w:t>At most 10 trainees per session, each with a computer and a training user for the role.</w:t>
      </w:r>
    </w:p>
    <w:p>
      <w:pPr>
        <w:pStyle w:val="Normal"/>
        <w:numPr>
          <w:ilvl w:val="0"/>
          <w:numId w:val="1"/>
        </w:numPr>
        <w:spacing w:before="0" w:after="60"/>
        <w:rPr/>
      </w:pPr>
      <w:r>
        <w:rPr>
          <w:rFonts w:eastAsia="Segoe UI" w:cs="Segoe UI" w:ascii="Segoe UI" w:hAnsi="Segoe UI"/>
          <w:color w:val="101820"/>
          <w:sz w:val="21"/>
        </w:rPr>
        <w:t>Sessions run on site or online in Philippine business hours, in English; key users may explain in Filipino. The screens are in English in this release.</w:t>
      </w:r>
    </w:p>
    <w:p>
      <w:pPr>
        <w:pStyle w:val="Normal"/>
        <w:numPr>
          <w:ilvl w:val="0"/>
          <w:numId w:val="1"/>
        </w:numPr>
        <w:spacing w:before="0" w:after="60"/>
        <w:rPr/>
      </w:pPr>
      <w:r>
        <w:rPr>
          <w:rFonts w:eastAsia="Segoe UI" w:cs="Segoe UI" w:ascii="Segoe UI" w:hAnsi="Segoe UI"/>
          <w:color w:val="101820"/>
          <w:sz w:val="21"/>
        </w:rPr>
        <w:t>Users holding two roles attend both curricula.</w:t>
      </w:r>
    </w:p>
    <w:p>
      <w:pPr>
        <w:pStyle w:val="Normal"/>
        <w:numPr>
          <w:ilvl w:val="0"/>
          <w:numId w:val="1"/>
        </w:numPr>
        <w:spacing w:before="0" w:after="60"/>
        <w:rPr/>
      </w:pPr>
      <w:r>
        <w:rPr>
          <w:rFonts w:eastAsia="Segoe UI" w:cs="Segoe UI" w:ascii="Segoe UI" w:hAnsi="Segoe UI"/>
          <w:color w:val="101820"/>
          <w:sz w:val="21"/>
        </w:rPr>
        <w:t>Attendance is recorded per session; a missed module is taken in a catch-up session before go-live.</w:t>
      </w:r>
    </w:p>
    <w:p>
      <w:pPr>
        <w:pStyle w:val="Normal"/>
        <w:numPr>
          <w:ilvl w:val="0"/>
          <w:numId w:val="1"/>
        </w:numPr>
        <w:spacing w:before="0" w:after="60"/>
        <w:rPr/>
      </w:pPr>
      <w:r>
        <w:rPr>
          <w:rFonts w:eastAsia="Segoe UI" w:cs="Segoe UI" w:ascii="Segoe UI" w:hAnsi="Segoe UI"/>
          <w:color w:val="101820"/>
          <w:sz w:val="21"/>
        </w:rPr>
        <w:t>Users who join after go-live are trained by their key user with the same curriculum and assessment.</w:t>
      </w:r>
    </w:p>
    <w:p>
      <w:pPr>
        <w:pStyle w:val="Heading2"/>
        <w:rPr/>
      </w:pPr>
      <w:bookmarkStart w:id="28" w:name="__RefHeading___Toc91325_4049217194"/>
      <w:bookmarkEnd w:id="28"/>
      <w:r>
        <w:rPr>
          <w:rFonts w:eastAsia="Segoe UI" w:cs="Segoe UI"/>
          <w:b/>
          <w:color w:val="0F4761"/>
          <w:sz w:val="26"/>
        </w:rPr>
        <w:t>7.3  Training environment readiness</w:t>
      </w:r>
    </w:p>
    <w:p>
      <w:pPr>
        <w:pStyle w:val="Normal"/>
        <w:spacing w:lineRule="auto" w:line="276" w:before="0" w:after="120"/>
        <w:rPr/>
      </w:pPr>
      <w:r>
        <w:rPr>
          <w:rFonts w:eastAsia="Segoe UI" w:cs="Segoe UI" w:ascii="Segoe UI" w:hAnsi="Segoe UI"/>
          <w:color w:val="101820"/>
          <w:sz w:val="21"/>
        </w:rPr>
        <w:t>Before each training wave: training users created per trainee, configuration equal to the UAT-accepted configuration, training data present (prospects, quotations, policies, open bills, a bank statement to reconcile), e-mail going to internal addresses only, and the exercise book printed.</w:t>
      </w:r>
      <w:r>
        <w:br w:type="page"/>
      </w:r>
    </w:p>
    <w:p>
      <w:pPr>
        <w:pStyle w:val="Heading1"/>
        <w:rPr/>
      </w:pPr>
      <w:bookmarkStart w:id="29" w:name="__RefHeading___Toc91327_4049217194"/>
      <w:bookmarkEnd w:id="29"/>
      <w:r>
        <w:rPr>
          <w:rFonts w:eastAsia="Segoe UI" w:cs="Segoe UI" w:ascii="Segoe UI" w:hAnsi="Segoe UI"/>
          <w:b/>
          <w:color w:val="0F4761"/>
          <w:sz w:val="32"/>
        </w:rPr>
        <w:t>8.  Assessment</w:t>
      </w:r>
    </w:p>
    <w:p>
      <w:pPr>
        <w:pStyle w:val="Heading2"/>
        <w:rPr/>
      </w:pPr>
      <w:bookmarkStart w:id="30" w:name="__RefHeading___Toc91329_4049217194"/>
      <w:bookmarkEnd w:id="30"/>
      <w:r>
        <w:rPr>
          <w:rFonts w:eastAsia="Segoe UI" w:cs="Segoe UI"/>
          <w:b/>
          <w:color w:val="0F4761"/>
          <w:sz w:val="26"/>
        </w:rPr>
        <w:t>8.1  Method</w:t>
      </w:r>
    </w:p>
    <w:p>
      <w:pPr>
        <w:pStyle w:val="Normal"/>
        <w:spacing w:lineRule="auto" w:line="276" w:before="0" w:after="120"/>
        <w:rPr/>
      </w:pPr>
      <w:r>
        <w:rPr>
          <w:rFonts w:eastAsia="Segoe UI" w:cs="Segoe UI" w:ascii="Segoe UI" w:hAnsi="Segoe UI"/>
          <w:color w:val="101820"/>
          <w:sz w:val="21"/>
        </w:rPr>
        <w:t xml:space="preserve">Each user completes a practical assessment at the end of the role curriculum, on the training environment, without help. It uses the scenarios of </w:t>
      </w:r>
      <w:r>
        <w:rPr>
          <w:rFonts w:eastAsia="Consolas" w:cs="Consolas" w:ascii="Consolas" w:hAnsi="Consolas"/>
          <w:color w:val="101820"/>
          <w:sz w:val="19"/>
        </w:rPr>
        <w:t>UAT_SCRIPTS.md</w:t>
      </w:r>
      <w:r>
        <w:rPr>
          <w:rFonts w:eastAsia="Segoe UI" w:cs="Segoe UI" w:ascii="Segoe UI" w:hAnsi="Segoe UI"/>
          <w:color w:val="101820"/>
          <w:sz w:val="21"/>
        </w:rPr>
        <w:t xml:space="preserve"> for the role, with the broker's data, plus a short written check.</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38"/>
        <w:gridCol w:w="4824"/>
        <w:gridCol w:w="1651"/>
      </w:tblGrid>
      <w:tr>
        <w:trPr>
          <w:tblHeader w:val="true"/>
        </w:trPr>
        <w:tc>
          <w:tcPr>
            <w:tcW w:w="25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48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Practical tasks (from the UAT scripts)</w:t>
            </w:r>
          </w:p>
        </w:tc>
        <w:tc>
          <w:tcPr>
            <w:tcW w:w="165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Written check</w:t>
            </w:r>
          </w:p>
        </w:tc>
      </w:tr>
      <w:tr>
        <w:trPr/>
        <w:tc>
          <w:tcPr>
            <w:tcW w:w="2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c>
          <w:tcPr>
            <w:tcW w:w="48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A1 to A7</w:t>
            </w:r>
          </w:p>
        </w:tc>
        <w:tc>
          <w:tcPr>
            <w:tcW w:w="1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 questions</w:t>
            </w:r>
          </w:p>
        </w:tc>
      </w:tr>
      <w:tr>
        <w:trPr/>
        <w:tc>
          <w:tcPr>
            <w:tcW w:w="2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w:t>
            </w:r>
          </w:p>
        </w:tc>
        <w:tc>
          <w:tcPr>
            <w:tcW w:w="48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S1, S3, S4, S5, S6</w:t>
            </w:r>
          </w:p>
        </w:tc>
        <w:tc>
          <w:tcPr>
            <w:tcW w:w="1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 questions</w:t>
            </w:r>
          </w:p>
        </w:tc>
      </w:tr>
      <w:tr>
        <w:trPr/>
        <w:tc>
          <w:tcPr>
            <w:tcW w:w="2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c>
          <w:tcPr>
            <w:tcW w:w="48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to P6</w:t>
            </w:r>
          </w:p>
        </w:tc>
        <w:tc>
          <w:tcPr>
            <w:tcW w:w="1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 questions</w:t>
            </w:r>
          </w:p>
        </w:tc>
      </w:tr>
      <w:tr>
        <w:trPr/>
        <w:tc>
          <w:tcPr>
            <w:tcW w:w="2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w:t>
            </w:r>
          </w:p>
        </w:tc>
        <w:tc>
          <w:tcPr>
            <w:tcW w:w="48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O1 to O5</w:t>
            </w:r>
          </w:p>
        </w:tc>
        <w:tc>
          <w:tcPr>
            <w:tcW w:w="1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 questions</w:t>
            </w:r>
          </w:p>
        </w:tc>
      </w:tr>
      <w:tr>
        <w:trPr/>
        <w:tc>
          <w:tcPr>
            <w:tcW w:w="2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48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C1 to C5</w:t>
            </w:r>
          </w:p>
        </w:tc>
        <w:tc>
          <w:tcPr>
            <w:tcW w:w="1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 questions</w:t>
            </w:r>
          </w:p>
        </w:tc>
      </w:tr>
      <w:tr>
        <w:trPr/>
        <w:tc>
          <w:tcPr>
            <w:tcW w:w="2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48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F1 to F8</w:t>
            </w:r>
          </w:p>
        </w:tc>
        <w:tc>
          <w:tcPr>
            <w:tcW w:w="1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 questions</w:t>
            </w:r>
          </w:p>
        </w:tc>
      </w:tr>
      <w:tr>
        <w:trPr/>
        <w:tc>
          <w:tcPr>
            <w:tcW w:w="2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c>
          <w:tcPr>
            <w:tcW w:w="48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M1 to M5</w:t>
            </w:r>
          </w:p>
        </w:tc>
        <w:tc>
          <w:tcPr>
            <w:tcW w:w="1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 questions</w:t>
            </w:r>
          </w:p>
        </w:tc>
      </w:tr>
    </w:tbl>
    <w:p>
      <w:pPr>
        <w:pStyle w:val="Normal"/>
        <w:spacing w:before="0" w:after="80"/>
        <w:rPr/>
      </w:pPr>
      <w:r>
        <w:rPr/>
      </w:r>
    </w:p>
    <w:p>
      <w:pPr>
        <w:pStyle w:val="Heading2"/>
        <w:rPr/>
      </w:pPr>
      <w:bookmarkStart w:id="31" w:name="__RefHeading___Toc91331_4049217194"/>
      <w:bookmarkEnd w:id="31"/>
      <w:r>
        <w:rPr>
          <w:rFonts w:eastAsia="Segoe UI" w:cs="Segoe UI"/>
          <w:b/>
          <w:color w:val="0F4761"/>
          <w:sz w:val="26"/>
        </w:rPr>
        <w:t>8.2  Pass criteria</w:t>
      </w:r>
    </w:p>
    <w:p>
      <w:pPr>
        <w:pStyle w:val="Normal"/>
        <w:numPr>
          <w:ilvl w:val="0"/>
          <w:numId w:val="1"/>
        </w:numPr>
        <w:spacing w:before="0" w:after="60"/>
        <w:rPr/>
      </w:pPr>
      <w:r>
        <w:rPr>
          <w:rFonts w:eastAsia="Segoe UI" w:cs="Segoe UI" w:ascii="Segoe UI" w:hAnsi="Segoe UI"/>
          <w:color w:val="101820"/>
          <w:sz w:val="21"/>
        </w:rPr>
        <w:t>End users: at least 80% overall, and every task marked critical for the role done correctly. Critical tasks: issuing an official receipt (Accounting), approving as checker (Accounting Manager), issuing a policy with KYC (Processing Team), registering a claim (Claims), capturing a payment (Operations, Sales &amp; Marketing), creating a user with the right role (System Administrator).</w:t>
      </w:r>
    </w:p>
    <w:p>
      <w:pPr>
        <w:pStyle w:val="Normal"/>
        <w:numPr>
          <w:ilvl w:val="0"/>
          <w:numId w:val="1"/>
        </w:numPr>
        <w:spacing w:before="0" w:after="60"/>
        <w:rPr/>
      </w:pPr>
      <w:r>
        <w:rPr>
          <w:rFonts w:eastAsia="Segoe UI" w:cs="Segoe UI" w:ascii="Segoe UI" w:hAnsi="Segoe UI"/>
          <w:color w:val="101820"/>
          <w:sz w:val="21"/>
        </w:rPr>
        <w:t>Key users: at least 90%.</w:t>
      </w:r>
    </w:p>
    <w:p>
      <w:pPr>
        <w:pStyle w:val="Normal"/>
        <w:numPr>
          <w:ilvl w:val="0"/>
          <w:numId w:val="1"/>
        </w:numPr>
        <w:spacing w:before="0" w:after="60"/>
        <w:rPr/>
      </w:pPr>
      <w:r>
        <w:rPr>
          <w:rFonts w:eastAsia="Segoe UI" w:cs="Segoe UI" w:ascii="Segoe UI" w:hAnsi="Segoe UI"/>
          <w:color w:val="101820"/>
          <w:sz w:val="21"/>
        </w:rPr>
        <w:t>A user who does not pass attends a refresher and takes the assessment again before receiving production access.</w:t>
      </w:r>
    </w:p>
    <w:p>
      <w:pPr>
        <w:pStyle w:val="Heading2"/>
        <w:rPr/>
      </w:pPr>
      <w:bookmarkStart w:id="32" w:name="__RefHeading___Toc91333_4049217194"/>
      <w:bookmarkEnd w:id="32"/>
      <w:r>
        <w:rPr>
          <w:rFonts w:eastAsia="Segoe UI" w:cs="Segoe UI"/>
          <w:b/>
          <w:color w:val="0F4761"/>
          <w:sz w:val="26"/>
        </w:rPr>
        <w:t>8.3  Evaluation of the training</w:t>
      </w:r>
    </w:p>
    <w:p>
      <w:pPr>
        <w:pStyle w:val="Normal"/>
        <w:spacing w:lineRule="auto" w:line="276" w:before="0" w:after="120"/>
        <w:rPr/>
      </w:pPr>
      <w:r>
        <w:rPr>
          <w:rFonts w:eastAsia="Segoe UI" w:cs="Segoe UI" w:ascii="Segoe UI" w:hAnsi="Segoe UI"/>
          <w:color w:val="101820"/>
          <w:sz w:val="21"/>
        </w:rPr>
        <w:t>Each trainee fills in a short evaluation (content, pace, trainer, materials, confidence to do the job). Key users and the iorta TechNXT consultant review the results after each wave and adjust the next sessions.</w:t>
      </w:r>
      <w:r>
        <w:br w:type="page"/>
      </w:r>
    </w:p>
    <w:p>
      <w:pPr>
        <w:pStyle w:val="Heading1"/>
        <w:rPr/>
      </w:pPr>
      <w:bookmarkStart w:id="33" w:name="__RefHeading___Toc91335_4049217194"/>
      <w:bookmarkEnd w:id="33"/>
      <w:r>
        <w:rPr>
          <w:rFonts w:eastAsia="Segoe UI" w:cs="Segoe UI" w:ascii="Segoe UI" w:hAnsi="Segoe UI"/>
          <w:b/>
          <w:color w:val="0F4761"/>
          <w:sz w:val="32"/>
        </w:rPr>
        <w:t>9.  Change management</w:t>
      </w:r>
    </w:p>
    <w:p>
      <w:pPr>
        <w:pStyle w:val="Heading2"/>
        <w:rPr/>
      </w:pPr>
      <w:bookmarkStart w:id="34" w:name="__RefHeading___Toc91337_4049217194"/>
      <w:bookmarkEnd w:id="34"/>
      <w:r>
        <w:rPr>
          <w:rFonts w:eastAsia="Segoe UI" w:cs="Segoe UI"/>
          <w:b/>
          <w:color w:val="0F4761"/>
          <w:sz w:val="26"/>
        </w:rPr>
        <w:t>9.1  What changes for users</w:t>
      </w:r>
    </w:p>
    <w:p>
      <w:pPr>
        <w:pStyle w:val="Normal"/>
        <w:spacing w:lineRule="auto" w:line="276" w:before="0" w:after="120"/>
        <w:rPr/>
      </w:pPr>
      <w:r>
        <w:rPr>
          <w:rFonts w:eastAsia="Segoe UI" w:cs="Segoe UI" w:ascii="Segoe UI" w:hAnsi="Segoe UI"/>
          <w:color w:val="101820"/>
          <w:sz w:val="21"/>
        </w:rPr>
        <w:t>The main changes users meet are rules the system now enforces. Each is explained in training and in the go-live communication.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Change</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is affected</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means in daily work</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Accounting posts official receipts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Operations, Processing Team, Accounting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Other roles record how the client paid; Accounting verifies and issues the receipt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Maker-checker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 Claims, Processing Team</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person who enters a quotation, voucher, remittance, settlement, journal or close cannot approve it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KYC and vehicle identifiers before a motor policy is issued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Government ID type, number and image, chassis, motor and plate or MV file number are needed before issue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journey per line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Sales &amp; Marketing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Fire, IAR, marine, casualty and engineering need a placement slip confirmed by every insurer before issue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Server pricing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premium is calculated from the configured rates and taxes; overrides are recorded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checks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claim is refused when the loss date is outside the policy period or premium is unpaid (delivered settings)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paid after full collection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Sales &amp; Marketing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Referrer commission becomes payable only when the premium is fully collected and a bank account is on file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control</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Closed periods take no postings; soft-closed periods take postings only from the Accounting Manager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Everyone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user IDs, password rules, two-step verification for the roles set, automatic sign-out after 30 minutes idle; every action is in the Audit Trail</w:t>
            </w:r>
          </w:p>
        </w:tc>
      </w:tr>
    </w:tbl>
    <w:p>
      <w:pPr>
        <w:pStyle w:val="Normal"/>
        <w:spacing w:before="0" w:after="80"/>
        <w:rPr/>
      </w:pPr>
      <w:r>
        <w:rPr/>
      </w:r>
    </w:p>
    <w:p>
      <w:pPr>
        <w:pStyle w:val="Heading2"/>
        <w:rPr/>
      </w:pPr>
      <w:bookmarkStart w:id="35" w:name="__RefHeading___Toc91339_4049217194"/>
      <w:bookmarkEnd w:id="35"/>
      <w:r>
        <w:rPr>
          <w:rFonts w:eastAsia="Segoe UI" w:cs="Segoe UI"/>
          <w:b/>
          <w:color w:val="0F4761"/>
          <w:sz w:val="26"/>
        </w:rPr>
        <w:t>9.2  Stakeholders and communication</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87"/>
        <w:gridCol w:w="2575"/>
        <w:gridCol w:w="2575"/>
        <w:gridCol w:w="2575"/>
      </w:tblGrid>
      <w:tr>
        <w:trPr>
          <w:tblHeader w:val="true"/>
        </w:trPr>
        <w:tc>
          <w:tcPr>
            <w:tcW w:w="12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Audience</w:t>
            </w:r>
          </w:p>
        </w:tc>
        <w:tc>
          <w:tcPr>
            <w:tcW w:w="25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Message</w:t>
            </w:r>
          </w:p>
        </w:tc>
        <w:tc>
          <w:tcPr>
            <w:tcW w:w="25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Channel</w:t>
            </w:r>
          </w:p>
        </w:tc>
        <w:tc>
          <w:tcPr>
            <w:tcW w:w="25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w:t>
            </w:r>
          </w:p>
        </w:tc>
      </w:tr>
      <w:tr>
        <w:trPr/>
        <w:tc>
          <w:tcPr>
            <w:tcW w:w="12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Management</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Why the change, what it delivers, what is asked of the teams</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Steering committee, management meeting</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Mobilisation, monthly</w:t>
            </w:r>
          </w:p>
        </w:tc>
      </w:tr>
      <w:tr>
        <w:trPr/>
        <w:tc>
          <w:tcPr>
            <w:tcW w:w="12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Team leaders</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Timeline, their key user, release of staff for training and UAT</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Briefing by the broker PM</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Mobilisation, before training</w:t>
            </w:r>
          </w:p>
        </w:tc>
      </w:tr>
      <w:tr>
        <w:trPr/>
        <w:tc>
          <w:tcPr>
            <w:tcW w:w="12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users</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changes, training dates, go-live date, where to get help</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from the sponsor, team meetings, getting started guide</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Four weeks and one week before go-live, go-live day</w:t>
            </w:r>
          </w:p>
        </w:tc>
      </w:tr>
      <w:tr>
        <w:trPr/>
        <w:tc>
          <w:tcPr>
            <w:tcW w:w="12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date, any change in documents (remittance advice, debit notes), contacts</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Letter or e-mail from Accounting</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 weeks before go-live</w:t>
            </w:r>
          </w:p>
        </w:tc>
      </w:tr>
      <w:tr>
        <w:trPr/>
        <w:tc>
          <w:tcPr>
            <w:tcW w:w="12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(where affected)</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official receipt or billing statement layout, payment links if used</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executives</w:t>
            </w:r>
          </w:p>
        </w:tc>
        <w:tc>
          <w:tcPr>
            <w:tcW w:w="25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 go-live</w:t>
            </w:r>
          </w:p>
        </w:tc>
      </w:tr>
    </w:tbl>
    <w:p>
      <w:pPr>
        <w:pStyle w:val="Normal"/>
        <w:spacing w:before="0" w:after="80"/>
        <w:rPr/>
      </w:pPr>
      <w:r>
        <w:rPr/>
      </w:r>
    </w:p>
    <w:p>
      <w:pPr>
        <w:pStyle w:val="Heading2"/>
        <w:rPr/>
      </w:pPr>
      <w:bookmarkStart w:id="36" w:name="__RefHeading___Toc91341_4049217194"/>
      <w:bookmarkEnd w:id="36"/>
      <w:r>
        <w:rPr>
          <w:rFonts w:eastAsia="Segoe UI" w:cs="Segoe UI"/>
          <w:b/>
          <w:color w:val="0F4761"/>
          <w:sz w:val="26"/>
        </w:rPr>
        <w:t>9.3  Readiness</w:t>
      </w:r>
    </w:p>
    <w:p>
      <w:pPr>
        <w:pStyle w:val="Normal"/>
        <w:spacing w:lineRule="auto" w:line="276" w:before="0" w:after="120"/>
        <w:rPr/>
      </w:pPr>
      <w:r>
        <w:rPr>
          <w:rFonts w:eastAsia="Segoe UI" w:cs="Segoe UI" w:ascii="Segoe UI" w:hAnsi="Segoe UI"/>
          <w:color w:val="101820"/>
          <w:sz w:val="21"/>
        </w:rPr>
        <w:t>The broker PM checks readiness two weeks before go-live and again at the go/no-go: users trained and assessed per team, key users in place, user IDs issued, procedures updated for the changes above, and team leaders' confirmation that their teams are ready. Gaps are actions in the RAID log.</w:t>
      </w:r>
    </w:p>
    <w:p>
      <w:pPr>
        <w:pStyle w:val="Heading2"/>
        <w:rPr/>
      </w:pPr>
      <w:bookmarkStart w:id="37" w:name="__RefHeading___Toc91343_4049217194"/>
      <w:bookmarkEnd w:id="37"/>
      <w:r>
        <w:rPr>
          <w:rFonts w:eastAsia="Segoe UI" w:cs="Segoe UI"/>
          <w:b/>
          <w:color w:val="0F4761"/>
          <w:sz w:val="26"/>
        </w:rPr>
        <w:t>9.4  Support at go-live and reinforcement</w:t>
      </w:r>
    </w:p>
    <w:p>
      <w:pPr>
        <w:pStyle w:val="Normal"/>
        <w:numPr>
          <w:ilvl w:val="0"/>
          <w:numId w:val="1"/>
        </w:numPr>
        <w:spacing w:before="0" w:after="60"/>
        <w:rPr/>
      </w:pPr>
      <w:r>
        <w:rPr>
          <w:rFonts w:eastAsia="Segoe UI" w:cs="Segoe UI" w:ascii="Segoe UI" w:hAnsi="Segoe UI"/>
          <w:color w:val="101820"/>
          <w:sz w:val="21"/>
        </w:rPr>
        <w:t>Key users act as floor walkers in their teams during the first week; iorta TechNXT consultants are on site or on call during hypercare.</w:t>
      </w:r>
    </w:p>
    <w:p>
      <w:pPr>
        <w:pStyle w:val="Normal"/>
        <w:numPr>
          <w:ilvl w:val="0"/>
          <w:numId w:val="1"/>
        </w:numPr>
        <w:spacing w:before="0" w:after="60"/>
        <w:rPr/>
      </w:pPr>
      <w:r>
        <w:rPr>
          <w:rFonts w:eastAsia="Segoe UI" w:cs="Segoe UI" w:ascii="Segoe UI" w:hAnsi="Segoe UI"/>
          <w:color w:val="101820"/>
          <w:sz w:val="21"/>
        </w:rPr>
        <w:t>A daily 15-minute check-in in the first week collects questions; answers go into the knowledge base and a short tips note to users.</w:t>
      </w:r>
    </w:p>
    <w:p>
      <w:pPr>
        <w:pStyle w:val="Normal"/>
        <w:numPr>
          <w:ilvl w:val="0"/>
          <w:numId w:val="1"/>
        </w:numPr>
        <w:spacing w:before="0" w:after="60"/>
        <w:rPr/>
      </w:pPr>
      <w:r>
        <w:rPr>
          <w:rFonts w:eastAsia="Segoe UI" w:cs="Segoe UI" w:ascii="Segoe UI" w:hAnsi="Segoe UI"/>
          <w:color w:val="101820"/>
          <w:sz w:val="21"/>
        </w:rPr>
        <w:t>Refresher sessions are offered at the end of the first month, before the first month-end close for Accounting, and on topics the support tickets show users find hard.</w:t>
      </w:r>
    </w:p>
    <w:p>
      <w:pPr>
        <w:pStyle w:val="Normal"/>
        <w:numPr>
          <w:ilvl w:val="0"/>
          <w:numId w:val="1"/>
        </w:numPr>
        <w:spacing w:before="0" w:after="60"/>
        <w:rPr/>
      </w:pPr>
      <w:r>
        <w:rPr>
          <w:rFonts w:eastAsia="Segoe UI" w:cs="Segoe UI" w:ascii="Segoe UI" w:hAnsi="Segoe UI"/>
          <w:color w:val="101820"/>
          <w:sz w:val="21"/>
        </w:rPr>
        <w:t>Key users keep the exercise book and train newcomers with the same curriculum and assessment.</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38" w:name="__RefHeading___Toc91345_4049217194"/>
      <w:bookmarkStart w:id="39" w:name="_Toc233203395"/>
      <w:bookmarkEnd w:id="38"/>
      <w:r>
        <w:rPr>
          <w:rStyle w:val="BookTitle"/>
          <w:bCs w:val="false"/>
          <w:i w:val="false"/>
          <w:iCs w:val="false"/>
          <w:spacing w:val="0"/>
        </w:rPr>
        <w:t>10.  Document Sign-Off</w:t>
      </w:r>
      <w:bookmarkEnd w:id="39"/>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9">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8">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8">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2026-10-04T01:46:27Z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