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19.png" ContentType="image/png"/>
  <Override PartName="/word/media/image87.png" ContentType="image/png"/>
  <Override PartName="/word/media/image19.png" ContentType="image/png"/>
  <Override PartName="/word/media/image118.png" ContentType="image/png"/>
  <Override PartName="/word/media/image86.png" ContentType="image/png"/>
  <Override PartName="/word/media/image18.png" ContentType="image/png"/>
  <Override PartName="/word/media/image109.png" ContentType="image/png"/>
  <Override PartName="/word/media/image77.png" ContentType="image/png"/>
  <Override PartName="/word/media/image64.png" ContentType="image/png"/>
  <Override PartName="/word/media/image63.png" ContentType="image/png"/>
  <Override PartName="/word/media/image62.png" ContentType="image/png"/>
  <Override PartName="/word/media/image61.png" ContentType="image/png"/>
  <Override PartName="/word/media/image60.png" ContentType="image/png"/>
  <Override PartName="/word/media/image59.png" ContentType="image/png"/>
  <Override PartName="/word/media/image58.png" ContentType="image/png"/>
  <Override PartName="/word/media/image110.png" ContentType="image/png"/>
  <Override PartName="/word/media/image10.png" ContentType="image/png"/>
  <Override PartName="/word/media/image47.png" ContentType="image/png"/>
  <Override PartName="/word/media/image100.png" ContentType="image/png"/>
  <Override PartName="/word/media/image52.png" ContentType="image/png"/>
  <Override PartName="/word/media/image6.png" ContentType="image/png"/>
  <Override PartName="/word/media/image38.png" ContentType="image/png"/>
  <Override PartName="/word/media/image51.png" ContentType="image/png"/>
  <Override PartName="/word/media/image5.png" ContentType="image/png"/>
  <Override PartName="/word/media/image37.png" ContentType="image/png"/>
  <Override PartName="/word/media/image101.png" ContentType="image/png"/>
  <Override PartName="/word/media/image53.png" ContentType="image/png"/>
  <Override PartName="/word/media/image7.png" ContentType="image/png"/>
  <Override PartName="/word/media/image39.png" ContentType="image/png"/>
  <Override PartName="/word/media/image134.png" ContentType="image/png"/>
  <Override PartName="/word/media/image34.png" ContentType="image/png"/>
  <Override PartName="/word/media/image2.png" ContentType="image/png"/>
  <Override PartName="/word/media/image111.png" ContentType="image/png"/>
  <Override PartName="/word/media/image11.png" ContentType="image/png"/>
  <Override PartName="/word/media/image48.png" ContentType="image/png"/>
  <Override PartName="/word/media/image8.png" ContentType="image/png"/>
  <Override PartName="/word/media/image54.png" ContentType="image/png"/>
  <Override PartName="/word/media/image40.png" ContentType="image/png"/>
  <Override PartName="/word/media/image42.png" ContentType="image/png"/>
  <Override PartName="/word/media/image45.png" ContentType="image/png"/>
  <Override PartName="/word/media/image46.png" ContentType="image/png"/>
  <Override PartName="/word/media/image43.png" ContentType="image/png"/>
  <Override PartName="/word/media/image41.png" ContentType="image/png"/>
  <Override PartName="/word/media/image88.png" ContentType="image/png"/>
  <Override PartName="/word/media/image44.png" ContentType="image/png"/>
  <Override PartName="/word/media/image56.png" ContentType="image/png"/>
  <Override PartName="/word/media/image33.png" ContentType="image/png"/>
  <Override PartName="/word/media/image133.png" ContentType="image/png"/>
  <Override PartName="/word/media/image130.png" ContentType="image/png"/>
  <Override PartName="/word/media/image30.png" ContentType="image/png"/>
  <Override PartName="/word/media/image132.png" ContentType="image/png"/>
  <Override PartName="/word/media/image32.png" ContentType="image/png"/>
  <Override PartName="/word/media/image31.png" ContentType="image/png"/>
  <Override PartName="/word/media/image131.png" ContentType="image/png"/>
  <Override PartName="/word/media/image50.png" ContentType="image/png"/>
  <Override PartName="/word/media/image4.png" ContentType="image/png"/>
  <Override PartName="/word/media/image136.png" ContentType="image/png"/>
  <Override PartName="/word/media/image36.png" ContentType="image/png"/>
  <Override PartName="/word/media/image9.png" ContentType="image/png"/>
  <Override PartName="/word/media/image55.png" ContentType="image/png"/>
  <Override PartName="/word/media/image135.jpeg" ContentType="image/jpeg"/>
  <Override PartName="/word/media/image108.png" ContentType="image/png"/>
  <Override PartName="/word/media/image76.png" ContentType="image/png"/>
  <Override PartName="/word/media/image57.png" ContentType="image/png"/>
  <Override PartName="/word/media/image112.png" ContentType="image/png"/>
  <Override PartName="/word/media/image80.png" ContentType="image/png"/>
  <Override PartName="/word/media/image12.png" ContentType="image/png"/>
  <Override PartName="/word/media/image3.png" ContentType="image/png"/>
  <Override PartName="/word/media/image49.png" ContentType="image/png"/>
  <Override PartName="/word/media/image35.png" ContentType="image/png"/>
  <Override PartName="/word/media/image65.png" ContentType="image/png"/>
  <Override PartName="/word/media/image81.png" ContentType="image/png"/>
  <Override PartName="/word/media/image13.png" ContentType="image/png"/>
  <Override PartName="/word/media/image113.png" ContentType="image/png"/>
  <Override PartName="/word/media/image66.png" ContentType="image/png"/>
  <Override PartName="/word/media/image14.png" ContentType="image/png"/>
  <Override PartName="/word/media/image82.png" ContentType="image/png"/>
  <Override PartName="/word/media/image114.png" ContentType="image/png"/>
  <Override PartName="/word/media/image67.png" ContentType="image/png"/>
  <Override PartName="/word/media/image15.png" ContentType="image/png"/>
  <Override PartName="/word/media/image83.png" ContentType="image/png"/>
  <Override PartName="/word/media/image115.png" ContentType="image/png"/>
  <Override PartName="/word/media/image68.png" ContentType="image/png"/>
  <Override PartName="/word/media/image16.png" ContentType="image/png"/>
  <Override PartName="/word/media/image84.png" ContentType="image/png"/>
  <Override PartName="/word/media/image116.png" ContentType="image/png"/>
  <Override PartName="/word/media/image69.png" ContentType="image/png"/>
  <Override PartName="/word/media/image17.png" ContentType="image/png"/>
  <Override PartName="/word/media/image85.png" ContentType="image/png"/>
  <Override PartName="/word/media/image117.png" ContentType="image/png"/>
  <Override PartName="/word/media/image102.png" ContentType="image/png"/>
  <Override PartName="/word/media/image70.png" ContentType="image/png"/>
  <Override PartName="/word/media/image103.png" ContentType="image/png"/>
  <Override PartName="/word/media/image71.png" ContentType="image/png"/>
  <Override PartName="/word/media/image104.png" ContentType="image/png"/>
  <Override PartName="/word/media/image72.png" ContentType="image/png"/>
  <Override PartName="/word/media/image120.png" ContentType="image/png"/>
  <Override PartName="/word/media/image20.png" ContentType="image/png"/>
  <Override PartName="/word/media/image105.png" ContentType="image/png"/>
  <Override PartName="/word/media/image73.png" ContentType="image/png"/>
  <Override PartName="/word/media/image121.png" ContentType="image/png"/>
  <Override PartName="/word/media/image21.png" ContentType="image/png"/>
  <Override PartName="/word/media/image106.png" ContentType="image/png"/>
  <Override PartName="/word/media/image74.png" ContentType="image/png"/>
  <Override PartName="/word/media/image122.png" ContentType="image/png"/>
  <Override PartName="/word/media/image22.png" ContentType="image/png"/>
  <Override PartName="/word/media/image90.png" ContentType="image/png"/>
  <Override PartName="/word/media/image107.png" ContentType="image/png"/>
  <Override PartName="/word/media/image75.png" ContentType="image/png"/>
  <Override PartName="/word/media/image123.png" ContentType="image/png"/>
  <Override PartName="/word/media/image23.png" ContentType="image/png"/>
  <Override PartName="/word/media/image91.png" ContentType="image/png"/>
  <Override PartName="/word/media/image124.png" ContentType="image/png"/>
  <Override PartName="/word/media/image24.png" ContentType="image/png"/>
  <Override PartName="/word/media/image92.png" ContentType="image/png"/>
  <Override PartName="/word/media/image25.png" ContentType="image/png"/>
  <Override PartName="/word/media/image93.png" ContentType="image/png"/>
  <Override PartName="/word/media/image125.png" ContentType="image/png"/>
  <Override PartName="/word/media/image78.png" ContentType="image/png"/>
  <Override PartName="/word/media/image26.png" ContentType="image/png"/>
  <Override PartName="/word/media/image126.png" ContentType="image/png"/>
  <Override PartName="/word/media/image94.png" ContentType="image/png"/>
  <Override PartName="/word/media/image79.png" ContentType="image/png"/>
  <Override PartName="/word/media/image89.png" ContentType="image/png"/>
  <Override PartName="/word/media/image27.png" ContentType="image/png"/>
  <Override PartName="/word/media/image127.png" ContentType="image/png"/>
  <Override PartName="/word/media/image95.png" ContentType="image/png"/>
  <Override PartName="/word/media/image28.png" ContentType="image/png"/>
  <Override PartName="/word/media/image128.png" ContentType="image/png"/>
  <Override PartName="/word/media/image96.png" ContentType="image/png"/>
  <Override PartName="/word/media/image29.png" ContentType="image/png"/>
  <Override PartName="/word/media/image129.png" ContentType="image/png"/>
  <Override PartName="/word/media/image97.png" ContentType="image/png"/>
  <Override PartName="/word/media/image1.jpeg" ContentType="image/jpeg"/>
  <Override PartName="/word/media/image98.png" ContentType="image/png"/>
  <Override PartName="/word/media/image99.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0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1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0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0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1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1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by persona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by persona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07263_4049217194">
            <w:r>
              <w:rPr>
                <w:webHidden/>
                <w:rStyle w:val="IndexLink"/>
              </w:rPr>
              <w:t xml:space="preserve"> </w:t>
            </w:r>
            <w:r>
              <w:rPr>
                <w:rStyle w:val="IndexLink"/>
                <w:i w:val="false"/>
                <w:iCs w:val="false"/>
              </w:rPr>
              <w:t>1. Document Control</w:t>
            </w:r>
            <w:r>
              <w:rPr>
                <w:rStyle w:val="IndexLink"/>
              </w:rPr>
              <w:tab/>
              <w:t>6</w:t>
            </w:r>
          </w:hyperlink>
        </w:p>
        <w:p>
          <w:pPr>
            <w:pStyle w:val="TOC1"/>
            <w:tabs>
              <w:tab w:val="clear" w:pos="900"/>
              <w:tab w:val="clear" w:pos="9350"/>
              <w:tab w:val="right" w:pos="9025" w:leader="dot"/>
            </w:tabs>
            <w:rPr/>
          </w:pPr>
          <w:hyperlink w:anchor="__RefHeading___Toc107265_4049217194">
            <w:r>
              <w:rPr>
                <w:webHidden/>
                <w:rStyle w:val="IndexLink"/>
                <w:i w:val="false"/>
                <w:iCs w:val="false"/>
              </w:rPr>
              <w:t>2. Acronyms</w:t>
            </w:r>
            <w:r>
              <w:rPr>
                <w:rStyle w:val="IndexLink"/>
              </w:rPr>
              <w:tab/>
              <w:t>6</w:t>
            </w:r>
          </w:hyperlink>
        </w:p>
        <w:p>
          <w:pPr>
            <w:pStyle w:val="TOC1"/>
            <w:tabs>
              <w:tab w:val="clear" w:pos="900"/>
              <w:tab w:val="clear" w:pos="9350"/>
              <w:tab w:val="right" w:pos="9025" w:leader="dot"/>
            </w:tabs>
            <w:rPr/>
          </w:pPr>
          <w:hyperlink w:anchor="__RefHeading___Toc107267_4049217194">
            <w:r>
              <w:rPr>
                <w:webHidden/>
                <w:rStyle w:val="IndexLink"/>
              </w:rPr>
              <w:t>3. About this manual</w:t>
              <w:tab/>
              <w:t>7</w:t>
            </w:r>
          </w:hyperlink>
        </w:p>
        <w:p>
          <w:pPr>
            <w:pStyle w:val="TOC2"/>
            <w:tabs>
              <w:tab w:val="clear" w:pos="900"/>
              <w:tab w:val="clear" w:pos="9350"/>
              <w:tab w:val="right" w:pos="9025" w:leader="dot"/>
            </w:tabs>
            <w:rPr/>
          </w:pPr>
          <w:hyperlink w:anchor="__RefHeading___Toc107269_4049217194">
            <w:r>
              <w:rPr>
                <w:webHidden/>
                <w:rStyle w:val="IndexLink"/>
              </w:rPr>
              <w:t>3.1 Purpose</w:t>
              <w:tab/>
              <w:t>7</w:t>
            </w:r>
          </w:hyperlink>
        </w:p>
        <w:p>
          <w:pPr>
            <w:pStyle w:val="TOC2"/>
            <w:tabs>
              <w:tab w:val="clear" w:pos="900"/>
              <w:tab w:val="clear" w:pos="9350"/>
              <w:tab w:val="right" w:pos="9025" w:leader="dot"/>
            </w:tabs>
            <w:rPr/>
          </w:pPr>
          <w:hyperlink w:anchor="__RefHeading___Toc107271_4049217194">
            <w:r>
              <w:rPr>
                <w:webHidden/>
                <w:rStyle w:val="IndexLink"/>
              </w:rPr>
              <w:t>3.2 How the manual is organised</w:t>
              <w:tab/>
              <w:t>8</w:t>
            </w:r>
          </w:hyperlink>
        </w:p>
        <w:p>
          <w:pPr>
            <w:pStyle w:val="TOC2"/>
            <w:tabs>
              <w:tab w:val="clear" w:pos="900"/>
              <w:tab w:val="clear" w:pos="9350"/>
              <w:tab w:val="right" w:pos="9025" w:leader="dot"/>
            </w:tabs>
            <w:rPr/>
          </w:pPr>
          <w:hyperlink w:anchor="__RefHeading___Toc107273_4049217194">
            <w:r>
              <w:rPr>
                <w:webHidden/>
                <w:rStyle w:val="IndexLink"/>
              </w:rPr>
              <w:t>3.3 Conventions</w:t>
              <w:tab/>
              <w:t>8</w:t>
            </w:r>
          </w:hyperlink>
        </w:p>
        <w:p>
          <w:pPr>
            <w:pStyle w:val="TOC1"/>
            <w:tabs>
              <w:tab w:val="clear" w:pos="900"/>
              <w:tab w:val="clear" w:pos="9350"/>
              <w:tab w:val="right" w:pos="9025" w:leader="dot"/>
            </w:tabs>
            <w:rPr/>
          </w:pPr>
          <w:hyperlink w:anchor="__RefHeading___Toc107275_4049217194">
            <w:r>
              <w:rPr>
                <w:webHidden/>
                <w:rStyle w:val="IndexLink"/>
              </w:rPr>
              <w:t>4. Getting started</w:t>
              <w:tab/>
              <w:t>9</w:t>
            </w:r>
          </w:hyperlink>
        </w:p>
        <w:p>
          <w:pPr>
            <w:pStyle w:val="TOC2"/>
            <w:tabs>
              <w:tab w:val="clear" w:pos="900"/>
              <w:tab w:val="clear" w:pos="9350"/>
              <w:tab w:val="right" w:pos="9025" w:leader="dot"/>
            </w:tabs>
            <w:rPr/>
          </w:pPr>
          <w:hyperlink w:anchor="__RefHeading___Toc107277_4049217194">
            <w:r>
              <w:rPr>
                <w:webHidden/>
                <w:rStyle w:val="IndexLink"/>
              </w:rPr>
              <w:t>4.1 Signing in</w:t>
              <w:tab/>
              <w:t>9</w:t>
            </w:r>
          </w:hyperlink>
        </w:p>
        <w:p>
          <w:pPr>
            <w:pStyle w:val="TOC2"/>
            <w:tabs>
              <w:tab w:val="clear" w:pos="900"/>
              <w:tab w:val="clear" w:pos="9350"/>
              <w:tab w:val="right" w:pos="9025" w:leader="dot"/>
            </w:tabs>
            <w:rPr/>
          </w:pPr>
          <w:hyperlink w:anchor="__RefHeading___Toc107279_4049217194">
            <w:r>
              <w:rPr>
                <w:webHidden/>
                <w:rStyle w:val="IndexLink"/>
              </w:rPr>
              <w:t>4.2 The screen layout</w:t>
              <w:tab/>
              <w:t>14</w:t>
            </w:r>
          </w:hyperlink>
        </w:p>
        <w:p>
          <w:pPr>
            <w:pStyle w:val="TOC2"/>
            <w:tabs>
              <w:tab w:val="clear" w:pos="900"/>
              <w:tab w:val="clear" w:pos="9350"/>
              <w:tab w:val="right" w:pos="9025" w:leader="dot"/>
            </w:tabs>
            <w:rPr/>
          </w:pPr>
          <w:hyperlink w:anchor="__RefHeading___Toc107281_4049217194">
            <w:r>
              <w:rPr>
                <w:webHidden/>
                <w:rStyle w:val="IndexLink"/>
              </w:rPr>
              <w:t>4.3 Roles and menus</w:t>
              <w:tab/>
              <w:t>16</w:t>
            </w:r>
          </w:hyperlink>
        </w:p>
        <w:p>
          <w:pPr>
            <w:pStyle w:val="TOC2"/>
            <w:tabs>
              <w:tab w:val="clear" w:pos="900"/>
              <w:tab w:val="clear" w:pos="9350"/>
              <w:tab w:val="right" w:pos="9025" w:leader="dot"/>
            </w:tabs>
            <w:rPr/>
          </w:pPr>
          <w:hyperlink w:anchor="__RefHeading___Toc107283_4049217194">
            <w:r>
              <w:rPr>
                <w:webHidden/>
                <w:rStyle w:val="IndexLink"/>
              </w:rPr>
              <w:t>4.4 Working with lists</w:t>
              <w:tab/>
              <w:t>17</w:t>
            </w:r>
          </w:hyperlink>
        </w:p>
        <w:p>
          <w:pPr>
            <w:pStyle w:val="TOC2"/>
            <w:tabs>
              <w:tab w:val="clear" w:pos="900"/>
              <w:tab w:val="clear" w:pos="9350"/>
              <w:tab w:val="right" w:pos="9025" w:leader="dot"/>
            </w:tabs>
            <w:rPr/>
          </w:pPr>
          <w:hyperlink w:anchor="__RefHeading___Toc107285_4049217194">
            <w:r>
              <w:rPr>
                <w:webHidden/>
                <w:rStyle w:val="IndexLink"/>
              </w:rPr>
              <w:t>4.5 Working with forms</w:t>
              <w:tab/>
              <w:t>18</w:t>
            </w:r>
          </w:hyperlink>
        </w:p>
        <w:p>
          <w:pPr>
            <w:pStyle w:val="TOC2"/>
            <w:tabs>
              <w:tab w:val="clear" w:pos="900"/>
              <w:tab w:val="clear" w:pos="9350"/>
              <w:tab w:val="right" w:pos="9025" w:leader="dot"/>
            </w:tabs>
            <w:rPr/>
          </w:pPr>
          <w:hyperlink w:anchor="__RefHeading___Toc107287_4049217194">
            <w:r>
              <w:rPr>
                <w:webHidden/>
                <w:rStyle w:val="IndexLink"/>
              </w:rPr>
              <w:t>4.6 Statuses, approvals and maker-checker</w:t>
              <w:tab/>
              <w:t>19</w:t>
            </w:r>
          </w:hyperlink>
        </w:p>
        <w:p>
          <w:pPr>
            <w:pStyle w:val="TOC2"/>
            <w:tabs>
              <w:tab w:val="clear" w:pos="900"/>
              <w:tab w:val="clear" w:pos="9350"/>
              <w:tab w:val="right" w:pos="9025" w:leader="dot"/>
            </w:tabs>
            <w:rPr/>
          </w:pPr>
          <w:hyperlink w:anchor="__RefHeading___Toc107289_4049217194">
            <w:r>
              <w:rPr>
                <w:webHidden/>
                <w:rStyle w:val="IndexLink"/>
              </w:rPr>
              <w:t>4.7 Where the audit trail is</w:t>
              <w:tab/>
              <w:t>20</w:t>
            </w:r>
          </w:hyperlink>
        </w:p>
        <w:p>
          <w:pPr>
            <w:pStyle w:val="TOC1"/>
            <w:tabs>
              <w:tab w:val="clear" w:pos="900"/>
              <w:tab w:val="clear" w:pos="9350"/>
              <w:tab w:val="right" w:pos="9025" w:leader="dot"/>
            </w:tabs>
            <w:rPr/>
          </w:pPr>
          <w:hyperlink w:anchor="__RefHeading___Toc107291_4049217194">
            <w:r>
              <w:rPr>
                <w:webHidden/>
                <w:rStyle w:val="IndexLink"/>
              </w:rPr>
              <w:t>5. The business process end to end</w:t>
              <w:tab/>
              <w:t>21</w:t>
            </w:r>
          </w:hyperlink>
        </w:p>
        <w:p>
          <w:pPr>
            <w:pStyle w:val="TOC2"/>
            <w:tabs>
              <w:tab w:val="clear" w:pos="900"/>
              <w:tab w:val="clear" w:pos="9350"/>
              <w:tab w:val="right" w:pos="9025" w:leader="dot"/>
            </w:tabs>
            <w:rPr/>
          </w:pPr>
          <w:hyperlink w:anchor="__RefHeading___Toc107293_4049217194">
            <w:r>
              <w:rPr>
                <w:webHidden/>
                <w:rStyle w:val="IndexLink"/>
              </w:rPr>
              <w:t>5.1 The broking cycle</w:t>
              <w:tab/>
              <w:t>21</w:t>
            </w:r>
          </w:hyperlink>
        </w:p>
        <w:p>
          <w:pPr>
            <w:pStyle w:val="TOC2"/>
            <w:tabs>
              <w:tab w:val="clear" w:pos="900"/>
              <w:tab w:val="clear" w:pos="9350"/>
              <w:tab w:val="right" w:pos="9025" w:leader="dot"/>
            </w:tabs>
            <w:rPr/>
          </w:pPr>
          <w:hyperlink w:anchor="__RefHeading___Toc107295_4049217194">
            <w:r>
              <w:rPr>
                <w:webHidden/>
                <w:rStyle w:val="IndexLink"/>
              </w:rPr>
              <w:t>5.2 Who does each step and where</w:t>
              <w:tab/>
              <w:t>23</w:t>
            </w:r>
          </w:hyperlink>
        </w:p>
        <w:p>
          <w:pPr>
            <w:pStyle w:val="TOC2"/>
            <w:tabs>
              <w:tab w:val="clear" w:pos="900"/>
              <w:tab w:val="clear" w:pos="9350"/>
              <w:tab w:val="right" w:pos="9025" w:leader="dot"/>
            </w:tabs>
            <w:rPr/>
          </w:pPr>
          <w:hyperlink w:anchor="__RefHeading___Toc107297_4049217194">
            <w:r>
              <w:rPr>
                <w:webHidden/>
                <w:rStyle w:val="IndexLink"/>
              </w:rPr>
              <w:t>5.3 The placement journey by line</w:t>
              <w:tab/>
              <w:t>23</w:t>
            </w:r>
          </w:hyperlink>
        </w:p>
        <w:p>
          <w:pPr>
            <w:pStyle w:val="TOC2"/>
            <w:tabs>
              <w:tab w:val="clear" w:pos="900"/>
              <w:tab w:val="clear" w:pos="9350"/>
              <w:tab w:val="right" w:pos="9025" w:leader="dot"/>
            </w:tabs>
            <w:rPr/>
          </w:pPr>
          <w:hyperlink w:anchor="__RefHeading___Toc107299_4049217194">
            <w:r>
              <w:rPr>
                <w:webHidden/>
                <w:rStyle w:val="IndexLink"/>
              </w:rPr>
              <w:t>5.4 What the system posts</w:t>
              <w:tab/>
              <w:t>24</w:t>
            </w:r>
          </w:hyperlink>
        </w:p>
        <w:p>
          <w:pPr>
            <w:pStyle w:val="TOC1"/>
            <w:tabs>
              <w:tab w:val="clear" w:pos="900"/>
              <w:tab w:val="clear" w:pos="9350"/>
              <w:tab w:val="right" w:pos="9025" w:leader="dot"/>
            </w:tabs>
            <w:rPr/>
          </w:pPr>
          <w:hyperlink w:anchor="__RefHeading___Toc107301_4049217194">
            <w:r>
              <w:rPr>
                <w:webHidden/>
                <w:rStyle w:val="IndexLink"/>
              </w:rPr>
              <w:t>6. System Administrator</w:t>
              <w:tab/>
              <w:t>25</w:t>
            </w:r>
          </w:hyperlink>
        </w:p>
        <w:p>
          <w:pPr>
            <w:pStyle w:val="TOC2"/>
            <w:tabs>
              <w:tab w:val="clear" w:pos="900"/>
              <w:tab w:val="clear" w:pos="9350"/>
              <w:tab w:val="right" w:pos="9025" w:leader="dot"/>
            </w:tabs>
            <w:rPr/>
          </w:pPr>
          <w:hyperlink w:anchor="__RefHeading___Toc107303_4049217194">
            <w:r>
              <w:rPr>
                <w:webHidden/>
                <w:rStyle w:val="IndexLink"/>
              </w:rPr>
              <w:t>6.1 Role summary</w:t>
              <w:tab/>
              <w:t>25</w:t>
            </w:r>
          </w:hyperlink>
        </w:p>
        <w:p>
          <w:pPr>
            <w:pStyle w:val="TOC2"/>
            <w:tabs>
              <w:tab w:val="clear" w:pos="900"/>
              <w:tab w:val="clear" w:pos="9350"/>
              <w:tab w:val="right" w:pos="9025" w:leader="dot"/>
            </w:tabs>
            <w:rPr/>
          </w:pPr>
          <w:hyperlink w:anchor="__RefHeading___Toc107305_4049217194">
            <w:r>
              <w:rPr>
                <w:webHidden/>
                <w:rStyle w:val="IndexLink"/>
              </w:rPr>
              <w:t>6.2 Menus available</w:t>
              <w:tab/>
              <w:t>25</w:t>
            </w:r>
          </w:hyperlink>
        </w:p>
        <w:p>
          <w:pPr>
            <w:pStyle w:val="TOC2"/>
            <w:tabs>
              <w:tab w:val="clear" w:pos="900"/>
              <w:tab w:val="clear" w:pos="9350"/>
              <w:tab w:val="right" w:pos="9025" w:leader="dot"/>
            </w:tabs>
            <w:rPr/>
          </w:pPr>
          <w:hyperlink w:anchor="__RefHeading___Toc107307_4049217194">
            <w:r>
              <w:rPr>
                <w:webHidden/>
                <w:rStyle w:val="IndexLink"/>
              </w:rPr>
              <w:t>6.3 Daily and periodic tasks</w:t>
              <w:tab/>
              <w:t>26</w:t>
            </w:r>
          </w:hyperlink>
        </w:p>
        <w:p>
          <w:pPr>
            <w:pStyle w:val="TOC2"/>
            <w:tabs>
              <w:tab w:val="clear" w:pos="900"/>
              <w:tab w:val="clear" w:pos="9350"/>
              <w:tab w:val="right" w:pos="9025" w:leader="dot"/>
            </w:tabs>
            <w:rPr/>
          </w:pPr>
          <w:hyperlink w:anchor="__RefHeading___Toc107309_4049217194">
            <w:r>
              <w:rPr>
                <w:webHidden/>
                <w:rStyle w:val="IndexLink"/>
              </w:rPr>
              <w:t>6.4 Users</w:t>
              <w:tab/>
              <w:t>26</w:t>
            </w:r>
          </w:hyperlink>
        </w:p>
        <w:p>
          <w:pPr>
            <w:pStyle w:val="TOC2"/>
            <w:tabs>
              <w:tab w:val="clear" w:pos="900"/>
              <w:tab w:val="clear" w:pos="9350"/>
              <w:tab w:val="right" w:pos="9025" w:leader="dot"/>
            </w:tabs>
            <w:rPr/>
          </w:pPr>
          <w:hyperlink w:anchor="__RefHeading___Toc107311_4049217194">
            <w:r>
              <w:rPr>
                <w:webHidden/>
                <w:rStyle w:val="IndexLink"/>
              </w:rPr>
              <w:t>6.5 Company, branches and the letterhead</w:t>
              <w:tab/>
              <w:t>33</w:t>
            </w:r>
          </w:hyperlink>
        </w:p>
        <w:p>
          <w:pPr>
            <w:pStyle w:val="TOC2"/>
            <w:tabs>
              <w:tab w:val="clear" w:pos="900"/>
              <w:tab w:val="clear" w:pos="9350"/>
              <w:tab w:val="right" w:pos="9025" w:leader="dot"/>
            </w:tabs>
            <w:rPr/>
          </w:pPr>
          <w:hyperlink w:anchor="__RefHeading___Toc107313_4049217194">
            <w:r>
              <w:rPr>
                <w:webHidden/>
                <w:rStyle w:val="IndexLink"/>
              </w:rPr>
              <w:t>6.6 Insurers and the other masters</w:t>
              <w:tab/>
              <w:t>34</w:t>
            </w:r>
          </w:hyperlink>
        </w:p>
        <w:p>
          <w:pPr>
            <w:pStyle w:val="TOC2"/>
            <w:tabs>
              <w:tab w:val="clear" w:pos="900"/>
              <w:tab w:val="clear" w:pos="9350"/>
              <w:tab w:val="right" w:pos="9025" w:leader="dot"/>
            </w:tabs>
            <w:rPr/>
          </w:pPr>
          <w:hyperlink w:anchor="__RefHeading___Toc107315_4049217194">
            <w:r>
              <w:rPr>
                <w:webHidden/>
                <w:rStyle w:val="IndexLink"/>
              </w:rPr>
              <w:t>6.7 Document Numbering</w:t>
              <w:tab/>
              <w:t>36</w:t>
            </w:r>
          </w:hyperlink>
        </w:p>
        <w:p>
          <w:pPr>
            <w:pStyle w:val="TOC2"/>
            <w:tabs>
              <w:tab w:val="clear" w:pos="900"/>
              <w:tab w:val="clear" w:pos="9350"/>
              <w:tab w:val="right" w:pos="9025" w:leader="dot"/>
            </w:tabs>
            <w:rPr/>
          </w:pPr>
          <w:hyperlink w:anchor="__RefHeading___Toc107317_4049217194">
            <w:r>
              <w:rPr>
                <w:webHidden/>
                <w:rStyle w:val="IndexLink"/>
              </w:rPr>
              <w:t>6.8 Configuration</w:t>
              <w:tab/>
              <w:t>37</w:t>
            </w:r>
          </w:hyperlink>
        </w:p>
        <w:p>
          <w:pPr>
            <w:pStyle w:val="TOC2"/>
            <w:tabs>
              <w:tab w:val="clear" w:pos="900"/>
              <w:tab w:val="clear" w:pos="9350"/>
              <w:tab w:val="right" w:pos="9025" w:leader="dot"/>
            </w:tabs>
            <w:rPr/>
          </w:pPr>
          <w:hyperlink w:anchor="__RefHeading___Toc107319_4049217194">
            <w:r>
              <w:rPr>
                <w:webHidden/>
                <w:rStyle w:val="IndexLink"/>
              </w:rPr>
              <w:t>6.9 Schedules</w:t>
              <w:tab/>
              <w:t>40</w:t>
            </w:r>
          </w:hyperlink>
        </w:p>
        <w:p>
          <w:pPr>
            <w:pStyle w:val="TOC2"/>
            <w:tabs>
              <w:tab w:val="clear" w:pos="900"/>
              <w:tab w:val="clear" w:pos="9350"/>
              <w:tab w:val="right" w:pos="9025" w:leader="dot"/>
            </w:tabs>
            <w:rPr/>
          </w:pPr>
          <w:hyperlink w:anchor="__RefHeading___Toc107321_4049217194">
            <w:r>
              <w:rPr>
                <w:webHidden/>
                <w:rStyle w:val="IndexLink"/>
              </w:rPr>
              <w:t>6.10 E-mail Outbox</w:t>
              <w:tab/>
              <w:t>41</w:t>
            </w:r>
          </w:hyperlink>
        </w:p>
        <w:p>
          <w:pPr>
            <w:pStyle w:val="TOC2"/>
            <w:tabs>
              <w:tab w:val="clear" w:pos="900"/>
              <w:tab w:val="clear" w:pos="9350"/>
              <w:tab w:val="right" w:pos="9025" w:leader="dot"/>
            </w:tabs>
            <w:rPr/>
          </w:pPr>
          <w:hyperlink w:anchor="__RefHeading___Toc107323_4049217194">
            <w:r>
              <w:rPr>
                <w:webHidden/>
                <w:rStyle w:val="IndexLink"/>
              </w:rPr>
              <w:t>6.11 Audit Trail</w:t>
              <w:tab/>
              <w:t>42</w:t>
            </w:r>
          </w:hyperlink>
        </w:p>
        <w:p>
          <w:pPr>
            <w:pStyle w:val="TOC2"/>
            <w:tabs>
              <w:tab w:val="clear" w:pos="900"/>
              <w:tab w:val="clear" w:pos="9350"/>
              <w:tab w:val="right" w:pos="9025" w:leader="dot"/>
            </w:tabs>
            <w:rPr/>
          </w:pPr>
          <w:hyperlink w:anchor="__RefHeading___Toc107325_4049217194">
            <w:r>
              <w:rPr>
                <w:webHidden/>
                <w:rStyle w:val="IndexLink"/>
              </w:rPr>
              <w:t>6.12 Data privacy</w:t>
              <w:tab/>
              <w:t>42</w:t>
            </w:r>
          </w:hyperlink>
        </w:p>
        <w:p>
          <w:pPr>
            <w:pStyle w:val="TOC2"/>
            <w:tabs>
              <w:tab w:val="clear" w:pos="900"/>
              <w:tab w:val="clear" w:pos="9350"/>
              <w:tab w:val="right" w:pos="9025" w:leader="dot"/>
            </w:tabs>
            <w:rPr/>
          </w:pPr>
          <w:hyperlink w:anchor="__RefHeading___Toc107327_4049217194">
            <w:r>
              <w:rPr>
                <w:webHidden/>
                <w:rStyle w:val="IndexLink"/>
              </w:rPr>
              <w:t>6.13 Finance set-up shared with the Accounting Manager</w:t>
              <w:tab/>
              <w:t>43</w:t>
            </w:r>
          </w:hyperlink>
        </w:p>
        <w:p>
          <w:pPr>
            <w:pStyle w:val="TOC2"/>
            <w:tabs>
              <w:tab w:val="clear" w:pos="900"/>
              <w:tab w:val="clear" w:pos="9350"/>
              <w:tab w:val="right" w:pos="9025" w:leader="dot"/>
            </w:tabs>
            <w:rPr/>
          </w:pPr>
          <w:hyperlink w:anchor="__RefHeading___Toc107329_4049217194">
            <w:r>
              <w:rPr>
                <w:webHidden/>
                <w:rStyle w:val="IndexLink"/>
              </w:rPr>
              <w:t>6.14 Reinsurance treaties and incentive programmes</w:t>
              <w:tab/>
              <w:t>43</w:t>
            </w:r>
          </w:hyperlink>
        </w:p>
        <w:p>
          <w:pPr>
            <w:pStyle w:val="TOC2"/>
            <w:tabs>
              <w:tab w:val="clear" w:pos="900"/>
              <w:tab w:val="clear" w:pos="9350"/>
              <w:tab w:val="right" w:pos="9025" w:leader="dot"/>
            </w:tabs>
            <w:rPr/>
          </w:pPr>
          <w:hyperlink w:anchor="__RefHeading___Toc107331_4049217194">
            <w:r>
              <w:rPr>
                <w:webHidden/>
                <w:rStyle w:val="IndexLink"/>
              </w:rPr>
              <w:t>6.15 Approvals</w:t>
              <w:tab/>
              <w:t>44</w:t>
            </w:r>
          </w:hyperlink>
        </w:p>
        <w:p>
          <w:pPr>
            <w:pStyle w:val="TOC1"/>
            <w:tabs>
              <w:tab w:val="clear" w:pos="900"/>
              <w:tab w:val="clear" w:pos="9350"/>
              <w:tab w:val="right" w:pos="9025" w:leader="dot"/>
            </w:tabs>
            <w:rPr/>
          </w:pPr>
          <w:hyperlink w:anchor="__RefHeading___Toc107333_4049217194">
            <w:r>
              <w:rPr>
                <w:webHidden/>
                <w:rStyle w:val="IndexLink"/>
              </w:rPr>
              <w:t>7. Sales &amp; Marketing (Account Executive)</w:t>
              <w:tab/>
              <w:t>45</w:t>
            </w:r>
          </w:hyperlink>
        </w:p>
        <w:p>
          <w:pPr>
            <w:pStyle w:val="TOC2"/>
            <w:tabs>
              <w:tab w:val="clear" w:pos="900"/>
              <w:tab w:val="clear" w:pos="9350"/>
              <w:tab w:val="right" w:pos="9025" w:leader="dot"/>
            </w:tabs>
            <w:rPr/>
          </w:pPr>
          <w:hyperlink w:anchor="__RefHeading___Toc107335_4049217194">
            <w:r>
              <w:rPr>
                <w:webHidden/>
                <w:rStyle w:val="IndexLink"/>
              </w:rPr>
              <w:t>7.1 Role summary</w:t>
              <w:tab/>
              <w:t>45</w:t>
            </w:r>
          </w:hyperlink>
        </w:p>
        <w:p>
          <w:pPr>
            <w:pStyle w:val="TOC2"/>
            <w:tabs>
              <w:tab w:val="clear" w:pos="900"/>
              <w:tab w:val="clear" w:pos="9350"/>
              <w:tab w:val="right" w:pos="9025" w:leader="dot"/>
            </w:tabs>
            <w:rPr/>
          </w:pPr>
          <w:hyperlink w:anchor="__RefHeading___Toc107337_4049217194">
            <w:r>
              <w:rPr>
                <w:webHidden/>
                <w:rStyle w:val="IndexLink"/>
              </w:rPr>
              <w:t>7.2 Menus available</w:t>
              <w:tab/>
              <w:t>45</w:t>
            </w:r>
          </w:hyperlink>
        </w:p>
        <w:p>
          <w:pPr>
            <w:pStyle w:val="TOC2"/>
            <w:tabs>
              <w:tab w:val="clear" w:pos="900"/>
              <w:tab w:val="clear" w:pos="9350"/>
              <w:tab w:val="right" w:pos="9025" w:leader="dot"/>
            </w:tabs>
            <w:rPr/>
          </w:pPr>
          <w:hyperlink w:anchor="__RefHeading___Toc107339_4049217194">
            <w:r>
              <w:rPr>
                <w:webHidden/>
                <w:rStyle w:val="IndexLink"/>
              </w:rPr>
              <w:t>7.3 Daily and periodic tasks</w:t>
              <w:tab/>
              <w:t>46</w:t>
            </w:r>
          </w:hyperlink>
        </w:p>
        <w:p>
          <w:pPr>
            <w:pStyle w:val="TOC2"/>
            <w:tabs>
              <w:tab w:val="clear" w:pos="900"/>
              <w:tab w:val="clear" w:pos="9350"/>
              <w:tab w:val="right" w:pos="9025" w:leader="dot"/>
            </w:tabs>
            <w:rPr/>
          </w:pPr>
          <w:hyperlink w:anchor="__RefHeading___Toc107341_4049217194">
            <w:r>
              <w:rPr>
                <w:webHidden/>
                <w:rStyle w:val="IndexLink"/>
              </w:rPr>
              <w:t>7.4 Sales Dashboard</w:t>
              <w:tab/>
              <w:t>46</w:t>
            </w:r>
          </w:hyperlink>
        </w:p>
        <w:p>
          <w:pPr>
            <w:pStyle w:val="TOC2"/>
            <w:tabs>
              <w:tab w:val="clear" w:pos="900"/>
              <w:tab w:val="clear" w:pos="9350"/>
              <w:tab w:val="right" w:pos="9025" w:leader="dot"/>
            </w:tabs>
            <w:rPr/>
          </w:pPr>
          <w:hyperlink w:anchor="__RefHeading___Toc107343_4049217194">
            <w:r>
              <w:rPr>
                <w:webHidden/>
                <w:rStyle w:val="IndexLink"/>
              </w:rPr>
              <w:t>7.5 Prospects</w:t>
              <w:tab/>
              <w:t>47</w:t>
            </w:r>
          </w:hyperlink>
        </w:p>
        <w:p>
          <w:pPr>
            <w:pStyle w:val="TOC2"/>
            <w:tabs>
              <w:tab w:val="clear" w:pos="900"/>
              <w:tab w:val="clear" w:pos="9350"/>
              <w:tab w:val="right" w:pos="9025" w:leader="dot"/>
            </w:tabs>
            <w:rPr/>
          </w:pPr>
          <w:hyperlink w:anchor="__RefHeading___Toc107345_4049217194">
            <w:r>
              <w:rPr>
                <w:webHidden/>
                <w:rStyle w:val="IndexLink"/>
              </w:rPr>
              <w:t>7.6 Quick Quote and Compare Insurers</w:t>
              <w:tab/>
              <w:t>53</w:t>
            </w:r>
          </w:hyperlink>
        </w:p>
        <w:p>
          <w:pPr>
            <w:pStyle w:val="TOC2"/>
            <w:tabs>
              <w:tab w:val="clear" w:pos="900"/>
              <w:tab w:val="clear" w:pos="9350"/>
              <w:tab w:val="right" w:pos="9025" w:leader="dot"/>
            </w:tabs>
            <w:rPr/>
          </w:pPr>
          <w:hyperlink w:anchor="__RefHeading___Toc107347_4049217194">
            <w:r>
              <w:rPr>
                <w:webHidden/>
                <w:rStyle w:val="IndexLink"/>
              </w:rPr>
              <w:t>7.7 Create a motor quotation</w:t>
              <w:tab/>
              <w:t>54</w:t>
            </w:r>
          </w:hyperlink>
        </w:p>
        <w:p>
          <w:pPr>
            <w:pStyle w:val="TOC2"/>
            <w:tabs>
              <w:tab w:val="clear" w:pos="900"/>
              <w:tab w:val="clear" w:pos="9350"/>
              <w:tab w:val="right" w:pos="9025" w:leader="dot"/>
            </w:tabs>
            <w:rPr/>
          </w:pPr>
          <w:hyperlink w:anchor="__RefHeading___Toc107349_4049217194">
            <w:r>
              <w:rPr>
                <w:webHidden/>
                <w:rStyle w:val="IndexLink"/>
              </w:rPr>
              <w:t>7.8 Quotations</w:t>
              <w:tab/>
              <w:t>57</w:t>
            </w:r>
          </w:hyperlink>
        </w:p>
        <w:p>
          <w:pPr>
            <w:pStyle w:val="TOC2"/>
            <w:tabs>
              <w:tab w:val="clear" w:pos="900"/>
              <w:tab w:val="clear" w:pos="9350"/>
              <w:tab w:val="right" w:pos="9025" w:leader="dot"/>
            </w:tabs>
            <w:rPr/>
          </w:pPr>
          <w:hyperlink w:anchor="__RefHeading___Toc107351_4049217194">
            <w:r>
              <w:rPr>
                <w:webHidden/>
                <w:rStyle w:val="IndexLink"/>
              </w:rPr>
              <w:t>7.9 Request a quotation from the market</w:t>
              <w:tab/>
              <w:t>60</w:t>
            </w:r>
          </w:hyperlink>
        </w:p>
        <w:p>
          <w:pPr>
            <w:pStyle w:val="TOC2"/>
            <w:tabs>
              <w:tab w:val="clear" w:pos="900"/>
              <w:tab w:val="clear" w:pos="9350"/>
              <w:tab w:val="right" w:pos="9025" w:leader="dot"/>
            </w:tabs>
            <w:rPr/>
          </w:pPr>
          <w:hyperlink w:anchor="__RefHeading___Toc107353_4049217194">
            <w:r>
              <w:rPr>
                <w:webHidden/>
                <w:rStyle w:val="IndexLink"/>
              </w:rPr>
              <w:t>7.10 Record the client's payment</w:t>
              <w:tab/>
              <w:t>61</w:t>
            </w:r>
          </w:hyperlink>
        </w:p>
        <w:p>
          <w:pPr>
            <w:pStyle w:val="TOC2"/>
            <w:tabs>
              <w:tab w:val="clear" w:pos="900"/>
              <w:tab w:val="clear" w:pos="9350"/>
              <w:tab w:val="right" w:pos="9025" w:leader="dot"/>
            </w:tabs>
            <w:rPr/>
          </w:pPr>
          <w:hyperlink w:anchor="__RefHeading___Toc107355_4049217194">
            <w:r>
              <w:rPr>
                <w:webHidden/>
                <w:rStyle w:val="IndexLink"/>
              </w:rPr>
              <w:t>7.11 Policies</w:t>
              <w:tab/>
              <w:t>62</w:t>
            </w:r>
          </w:hyperlink>
        </w:p>
        <w:p>
          <w:pPr>
            <w:pStyle w:val="TOC2"/>
            <w:tabs>
              <w:tab w:val="clear" w:pos="900"/>
              <w:tab w:val="clear" w:pos="9350"/>
              <w:tab w:val="right" w:pos="9025" w:leader="dot"/>
            </w:tabs>
            <w:rPr/>
          </w:pPr>
          <w:hyperlink w:anchor="__RefHeading___Toc107357_4049217194">
            <w:r>
              <w:rPr>
                <w:webHidden/>
                <w:rStyle w:val="IndexLink"/>
              </w:rPr>
              <w:t>7.12 Renewals, open items, payments and clients</w:t>
              <w:tab/>
              <w:t>65</w:t>
            </w:r>
          </w:hyperlink>
        </w:p>
        <w:p>
          <w:pPr>
            <w:pStyle w:val="TOC2"/>
            <w:tabs>
              <w:tab w:val="clear" w:pos="900"/>
              <w:tab w:val="clear" w:pos="9350"/>
              <w:tab w:val="right" w:pos="9025" w:leader="dot"/>
            </w:tabs>
            <w:rPr/>
          </w:pPr>
          <w:hyperlink w:anchor="__RefHeading___Toc107359_4049217194">
            <w:r>
              <w:rPr>
                <w:webHidden/>
                <w:rStyle w:val="IndexLink"/>
              </w:rPr>
              <w:t>7.13 Commission and reports</w:t>
              <w:tab/>
              <w:t>65</w:t>
            </w:r>
          </w:hyperlink>
        </w:p>
        <w:p>
          <w:pPr>
            <w:pStyle w:val="TOC2"/>
            <w:tabs>
              <w:tab w:val="clear" w:pos="900"/>
              <w:tab w:val="clear" w:pos="9350"/>
              <w:tab w:val="right" w:pos="9025" w:leader="dot"/>
            </w:tabs>
            <w:rPr/>
          </w:pPr>
          <w:hyperlink w:anchor="__RefHeading___Toc107361_4049217194">
            <w:r>
              <w:rPr>
                <w:webHidden/>
                <w:rStyle w:val="IndexLink"/>
              </w:rPr>
              <w:t>7.14 Approvals</w:t>
              <w:tab/>
              <w:t>66</w:t>
            </w:r>
          </w:hyperlink>
        </w:p>
        <w:p>
          <w:pPr>
            <w:pStyle w:val="TOC1"/>
            <w:tabs>
              <w:tab w:val="clear" w:pos="900"/>
              <w:tab w:val="clear" w:pos="9350"/>
              <w:tab w:val="right" w:pos="9025" w:leader="dot"/>
            </w:tabs>
            <w:rPr/>
          </w:pPr>
          <w:hyperlink w:anchor="__RefHeading___Toc107363_4049217194">
            <w:r>
              <w:rPr>
                <w:webHidden/>
                <w:rStyle w:val="IndexLink"/>
              </w:rPr>
              <w:t>8. Processing Team</w:t>
              <w:tab/>
              <w:t>67</w:t>
            </w:r>
          </w:hyperlink>
        </w:p>
        <w:p>
          <w:pPr>
            <w:pStyle w:val="TOC2"/>
            <w:tabs>
              <w:tab w:val="clear" w:pos="900"/>
              <w:tab w:val="clear" w:pos="9350"/>
              <w:tab w:val="right" w:pos="9025" w:leader="dot"/>
            </w:tabs>
            <w:rPr/>
          </w:pPr>
          <w:hyperlink w:anchor="__RefHeading___Toc107365_4049217194">
            <w:r>
              <w:rPr>
                <w:webHidden/>
                <w:rStyle w:val="IndexLink"/>
              </w:rPr>
              <w:t>8.1 Role summary</w:t>
              <w:tab/>
              <w:t>67</w:t>
            </w:r>
          </w:hyperlink>
        </w:p>
        <w:p>
          <w:pPr>
            <w:pStyle w:val="TOC2"/>
            <w:tabs>
              <w:tab w:val="clear" w:pos="900"/>
              <w:tab w:val="clear" w:pos="9350"/>
              <w:tab w:val="right" w:pos="9025" w:leader="dot"/>
            </w:tabs>
            <w:rPr/>
          </w:pPr>
          <w:hyperlink w:anchor="__RefHeading___Toc107367_4049217194">
            <w:r>
              <w:rPr>
                <w:webHidden/>
                <w:rStyle w:val="IndexLink"/>
              </w:rPr>
              <w:t>8.2 Menus available</w:t>
              <w:tab/>
              <w:t>67</w:t>
            </w:r>
          </w:hyperlink>
        </w:p>
        <w:p>
          <w:pPr>
            <w:pStyle w:val="TOC2"/>
            <w:tabs>
              <w:tab w:val="clear" w:pos="900"/>
              <w:tab w:val="clear" w:pos="9350"/>
              <w:tab w:val="right" w:pos="9025" w:leader="dot"/>
            </w:tabs>
            <w:rPr/>
          </w:pPr>
          <w:hyperlink w:anchor="__RefHeading___Toc107369_4049217194">
            <w:r>
              <w:rPr>
                <w:webHidden/>
                <w:rStyle w:val="IndexLink"/>
              </w:rPr>
              <w:t>8.3 Daily and periodic tasks</w:t>
              <w:tab/>
              <w:t>68</w:t>
            </w:r>
          </w:hyperlink>
        </w:p>
        <w:p>
          <w:pPr>
            <w:pStyle w:val="TOC2"/>
            <w:tabs>
              <w:tab w:val="clear" w:pos="900"/>
              <w:tab w:val="clear" w:pos="9350"/>
              <w:tab w:val="right" w:pos="9025" w:leader="dot"/>
            </w:tabs>
            <w:rPr/>
          </w:pPr>
          <w:hyperlink w:anchor="__RefHeading___Toc107371_4049217194">
            <w:r>
              <w:rPr>
                <w:webHidden/>
                <w:rStyle w:val="IndexLink"/>
              </w:rPr>
              <w:t>8.4 Processing Dashboard</w:t>
              <w:tab/>
              <w:t>68</w:t>
            </w:r>
          </w:hyperlink>
        </w:p>
        <w:p>
          <w:pPr>
            <w:pStyle w:val="TOC2"/>
            <w:tabs>
              <w:tab w:val="clear" w:pos="900"/>
              <w:tab w:val="clear" w:pos="9350"/>
              <w:tab w:val="right" w:pos="9025" w:leader="dot"/>
            </w:tabs>
            <w:rPr/>
          </w:pPr>
          <w:hyperlink w:anchor="__RefHeading___Toc107373_4049217194">
            <w:r>
              <w:rPr>
                <w:webHidden/>
                <w:rStyle w:val="IndexLink"/>
              </w:rPr>
              <w:t>8.5 Requests for quotation (broker slips)</w:t>
              <w:tab/>
              <w:t>69</w:t>
            </w:r>
          </w:hyperlink>
        </w:p>
        <w:p>
          <w:pPr>
            <w:pStyle w:val="TOC2"/>
            <w:tabs>
              <w:tab w:val="clear" w:pos="900"/>
              <w:tab w:val="clear" w:pos="9350"/>
              <w:tab w:val="right" w:pos="9025" w:leader="dot"/>
            </w:tabs>
            <w:rPr/>
          </w:pPr>
          <w:hyperlink w:anchor="__RefHeading___Toc107375_4049217194">
            <w:r>
              <w:rPr>
                <w:webHidden/>
                <w:rStyle w:val="IndexLink"/>
              </w:rPr>
              <w:t>8.6 Quotation Slips</w:t>
              <w:tab/>
              <w:t>73</w:t>
            </w:r>
          </w:hyperlink>
        </w:p>
        <w:p>
          <w:pPr>
            <w:pStyle w:val="TOC2"/>
            <w:tabs>
              <w:tab w:val="clear" w:pos="900"/>
              <w:tab w:val="clear" w:pos="9350"/>
              <w:tab w:val="right" w:pos="9025" w:leader="dot"/>
            </w:tabs>
            <w:rPr/>
          </w:pPr>
          <w:hyperlink w:anchor="__RefHeading___Toc107377_4049217194">
            <w:r>
              <w:rPr>
                <w:webHidden/>
                <w:rStyle w:val="IndexLink"/>
              </w:rPr>
              <w:t>8.7 Placement Slips</w:t>
              <w:tab/>
              <w:t>75</w:t>
            </w:r>
          </w:hyperlink>
        </w:p>
        <w:p>
          <w:pPr>
            <w:pStyle w:val="TOC2"/>
            <w:tabs>
              <w:tab w:val="clear" w:pos="900"/>
              <w:tab w:val="clear" w:pos="9350"/>
              <w:tab w:val="right" w:pos="9025" w:leader="dot"/>
            </w:tabs>
            <w:rPr/>
          </w:pPr>
          <w:hyperlink w:anchor="__RefHeading___Toc107379_4049217194">
            <w:r>
              <w:rPr>
                <w:webHidden/>
                <w:rStyle w:val="IndexLink"/>
              </w:rPr>
              <w:t>8.8 Record Issued Policy</w:t>
              <w:tab/>
              <w:t>78</w:t>
            </w:r>
          </w:hyperlink>
        </w:p>
        <w:p>
          <w:pPr>
            <w:pStyle w:val="TOC2"/>
            <w:tabs>
              <w:tab w:val="clear" w:pos="900"/>
              <w:tab w:val="clear" w:pos="9350"/>
              <w:tab w:val="right" w:pos="9025" w:leader="dot"/>
            </w:tabs>
            <w:rPr/>
          </w:pPr>
          <w:hyperlink w:anchor="__RefHeading___Toc107381_4049217194">
            <w:r>
              <w:rPr>
                <w:webHidden/>
                <w:rStyle w:val="IndexLink"/>
              </w:rPr>
              <w:t>8.9 Co-insured policies and premium accounting entries</w:t>
              <w:tab/>
              <w:t>80</w:t>
            </w:r>
          </w:hyperlink>
        </w:p>
        <w:p>
          <w:pPr>
            <w:pStyle w:val="TOC2"/>
            <w:tabs>
              <w:tab w:val="clear" w:pos="900"/>
              <w:tab w:val="clear" w:pos="9350"/>
              <w:tab w:val="right" w:pos="9025" w:leader="dot"/>
            </w:tabs>
            <w:rPr/>
          </w:pPr>
          <w:hyperlink w:anchor="__RefHeading___Toc107383_4049217194">
            <w:r>
              <w:rPr>
                <w:webHidden/>
                <w:rStyle w:val="IndexLink"/>
              </w:rPr>
              <w:t>8.10 Complete an endorsement</w:t>
              <w:tab/>
              <w:t>81</w:t>
            </w:r>
          </w:hyperlink>
        </w:p>
        <w:p>
          <w:pPr>
            <w:pStyle w:val="TOC2"/>
            <w:tabs>
              <w:tab w:val="clear" w:pos="900"/>
              <w:tab w:val="clear" w:pos="9350"/>
              <w:tab w:val="right" w:pos="9025" w:leader="dot"/>
            </w:tabs>
            <w:rPr/>
          </w:pPr>
          <w:hyperlink w:anchor="__RefHeading___Toc107385_4049217194">
            <w:r>
              <w:rPr>
                <w:webHidden/>
                <w:rStyle w:val="IndexLink"/>
              </w:rPr>
              <w:t>8.11 Approve renewal terms</w:t>
              <w:tab/>
              <w:t>81</w:t>
            </w:r>
          </w:hyperlink>
        </w:p>
        <w:p>
          <w:pPr>
            <w:pStyle w:val="TOC2"/>
            <w:tabs>
              <w:tab w:val="clear" w:pos="900"/>
              <w:tab w:val="clear" w:pos="9350"/>
              <w:tab w:val="right" w:pos="9025" w:leader="dot"/>
            </w:tabs>
            <w:rPr/>
          </w:pPr>
          <w:hyperlink w:anchor="__RefHeading___Toc107387_4049217194">
            <w:r>
              <w:rPr>
                <w:webHidden/>
                <w:rStyle w:val="IndexLink"/>
              </w:rPr>
              <w:t>8.12 Product Configurator</w:t>
              <w:tab/>
              <w:t>82</w:t>
            </w:r>
          </w:hyperlink>
        </w:p>
        <w:p>
          <w:pPr>
            <w:pStyle w:val="TOC2"/>
            <w:tabs>
              <w:tab w:val="clear" w:pos="900"/>
              <w:tab w:val="clear" w:pos="9350"/>
              <w:tab w:val="right" w:pos="9025" w:leader="dot"/>
            </w:tabs>
            <w:rPr/>
          </w:pPr>
          <w:hyperlink w:anchor="__RefHeading___Toc107389_4049217194">
            <w:r>
              <w:rPr>
                <w:webHidden/>
                <w:rStyle w:val="IndexLink"/>
              </w:rPr>
              <w:t>8.13 Reinsurance</w:t>
              <w:tab/>
              <w:t>83</w:t>
            </w:r>
          </w:hyperlink>
        </w:p>
        <w:p>
          <w:pPr>
            <w:pStyle w:val="TOC2"/>
            <w:tabs>
              <w:tab w:val="clear" w:pos="900"/>
              <w:tab w:val="clear" w:pos="9350"/>
              <w:tab w:val="right" w:pos="9025" w:leader="dot"/>
            </w:tabs>
            <w:rPr/>
          </w:pPr>
          <w:hyperlink w:anchor="__RefHeading___Toc107391_4049217194">
            <w:r>
              <w:rPr>
                <w:webHidden/>
                <w:rStyle w:val="IndexLink"/>
              </w:rPr>
              <w:t>8.14 Approvals</w:t>
              <w:tab/>
              <w:t>83</w:t>
            </w:r>
          </w:hyperlink>
        </w:p>
        <w:p>
          <w:pPr>
            <w:pStyle w:val="TOC1"/>
            <w:tabs>
              <w:tab w:val="clear" w:pos="900"/>
              <w:tab w:val="clear" w:pos="9350"/>
              <w:tab w:val="right" w:pos="9025" w:leader="dot"/>
            </w:tabs>
            <w:rPr/>
          </w:pPr>
          <w:hyperlink w:anchor="__RefHeading___Toc107393_4049217194">
            <w:r>
              <w:rPr>
                <w:webHidden/>
                <w:rStyle w:val="IndexLink"/>
              </w:rPr>
              <w:t>9. Operations (client servicing)</w:t>
              <w:tab/>
              <w:t>85</w:t>
            </w:r>
          </w:hyperlink>
        </w:p>
        <w:p>
          <w:pPr>
            <w:pStyle w:val="TOC2"/>
            <w:tabs>
              <w:tab w:val="clear" w:pos="900"/>
              <w:tab w:val="clear" w:pos="9350"/>
              <w:tab w:val="right" w:pos="9025" w:leader="dot"/>
            </w:tabs>
            <w:rPr/>
          </w:pPr>
          <w:hyperlink w:anchor="__RefHeading___Toc107395_4049217194">
            <w:r>
              <w:rPr>
                <w:webHidden/>
                <w:rStyle w:val="IndexLink"/>
              </w:rPr>
              <w:t>9.1 Role summary</w:t>
              <w:tab/>
              <w:t>85</w:t>
            </w:r>
          </w:hyperlink>
        </w:p>
        <w:p>
          <w:pPr>
            <w:pStyle w:val="TOC2"/>
            <w:tabs>
              <w:tab w:val="clear" w:pos="900"/>
              <w:tab w:val="clear" w:pos="9350"/>
              <w:tab w:val="right" w:pos="9025" w:leader="dot"/>
            </w:tabs>
            <w:rPr/>
          </w:pPr>
          <w:hyperlink w:anchor="__RefHeading___Toc107397_4049217194">
            <w:r>
              <w:rPr>
                <w:webHidden/>
                <w:rStyle w:val="IndexLink"/>
              </w:rPr>
              <w:t>9.2 Menus available</w:t>
              <w:tab/>
              <w:t>85</w:t>
            </w:r>
          </w:hyperlink>
        </w:p>
        <w:p>
          <w:pPr>
            <w:pStyle w:val="TOC2"/>
            <w:tabs>
              <w:tab w:val="clear" w:pos="900"/>
              <w:tab w:val="clear" w:pos="9350"/>
              <w:tab w:val="right" w:pos="9025" w:leader="dot"/>
            </w:tabs>
            <w:rPr/>
          </w:pPr>
          <w:hyperlink w:anchor="__RefHeading___Toc107399_4049217194">
            <w:r>
              <w:rPr>
                <w:webHidden/>
                <w:rStyle w:val="IndexLink"/>
              </w:rPr>
              <w:t>9.3 Daily and periodic tasks</w:t>
              <w:tab/>
              <w:t>85</w:t>
            </w:r>
          </w:hyperlink>
        </w:p>
        <w:p>
          <w:pPr>
            <w:pStyle w:val="TOC2"/>
            <w:tabs>
              <w:tab w:val="clear" w:pos="900"/>
              <w:tab w:val="clear" w:pos="9350"/>
              <w:tab w:val="right" w:pos="9025" w:leader="dot"/>
            </w:tabs>
            <w:rPr/>
          </w:pPr>
          <w:hyperlink w:anchor="__RefHeading___Toc107401_4049217194">
            <w:r>
              <w:rPr>
                <w:webHidden/>
                <w:rStyle w:val="IndexLink"/>
              </w:rPr>
              <w:t>9.4 Home and Open Items</w:t>
              <w:tab/>
              <w:t>86</w:t>
            </w:r>
          </w:hyperlink>
        </w:p>
        <w:p>
          <w:pPr>
            <w:pStyle w:val="TOC2"/>
            <w:tabs>
              <w:tab w:val="clear" w:pos="900"/>
              <w:tab w:val="clear" w:pos="9350"/>
              <w:tab w:val="right" w:pos="9025" w:leader="dot"/>
            </w:tabs>
            <w:rPr/>
          </w:pPr>
          <w:hyperlink w:anchor="__RefHeading___Toc107403_4049217194">
            <w:r>
              <w:rPr>
                <w:webHidden/>
                <w:rStyle w:val="IndexLink"/>
              </w:rPr>
              <w:t>9.5 Clients</w:t>
              <w:tab/>
              <w:t>86</w:t>
            </w:r>
          </w:hyperlink>
        </w:p>
        <w:p>
          <w:pPr>
            <w:pStyle w:val="TOC2"/>
            <w:tabs>
              <w:tab w:val="clear" w:pos="900"/>
              <w:tab w:val="clear" w:pos="9350"/>
              <w:tab w:val="right" w:pos="9025" w:leader="dot"/>
            </w:tabs>
            <w:rPr/>
          </w:pPr>
          <w:hyperlink w:anchor="__RefHeading___Toc107405_4049217194">
            <w:r>
              <w:rPr>
                <w:webHidden/>
                <w:rStyle w:val="IndexLink"/>
              </w:rPr>
              <w:t>9.6 Raise an endorsement request</w:t>
              <w:tab/>
              <w:t>87</w:t>
            </w:r>
          </w:hyperlink>
        </w:p>
        <w:p>
          <w:pPr>
            <w:pStyle w:val="TOC2"/>
            <w:tabs>
              <w:tab w:val="clear" w:pos="900"/>
              <w:tab w:val="clear" w:pos="9350"/>
              <w:tab w:val="right" w:pos="9025" w:leader="dot"/>
            </w:tabs>
            <w:rPr/>
          </w:pPr>
          <w:hyperlink w:anchor="__RefHeading___Toc107407_4049217194">
            <w:r>
              <w:rPr>
                <w:webHidden/>
                <w:rStyle w:val="IndexLink"/>
              </w:rPr>
              <w:t>9.7 Record the client's payment</w:t>
              <w:tab/>
              <w:t>91</w:t>
            </w:r>
          </w:hyperlink>
        </w:p>
        <w:p>
          <w:pPr>
            <w:pStyle w:val="TOC2"/>
            <w:tabs>
              <w:tab w:val="clear" w:pos="900"/>
              <w:tab w:val="clear" w:pos="9350"/>
              <w:tab w:val="right" w:pos="9025" w:leader="dot"/>
            </w:tabs>
            <w:rPr/>
          </w:pPr>
          <w:hyperlink w:anchor="__RefHeading___Toc107409_4049217194">
            <w:r>
              <w:rPr>
                <w:webHidden/>
                <w:rStyle w:val="IndexLink"/>
              </w:rPr>
              <w:t>9.8 Payments</w:t>
              <w:tab/>
              <w:t>91</w:t>
            </w:r>
          </w:hyperlink>
        </w:p>
        <w:p>
          <w:pPr>
            <w:pStyle w:val="TOC2"/>
            <w:tabs>
              <w:tab w:val="clear" w:pos="900"/>
              <w:tab w:val="clear" w:pos="9350"/>
              <w:tab w:val="right" w:pos="9025" w:leader="dot"/>
            </w:tabs>
            <w:rPr/>
          </w:pPr>
          <w:hyperlink w:anchor="__RefHeading___Toc107411_4049217194">
            <w:r>
              <w:rPr>
                <w:webHidden/>
                <w:rStyle w:val="IndexLink"/>
              </w:rPr>
              <w:t>9.9 Renewals</w:t>
              <w:tab/>
              <w:t>92</w:t>
            </w:r>
          </w:hyperlink>
        </w:p>
        <w:p>
          <w:pPr>
            <w:pStyle w:val="TOC2"/>
            <w:tabs>
              <w:tab w:val="clear" w:pos="900"/>
              <w:tab w:val="clear" w:pos="9350"/>
              <w:tab w:val="right" w:pos="9025" w:leader="dot"/>
            </w:tabs>
            <w:rPr/>
          </w:pPr>
          <w:hyperlink w:anchor="__RefHeading___Toc107413_4049217194">
            <w:r>
              <w:rPr>
                <w:webHidden/>
                <w:rStyle w:val="IndexLink"/>
              </w:rPr>
              <w:t>9.10 Approvals</w:t>
              <w:tab/>
              <w:t>97</w:t>
            </w:r>
          </w:hyperlink>
        </w:p>
        <w:p>
          <w:pPr>
            <w:pStyle w:val="TOC1"/>
            <w:tabs>
              <w:tab w:val="clear" w:pos="900"/>
              <w:tab w:val="clear" w:pos="9350"/>
              <w:tab w:val="right" w:pos="9025" w:leader="dot"/>
            </w:tabs>
            <w:rPr/>
          </w:pPr>
          <w:hyperlink w:anchor="__RefHeading___Toc107415_4049217194">
            <w:r>
              <w:rPr>
                <w:webHidden/>
                <w:rStyle w:val="IndexLink"/>
              </w:rPr>
              <w:t>10. Claims</w:t>
              <w:tab/>
              <w:t>98</w:t>
            </w:r>
          </w:hyperlink>
        </w:p>
        <w:p>
          <w:pPr>
            <w:pStyle w:val="TOC2"/>
            <w:tabs>
              <w:tab w:val="clear" w:pos="900"/>
              <w:tab w:val="clear" w:pos="9350"/>
              <w:tab w:val="right" w:pos="9025" w:leader="dot"/>
            </w:tabs>
            <w:rPr/>
          </w:pPr>
          <w:hyperlink w:anchor="__RefHeading___Toc107417_4049217194">
            <w:r>
              <w:rPr>
                <w:webHidden/>
                <w:rStyle w:val="IndexLink"/>
              </w:rPr>
              <w:t>10.1 Role summary</w:t>
              <w:tab/>
              <w:t>98</w:t>
            </w:r>
          </w:hyperlink>
        </w:p>
        <w:p>
          <w:pPr>
            <w:pStyle w:val="TOC2"/>
            <w:tabs>
              <w:tab w:val="clear" w:pos="900"/>
              <w:tab w:val="clear" w:pos="9350"/>
              <w:tab w:val="right" w:pos="9025" w:leader="dot"/>
            </w:tabs>
            <w:rPr/>
          </w:pPr>
          <w:hyperlink w:anchor="__RefHeading___Toc107419_4049217194">
            <w:r>
              <w:rPr>
                <w:webHidden/>
                <w:rStyle w:val="IndexLink"/>
              </w:rPr>
              <w:t>10.2 Menus available</w:t>
              <w:tab/>
              <w:t>98</w:t>
            </w:r>
          </w:hyperlink>
        </w:p>
        <w:p>
          <w:pPr>
            <w:pStyle w:val="TOC2"/>
            <w:tabs>
              <w:tab w:val="clear" w:pos="900"/>
              <w:tab w:val="clear" w:pos="9350"/>
              <w:tab w:val="right" w:pos="9025" w:leader="dot"/>
            </w:tabs>
            <w:rPr/>
          </w:pPr>
          <w:hyperlink w:anchor="__RefHeading___Toc107421_4049217194">
            <w:r>
              <w:rPr>
                <w:webHidden/>
                <w:rStyle w:val="IndexLink"/>
              </w:rPr>
              <w:t>10.3 Daily and periodic tasks</w:t>
              <w:tab/>
              <w:t>98</w:t>
            </w:r>
          </w:hyperlink>
        </w:p>
        <w:p>
          <w:pPr>
            <w:pStyle w:val="TOC2"/>
            <w:tabs>
              <w:tab w:val="clear" w:pos="900"/>
              <w:tab w:val="clear" w:pos="9350"/>
              <w:tab w:val="right" w:pos="9025" w:leader="dot"/>
            </w:tabs>
            <w:rPr/>
          </w:pPr>
          <w:hyperlink w:anchor="__RefHeading___Toc107423_4049217194">
            <w:r>
              <w:rPr>
                <w:webHidden/>
                <w:rStyle w:val="IndexLink"/>
              </w:rPr>
              <w:t>10.4 Claims Dashboard</w:t>
              <w:tab/>
              <w:t>99</w:t>
            </w:r>
          </w:hyperlink>
        </w:p>
        <w:p>
          <w:pPr>
            <w:pStyle w:val="TOC2"/>
            <w:tabs>
              <w:tab w:val="clear" w:pos="900"/>
              <w:tab w:val="clear" w:pos="9350"/>
              <w:tab w:val="right" w:pos="9025" w:leader="dot"/>
            </w:tabs>
            <w:rPr/>
          </w:pPr>
          <w:hyperlink w:anchor="__RefHeading___Toc107425_4049217194">
            <w:r>
              <w:rPr>
                <w:webHidden/>
                <w:rStyle w:val="IndexLink"/>
              </w:rPr>
              <w:t>10.5 The claims list</w:t>
              <w:tab/>
              <w:t>99</w:t>
            </w:r>
          </w:hyperlink>
        </w:p>
        <w:p>
          <w:pPr>
            <w:pStyle w:val="TOC2"/>
            <w:tabs>
              <w:tab w:val="clear" w:pos="900"/>
              <w:tab w:val="clear" w:pos="9350"/>
              <w:tab w:val="right" w:pos="9025" w:leader="dot"/>
            </w:tabs>
            <w:rPr/>
          </w:pPr>
          <w:hyperlink w:anchor="__RefHeading___Toc107427_4049217194">
            <w:r>
              <w:rPr>
                <w:webHidden/>
                <w:rStyle w:val="IndexLink"/>
              </w:rPr>
              <w:t>10.6 Register a claim</w:t>
              <w:tab/>
              <w:t>100</w:t>
            </w:r>
          </w:hyperlink>
        </w:p>
        <w:p>
          <w:pPr>
            <w:pStyle w:val="TOC2"/>
            <w:tabs>
              <w:tab w:val="clear" w:pos="900"/>
              <w:tab w:val="clear" w:pos="9350"/>
              <w:tab w:val="right" w:pos="9025" w:leader="dot"/>
            </w:tabs>
            <w:rPr/>
          </w:pPr>
          <w:hyperlink w:anchor="__RefHeading___Toc107429_4049217194">
            <w:r>
              <w:rPr>
                <w:webHidden/>
                <w:rStyle w:val="IndexLink"/>
              </w:rPr>
              <w:t>10.7 Adjuster report</w:t>
              <w:tab/>
              <w:t>103</w:t>
            </w:r>
          </w:hyperlink>
        </w:p>
        <w:p>
          <w:pPr>
            <w:pStyle w:val="TOC2"/>
            <w:tabs>
              <w:tab w:val="clear" w:pos="900"/>
              <w:tab w:val="clear" w:pos="9350"/>
              <w:tab w:val="right" w:pos="9025" w:leader="dot"/>
            </w:tabs>
            <w:rPr/>
          </w:pPr>
          <w:hyperlink w:anchor="__RefHeading___Toc107431_4049217194">
            <w:r>
              <w:rPr>
                <w:webHidden/>
                <w:rStyle w:val="IndexLink"/>
              </w:rPr>
              <w:t>10.8 Assessment and settlement (maker)</w:t>
              <w:tab/>
              <w:t>104</w:t>
            </w:r>
          </w:hyperlink>
        </w:p>
        <w:p>
          <w:pPr>
            <w:pStyle w:val="TOC2"/>
            <w:tabs>
              <w:tab w:val="clear" w:pos="900"/>
              <w:tab w:val="clear" w:pos="9350"/>
              <w:tab w:val="right" w:pos="9025" w:leader="dot"/>
            </w:tabs>
            <w:rPr/>
          </w:pPr>
          <w:hyperlink w:anchor="__RefHeading___Toc107433_4049217194">
            <w:r>
              <w:rPr>
                <w:webHidden/>
                <w:rStyle w:val="IndexLink"/>
              </w:rPr>
              <w:t>10.9 Approve a settlement (checker)</w:t>
              <w:tab/>
              <w:t>105</w:t>
            </w:r>
          </w:hyperlink>
        </w:p>
        <w:p>
          <w:pPr>
            <w:pStyle w:val="TOC2"/>
            <w:tabs>
              <w:tab w:val="clear" w:pos="900"/>
              <w:tab w:val="clear" w:pos="9350"/>
              <w:tab w:val="right" w:pos="9025" w:leader="dot"/>
            </w:tabs>
            <w:rPr/>
          </w:pPr>
          <w:hyperlink w:anchor="__RefHeading___Toc107435_4049217194">
            <w:r>
              <w:rPr>
                <w:webHidden/>
                <w:rStyle w:val="IndexLink"/>
              </w:rPr>
              <w:t>10.10 Claim details, documents and audit trail</w:t>
              <w:tab/>
              <w:t>105</w:t>
            </w:r>
          </w:hyperlink>
        </w:p>
        <w:p>
          <w:pPr>
            <w:pStyle w:val="TOC2"/>
            <w:tabs>
              <w:tab w:val="clear" w:pos="900"/>
              <w:tab w:val="clear" w:pos="9350"/>
              <w:tab w:val="right" w:pos="9025" w:leader="dot"/>
            </w:tabs>
            <w:rPr/>
          </w:pPr>
          <w:hyperlink w:anchor="__RefHeading___Toc107437_4049217194">
            <w:r>
              <w:rPr>
                <w:webHidden/>
                <w:rStyle w:val="IndexLink"/>
              </w:rPr>
              <w:t>10.11 Reinsurance recoveries</w:t>
              <w:tab/>
              <w:t>106</w:t>
            </w:r>
          </w:hyperlink>
        </w:p>
        <w:p>
          <w:pPr>
            <w:pStyle w:val="TOC2"/>
            <w:tabs>
              <w:tab w:val="clear" w:pos="900"/>
              <w:tab w:val="clear" w:pos="9350"/>
              <w:tab w:val="right" w:pos="9025" w:leader="dot"/>
            </w:tabs>
            <w:rPr/>
          </w:pPr>
          <w:hyperlink w:anchor="__RefHeading___Toc107439_4049217194">
            <w:r>
              <w:rPr>
                <w:webHidden/>
                <w:rStyle w:val="IndexLink"/>
              </w:rPr>
              <w:t>10.12 Approvals</w:t>
              <w:tab/>
              <w:t>107</w:t>
            </w:r>
          </w:hyperlink>
        </w:p>
        <w:p>
          <w:pPr>
            <w:pStyle w:val="TOC1"/>
            <w:tabs>
              <w:tab w:val="clear" w:pos="900"/>
              <w:tab w:val="clear" w:pos="9350"/>
              <w:tab w:val="right" w:pos="9025" w:leader="dot"/>
            </w:tabs>
            <w:rPr/>
          </w:pPr>
          <w:hyperlink w:anchor="__RefHeading___Toc107441_4049217194">
            <w:r>
              <w:rPr>
                <w:webHidden/>
                <w:rStyle w:val="IndexLink"/>
              </w:rPr>
              <w:t>11. Accounting</w:t>
              <w:tab/>
              <w:t>108</w:t>
            </w:r>
          </w:hyperlink>
        </w:p>
        <w:p>
          <w:pPr>
            <w:pStyle w:val="TOC2"/>
            <w:tabs>
              <w:tab w:val="clear" w:pos="900"/>
              <w:tab w:val="clear" w:pos="9350"/>
              <w:tab w:val="right" w:pos="9025" w:leader="dot"/>
            </w:tabs>
            <w:rPr/>
          </w:pPr>
          <w:hyperlink w:anchor="__RefHeading___Toc107443_4049217194">
            <w:r>
              <w:rPr>
                <w:webHidden/>
                <w:rStyle w:val="IndexLink"/>
              </w:rPr>
              <w:t>11.1 Role summary</w:t>
              <w:tab/>
              <w:t>108</w:t>
            </w:r>
          </w:hyperlink>
        </w:p>
        <w:p>
          <w:pPr>
            <w:pStyle w:val="TOC2"/>
            <w:tabs>
              <w:tab w:val="clear" w:pos="900"/>
              <w:tab w:val="clear" w:pos="9350"/>
              <w:tab w:val="right" w:pos="9025" w:leader="dot"/>
            </w:tabs>
            <w:rPr/>
          </w:pPr>
          <w:hyperlink w:anchor="__RefHeading___Toc107445_4049217194">
            <w:r>
              <w:rPr>
                <w:webHidden/>
                <w:rStyle w:val="IndexLink"/>
              </w:rPr>
              <w:t>11.2 Menus available</w:t>
              <w:tab/>
              <w:t>108</w:t>
            </w:r>
          </w:hyperlink>
        </w:p>
        <w:p>
          <w:pPr>
            <w:pStyle w:val="TOC2"/>
            <w:tabs>
              <w:tab w:val="clear" w:pos="900"/>
              <w:tab w:val="clear" w:pos="9350"/>
              <w:tab w:val="right" w:pos="9025" w:leader="dot"/>
            </w:tabs>
            <w:rPr/>
          </w:pPr>
          <w:hyperlink w:anchor="__RefHeading___Toc107447_4049217194">
            <w:r>
              <w:rPr>
                <w:webHidden/>
                <w:rStyle w:val="IndexLink"/>
              </w:rPr>
              <w:t>11.3 Daily and periodic tasks</w:t>
              <w:tab/>
              <w:t>109</w:t>
            </w:r>
          </w:hyperlink>
        </w:p>
        <w:p>
          <w:pPr>
            <w:pStyle w:val="TOC2"/>
            <w:tabs>
              <w:tab w:val="clear" w:pos="900"/>
              <w:tab w:val="clear" w:pos="9350"/>
              <w:tab w:val="right" w:pos="9025" w:leader="dot"/>
            </w:tabs>
            <w:rPr/>
          </w:pPr>
          <w:hyperlink w:anchor="__RefHeading___Toc107449_4049217194">
            <w:r>
              <w:rPr>
                <w:webHidden/>
                <w:rStyle w:val="IndexLink"/>
              </w:rPr>
              <w:t>11.4 Verify payments and post official receipts</w:t>
              <w:tab/>
              <w:t>109</w:t>
            </w:r>
          </w:hyperlink>
        </w:p>
        <w:p>
          <w:pPr>
            <w:pStyle w:val="TOC2"/>
            <w:tabs>
              <w:tab w:val="clear" w:pos="900"/>
              <w:tab w:val="clear" w:pos="9350"/>
              <w:tab w:val="right" w:pos="9025" w:leader="dot"/>
            </w:tabs>
            <w:rPr/>
          </w:pPr>
          <w:hyperlink w:anchor="__RefHeading___Toc107451_4049217194">
            <w:r>
              <w:rPr>
                <w:webHidden/>
                <w:rStyle w:val="IndexLink"/>
              </w:rPr>
              <w:t>11.5 Collections</w:t>
              <w:tab/>
              <w:t>111</w:t>
            </w:r>
          </w:hyperlink>
        </w:p>
        <w:p>
          <w:pPr>
            <w:pStyle w:val="TOC2"/>
            <w:tabs>
              <w:tab w:val="clear" w:pos="900"/>
              <w:tab w:val="clear" w:pos="9350"/>
              <w:tab w:val="right" w:pos="9025" w:leader="dot"/>
            </w:tabs>
            <w:rPr/>
          </w:pPr>
          <w:hyperlink w:anchor="__RefHeading___Toc107453_4049217194">
            <w:r>
              <w:rPr>
                <w:webHidden/>
                <w:rStyle w:val="IndexLink"/>
              </w:rPr>
              <w:t>11.6 Credit control</w:t>
              <w:tab/>
              <w:t>113</w:t>
            </w:r>
          </w:hyperlink>
        </w:p>
        <w:p>
          <w:pPr>
            <w:pStyle w:val="TOC2"/>
            <w:tabs>
              <w:tab w:val="clear" w:pos="900"/>
              <w:tab w:val="clear" w:pos="9350"/>
              <w:tab w:val="right" w:pos="9025" w:leader="dot"/>
            </w:tabs>
            <w:rPr/>
          </w:pPr>
          <w:hyperlink w:anchor="__RefHeading___Toc107455_4049217194">
            <w:r>
              <w:rPr>
                <w:webHidden/>
                <w:rStyle w:val="IndexLink"/>
              </w:rPr>
              <w:t>11.7 Disbursement: payment vouchers and cheques</w:t>
              <w:tab/>
              <w:t>115</w:t>
            </w:r>
          </w:hyperlink>
        </w:p>
        <w:p>
          <w:pPr>
            <w:pStyle w:val="TOC2"/>
            <w:tabs>
              <w:tab w:val="clear" w:pos="900"/>
              <w:tab w:val="clear" w:pos="9350"/>
              <w:tab w:val="right" w:pos="9025" w:leader="dot"/>
            </w:tabs>
            <w:rPr/>
          </w:pPr>
          <w:hyperlink w:anchor="__RefHeading___Toc107457_4049217194">
            <w:r>
              <w:rPr>
                <w:webHidden/>
                <w:rStyle w:val="IndexLink"/>
              </w:rPr>
              <w:t>11.8 Remittance to insurers</w:t>
              <w:tab/>
              <w:t>116</w:t>
            </w:r>
          </w:hyperlink>
        </w:p>
        <w:p>
          <w:pPr>
            <w:pStyle w:val="TOC2"/>
            <w:tabs>
              <w:tab w:val="clear" w:pos="900"/>
              <w:tab w:val="clear" w:pos="9350"/>
              <w:tab w:val="right" w:pos="9025" w:leader="dot"/>
            </w:tabs>
            <w:rPr/>
          </w:pPr>
          <w:hyperlink w:anchor="__RefHeading___Toc107459_4049217194">
            <w:r>
              <w:rPr>
                <w:webHidden/>
                <w:rStyle w:val="IndexLink"/>
              </w:rPr>
              <w:t>11.9 Direct bill: commission debit notes</w:t>
              <w:tab/>
              <w:t>118</w:t>
            </w:r>
          </w:hyperlink>
        </w:p>
        <w:p>
          <w:pPr>
            <w:pStyle w:val="TOC2"/>
            <w:tabs>
              <w:tab w:val="clear" w:pos="900"/>
              <w:tab w:val="clear" w:pos="9350"/>
              <w:tab w:val="right" w:pos="9025" w:leader="dot"/>
            </w:tabs>
            <w:rPr/>
          </w:pPr>
          <w:hyperlink w:anchor="__RefHeading___Toc107461_4049217194">
            <w:r>
              <w:rPr>
                <w:webHidden/>
                <w:rStyle w:val="IndexLink"/>
              </w:rPr>
              <w:t>11.10 Commission to agents and referrers</w:t>
              <w:tab/>
              <w:t>120</w:t>
            </w:r>
          </w:hyperlink>
        </w:p>
        <w:p>
          <w:pPr>
            <w:pStyle w:val="TOC2"/>
            <w:tabs>
              <w:tab w:val="clear" w:pos="900"/>
              <w:tab w:val="clear" w:pos="9350"/>
              <w:tab w:val="right" w:pos="9025" w:leader="dot"/>
            </w:tabs>
            <w:rPr/>
          </w:pPr>
          <w:hyperlink w:anchor="__RefHeading___Toc107463_4049217194">
            <w:r>
              <w:rPr>
                <w:webHidden/>
                <w:rStyle w:val="IndexLink"/>
              </w:rPr>
              <w:t>11.11 Journal vouchers</w:t>
              <w:tab/>
              <w:t>123</w:t>
            </w:r>
          </w:hyperlink>
        </w:p>
        <w:p>
          <w:pPr>
            <w:pStyle w:val="TOC2"/>
            <w:tabs>
              <w:tab w:val="clear" w:pos="900"/>
              <w:tab w:val="clear" w:pos="9350"/>
              <w:tab w:val="right" w:pos="9025" w:leader="dot"/>
            </w:tabs>
            <w:rPr/>
          </w:pPr>
          <w:hyperlink w:anchor="__RefHeading___Toc107465_4049217194">
            <w:r>
              <w:rPr>
                <w:webHidden/>
                <w:rStyle w:val="IndexLink"/>
              </w:rPr>
              <w:t>11.12 Open entry matching and write-offs</w:t>
              <w:tab/>
              <w:t>125</w:t>
            </w:r>
          </w:hyperlink>
        </w:p>
        <w:p>
          <w:pPr>
            <w:pStyle w:val="TOC2"/>
            <w:tabs>
              <w:tab w:val="clear" w:pos="900"/>
              <w:tab w:val="clear" w:pos="9350"/>
              <w:tab w:val="right" w:pos="9025" w:leader="dot"/>
            </w:tabs>
            <w:rPr/>
          </w:pPr>
          <w:hyperlink w:anchor="__RefHeading___Toc107467_4049217194">
            <w:r>
              <w:rPr>
                <w:webHidden/>
                <w:rStyle w:val="IndexLink"/>
              </w:rPr>
              <w:t>11.13 Accounting Query and All Clients Accounting</w:t>
              <w:tab/>
              <w:t>125</w:t>
            </w:r>
          </w:hyperlink>
        </w:p>
        <w:p>
          <w:pPr>
            <w:pStyle w:val="TOC2"/>
            <w:tabs>
              <w:tab w:val="clear" w:pos="900"/>
              <w:tab w:val="clear" w:pos="9350"/>
              <w:tab w:val="right" w:pos="9025" w:leader="dot"/>
            </w:tabs>
            <w:rPr/>
          </w:pPr>
          <w:hyperlink w:anchor="__RefHeading___Toc107469_4049217194">
            <w:r>
              <w:rPr>
                <w:webHidden/>
                <w:rStyle w:val="IndexLink"/>
              </w:rPr>
              <w:t>11.14 Petty cash</w:t>
              <w:tab/>
              <w:t>126</w:t>
            </w:r>
          </w:hyperlink>
        </w:p>
        <w:p>
          <w:pPr>
            <w:pStyle w:val="TOC2"/>
            <w:tabs>
              <w:tab w:val="clear" w:pos="900"/>
              <w:tab w:val="clear" w:pos="9350"/>
              <w:tab w:val="right" w:pos="9025" w:leader="dot"/>
            </w:tabs>
            <w:rPr/>
          </w:pPr>
          <w:hyperlink w:anchor="__RefHeading___Toc107471_4049217194">
            <w:r>
              <w:rPr>
                <w:webHidden/>
                <w:rStyle w:val="IndexLink"/>
              </w:rPr>
              <w:t>11.15 Bank reconciliation</w:t>
              <w:tab/>
              <w:t>126</w:t>
            </w:r>
          </w:hyperlink>
        </w:p>
        <w:p>
          <w:pPr>
            <w:pStyle w:val="TOC2"/>
            <w:tabs>
              <w:tab w:val="clear" w:pos="900"/>
              <w:tab w:val="clear" w:pos="9350"/>
              <w:tab w:val="right" w:pos="9025" w:leader="dot"/>
            </w:tabs>
            <w:rPr/>
          </w:pPr>
          <w:hyperlink w:anchor="__RefHeading___Toc107473_4049217194">
            <w:r>
              <w:rPr>
                <w:webHidden/>
                <w:rStyle w:val="IndexLink"/>
              </w:rPr>
              <w:t>11.16 Insurer statement reconciliation</w:t>
              <w:tab/>
              <w:t>131</w:t>
            </w:r>
          </w:hyperlink>
        </w:p>
        <w:p>
          <w:pPr>
            <w:pStyle w:val="TOC2"/>
            <w:tabs>
              <w:tab w:val="clear" w:pos="900"/>
              <w:tab w:val="clear" w:pos="9350"/>
              <w:tab w:val="right" w:pos="9025" w:leader="dot"/>
            </w:tabs>
            <w:rPr/>
          </w:pPr>
          <w:hyperlink w:anchor="__RefHeading___Toc107475_4049217194">
            <w:r>
              <w:rPr>
                <w:webHidden/>
                <w:rStyle w:val="IndexLink"/>
              </w:rPr>
              <w:t>11.17 Tax: BIR forms and returns</w:t>
              <w:tab/>
              <w:t>132</w:t>
            </w:r>
          </w:hyperlink>
        </w:p>
        <w:p>
          <w:pPr>
            <w:pStyle w:val="TOC2"/>
            <w:tabs>
              <w:tab w:val="clear" w:pos="900"/>
              <w:tab w:val="clear" w:pos="9350"/>
              <w:tab w:val="right" w:pos="9025" w:leader="dot"/>
            </w:tabs>
            <w:rPr/>
          </w:pPr>
          <w:hyperlink w:anchor="__RefHeading___Toc107477_4049217194">
            <w:r>
              <w:rPr>
                <w:webHidden/>
                <w:rStyle w:val="IndexLink"/>
              </w:rPr>
              <w:t>11.18 Period end</w:t>
              <w:tab/>
              <w:t>133</w:t>
            </w:r>
          </w:hyperlink>
        </w:p>
        <w:p>
          <w:pPr>
            <w:pStyle w:val="TOC2"/>
            <w:tabs>
              <w:tab w:val="clear" w:pos="900"/>
              <w:tab w:val="clear" w:pos="9350"/>
              <w:tab w:val="right" w:pos="9025" w:leader="dot"/>
            </w:tabs>
            <w:rPr/>
          </w:pPr>
          <w:hyperlink w:anchor="__RefHeading___Toc107479_4049217194">
            <w:r>
              <w:rPr>
                <w:webHidden/>
                <w:rStyle w:val="IndexLink"/>
              </w:rPr>
              <w:t>11.19 Incentives</w:t>
              <w:tab/>
              <w:t>137</w:t>
            </w:r>
          </w:hyperlink>
        </w:p>
        <w:p>
          <w:pPr>
            <w:pStyle w:val="TOC2"/>
            <w:tabs>
              <w:tab w:val="clear" w:pos="900"/>
              <w:tab w:val="clear" w:pos="9350"/>
              <w:tab w:val="right" w:pos="9025" w:leader="dot"/>
            </w:tabs>
            <w:rPr/>
          </w:pPr>
          <w:hyperlink w:anchor="__RefHeading___Toc107481_4049217194">
            <w:r>
              <w:rPr>
                <w:webHidden/>
                <w:rStyle w:val="IndexLink"/>
              </w:rPr>
              <w:t>11.20 Finance masters kept by Accounting</w:t>
              <w:tab/>
              <w:t>138</w:t>
            </w:r>
          </w:hyperlink>
        </w:p>
        <w:p>
          <w:pPr>
            <w:pStyle w:val="TOC2"/>
            <w:tabs>
              <w:tab w:val="clear" w:pos="900"/>
              <w:tab w:val="clear" w:pos="9350"/>
              <w:tab w:val="right" w:pos="9025" w:leader="dot"/>
            </w:tabs>
            <w:rPr/>
          </w:pPr>
          <w:hyperlink w:anchor="__RefHeading___Toc107483_4049217194">
            <w:r>
              <w:rPr>
                <w:webHidden/>
                <w:rStyle w:val="IndexLink"/>
              </w:rPr>
              <w:t>11.21 Approvals</w:t>
              <w:tab/>
              <w:t>139</w:t>
            </w:r>
          </w:hyperlink>
        </w:p>
        <w:p>
          <w:pPr>
            <w:pStyle w:val="TOC1"/>
            <w:tabs>
              <w:tab w:val="clear" w:pos="900"/>
              <w:tab w:val="clear" w:pos="9350"/>
              <w:tab w:val="right" w:pos="9025" w:leader="dot"/>
            </w:tabs>
            <w:rPr/>
          </w:pPr>
          <w:hyperlink w:anchor="__RefHeading___Toc107485_4049217194">
            <w:r>
              <w:rPr>
                <w:webHidden/>
                <w:rStyle w:val="IndexLink"/>
              </w:rPr>
              <w:t>12. Accounting Manager</w:t>
              <w:tab/>
              <w:t>140</w:t>
            </w:r>
          </w:hyperlink>
        </w:p>
        <w:p>
          <w:pPr>
            <w:pStyle w:val="TOC2"/>
            <w:tabs>
              <w:tab w:val="clear" w:pos="900"/>
              <w:tab w:val="clear" w:pos="9350"/>
              <w:tab w:val="right" w:pos="9025" w:leader="dot"/>
            </w:tabs>
            <w:rPr/>
          </w:pPr>
          <w:hyperlink w:anchor="__RefHeading___Toc107487_4049217194">
            <w:r>
              <w:rPr>
                <w:webHidden/>
                <w:rStyle w:val="IndexLink"/>
              </w:rPr>
              <w:t>12.1 Role summary</w:t>
              <w:tab/>
              <w:t>140</w:t>
            </w:r>
          </w:hyperlink>
        </w:p>
        <w:p>
          <w:pPr>
            <w:pStyle w:val="TOC2"/>
            <w:tabs>
              <w:tab w:val="clear" w:pos="900"/>
              <w:tab w:val="clear" w:pos="9350"/>
              <w:tab w:val="right" w:pos="9025" w:leader="dot"/>
            </w:tabs>
            <w:rPr/>
          </w:pPr>
          <w:hyperlink w:anchor="__RefHeading___Toc107489_4049217194">
            <w:r>
              <w:rPr>
                <w:webHidden/>
                <w:rStyle w:val="IndexLink"/>
              </w:rPr>
              <w:t>12.2 Menus available</w:t>
              <w:tab/>
              <w:t>140</w:t>
            </w:r>
          </w:hyperlink>
        </w:p>
        <w:p>
          <w:pPr>
            <w:pStyle w:val="TOC2"/>
            <w:tabs>
              <w:tab w:val="clear" w:pos="900"/>
              <w:tab w:val="clear" w:pos="9350"/>
              <w:tab w:val="right" w:pos="9025" w:leader="dot"/>
            </w:tabs>
            <w:rPr/>
          </w:pPr>
          <w:hyperlink w:anchor="__RefHeading___Toc107491_4049217194">
            <w:r>
              <w:rPr>
                <w:webHidden/>
                <w:rStyle w:val="IndexLink"/>
              </w:rPr>
              <w:t>12.3 Daily and periodic tasks</w:t>
              <w:tab/>
              <w:t>140</w:t>
            </w:r>
          </w:hyperlink>
        </w:p>
        <w:p>
          <w:pPr>
            <w:pStyle w:val="TOC2"/>
            <w:tabs>
              <w:tab w:val="clear" w:pos="900"/>
              <w:tab w:val="clear" w:pos="9350"/>
              <w:tab w:val="right" w:pos="9025" w:leader="dot"/>
            </w:tabs>
            <w:rPr/>
          </w:pPr>
          <w:hyperlink w:anchor="__RefHeading___Toc107493_4049217194">
            <w:r>
              <w:rPr>
                <w:webHidden/>
                <w:rStyle w:val="IndexLink"/>
              </w:rPr>
              <w:t>12.4 Approve the month-end close</w:t>
              <w:tab/>
              <w:t>141</w:t>
            </w:r>
          </w:hyperlink>
        </w:p>
        <w:p>
          <w:pPr>
            <w:pStyle w:val="TOC2"/>
            <w:tabs>
              <w:tab w:val="clear" w:pos="900"/>
              <w:tab w:val="clear" w:pos="9350"/>
              <w:tab w:val="right" w:pos="9025" w:leader="dot"/>
            </w:tabs>
            <w:rPr/>
          </w:pPr>
          <w:hyperlink w:anchor="__RefHeading___Toc107495_4049217194">
            <w:r>
              <w:rPr>
                <w:webHidden/>
                <w:rStyle w:val="IndexLink"/>
              </w:rPr>
              <w:t>12.5 Period control</w:t>
              <w:tab/>
              <w:t>142</w:t>
            </w:r>
          </w:hyperlink>
        </w:p>
        <w:p>
          <w:pPr>
            <w:pStyle w:val="TOC2"/>
            <w:tabs>
              <w:tab w:val="clear" w:pos="900"/>
              <w:tab w:val="clear" w:pos="9350"/>
              <w:tab w:val="right" w:pos="9025" w:leader="dot"/>
            </w:tabs>
            <w:rPr/>
          </w:pPr>
          <w:hyperlink w:anchor="__RefHeading___Toc107497_4049217194">
            <w:r>
              <w:rPr>
                <w:webHidden/>
                <w:rStyle w:val="IndexLink"/>
              </w:rPr>
              <w:t>12.6 Approve a bank reconciliation</w:t>
              <w:tab/>
              <w:t>143</w:t>
            </w:r>
          </w:hyperlink>
        </w:p>
        <w:p>
          <w:pPr>
            <w:pStyle w:val="TOC2"/>
            <w:tabs>
              <w:tab w:val="clear" w:pos="900"/>
              <w:tab w:val="clear" w:pos="9350"/>
              <w:tab w:val="right" w:pos="9025" w:leader="dot"/>
            </w:tabs>
            <w:rPr/>
          </w:pPr>
          <w:hyperlink w:anchor="__RefHeading___Toc107499_4049217194">
            <w:r>
              <w:rPr>
                <w:webHidden/>
                <w:rStyle w:val="IndexLink"/>
              </w:rPr>
              <w:t>12.7 Approve an insurer statement reconciliation</w:t>
              <w:tab/>
              <w:t>144</w:t>
            </w:r>
          </w:hyperlink>
        </w:p>
        <w:p>
          <w:pPr>
            <w:pStyle w:val="TOC2"/>
            <w:tabs>
              <w:tab w:val="clear" w:pos="900"/>
              <w:tab w:val="clear" w:pos="9350"/>
              <w:tab w:val="right" w:pos="9025" w:leader="dot"/>
            </w:tabs>
            <w:rPr/>
          </w:pPr>
          <w:hyperlink w:anchor="__RefHeading___Toc107501_4049217194">
            <w:r>
              <w:rPr>
                <w:webHidden/>
                <w:rStyle w:val="IndexLink"/>
              </w:rPr>
              <w:t>12.8 Credit control decisions</w:t>
              <w:tab/>
              <w:t>144</w:t>
            </w:r>
          </w:hyperlink>
        </w:p>
        <w:p>
          <w:pPr>
            <w:pStyle w:val="TOC2"/>
            <w:tabs>
              <w:tab w:val="clear" w:pos="900"/>
              <w:tab w:val="clear" w:pos="9350"/>
              <w:tab w:val="right" w:pos="9025" w:leader="dot"/>
            </w:tabs>
            <w:rPr/>
          </w:pPr>
          <w:hyperlink w:anchor="__RefHeading___Toc107503_4049217194">
            <w:r>
              <w:rPr>
                <w:webHidden/>
                <w:rStyle w:val="IndexLink"/>
              </w:rPr>
              <w:t>12.9 Year-end close</w:t>
              <w:tab/>
              <w:t>144</w:t>
            </w:r>
          </w:hyperlink>
        </w:p>
        <w:p>
          <w:pPr>
            <w:pStyle w:val="TOC2"/>
            <w:tabs>
              <w:tab w:val="clear" w:pos="900"/>
              <w:tab w:val="clear" w:pos="9350"/>
              <w:tab w:val="right" w:pos="9025" w:leader="dot"/>
            </w:tabs>
            <w:rPr/>
          </w:pPr>
          <w:hyperlink w:anchor="__RefHeading___Toc107505_4049217194">
            <w:r>
              <w:rPr>
                <w:webHidden/>
                <w:rStyle w:val="IndexLink"/>
              </w:rPr>
              <w:t>12.10 Posting configuration: Configuration Approvals, Posting Rules, Account Determination</w:t>
              <w:tab/>
              <w:t>145</w:t>
            </w:r>
          </w:hyperlink>
        </w:p>
        <w:p>
          <w:pPr>
            <w:pStyle w:val="TOC2"/>
            <w:tabs>
              <w:tab w:val="clear" w:pos="900"/>
              <w:tab w:val="clear" w:pos="9350"/>
              <w:tab w:val="right" w:pos="9025" w:leader="dot"/>
            </w:tabs>
            <w:rPr/>
          </w:pPr>
          <w:hyperlink w:anchor="__RefHeading___Toc107507_4049217194">
            <w:r>
              <w:rPr>
                <w:webHidden/>
                <w:rStyle w:val="IndexLink"/>
              </w:rPr>
              <w:t>12.11 Commission Rate Matrix</w:t>
              <w:tab/>
              <w:t>148</w:t>
            </w:r>
          </w:hyperlink>
        </w:p>
        <w:p>
          <w:pPr>
            <w:pStyle w:val="TOC2"/>
            <w:tabs>
              <w:tab w:val="clear" w:pos="900"/>
              <w:tab w:val="clear" w:pos="9350"/>
              <w:tab w:val="right" w:pos="9025" w:leader="dot"/>
            </w:tabs>
            <w:rPr/>
          </w:pPr>
          <w:hyperlink w:anchor="__RefHeading___Toc107509_4049217194">
            <w:r>
              <w:rPr>
                <w:webHidden/>
                <w:rStyle w:val="IndexLink"/>
              </w:rPr>
              <w:t>12.12 Approvals summary</w:t>
              <w:tab/>
              <w:t>148</w:t>
            </w:r>
          </w:hyperlink>
        </w:p>
        <w:p>
          <w:pPr>
            <w:pStyle w:val="TOC1"/>
            <w:tabs>
              <w:tab w:val="clear" w:pos="900"/>
              <w:tab w:val="clear" w:pos="9350"/>
              <w:tab w:val="right" w:pos="9025" w:leader="dot"/>
            </w:tabs>
            <w:rPr/>
          </w:pPr>
          <w:hyperlink w:anchor="__RefHeading___Toc107511_4049217194">
            <w:r>
              <w:rPr>
                <w:webHidden/>
                <w:rStyle w:val="IndexLink"/>
              </w:rPr>
              <w:t>13. Module reference</w:t>
              <w:tab/>
              <w:t>150</w:t>
            </w:r>
          </w:hyperlink>
        </w:p>
        <w:p>
          <w:pPr>
            <w:pStyle w:val="TOC2"/>
            <w:tabs>
              <w:tab w:val="clear" w:pos="900"/>
              <w:tab w:val="clear" w:pos="9350"/>
              <w:tab w:val="right" w:pos="9025" w:leader="dot"/>
            </w:tabs>
            <w:rPr/>
          </w:pPr>
          <w:hyperlink w:anchor="__RefHeading___Toc107513_4049217194">
            <w:r>
              <w:rPr>
                <w:webHidden/>
                <w:rStyle w:val="IndexLink"/>
              </w:rPr>
              <w:t>13.1 Dashboard</w:t>
              <w:tab/>
              <w:t>150</w:t>
            </w:r>
          </w:hyperlink>
        </w:p>
        <w:p>
          <w:pPr>
            <w:pStyle w:val="TOC2"/>
            <w:tabs>
              <w:tab w:val="clear" w:pos="900"/>
              <w:tab w:val="clear" w:pos="9350"/>
              <w:tab w:val="right" w:pos="9025" w:leader="dot"/>
            </w:tabs>
            <w:rPr/>
          </w:pPr>
          <w:hyperlink w:anchor="__RefHeading___Toc107515_4049217194">
            <w:r>
              <w:rPr>
                <w:webHidden/>
                <w:rStyle w:val="IndexLink"/>
              </w:rPr>
              <w:t>13.2 Operations</w:t>
              <w:tab/>
              <w:t>151</w:t>
            </w:r>
          </w:hyperlink>
        </w:p>
        <w:p>
          <w:pPr>
            <w:pStyle w:val="TOC2"/>
            <w:tabs>
              <w:tab w:val="clear" w:pos="900"/>
              <w:tab w:val="clear" w:pos="9350"/>
              <w:tab w:val="right" w:pos="9025" w:leader="dot"/>
            </w:tabs>
            <w:rPr/>
          </w:pPr>
          <w:hyperlink w:anchor="__RefHeading___Toc107517_4049217194">
            <w:r>
              <w:rPr>
                <w:webHidden/>
                <w:rStyle w:val="IndexLink"/>
              </w:rPr>
              <w:t>13.3 Accounts</w:t>
              <w:tab/>
              <w:t>153</w:t>
            </w:r>
          </w:hyperlink>
        </w:p>
        <w:p>
          <w:pPr>
            <w:pStyle w:val="TOC2"/>
            <w:tabs>
              <w:tab w:val="clear" w:pos="900"/>
              <w:tab w:val="clear" w:pos="9350"/>
              <w:tab w:val="right" w:pos="9025" w:leader="dot"/>
            </w:tabs>
            <w:rPr/>
          </w:pPr>
          <w:hyperlink w:anchor="__RefHeading___Toc107519_4049217194">
            <w:r>
              <w:rPr>
                <w:webHidden/>
                <w:rStyle w:val="IndexLink"/>
              </w:rPr>
              <w:t>13.4 Commission</w:t>
              <w:tab/>
              <w:t>155</w:t>
            </w:r>
          </w:hyperlink>
        </w:p>
        <w:p>
          <w:pPr>
            <w:pStyle w:val="TOC2"/>
            <w:tabs>
              <w:tab w:val="clear" w:pos="900"/>
              <w:tab w:val="clear" w:pos="9350"/>
              <w:tab w:val="right" w:pos="9025" w:leader="dot"/>
            </w:tabs>
            <w:rPr/>
          </w:pPr>
          <w:hyperlink w:anchor="__RefHeading___Toc107521_4049217194">
            <w:r>
              <w:rPr>
                <w:webHidden/>
                <w:rStyle w:val="IndexLink"/>
              </w:rPr>
              <w:t>13.5 Reinsurance</w:t>
              <w:tab/>
              <w:t>155</w:t>
            </w:r>
          </w:hyperlink>
        </w:p>
        <w:p>
          <w:pPr>
            <w:pStyle w:val="TOC2"/>
            <w:tabs>
              <w:tab w:val="clear" w:pos="900"/>
              <w:tab w:val="clear" w:pos="9350"/>
              <w:tab w:val="right" w:pos="9025" w:leader="dot"/>
            </w:tabs>
            <w:rPr/>
          </w:pPr>
          <w:hyperlink w:anchor="__RefHeading___Toc107523_4049217194">
            <w:r>
              <w:rPr>
                <w:webHidden/>
                <w:rStyle w:val="IndexLink"/>
              </w:rPr>
              <w:t>13.6 Reports</w:t>
              <w:tab/>
              <w:t>156</w:t>
            </w:r>
          </w:hyperlink>
        </w:p>
        <w:p>
          <w:pPr>
            <w:pStyle w:val="TOC2"/>
            <w:tabs>
              <w:tab w:val="clear" w:pos="900"/>
              <w:tab w:val="clear" w:pos="9350"/>
              <w:tab w:val="right" w:pos="9025" w:leader="dot"/>
            </w:tabs>
            <w:rPr/>
          </w:pPr>
          <w:hyperlink w:anchor="__RefHeading___Toc107525_4049217194">
            <w:r>
              <w:rPr>
                <w:webHidden/>
                <w:rStyle w:val="IndexLink"/>
              </w:rPr>
              <w:t>13.7 Master</w:t>
              <w:tab/>
              <w:t>156</w:t>
            </w:r>
          </w:hyperlink>
        </w:p>
        <w:p>
          <w:pPr>
            <w:pStyle w:val="TOC2"/>
            <w:tabs>
              <w:tab w:val="clear" w:pos="900"/>
              <w:tab w:val="clear" w:pos="9350"/>
              <w:tab w:val="right" w:pos="9025" w:leader="dot"/>
            </w:tabs>
            <w:rPr/>
          </w:pPr>
          <w:hyperlink w:anchor="__RefHeading___Toc107527_4049217194">
            <w:r>
              <w:rPr>
                <w:webHidden/>
                <w:rStyle w:val="IndexLink"/>
              </w:rPr>
              <w:t>13.8 Product Configurator</w:t>
              <w:tab/>
              <w:t>159</w:t>
            </w:r>
          </w:hyperlink>
        </w:p>
        <w:p>
          <w:pPr>
            <w:pStyle w:val="TOC2"/>
            <w:tabs>
              <w:tab w:val="clear" w:pos="900"/>
              <w:tab w:val="clear" w:pos="9350"/>
              <w:tab w:val="right" w:pos="9025" w:leader="dot"/>
            </w:tabs>
            <w:rPr/>
          </w:pPr>
          <w:hyperlink w:anchor="__RefHeading___Toc107529_4049217194">
            <w:r>
              <w:rPr>
                <w:webHidden/>
                <w:rStyle w:val="IndexLink"/>
              </w:rPr>
              <w:t>13.9 Number series</w:t>
              <w:tab/>
              <w:t>160</w:t>
            </w:r>
          </w:hyperlink>
        </w:p>
        <w:p>
          <w:pPr>
            <w:pStyle w:val="TOC1"/>
            <w:tabs>
              <w:tab w:val="clear" w:pos="900"/>
              <w:tab w:val="clear" w:pos="9350"/>
              <w:tab w:val="right" w:pos="9025" w:leader="dot"/>
            </w:tabs>
            <w:rPr/>
          </w:pPr>
          <w:hyperlink w:anchor="__RefHeading___Toc107531_4049217194">
            <w:r>
              <w:rPr>
                <w:webHidden/>
                <w:rStyle w:val="IndexLink"/>
              </w:rPr>
              <w:t>14. Reports, dashboards, schedules and notifications</w:t>
              <w:tab/>
              <w:t>161</w:t>
            </w:r>
          </w:hyperlink>
        </w:p>
        <w:p>
          <w:pPr>
            <w:pStyle w:val="TOC2"/>
            <w:tabs>
              <w:tab w:val="clear" w:pos="900"/>
              <w:tab w:val="clear" w:pos="9350"/>
              <w:tab w:val="right" w:pos="9025" w:leader="dot"/>
            </w:tabs>
            <w:rPr/>
          </w:pPr>
          <w:hyperlink w:anchor="__RefHeading___Toc107533_4049217194">
            <w:r>
              <w:rPr>
                <w:webHidden/>
                <w:rStyle w:val="IndexLink"/>
              </w:rPr>
              <w:t>14.1 Reports</w:t>
              <w:tab/>
              <w:t>161</w:t>
            </w:r>
          </w:hyperlink>
        </w:p>
        <w:p>
          <w:pPr>
            <w:pStyle w:val="TOC2"/>
            <w:tabs>
              <w:tab w:val="clear" w:pos="900"/>
              <w:tab w:val="clear" w:pos="9350"/>
              <w:tab w:val="right" w:pos="9025" w:leader="dot"/>
            </w:tabs>
            <w:rPr/>
          </w:pPr>
          <w:hyperlink w:anchor="__RefHeading___Toc107535_4049217194">
            <w:r>
              <w:rPr>
                <w:webHidden/>
                <w:rStyle w:val="IndexLink"/>
              </w:rPr>
              <w:t>14.2 Dashboards</w:t>
              <w:tab/>
              <w:t>162</w:t>
            </w:r>
          </w:hyperlink>
        </w:p>
        <w:p>
          <w:pPr>
            <w:pStyle w:val="TOC2"/>
            <w:tabs>
              <w:tab w:val="clear" w:pos="900"/>
              <w:tab w:val="clear" w:pos="9350"/>
              <w:tab w:val="right" w:pos="9025" w:leader="dot"/>
            </w:tabs>
            <w:rPr/>
          </w:pPr>
          <w:hyperlink w:anchor="__RefHeading___Toc107537_4049217194">
            <w:r>
              <w:rPr>
                <w:webHidden/>
                <w:rStyle w:val="IndexLink"/>
              </w:rPr>
              <w:t>14.3 Schedules</w:t>
              <w:tab/>
              <w:t>163</w:t>
            </w:r>
          </w:hyperlink>
        </w:p>
        <w:p>
          <w:pPr>
            <w:pStyle w:val="TOC2"/>
            <w:tabs>
              <w:tab w:val="clear" w:pos="900"/>
              <w:tab w:val="clear" w:pos="9350"/>
              <w:tab w:val="right" w:pos="9025" w:leader="dot"/>
            </w:tabs>
            <w:rPr/>
          </w:pPr>
          <w:hyperlink w:anchor="__RefHeading___Toc107539_4049217194">
            <w:r>
              <w:rPr>
                <w:webHidden/>
                <w:rStyle w:val="IndexLink"/>
              </w:rPr>
              <w:t>14.4 Notifications and e-mails</w:t>
              <w:tab/>
              <w:t>163</w:t>
            </w:r>
          </w:hyperlink>
        </w:p>
        <w:p>
          <w:pPr>
            <w:pStyle w:val="TOC1"/>
            <w:tabs>
              <w:tab w:val="clear" w:pos="900"/>
              <w:tab w:val="clear" w:pos="9350"/>
              <w:tab w:val="right" w:pos="9025" w:leader="dot"/>
            </w:tabs>
            <w:rPr/>
          </w:pPr>
          <w:hyperlink w:anchor="__RefHeading___Toc107541_4049217194">
            <w:r>
              <w:rPr>
                <w:webHidden/>
                <w:rStyle w:val="IndexLink"/>
              </w:rPr>
              <w:t>15. Troubleshooting, FAQ and glossary</w:t>
              <w:tab/>
              <w:t>165</w:t>
            </w:r>
          </w:hyperlink>
        </w:p>
        <w:p>
          <w:pPr>
            <w:pStyle w:val="TOC2"/>
            <w:tabs>
              <w:tab w:val="clear" w:pos="900"/>
              <w:tab w:val="clear" w:pos="9350"/>
              <w:tab w:val="right" w:pos="9025" w:leader="dot"/>
            </w:tabs>
            <w:rPr/>
          </w:pPr>
          <w:hyperlink w:anchor="__RefHeading___Toc107543_4049217194">
            <w:r>
              <w:rPr>
                <w:webHidden/>
                <w:rStyle w:val="IndexLink"/>
              </w:rPr>
              <w:t>15.1 Common messages and what to do</w:t>
              <w:tab/>
              <w:t>165</w:t>
            </w:r>
          </w:hyperlink>
        </w:p>
        <w:p>
          <w:pPr>
            <w:pStyle w:val="TOC2"/>
            <w:tabs>
              <w:tab w:val="clear" w:pos="900"/>
              <w:tab w:val="clear" w:pos="9350"/>
              <w:tab w:val="right" w:pos="9025" w:leader="dot"/>
            </w:tabs>
            <w:rPr/>
          </w:pPr>
          <w:hyperlink w:anchor="__RefHeading___Toc107545_4049217194">
            <w:r>
              <w:rPr>
                <w:webHidden/>
                <w:rStyle w:val="IndexLink"/>
              </w:rPr>
              <w:t>15.2 Frequently asked questions</w:t>
              <w:tab/>
              <w:t>166</w:t>
            </w:r>
          </w:hyperlink>
        </w:p>
        <w:p>
          <w:pPr>
            <w:pStyle w:val="TOC2"/>
            <w:tabs>
              <w:tab w:val="clear" w:pos="900"/>
              <w:tab w:val="clear" w:pos="9350"/>
              <w:tab w:val="right" w:pos="9025" w:leader="dot"/>
            </w:tabs>
            <w:rPr/>
          </w:pPr>
          <w:hyperlink w:anchor="__RefHeading___Toc107547_4049217194">
            <w:r>
              <w:rPr>
                <w:webHidden/>
                <w:rStyle w:val="IndexLink"/>
              </w:rPr>
              <w:t>15.3 Glossary</w:t>
              <w:tab/>
              <w:t>166</w:t>
            </w:r>
          </w:hyperlink>
        </w:p>
        <w:p>
          <w:pPr>
            <w:pStyle w:val="TOC1"/>
            <w:tabs>
              <w:tab w:val="clear" w:pos="900"/>
              <w:tab w:val="clear" w:pos="9350"/>
              <w:tab w:val="right" w:pos="9025" w:leader="dot"/>
            </w:tabs>
            <w:rPr/>
          </w:pPr>
          <w:hyperlink w:anchor="__RefHeading___Toc107549_4049217194">
            <w:r>
              <w:rPr>
                <w:webHidden/>
                <w:rStyle w:val="IndexLink"/>
                <w:i w:val="false"/>
                <w:iCs w:val="false"/>
              </w:rPr>
              <w:t>16. Document Sign-Off</w:t>
            </w:r>
            <w:r>
              <w:rPr>
                <w:rStyle w:val="IndexLink"/>
              </w:rPr>
              <w:tab/>
              <w:t>169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07263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07265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07267_4049217194"/>
      <w:bookmarkEnd w:id="6"/>
      <w:r>
        <w:rPr>
          <w:rFonts w:eastAsia="Segoe UI" w:cs="Segoe UI" w:ascii="Segoe UI" w:hAnsi="Segoe UI"/>
          <w:b/>
          <w:color w:val="0F4761"/>
          <w:sz w:val="32"/>
        </w:rPr>
        <w:t>3.  About this manual</w:t>
      </w:r>
    </w:p>
    <w:p>
      <w:pPr>
        <w:pStyle w:val="Heading2"/>
        <w:rPr/>
      </w:pPr>
      <w:bookmarkStart w:id="7" w:name="__RefHeading___Toc107269_404921719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BrokerVerse OOTB is the insurance broking system of iorta TechNXT for non-life brokers in the Philippines. One system covers the whole broking cycle: prospects, requests for quotation to insurers, quotations, placement, policy issue, billing and collection, remittance to insurers, commission, endorsements, claims, renewals, the general ledger, bank and insurer reconciliation, the month-end and year-end close and the BIR returns.</w:t>
      </w:r>
    </w:p>
    <w:p>
      <w:pPr>
        <w:pStyle w:val="Normal"/>
        <w:spacing w:lineRule="auto" w:line="276" w:before="0" w:after="120"/>
        <w:rPr/>
      </w:pPr>
      <w:r>
        <w:rPr>
          <w:rFonts w:eastAsia="Segoe UI" w:cs="Segoe UI" w:ascii="Segoe UI" w:hAnsi="Segoe UI"/>
          <w:color w:val="101820"/>
          <w:sz w:val="21"/>
        </w:rPr>
        <w:t>This manual tells each user how to do his or her work in BrokerVerse. It is organised by persona: each persona chapter lists the menus of the role, the daily and periodic tasks, and the step-by-step procedure for every screen the role uses, with the fields, the rules the system applies, the buttons, the status that results and what the system does next (the bill, the receipt, the journal, the notification) and where to find the record afterwards.</w:t>
      </w:r>
    </w:p>
    <w:p>
      <w:pPr>
        <w:pStyle w:val="Heading2"/>
        <w:rPr/>
      </w:pPr>
      <w:bookmarkStart w:id="8" w:name="__RefHeading___Toc107271_4049217194"/>
      <w:bookmarkEnd w:id="8"/>
      <w:r>
        <w:rPr>
          <w:rFonts w:eastAsia="Segoe UI" w:cs="Segoe UI"/>
          <w:b/>
          <w:color w:val="0F4761"/>
          <w:sz w:val="26"/>
        </w:rPr>
        <w:t>3.2  How the manual is organised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Chapter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 passwords, two-step verification, the screen layout, lists, forms, statuses and approvals, the audit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business process end to end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 from prospect to reports, with who does each step and on which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chapter per persona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Sales &amp; Marketing (Account Executive); Processing Team; Operations (client servicing); Claims; Accounting;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reference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in menu order: purpose, main fields and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schedules and notifications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short guide; the Reports Book and the Schedules and Batch Jobs document hold the detail.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Troubleshooting, FAQ and glossary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messages and what to do, and the Philippine insurance and accounting terms used on the screens.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Read Getting started and The business process end to end first, then the chapter of your persona. A task that two personas share is described in full once, in the chapter of the persona that owns it, and the other chapter points to it.</w:t>
      </w:r>
    </w:p>
    <w:p>
      <w:pPr>
        <w:pStyle w:val="Heading2"/>
        <w:rPr/>
      </w:pPr>
      <w:bookmarkStart w:id="9" w:name="__RefHeading___Toc107273_4049217194"/>
      <w:bookmarkEnd w:id="9"/>
      <w:r>
        <w:rPr>
          <w:rFonts w:eastAsia="Segoe UI" w:cs="Segoe UI"/>
          <w:b/>
          <w:color w:val="0F4761"/>
          <w:sz w:val="26"/>
        </w:rPr>
        <w:t>3.3  Conventions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menu path: open each item in the sidebar in turn.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Create Prospect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button, tab, field or status, written exactly as it appears on the screen.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limits.quote_validity_days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setting on Master &gt; Configuration. The System Administrator maintains settings.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PS-2026-00023</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record number from the test system shown in the screenshots.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1,250,000.00</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in Philippine pesos. The screens show the peso sign, for example ₱1,250,000.00.</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03/10/2026</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screens show dates as DD/MM/YYYY (</w:t>
            </w:r>
            <w:r>
              <w:rPr>
                <w:rFonts w:eastAsia="Consolas" w:cs="Consolas" w:ascii="Consolas" w:hAnsi="Consolas"/>
                <w:color w:val="101820"/>
                <w:kern w:val="0"/>
                <w:sz w:val="16"/>
                <w:szCs w:val="24"/>
                <w:lang w:val="en-US" w:eastAsia="ja-JP" w:bidi="ar-SA"/>
              </w:rPr>
              <w:t>general.date_format</w:t>
            </w:r>
            <w:r>
              <w:rPr>
                <w:rFonts w:eastAsia="Segoe UI" w:cs="Segoe UI" w:ascii="Segoe UI" w:hAnsi="Segoe UI"/>
                <w:color w:val="101820"/>
                <w:kern w:val="0"/>
                <w:sz w:val="18"/>
                <w:szCs w:val="24"/>
                <w:lang w:val="en-US" w:eastAsia="ja-JP" w:bidi="ar-SA"/>
              </w:rPr>
              <w:t>) in Manila time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 and checker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the checker, approves it.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screenshots were taken on 03 October 2026 from a BrokerVerse OOTB test system loaded with realistic data: 61 prospects, 72 quotations, 48 requests for quotation, 23 placement slips, 82 policies, 8 claims and six months of accounting. The users in the screenshots are named staff of that test system, one or two per role. Your screens show your own data, and your menu shows only the items of your role.</w:t>
      </w:r>
      <w:r>
        <w:br w:type="page"/>
      </w:r>
    </w:p>
    <w:p>
      <w:pPr>
        <w:pStyle w:val="Heading1"/>
        <w:rPr/>
      </w:pPr>
      <w:bookmarkStart w:id="10" w:name="__RefHeading___Toc107275_4049217194"/>
      <w:bookmarkEnd w:id="10"/>
      <w:r>
        <w:rPr>
          <w:rFonts w:eastAsia="Segoe UI" w:cs="Segoe UI" w:ascii="Segoe UI" w:hAnsi="Segoe UI"/>
          <w:b/>
          <w:color w:val="0F4761"/>
          <w:sz w:val="32"/>
        </w:rPr>
        <w:t>4.  Getting started</w:t>
      </w:r>
    </w:p>
    <w:p>
      <w:pPr>
        <w:pStyle w:val="Heading2"/>
        <w:rPr/>
      </w:pPr>
      <w:bookmarkStart w:id="11" w:name="__RefHeading___Toc107277_4049217194"/>
      <w:bookmarkEnd w:id="11"/>
      <w:r>
        <w:rPr>
          <w:rFonts w:eastAsia="Segoe UI" w:cs="Segoe UI"/>
          <w:b/>
          <w:color w:val="0F4761"/>
          <w:sz w:val="26"/>
        </w:rPr>
        <w:t>4.1  Signing in</w:t>
      </w:r>
    </w:p>
    <w:p>
      <w:pPr>
        <w:pStyle w:val="Normal"/>
        <w:spacing w:lineRule="auto" w:line="276" w:before="0" w:after="120"/>
        <w:rPr/>
      </w:pPr>
      <w:r>
        <w:rPr>
          <w:rFonts w:eastAsia="Segoe UI" w:cs="Segoe UI" w:ascii="Segoe UI" w:hAnsi="Segoe UI"/>
          <w:color w:val="101820"/>
          <w:sz w:val="21"/>
        </w:rPr>
        <w:t>Every person has his or her own user ID. Never share a user ID or a password: every action is recorded against the user in the audit trail.</w:t>
      </w:r>
    </w:p>
    <w:p>
      <w:pPr>
        <w:pStyle w:val="Normal"/>
        <w:jc w:val="center"/>
        <w:rPr/>
      </w:pPr>
      <w:r>
        <w:rPr/>
        <w:drawing>
          <wp:inline distT="0" distB="0" distL="0" distR="0">
            <wp:extent cx="5760085" cy="4712970"/>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The sign-in page</w:t>
      </w:r>
    </w:p>
    <w:p>
      <w:pPr>
        <w:pStyle w:val="Normal"/>
        <w:numPr>
          <w:ilvl w:val="0"/>
          <w:numId w:val="52"/>
        </w:numPr>
        <w:spacing w:before="0" w:after="60"/>
        <w:rPr/>
      </w:pPr>
      <w:r>
        <w:rPr>
          <w:rFonts w:eastAsia="Segoe UI" w:cs="Segoe UI" w:ascii="Segoe UI" w:hAnsi="Segoe UI"/>
          <w:color w:val="101820"/>
          <w:sz w:val="21"/>
        </w:rPr>
        <w:t>Open the BrokerVerse address given by your System Administrator in Chrome, Edge or Firefox.</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User ID</w:t>
      </w:r>
      <w:r>
        <w:rPr>
          <w:rFonts w:eastAsia="Segoe UI" w:cs="Segoe UI" w:ascii="Segoe UI" w:hAnsi="Segoe UI"/>
          <w:color w:val="101820"/>
          <w:sz w:val="21"/>
        </w:rPr>
        <w:t>, type your user name, for example maria.rivera.</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Password</w:t>
      </w:r>
      <w:r>
        <w:rPr>
          <w:rFonts w:eastAsia="Segoe UI" w:cs="Segoe UI" w:ascii="Segoe UI" w:hAnsi="Segoe UI"/>
          <w:color w:val="101820"/>
          <w:sz w:val="21"/>
        </w:rPr>
        <w:t>, type your password. Select the eye icon to show the password while you type; select it again to hide it.</w:t>
      </w:r>
    </w:p>
    <w:p>
      <w:pPr>
        <w:pStyle w:val="Normal"/>
        <w:numPr>
          <w:ilvl w:val="0"/>
          <w:numId w:val="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BrokerVerse opens your landing page: the first dashboard your role may open, or the first screen of your menu. One more step can follow the password: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after the password</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it appears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signed in with a temporary password, an administrator has reset your password, or your password is older than 90 days (</w:t>
            </w:r>
            <w:r>
              <w:rPr>
                <w:rFonts w:eastAsia="Consolas" w:cs="Consolas" w:ascii="Consolas" w:hAnsi="Consolas"/>
                <w:color w:val="101820"/>
                <w:kern w:val="0"/>
                <w:sz w:val="16"/>
                <w:szCs w:val="24"/>
                <w:lang w:val="en-US" w:eastAsia="ja-JP" w:bidi="ar-SA"/>
              </w:rPr>
              <w:t>security.password_max_age_days</w:t>
            </w:r>
            <w:r>
              <w:rPr>
                <w:rFonts w:eastAsia="Segoe UI" w:cs="Segoe UI" w:ascii="Segoe UI" w:hAnsi="Segoe UI"/>
                <w:color w:val="101820"/>
                <w:kern w:val="0"/>
                <w:sz w:val="18"/>
                <w:szCs w:val="24"/>
                <w:lang w:val="en-US" w:eastAsia="ja-JP" w:bidi="ar-SA"/>
              </w:rPr>
              <w: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is on for your user.</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two-step verification</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role must use two-step verification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and you have not set it up yet.</w:t>
            </w:r>
          </w:p>
        </w:tc>
      </w:tr>
    </w:tbl>
    <w:p>
      <w:pPr>
        <w:pStyle w:val="Normal"/>
        <w:spacing w:before="0" w:after="80"/>
        <w:rPr/>
      </w:pPr>
      <w:r>
        <w:rPr/>
      </w:r>
    </w:p>
    <w:p>
      <w:pPr>
        <w:pStyle w:val="Heading3"/>
        <w:rPr/>
      </w:pPr>
      <w:r>
        <w:rPr>
          <w:rFonts w:eastAsia="Segoe UI" w:cs="Segoe UI"/>
          <w:b/>
          <w:color w:val="0F4761"/>
          <w:sz w:val="23"/>
        </w:rPr>
        <w:t>4.1.1  Password rules</w:t>
      </w:r>
    </w:p>
    <w:p>
      <w:pPr>
        <w:pStyle w:val="Normal"/>
        <w:spacing w:lineRule="auto" w:line="276" w:before="0" w:after="120"/>
        <w:rPr/>
      </w:pPr>
      <w:r>
        <w:rPr>
          <w:rFonts w:eastAsia="Segoe UI" w:cs="Segoe UI" w:ascii="Segoe UI" w:hAnsi="Segoe UI"/>
          <w:color w:val="101820"/>
          <w:sz w:val="21"/>
        </w:rPr>
        <w:t>The rules come from the security settings. With the delivered settings a password must:</w:t>
      </w:r>
    </w:p>
    <w:p>
      <w:pPr>
        <w:pStyle w:val="Normal"/>
        <w:numPr>
          <w:ilvl w:val="0"/>
          <w:numId w:val="1"/>
        </w:numPr>
        <w:spacing w:before="0" w:after="60"/>
        <w:rPr/>
      </w:pPr>
      <w:r>
        <w:rPr>
          <w:rFonts w:eastAsia="Segoe UI" w:cs="Segoe UI" w:ascii="Segoe UI" w:hAnsi="Segoe UI"/>
          <w:color w:val="101820"/>
          <w:sz w:val="21"/>
        </w:rPr>
        <w:t>have at least 8 characters (</w:t>
      </w:r>
      <w:r>
        <w:rPr>
          <w:rFonts w:eastAsia="Consolas" w:cs="Consolas" w:ascii="Consolas" w:hAnsi="Consolas"/>
          <w:color w:val="101820"/>
          <w:sz w:val="19"/>
        </w:rPr>
        <w:t>security.password_min_length</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contain an upper-case letter (A-Z), a lower-case letter (a-z), a digit (0-9) and a symbol, for example ! @ # $;</w:t>
      </w:r>
    </w:p>
    <w:p>
      <w:pPr>
        <w:pStyle w:val="Normal"/>
        <w:numPr>
          <w:ilvl w:val="0"/>
          <w:numId w:val="1"/>
        </w:numPr>
        <w:spacing w:before="0" w:after="60"/>
        <w:rPr/>
      </w:pPr>
      <w:r>
        <w:rPr>
          <w:rFonts w:eastAsia="Segoe UI" w:cs="Segoe UI" w:ascii="Segoe UI" w:hAnsi="Segoe UI"/>
          <w:color w:val="101820"/>
          <w:sz w:val="21"/>
        </w:rPr>
        <w:t>differ from your last 5 passwords (</w:t>
      </w:r>
      <w:r>
        <w:rPr>
          <w:rFonts w:eastAsia="Consolas" w:cs="Consolas" w:ascii="Consolas" w:hAnsi="Consolas"/>
          <w:color w:val="101820"/>
          <w:sz w:val="19"/>
        </w:rPr>
        <w:t>security.password_history_count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Every screen where you choose a password lists these rules under </w:t>
      </w:r>
      <w:r>
        <w:rPr>
          <w:rFonts w:eastAsia="Segoe UI" w:cs="Segoe UI" w:ascii="Segoe UI" w:hAnsi="Segoe UI"/>
          <w:b/>
          <w:color w:val="101820"/>
          <w:sz w:val="21"/>
        </w:rPr>
        <w:t>New password</w:t>
      </w:r>
      <w:r>
        <w:rPr>
          <w:rFonts w:eastAsia="Segoe UI" w:cs="Segoe UI" w:ascii="Segoe UI" w:hAnsi="Segoe UI"/>
          <w:color w:val="101820"/>
          <w:sz w:val="21"/>
        </w:rPr>
        <w:t xml:space="preserve"> and ticks each rule as soon as the new password meets it.</w:t>
      </w:r>
    </w:p>
    <w:p>
      <w:pPr>
        <w:pStyle w:val="Normal"/>
        <w:jc w:val="center"/>
        <w:rPr/>
      </w:pPr>
      <w:r>
        <w:rPr/>
        <w:drawing>
          <wp:inline distT="0" distB="0" distL="0" distR="0">
            <wp:extent cx="5760085" cy="471297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 at the first sign-in, with the rules ticked as the new password meets them</w:t>
      </w:r>
    </w:p>
    <w:p>
      <w:pPr>
        <w:pStyle w:val="Normal"/>
        <w:numPr>
          <w:ilvl w:val="0"/>
          <w:numId w:val="53"/>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the password you signed in with.</w:t>
      </w:r>
    </w:p>
    <w:p>
      <w:pPr>
        <w:pStyle w:val="Normal"/>
        <w:numPr>
          <w:ilvl w:val="0"/>
          <w:numId w:val="54"/>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55"/>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5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 and continue</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sign-in page.</w:t>
      </w:r>
    </w:p>
    <w:p>
      <w:pPr>
        <w:pStyle w:val="Normal"/>
        <w:spacing w:lineRule="auto" w:line="276" w:before="0" w:after="120"/>
        <w:rPr/>
      </w:pPr>
      <w:r>
        <w:rPr>
          <w:rFonts w:eastAsia="Segoe UI" w:cs="Segoe UI" w:ascii="Segoe UI" w:hAnsi="Segoe UI"/>
          <w:color w:val="101820"/>
          <w:sz w:val="21"/>
        </w:rPr>
        <w:t xml:space="preserve">To change your password at any other time, select your initials at the top right, then </w:t>
      </w:r>
      <w:r>
        <w:rPr>
          <w:rFonts w:eastAsia="Segoe UI" w:cs="Segoe UI" w:ascii="Segoe UI" w:hAnsi="Segoe UI"/>
          <w:b/>
          <w:color w:val="101820"/>
          <w:sz w:val="21"/>
        </w:rPr>
        <w:t>Change password</w:t>
      </w:r>
      <w:r>
        <w:rPr>
          <w:rFonts w:eastAsia="Segoe UI" w:cs="Segoe UI" w:ascii="Segoe UI" w:hAnsi="Segoe UI"/>
          <w:color w:val="101820"/>
          <w:sz w:val="21"/>
        </w:rPr>
        <w:t xml:space="preserve">. Fill in </w:t>
      </w:r>
      <w:r>
        <w:rPr>
          <w:rFonts w:eastAsia="Segoe UI" w:cs="Segoe UI" w:ascii="Segoe UI" w:hAnsi="Segoe UI"/>
          <w:b/>
          <w:color w:val="101820"/>
          <w:sz w:val="21"/>
        </w:rPr>
        <w:t>Current password</w:t>
      </w:r>
      <w:r>
        <w:rPr>
          <w:rFonts w:eastAsia="Segoe UI" w:cs="Segoe UI" w:ascii="Segoe UI" w:hAnsi="Segoe UI"/>
          <w:color w:val="101820"/>
          <w:sz w:val="21"/>
        </w:rPr>
        <w:t xml:space="preserve">, </w:t>
      </w:r>
      <w:r>
        <w:rPr>
          <w:rFonts w:eastAsia="Segoe UI" w:cs="Segoe UI" w:ascii="Segoe UI" w:hAnsi="Segoe UI"/>
          <w:b/>
          <w:color w:val="101820"/>
          <w:sz w:val="21"/>
        </w:rPr>
        <w:t>New password</w:t>
      </w:r>
      <w:r>
        <w:rPr>
          <w:rFonts w:eastAsia="Segoe UI" w:cs="Segoe UI" w:ascii="Segoe UI" w:hAnsi="Segoe UI"/>
          <w:color w:val="101820"/>
          <w:sz w:val="21"/>
        </w:rPr>
        <w:t xml:space="preserve"> and </w:t>
      </w:r>
      <w:r>
        <w:rPr>
          <w:rFonts w:eastAsia="Segoe UI" w:cs="Segoe UI" w:ascii="Segoe UI" w:hAnsi="Segoe UI"/>
          <w:b/>
          <w:color w:val="101820"/>
          <w:sz w:val="21"/>
        </w:rPr>
        <w:t>Confirm new password</w:t>
      </w:r>
      <w:r>
        <w:rPr>
          <w:rFonts w:eastAsia="Segoe UI" w:cs="Segoe UI" w:ascii="Segoe UI" w:hAnsi="Segoe UI"/>
          <w:color w:val="101820"/>
          <w:sz w:val="21"/>
        </w:rPr>
        <w:t xml:space="preserve"> and select </w:t>
      </w:r>
      <w:r>
        <w:rPr>
          <w:rFonts w:eastAsia="Segoe UI" w:cs="Segoe UI" w:ascii="Segoe UI" w:hAnsi="Segoe UI"/>
          <w:b/>
          <w:color w:val="101820"/>
          <w:sz w:val="21"/>
        </w:rPr>
        <w:t>Change password</w:t>
      </w:r>
      <w:r>
        <w:rPr>
          <w:rFonts w:eastAsia="Segoe UI" w:cs="Segoe UI" w:ascii="Segoe UI" w:hAnsi="Segoe UI"/>
          <w:color w:val="101820"/>
          <w:sz w:val="21"/>
        </w:rPr>
        <w:t>. Other computers and browsers where you are signed in are signed out; your current session continues.</w:t>
      </w:r>
    </w:p>
    <w:p>
      <w:pPr>
        <w:pStyle w:val="Normal"/>
        <w:jc w:val="center"/>
        <w:rPr/>
      </w:pPr>
      <w:r>
        <w:rPr/>
        <w:drawing>
          <wp:inline distT="0" distB="0" distL="0" distR="0">
            <wp:extent cx="5760085" cy="3168015"/>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3168015"/>
                    </a:xfrm>
                    <a:prstGeom prst="rect">
                      <a:avLst/>
                    </a:prstGeom>
                  </pic:spPr>
                </pic:pic>
              </a:graphicData>
            </a:graphic>
          </wp:inline>
        </w:drawing>
      </w:r>
    </w:p>
    <w:p>
      <w:pPr>
        <w:pStyle w:val="Normal"/>
        <w:jc w:val="center"/>
        <w:rPr/>
      </w:pPr>
      <w:r>
        <w:rPr>
          <w:rFonts w:eastAsia="Segoe UI" w:cs="Segoe UI" w:ascii="Segoe UI" w:hAnsi="Segoe UI"/>
          <w:i/>
          <w:color w:val="555F6D"/>
          <w:sz w:val="18"/>
        </w:rPr>
        <w:t>Profile menu &gt; Change password</w:t>
      </w:r>
    </w:p>
    <w:p>
      <w:pPr>
        <w:pStyle w:val="Heading3"/>
        <w:rPr/>
      </w:pPr>
      <w:r>
        <w:rPr>
          <w:rFonts w:eastAsia="Segoe UI" w:cs="Segoe UI"/>
          <w:b/>
          <w:color w:val="0F4761"/>
          <w:sz w:val="23"/>
        </w:rPr>
        <w:t>4.1.2  Forgotten password</w:t>
      </w:r>
    </w:p>
    <w:p>
      <w:pPr>
        <w:pStyle w:val="Normal"/>
        <w:numPr>
          <w:ilvl w:val="0"/>
          <w:numId w:val="57"/>
        </w:numPr>
        <w:spacing w:before="0" w:after="60"/>
        <w:rPr/>
      </w:pPr>
      <w:r>
        <w:rPr>
          <w:rFonts w:eastAsia="Segoe UI" w:cs="Segoe UI" w:ascii="Segoe UI" w:hAnsi="Segoe UI"/>
          <w:color w:val="101820"/>
          <w:sz w:val="21"/>
        </w:rPr>
        <w:t xml:space="preserve">On the sign-in page, select </w:t>
      </w:r>
      <w:r>
        <w:rPr>
          <w:rFonts w:eastAsia="Segoe UI" w:cs="Segoe UI" w:ascii="Segoe UI" w:hAnsi="Segoe UI"/>
          <w:b/>
          <w:color w:val="101820"/>
          <w:sz w:val="21"/>
        </w:rPr>
        <w:t>Forgot password?</w:t>
      </w:r>
      <w:r>
        <w:rPr>
          <w:rFonts w:eastAsia="Segoe UI" w:cs="Segoe UI" w:ascii="Segoe UI" w:hAnsi="Segoe UI"/>
          <w:color w:val="101820"/>
          <w:sz w:val="21"/>
        </w:rPr>
        <w:t>.</w:t>
      </w:r>
    </w:p>
    <w:p>
      <w:pPr>
        <w:pStyle w:val="Normal"/>
        <w:numPr>
          <w:ilvl w:val="0"/>
          <w:numId w:val="58"/>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Reset your password</w:t>
      </w:r>
      <w:r>
        <w:rPr>
          <w:rFonts w:eastAsia="Segoe UI" w:cs="Segoe UI" w:ascii="Segoe UI" w:hAnsi="Segoe UI"/>
          <w:color w:val="101820"/>
          <w:sz w:val="21"/>
        </w:rPr>
        <w:t xml:space="preserve">, type your </w:t>
      </w:r>
      <w:r>
        <w:rPr>
          <w:rFonts w:eastAsia="Segoe UI" w:cs="Segoe UI" w:ascii="Segoe UI" w:hAnsi="Segoe UI"/>
          <w:b/>
          <w:color w:val="101820"/>
          <w:sz w:val="21"/>
        </w:rPr>
        <w:t>User ID or e-mail address</w:t>
      </w:r>
      <w:r>
        <w:rPr>
          <w:rFonts w:eastAsia="Segoe UI" w:cs="Segoe UI" w:ascii="Segoe UI" w:hAnsi="Segoe UI"/>
          <w:color w:val="101820"/>
          <w:sz w:val="21"/>
        </w:rPr>
        <w:t xml:space="preserve"> and select </w:t>
      </w:r>
      <w:r>
        <w:rPr>
          <w:rFonts w:eastAsia="Segoe UI" w:cs="Segoe UI" w:ascii="Segoe UI" w:hAnsi="Segoe UI"/>
          <w:b/>
          <w:color w:val="101820"/>
          <w:sz w:val="21"/>
        </w:rPr>
        <w:t>Send code</w:t>
      </w:r>
      <w:r>
        <w:rPr>
          <w:rFonts w:eastAsia="Segoe UI" w:cs="Segoe UI" w:ascii="Segoe UI" w:hAnsi="Segoe UI"/>
          <w:color w:val="101820"/>
          <w:sz w:val="21"/>
        </w:rPr>
        <w:t>. If the account exists and has an e-mail address, BrokerVerse e-mails a 6-digit code to it. The message on screen is the same whether or not the account exists.</w:t>
      </w:r>
    </w:p>
    <w:p>
      <w:pPr>
        <w:pStyle w:val="Normal"/>
        <w:numPr>
          <w:ilvl w:val="0"/>
          <w:numId w:val="59"/>
        </w:numPr>
        <w:spacing w:before="0" w:after="60"/>
        <w:rPr/>
      </w:pPr>
      <w:r>
        <w:rPr>
          <w:rFonts w:eastAsia="Segoe UI" w:cs="Segoe UI" w:ascii="Segoe UI" w:hAnsi="Segoe UI"/>
          <w:color w:val="101820"/>
          <w:sz w:val="21"/>
        </w:rPr>
        <w:t>Type the code, the new password and the confirmation, then reset the password.</w:t>
      </w:r>
    </w:p>
    <w:p>
      <w:pPr>
        <w:pStyle w:val="Normal"/>
        <w:numPr>
          <w:ilvl w:val="0"/>
          <w:numId w:val="6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Back to sign in</w:t>
      </w:r>
      <w:r>
        <w:rPr>
          <w:rFonts w:eastAsia="Segoe UI" w:cs="Segoe UI" w:ascii="Segoe UI" w:hAnsi="Segoe UI"/>
          <w:color w:val="101820"/>
          <w:sz w:val="21"/>
        </w:rPr>
        <w:t xml:space="preserve"> and sign in with the new password.</w:t>
      </w:r>
    </w:p>
    <w:p>
      <w:pPr>
        <w:pStyle w:val="Normal"/>
        <w:jc w:val="center"/>
        <w:rPr/>
      </w:pPr>
      <w:r>
        <w:rPr/>
        <w:drawing>
          <wp:inline distT="0" distB="0" distL="0" distR="0">
            <wp:extent cx="5760085" cy="471297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Reset your password</w:t>
      </w:r>
    </w:p>
    <w:p>
      <w:pPr>
        <w:pStyle w:val="Normal"/>
        <w:spacing w:lineRule="auto" w:line="276" w:before="0" w:after="120"/>
        <w:rPr/>
      </w:pPr>
      <w:r>
        <w:rPr>
          <w:rFonts w:eastAsia="Segoe UI" w:cs="Segoe UI" w:ascii="Segoe UI" w:hAnsi="Segoe UI"/>
          <w:color w:val="101820"/>
          <w:sz w:val="21"/>
        </w:rPr>
        <w:t>The code is valid for 15 minutes (</w:t>
      </w:r>
      <w:r>
        <w:rPr>
          <w:rFonts w:eastAsia="Consolas" w:cs="Consolas" w:ascii="Consolas" w:hAnsi="Consolas"/>
          <w:color w:val="101820"/>
          <w:sz w:val="19"/>
        </w:rPr>
        <w:t>security.reset_code_minutes</w:t>
      </w:r>
      <w:r>
        <w:rPr>
          <w:rFonts w:eastAsia="Segoe UI" w:cs="Segoe UI" w:ascii="Segoe UI" w:hAnsi="Segoe UI"/>
          <w:color w:val="101820"/>
          <w:sz w:val="21"/>
        </w:rPr>
        <w:t>) and is withdrawn after 5 wrong entries (</w:t>
      </w:r>
      <w:r>
        <w:rPr>
          <w:rFonts w:eastAsia="Consolas" w:cs="Consolas" w:ascii="Consolas" w:hAnsi="Consolas"/>
          <w:color w:val="101820"/>
          <w:sz w:val="19"/>
        </w:rPr>
        <w:t>security.reset_code_max_attempts</w:t>
      </w:r>
      <w:r>
        <w:rPr>
          <w:rFonts w:eastAsia="Segoe UI" w:cs="Segoe UI" w:ascii="Segoe UI" w:hAnsi="Segoe UI"/>
          <w:color w:val="101820"/>
          <w:sz w:val="21"/>
        </w:rPr>
        <w:t>). If your user has no e-mail address, or e-mail sending is not switched on, ask the System Administrator to reset your password.</w:t>
      </w:r>
    </w:p>
    <w:p>
      <w:pPr>
        <w:pStyle w:val="Heading3"/>
        <w:rPr/>
      </w:pPr>
      <w:r>
        <w:rPr>
          <w:rFonts w:eastAsia="Segoe UI" w:cs="Segoe UI"/>
          <w:b/>
          <w:color w:val="0F4761"/>
          <w:sz w:val="23"/>
        </w:rPr>
        <w:t>4.1.3  Failed sign-ins and locked accounts</w:t>
      </w:r>
    </w:p>
    <w:p>
      <w:pPr>
        <w:pStyle w:val="Normal"/>
        <w:spacing w:lineRule="auto" w:line="276" w:before="0" w:after="120"/>
        <w:rPr/>
      </w:pPr>
      <w:r>
        <w:rPr>
          <w:rFonts w:eastAsia="Segoe UI" w:cs="Segoe UI" w:ascii="Segoe UI" w:hAnsi="Segoe UI"/>
          <w:color w:val="101820"/>
          <w:sz w:val="21"/>
        </w:rPr>
        <w:t xml:space="preserve">A wrong user ID or password shows a message under the </w:t>
      </w:r>
      <w:r>
        <w:rPr>
          <w:rFonts w:eastAsia="Segoe UI" w:cs="Segoe UI" w:ascii="Segoe UI" w:hAnsi="Segoe UI"/>
          <w:b/>
          <w:color w:val="101820"/>
          <w:sz w:val="21"/>
        </w:rPr>
        <w:t>Login</w:t>
      </w:r>
      <w:r>
        <w:rPr>
          <w:rFonts w:eastAsia="Segoe UI" w:cs="Segoe UI" w:ascii="Segoe UI" w:hAnsi="Segoe UI"/>
          <w:color w:val="101820"/>
          <w:sz w:val="21"/>
        </w:rPr>
        <w:t xml:space="preserve"> button. After 5 failed attempts in a row the user is locked (</w:t>
      </w:r>
      <w:r>
        <w:rPr>
          <w:rFonts w:eastAsia="Consolas" w:cs="Consolas" w:ascii="Consolas" w:hAnsi="Consolas"/>
          <w:color w:val="101820"/>
          <w:sz w:val="19"/>
        </w:rPr>
        <w:t>limits.max_login_attempts</w:t>
      </w:r>
      <w:r>
        <w:rPr>
          <w:rFonts w:eastAsia="Segoe UI" w:cs="Segoe UI" w:ascii="Segoe UI" w:hAnsi="Segoe UI"/>
          <w:color w:val="101820"/>
          <w:sz w:val="21"/>
        </w:rPr>
        <w:t>). The system also allows only 10 sign-in attempts in 5 minutes per computer and per user name (</w:t>
      </w:r>
      <w:r>
        <w:rPr>
          <w:rFonts w:eastAsia="Consolas" w:cs="Consolas" w:ascii="Consolas" w:hAnsi="Consolas"/>
          <w:color w:val="101820"/>
          <w:sz w:val="19"/>
        </w:rPr>
        <w:t>security.login_rate_limit</w:t>
      </w:r>
      <w:r>
        <w:rPr>
          <w:rFonts w:eastAsia="Segoe UI" w:cs="Segoe UI" w:ascii="Segoe UI" w:hAnsi="Segoe UI"/>
          <w:color w:val="101820"/>
          <w:sz w:val="21"/>
        </w:rPr>
        <w:t>). A locked user asks the System Administrator to unlock the account (System Administrator chapter, Users).</w:t>
      </w:r>
    </w:p>
    <w:p>
      <w:pPr>
        <w:pStyle w:val="Heading3"/>
        <w:rPr/>
      </w:pPr>
      <w:r>
        <w:rPr>
          <w:rFonts w:eastAsia="Segoe UI" w:cs="Segoe UI"/>
          <w:b/>
          <w:color w:val="0F4761"/>
          <w:sz w:val="23"/>
        </w:rPr>
        <w:t>4.1.4  Two-step verification</w:t>
      </w:r>
    </w:p>
    <w:p>
      <w:pPr>
        <w:pStyle w:val="Normal"/>
        <w:spacing w:lineRule="auto" w:line="276" w:before="0" w:after="120"/>
        <w:rPr/>
      </w:pPr>
      <w:r>
        <w:rPr>
          <w:rFonts w:eastAsia="Segoe UI" w:cs="Segoe UI" w:ascii="Segoe UI" w:hAnsi="Segoe UI"/>
          <w:color w:val="101820"/>
          <w:sz w:val="21"/>
        </w:rPr>
        <w:t xml:space="preserve">Two-step verification adds a 6-digit code from an authenticator app on your phone, such as Google Authenticator or Microsoft Authenticator. Any user can turn it on. The System Administrator can make it compulsory for roles with </w:t>
      </w:r>
      <w:r>
        <w:rPr>
          <w:rFonts w:eastAsia="Consolas" w:cs="Consolas" w:ascii="Consolas" w:hAnsi="Consolas"/>
          <w:color w:val="101820"/>
          <w:sz w:val="19"/>
        </w:rPr>
        <w:t>security.require_2fa_roles</w:t>
      </w:r>
      <w:r>
        <w:rPr>
          <w:rFonts w:eastAsia="Segoe UI" w:cs="Segoe UI" w:ascii="Segoe UI" w:hAnsi="Segoe UI"/>
          <w:color w:val="101820"/>
          <w:sz w:val="21"/>
        </w:rPr>
        <w:t>; no role requires it in the delivered set-up. iorta TechNXT recommends it for the System Administrator, Accounting and Accounting Manager roles.</w:t>
      </w:r>
    </w:p>
    <w:p>
      <w:pPr>
        <w:pStyle w:val="Normal"/>
        <w:jc w:val="center"/>
        <w:rPr/>
      </w:pPr>
      <w:r>
        <w:rPr/>
        <w:drawing>
          <wp:inline distT="0" distB="0" distL="0" distR="0">
            <wp:extent cx="5760085" cy="1094105"/>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1094105"/>
                    </a:xfrm>
                    <a:prstGeom prst="rect">
                      <a:avLst/>
                    </a:prstGeom>
                  </pic:spPr>
                </pic:pic>
              </a:graphicData>
            </a:graphic>
          </wp:inline>
        </w:drawing>
      </w:r>
    </w:p>
    <w:p>
      <w:pPr>
        <w:pStyle w:val="Normal"/>
        <w:jc w:val="center"/>
        <w:rPr/>
      </w:pPr>
      <w:r>
        <w:rPr>
          <w:rFonts w:eastAsia="Segoe UI" w:cs="Segoe UI" w:ascii="Segoe UI" w:hAnsi="Segoe UI"/>
          <w:i/>
          <w:color w:val="555F6D"/>
          <w:sz w:val="18"/>
        </w:rPr>
        <w:t>Profile menu &gt; Two-factor authentication</w:t>
      </w:r>
    </w:p>
    <w:p>
      <w:pPr>
        <w:pStyle w:val="Normal"/>
        <w:numPr>
          <w:ilvl w:val="0"/>
          <w:numId w:val="61"/>
        </w:numPr>
        <w:spacing w:before="0" w:after="60"/>
        <w:rPr/>
      </w:pPr>
      <w:r>
        <w:rPr>
          <w:rFonts w:eastAsia="Segoe UI" w:cs="Segoe UI" w:ascii="Segoe UI" w:hAnsi="Segoe UI"/>
          <w:color w:val="101820"/>
          <w:sz w:val="21"/>
        </w:rPr>
        <w:t xml:space="preserve">Select your initials at the top right, then </w:t>
      </w:r>
      <w:r>
        <w:rPr>
          <w:rFonts w:eastAsia="Segoe UI" w:cs="Segoe UI" w:ascii="Segoe UI" w:hAnsi="Segoe UI"/>
          <w:b/>
          <w:color w:val="101820"/>
          <w:sz w:val="21"/>
        </w:rPr>
        <w:t>Two-factor authentication</w:t>
      </w:r>
      <w:r>
        <w:rPr>
          <w:rFonts w:eastAsia="Segoe UI" w:cs="Segoe UI" w:ascii="Segoe UI" w:hAnsi="Segoe UI"/>
          <w:color w:val="101820"/>
          <w:sz w:val="21"/>
        </w:rPr>
        <w:t>. The dialog says whether two-step verification is on or off.</w:t>
      </w:r>
    </w:p>
    <w:p>
      <w:pPr>
        <w:pStyle w:val="Normal"/>
        <w:numPr>
          <w:ilvl w:val="0"/>
          <w:numId w:val="6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Turn on</w:t>
      </w:r>
      <w:r>
        <w:rPr>
          <w:rFonts w:eastAsia="Segoe UI" w:cs="Segoe UI" w:ascii="Segoe UI" w:hAnsi="Segoe UI"/>
          <w:color w:val="101820"/>
          <w:sz w:val="21"/>
        </w:rPr>
        <w:t>.</w:t>
      </w:r>
    </w:p>
    <w:p>
      <w:pPr>
        <w:pStyle w:val="Normal"/>
        <w:numPr>
          <w:ilvl w:val="0"/>
          <w:numId w:val="63"/>
        </w:numPr>
        <w:spacing w:before="0" w:after="60"/>
        <w:rPr/>
      </w:pPr>
      <w:r>
        <w:rPr>
          <w:rFonts w:eastAsia="Segoe UI" w:cs="Segoe UI" w:ascii="Segoe UI" w:hAnsi="Segoe UI"/>
          <w:color w:val="101820"/>
          <w:sz w:val="21"/>
        </w:rPr>
        <w:t>In the authenticator app, add an account and type the setup key shown on the screen. On a phone you can open the link to the authenticator app instead.</w:t>
      </w:r>
    </w:p>
    <w:p>
      <w:pPr>
        <w:pStyle w:val="Normal"/>
        <w:numPr>
          <w:ilvl w:val="0"/>
          <w:numId w:val="64"/>
        </w:numPr>
        <w:spacing w:before="0" w:after="60"/>
        <w:rPr/>
      </w:pPr>
      <w:r>
        <w:rPr>
          <w:rFonts w:eastAsia="Segoe UI" w:cs="Segoe UI" w:ascii="Segoe UI" w:hAnsi="Segoe UI"/>
          <w:color w:val="101820"/>
          <w:sz w:val="21"/>
        </w:rPr>
        <w:t>Type the 6-digit code the app shows and confirm.</w:t>
      </w:r>
    </w:p>
    <w:p>
      <w:pPr>
        <w:pStyle w:val="Normal"/>
        <w:spacing w:lineRule="auto" w:line="276" w:before="0" w:after="120"/>
        <w:rPr/>
      </w:pPr>
      <w:r>
        <w:rPr>
          <w:rFonts w:eastAsia="Segoe UI" w:cs="Segoe UI" w:ascii="Segoe UI" w:hAnsi="Segoe UI"/>
          <w:color w:val="101820"/>
          <w:sz w:val="21"/>
        </w:rPr>
        <w:t xml:space="preserve">From then on the sign-in page asks for the </w:t>
      </w:r>
      <w:r>
        <w:rPr>
          <w:rFonts w:eastAsia="Segoe UI" w:cs="Segoe UI" w:ascii="Segoe UI" w:hAnsi="Segoe UI"/>
          <w:b/>
          <w:color w:val="101820"/>
          <w:sz w:val="21"/>
        </w:rPr>
        <w:t>Authentication code</w:t>
      </w:r>
      <w:r>
        <w:rPr>
          <w:rFonts w:eastAsia="Segoe UI" w:cs="Segoe UI" w:ascii="Segoe UI" w:hAnsi="Segoe UI"/>
          <w:color w:val="101820"/>
          <w:sz w:val="21"/>
        </w:rPr>
        <w:t xml:space="preserve"> after the password. Open the app, type the current code and select </w:t>
      </w:r>
      <w:r>
        <w:rPr>
          <w:rFonts w:eastAsia="Segoe UI" w:cs="Segoe UI" w:ascii="Segoe UI" w:hAnsi="Segoe UI"/>
          <w:b/>
          <w:color w:val="101820"/>
          <w:sz w:val="21"/>
        </w:rPr>
        <w:t>Verify</w:t>
      </w:r>
      <w:r>
        <w:rPr>
          <w:rFonts w:eastAsia="Segoe UI" w:cs="Segoe UI" w:ascii="Segoe UI" w:hAnsi="Segoe UI"/>
          <w:color w:val="101820"/>
          <w:sz w:val="21"/>
        </w:rPr>
        <w:t>. The page waits 5 minutes for the code (</w:t>
      </w:r>
      <w:r>
        <w:rPr>
          <w:rFonts w:eastAsia="Consolas" w:cs="Consolas" w:ascii="Consolas" w:hAnsi="Consolas"/>
          <w:color w:val="101820"/>
          <w:sz w:val="19"/>
        </w:rPr>
        <w:t>security.two_factor_challenge_minutes</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Sign-in: Two-step verification</w:t>
      </w:r>
    </w:p>
    <w:p>
      <w:pPr>
        <w:pStyle w:val="Normal"/>
        <w:spacing w:lineRule="auto" w:line="276" w:before="0" w:after="120"/>
        <w:rPr/>
      </w:pPr>
      <w:r>
        <w:rPr>
          <w:rFonts w:eastAsia="Segoe UI" w:cs="Segoe UI" w:ascii="Segoe UI" w:hAnsi="Segoe UI"/>
          <w:color w:val="101820"/>
          <w:sz w:val="21"/>
        </w:rPr>
        <w:t xml:space="preserve">To turn it off, open </w:t>
      </w:r>
      <w:r>
        <w:rPr>
          <w:rFonts w:eastAsia="Segoe UI" w:cs="Segoe UI" w:ascii="Segoe UI" w:hAnsi="Segoe UI"/>
          <w:b/>
          <w:color w:val="101820"/>
          <w:sz w:val="21"/>
        </w:rPr>
        <w:t>Two-factor authentication</w:t>
      </w:r>
      <w:r>
        <w:rPr>
          <w:rFonts w:eastAsia="Segoe UI" w:cs="Segoe UI" w:ascii="Segoe UI" w:hAnsi="Segoe UI"/>
          <w:color w:val="101820"/>
          <w:sz w:val="21"/>
        </w:rPr>
        <w:t xml:space="preserve"> again and turn it off with a current code. A role that requires it cannot turn it off. If you lose your phone, the System Administrator turns it off for your user and you set it up again.</w:t>
      </w:r>
    </w:p>
    <w:p>
      <w:pPr>
        <w:pStyle w:val="Heading3"/>
        <w:rPr/>
      </w:pPr>
      <w:r>
        <w:rPr>
          <w:rFonts w:eastAsia="Segoe UI" w:cs="Segoe UI"/>
          <w:b/>
          <w:color w:val="0F4761"/>
          <w:sz w:val="23"/>
        </w:rPr>
        <w:t>4.1.5  Automatic sign-out</w:t>
      </w:r>
    </w:p>
    <w:p>
      <w:pPr>
        <w:pStyle w:val="Normal"/>
        <w:spacing w:lineRule="auto" w:line="276" w:before="0" w:after="120"/>
        <w:rPr/>
      </w:pPr>
      <w:r>
        <w:rPr>
          <w:rFonts w:eastAsia="Segoe UI" w:cs="Segoe UI" w:ascii="Segoe UI" w:hAnsi="Segoe UI"/>
          <w:color w:val="101820"/>
          <w:sz w:val="21"/>
        </w:rPr>
        <w:t>After 30 minutes without activity BrokerVerse signs you out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Anything not saved on the screen is lost, so save before you leave your desk. Your session also ends when your password is changed or reset, when your user is deactivated and when your role changes. To sign out yourself, select your initials, then </w:t>
      </w:r>
      <w:r>
        <w:rPr>
          <w:rFonts w:eastAsia="Segoe UI" w:cs="Segoe UI" w:ascii="Segoe UI" w:hAnsi="Segoe UI"/>
          <w:b/>
          <w:color w:val="101820"/>
          <w:sz w:val="21"/>
        </w:rPr>
        <w:t>Logout</w:t>
      </w:r>
      <w:r>
        <w:rPr>
          <w:rFonts w:eastAsia="Segoe UI" w:cs="Segoe UI" w:ascii="Segoe UI" w:hAnsi="Segoe UI"/>
          <w:color w:val="101820"/>
          <w:sz w:val="21"/>
        </w:rPr>
        <w:t>.</w:t>
      </w:r>
    </w:p>
    <w:p>
      <w:pPr>
        <w:pStyle w:val="Heading2"/>
        <w:rPr/>
      </w:pPr>
      <w:bookmarkStart w:id="12" w:name="__RefHeading___Toc107279_4049217194"/>
      <w:bookmarkEnd w:id="12"/>
      <w:r>
        <w:rPr>
          <w:rFonts w:eastAsia="Segoe UI" w:cs="Segoe UI"/>
          <w:b/>
          <w:color w:val="0F4761"/>
          <w:sz w:val="26"/>
        </w:rPr>
        <w:t>4.2  The screen layout</w:t>
      </w:r>
    </w:p>
    <w:p>
      <w:pPr>
        <w:pStyle w:val="Normal"/>
        <w:jc w:val="center"/>
        <w:rPr/>
      </w:pPr>
      <w:r>
        <w:rPr/>
        <w:drawing>
          <wp:inline distT="0" distB="0" distL="0" distR="0">
            <wp:extent cx="5760085" cy="3599815"/>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Screen layout: sidebar on the left with the search menu; language, notification bell and profile at the top right; the work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Logo and name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logo and application name set on Master &gt; System Settings.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Search menu...</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part of a screen name, for example quot. The list shows each matching screen of your menu with its path; select one to open it.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Sidebar menu</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your role, in business order: Dashboard, Operations, Accounts, Commission, Reinsurance, Reports, Master, Product Configurator. Select a menu to open its items.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Language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language. The delivered system offers English.</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bell</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unread notifications. Select the bell to see the latest.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Profile (your initials)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Your name and e-mail, then </w:t>
            </w:r>
            <w:r>
              <w:rPr>
                <w:rFonts w:eastAsia="Segoe UI" w:cs="Segoe UI" w:ascii="Segoe UI" w:hAnsi="Segoe UI"/>
                <w:b/>
                <w:color w:val="101820"/>
                <w:kern w:val="0"/>
                <w:sz w:val="18"/>
                <w:szCs w:val="24"/>
                <w:lang w:val="en-US" w:eastAsia="ja-JP" w:bidi="ar-SA"/>
              </w:rPr>
              <w:t>Profile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Change password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Two-factor authentication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Help</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Logout</w:t>
            </w:r>
            <w:r>
              <w:rPr>
                <w:rFonts w:eastAsia="Segoe UI" w:cs="Segoe UI" w:ascii="Segoe UI" w:hAnsi="Segoe UI"/>
                <w:color w:val="101820"/>
                <w:kern w:val="0"/>
                <w:sz w:val="18"/>
                <w:szCs w:val="24"/>
                <w:lang w:val="en-US" w:eastAsia="ja-JP" w:bidi="ar-SA"/>
              </w:rPr>
              <w: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area</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you opened, with its title and the breadcrumb (for example Home • Prospects).</w:t>
            </w:r>
          </w:p>
        </w:tc>
      </w:tr>
    </w:tbl>
    <w:p>
      <w:pPr>
        <w:pStyle w:val="Normal"/>
        <w:spacing w:before="0" w:after="80"/>
        <w:rPr/>
      </w:pPr>
      <w:r>
        <w:rPr/>
      </w:r>
    </w:p>
    <w:p>
      <w:pPr>
        <w:pStyle w:val="Normal"/>
        <w:jc w:val="center"/>
        <w:rPr/>
      </w:pPr>
      <w:r>
        <w:rPr/>
        <w:drawing>
          <wp:inline distT="0" distB="0" distL="0" distR="0">
            <wp:extent cx="5760085" cy="3599815"/>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Menu search: typing "quot" lists the quotation screens of the role</w:t>
      </w:r>
    </w:p>
    <w:p>
      <w:pPr>
        <w:pStyle w:val="Normal"/>
        <w:jc w:val="center"/>
        <w:rPr/>
      </w:pPr>
      <w:r>
        <w:rPr/>
        <w:drawing>
          <wp:inline distT="0" distB="0" distL="0" distR="0">
            <wp:extent cx="5760085" cy="3599815"/>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profile menu</w:t>
      </w:r>
    </w:p>
    <w:p>
      <w:pPr>
        <w:pStyle w:val="Heading3"/>
        <w:rPr/>
      </w:pPr>
      <w:r>
        <w:rPr>
          <w:rFonts w:eastAsia="Segoe UI" w:cs="Segoe UI"/>
          <w:b/>
          <w:color w:val="0F4761"/>
          <w:sz w:val="23"/>
        </w:rPr>
        <w:t>4.2.1  Notifications</w:t>
      </w:r>
    </w:p>
    <w:p>
      <w:pPr>
        <w:pStyle w:val="Normal"/>
        <w:spacing w:lineRule="auto" w:line="276" w:before="0" w:after="120"/>
        <w:rPr/>
      </w:pPr>
      <w:r>
        <w:rPr>
          <w:rFonts w:eastAsia="Segoe UI" w:cs="Segoe UI" w:ascii="Segoe UI" w:hAnsi="Segoe UI"/>
          <w:color w:val="101820"/>
          <w:sz w:val="21"/>
        </w:rPr>
        <w:t>BrokerVerse notifies you when something needs your action or concerns your work: a quotation sent for approval, a premium payment to verify, a new claim, a settlement waiting for approval, a renewal notice sent, a treaty waiting for approval, a close run to approve. Approval requests go only to users who may approve them.</w:t>
      </w:r>
    </w:p>
    <w:p>
      <w:pPr>
        <w:pStyle w:val="Normal"/>
        <w:spacing w:lineRule="auto" w:line="276" w:before="0" w:after="120"/>
        <w:rPr/>
      </w:pPr>
      <w:r>
        <w:rPr>
          <w:rFonts w:eastAsia="Segoe UI" w:cs="Segoe UI" w:ascii="Segoe UI" w:hAnsi="Segoe UI"/>
          <w:color w:val="101820"/>
          <w:sz w:val="21"/>
        </w:rPr>
        <w:t xml:space="preserve">Select the bell to see the latest notifications. Select a notification to open the record it concerns. Select </w:t>
      </w:r>
      <w:r>
        <w:rPr>
          <w:rFonts w:eastAsia="Segoe UI" w:cs="Segoe UI" w:ascii="Segoe UI" w:hAnsi="Segoe UI"/>
          <w:b/>
          <w:color w:val="101820"/>
          <w:sz w:val="21"/>
        </w:rPr>
        <w:t>See More</w:t>
      </w:r>
      <w:r>
        <w:rPr>
          <w:rFonts w:eastAsia="Segoe UI" w:cs="Segoe UI" w:ascii="Segoe UI" w:hAnsi="Segoe UI"/>
          <w:color w:val="101820"/>
          <w:sz w:val="21"/>
        </w:rPr>
        <w:t xml:space="preserve"> for the full </w:t>
      </w:r>
      <w:r>
        <w:rPr>
          <w:rFonts w:eastAsia="Segoe UI" w:cs="Segoe UI" w:ascii="Segoe UI" w:hAnsi="Segoe UI"/>
          <w:b/>
          <w:color w:val="101820"/>
          <w:sz w:val="21"/>
        </w:rPr>
        <w:t>Notification</w:t>
      </w:r>
      <w:r>
        <w:rPr>
          <w:rFonts w:eastAsia="Segoe UI" w:cs="Segoe UI" w:ascii="Segoe UI" w:hAnsi="Segoe UI"/>
          <w:color w:val="101820"/>
          <w:sz w:val="21"/>
        </w:rPr>
        <w:t xml:space="preserve"> page, which lists every notification with its title, message, type (Info, Task, Approval, Reminder and others) and time.</w:t>
      </w:r>
    </w:p>
    <w:p>
      <w:pPr>
        <w:pStyle w:val="Normal"/>
        <w:jc w:val="center"/>
        <w:rPr/>
      </w:pPr>
      <w:r>
        <w:rPr/>
        <w:drawing>
          <wp:inline distT="0" distB="0" distL="0" distR="0">
            <wp:extent cx="5760085" cy="4469130"/>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 page</w:t>
      </w:r>
    </w:p>
    <w:p>
      <w:pPr>
        <w:pStyle w:val="Heading3"/>
        <w:rPr/>
      </w:pPr>
      <w:r>
        <w:rPr>
          <w:rFonts w:eastAsia="Segoe UI" w:cs="Segoe UI"/>
          <w:b/>
          <w:color w:val="0F4761"/>
          <w:sz w:val="23"/>
        </w:rPr>
        <w:t>4.2.2  Your profile</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to see your name, e-mail address and contact details. Select </w:t>
      </w:r>
      <w:r>
        <w:rPr>
          <w:rFonts w:eastAsia="Segoe UI" w:cs="Segoe UI" w:ascii="Segoe UI" w:hAnsi="Segoe UI"/>
          <w:b/>
          <w:color w:val="101820"/>
          <w:sz w:val="21"/>
        </w:rPr>
        <w:t>Edit Profile</w:t>
      </w:r>
      <w:r>
        <w:rPr>
          <w:rFonts w:eastAsia="Segoe UI" w:cs="Segoe UI" w:ascii="Segoe UI" w:hAnsi="Segoe UI"/>
          <w:color w:val="101820"/>
          <w:sz w:val="21"/>
        </w:rPr>
        <w:t xml:space="preserve"> to correct them.</w:t>
      </w:r>
    </w:p>
    <w:p>
      <w:pPr>
        <w:pStyle w:val="Heading2"/>
        <w:rPr/>
      </w:pPr>
      <w:bookmarkStart w:id="13" w:name="__RefHeading___Toc107281_4049217194"/>
      <w:bookmarkEnd w:id="13"/>
      <w:r>
        <w:rPr>
          <w:rFonts w:eastAsia="Segoe UI" w:cs="Segoe UI"/>
          <w:b/>
          <w:color w:val="0F4761"/>
          <w:sz w:val="26"/>
        </w:rPr>
        <w:t>4.3  Roles and menus</w:t>
      </w:r>
    </w:p>
    <w:p>
      <w:pPr>
        <w:pStyle w:val="Normal"/>
        <w:spacing w:lineRule="auto" w:line="276" w:before="0" w:after="120"/>
        <w:rPr/>
      </w:pPr>
      <w:r>
        <w:rPr>
          <w:rFonts w:eastAsia="Segoe UI" w:cs="Segoe UI" w:ascii="Segoe UI" w:hAnsi="Segoe UI"/>
          <w:color w:val="101820"/>
          <w:sz w:val="21"/>
        </w:rPr>
        <w:t>Your role decides which menus you see and which screens you may open. The server checks the same permissions on every request, so a screen missing from your menu is refused even if its address is typed 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36"/>
        <w:gridCol w:w="2270"/>
        <w:gridCol w:w="3408"/>
      </w:tblGrid>
      <w:tr>
        <w:trPr>
          <w:tblHeader w:val="true"/>
        </w:trPr>
        <w:tc>
          <w:tcPr>
            <w:tcW w:w="33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 (role)</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the screenshots</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Top-level menus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beatriz.lacson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Commission,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Accounts, Commission, Reinsurance, Reports, Master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persona chapter lists the exact items of each menu. The Accounting Manager holds the Accounting role as well, so the menus are the same; the difference is in the approvals.</w:t>
      </w:r>
    </w:p>
    <w:p>
      <w:pPr>
        <w:pStyle w:val="Normal"/>
        <w:spacing w:lineRule="auto" w:line="276" w:before="0" w:after="120"/>
        <w:rPr/>
      </w:pPr>
      <w:r>
        <w:rPr>
          <w:rFonts w:eastAsia="Segoe UI" w:cs="Segoe UI" w:ascii="Segoe UI" w:hAnsi="Segoe UI"/>
          <w:color w:val="101820"/>
          <w:sz w:val="21"/>
        </w:rPr>
        <w:t>If you open the address of a screen your role may not use, BrokerVerse shows that you are not authorised. Choose a screen from your menu instead.</w:t>
      </w:r>
    </w:p>
    <w:p>
      <w:pPr>
        <w:pStyle w:val="Normal"/>
        <w:jc w:val="center"/>
        <w:rPr/>
      </w:pPr>
      <w:r>
        <w:rPr/>
        <w:drawing>
          <wp:inline distT="0" distB="0" distL="0" distR="0">
            <wp:extent cx="5760085" cy="1285875"/>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1285875"/>
                    </a:xfrm>
                    <a:prstGeom prst="rect">
                      <a:avLst/>
                    </a:prstGeom>
                  </pic:spPr>
                </pic:pic>
              </a:graphicData>
            </a:graphic>
          </wp:inline>
        </w:drawing>
      </w:r>
    </w:p>
    <w:p>
      <w:pPr>
        <w:pStyle w:val="Normal"/>
        <w:jc w:val="center"/>
        <w:rPr/>
      </w:pPr>
      <w:r>
        <w:rPr>
          <w:rFonts w:eastAsia="Segoe UI" w:cs="Segoe UI" w:ascii="Segoe UI" w:hAnsi="Segoe UI"/>
          <w:i/>
          <w:color w:val="555F6D"/>
          <w:sz w:val="18"/>
        </w:rPr>
        <w:t>A Claims user opening Accounts &gt; Receipts by its address</w:t>
      </w:r>
    </w:p>
    <w:p>
      <w:pPr>
        <w:pStyle w:val="Heading2"/>
        <w:rPr/>
      </w:pPr>
      <w:bookmarkStart w:id="14" w:name="__RefHeading___Toc107283_4049217194"/>
      <w:bookmarkEnd w:id="14"/>
      <w:r>
        <w:rPr>
          <w:rFonts w:eastAsia="Segoe UI" w:cs="Segoe UI"/>
          <w:b/>
          <w:color w:val="0F4761"/>
          <w:sz w:val="26"/>
        </w:rPr>
        <w:t>4.4  Working with lists</w:t>
      </w:r>
    </w:p>
    <w:p>
      <w:pPr>
        <w:pStyle w:val="Normal"/>
        <w:spacing w:lineRule="auto" w:line="276" w:before="0" w:after="120"/>
        <w:rPr/>
      </w:pPr>
      <w:r>
        <w:rPr>
          <w:rFonts w:eastAsia="Segoe UI" w:cs="Segoe UI" w:ascii="Segoe UI" w:hAnsi="Segoe UI"/>
          <w:color w:val="101820"/>
          <w:sz w:val="21"/>
        </w:rPr>
        <w:t>Most screens open on a list. The lists work the same way everywhere:</w:t>
      </w:r>
    </w:p>
    <w:p>
      <w:pPr>
        <w:pStyle w:val="Normal"/>
        <w:numPr>
          <w:ilvl w:val="0"/>
          <w:numId w:val="1"/>
        </w:numPr>
        <w:spacing w:before="0" w:after="60"/>
        <w:rPr/>
      </w:pPr>
      <w:r>
        <w:rPr>
          <w:rFonts w:eastAsia="Segoe UI" w:cs="Segoe UI" w:ascii="Segoe UI" w:hAnsi="Segoe UI"/>
          <w:b/>
          <w:color w:val="101820"/>
          <w:sz w:val="21"/>
        </w:rPr>
        <w:t>Search</w:t>
      </w:r>
      <w:r>
        <w:rPr>
          <w:rFonts w:eastAsia="Segoe UI" w:cs="Segoe UI" w:ascii="Segoe UI" w:hAnsi="Segoe UI"/>
          <w:color w:val="101820"/>
          <w:sz w:val="21"/>
        </w:rPr>
        <w:t xml:space="preserve">: type in the search box above the list. Some lists have a field selector next to the box (for example </w:t>
      </w:r>
      <w:r>
        <w:rPr>
          <w:rFonts w:eastAsia="Segoe UI" w:cs="Segoe UI" w:ascii="Segoe UI" w:hAnsi="Segoe UI"/>
          <w:b/>
          <w:color w:val="101820"/>
          <w:sz w:val="21"/>
        </w:rPr>
        <w:t>Policy Number</w:t>
      </w:r>
      <w:r>
        <w:rPr>
          <w:rFonts w:eastAsia="Segoe UI" w:cs="Segoe UI" w:ascii="Segoe UI" w:hAnsi="Segoe UI"/>
          <w:color w:val="101820"/>
          <w:sz w:val="21"/>
        </w:rPr>
        <w:t>) that sets which column is searched.</w:t>
      </w:r>
    </w:p>
    <w:p>
      <w:pPr>
        <w:pStyle w:val="Normal"/>
        <w:numPr>
          <w:ilvl w:val="0"/>
          <w:numId w:val="1"/>
        </w:numPr>
        <w:spacing w:before="0" w:after="60"/>
        <w:rPr/>
      </w:pPr>
      <w:r>
        <w:rPr>
          <w:rFonts w:eastAsia="Segoe UI" w:cs="Segoe UI" w:ascii="Segoe UI" w:hAnsi="Segoe UI"/>
          <w:b/>
          <w:color w:val="101820"/>
          <w:sz w:val="21"/>
        </w:rPr>
        <w:t>Filters</w:t>
      </w:r>
      <w:r>
        <w:rPr>
          <w:rFonts w:eastAsia="Segoe UI" w:cs="Segoe UI" w:ascii="Segoe UI" w:hAnsi="Segoe UI"/>
          <w:color w:val="101820"/>
          <w:sz w:val="21"/>
        </w:rPr>
        <w:t xml:space="preserve">: select </w:t>
      </w:r>
      <w:r>
        <w:rPr>
          <w:rFonts w:eastAsia="Segoe UI" w:cs="Segoe UI" w:ascii="Segoe UI" w:hAnsi="Segoe UI"/>
          <w:b/>
          <w:color w:val="101820"/>
          <w:sz w:val="21"/>
        </w:rPr>
        <w:t>Show Filters</w:t>
      </w:r>
      <w:r>
        <w:rPr>
          <w:rFonts w:eastAsia="Segoe UI" w:cs="Segoe UI" w:ascii="Segoe UI" w:hAnsi="Segoe UI"/>
          <w:color w:val="101820"/>
          <w:sz w:val="21"/>
        </w:rPr>
        <w:t xml:space="preserve"> where offered, choose the values (status, product, insurer, dates, amounts) and select </w:t>
      </w:r>
      <w:r>
        <w:rPr>
          <w:rFonts w:eastAsia="Segoe UI" w:cs="Segoe UI" w:ascii="Segoe UI" w:hAnsi="Segoe UI"/>
          <w:b/>
          <w:color w:val="101820"/>
          <w:sz w:val="21"/>
        </w:rPr>
        <w:t>Apply Filters</w:t>
      </w:r>
      <w:r>
        <w:rPr>
          <w:rFonts w:eastAsia="Segoe UI" w:cs="Segoe UI" w:ascii="Segoe UI" w:hAnsi="Segoe UI"/>
          <w:color w:val="101820"/>
          <w:sz w:val="21"/>
        </w:rPr>
        <w:t xml:space="preserve">. </w:t>
      </w:r>
      <w:r>
        <w:rPr>
          <w:rFonts w:eastAsia="Segoe UI" w:cs="Segoe UI" w:ascii="Segoe UI" w:hAnsi="Segoe UI"/>
          <w:b/>
          <w:color w:val="101820"/>
          <w:sz w:val="21"/>
        </w:rPr>
        <w:t>Clear Filters</w:t>
      </w:r>
      <w:r>
        <w:rPr>
          <w:rFonts w:eastAsia="Segoe UI" w:cs="Segoe UI" w:ascii="Segoe UI" w:hAnsi="Segoe UI"/>
          <w:color w:val="101820"/>
          <w:sz w:val="21"/>
        </w:rPr>
        <w:t xml:space="preserve"> removes them; </w:t>
      </w:r>
      <w:r>
        <w:rPr>
          <w:rFonts w:eastAsia="Segoe UI" w:cs="Segoe UI" w:ascii="Segoe UI" w:hAnsi="Segoe UI"/>
          <w:b/>
          <w:color w:val="101820"/>
          <w:sz w:val="21"/>
        </w:rPr>
        <w:t>Hide Filters</w:t>
      </w:r>
      <w:r>
        <w:rPr>
          <w:rFonts w:eastAsia="Segoe UI" w:cs="Segoe UI" w:ascii="Segoe UI" w:hAnsi="Segoe UI"/>
          <w:color w:val="101820"/>
          <w:sz w:val="21"/>
        </w:rPr>
        <w:t xml:space="preserve"> closes the panel.</w:t>
      </w:r>
    </w:p>
    <w:p>
      <w:pPr>
        <w:pStyle w:val="Normal"/>
        <w:numPr>
          <w:ilvl w:val="0"/>
          <w:numId w:val="1"/>
        </w:numPr>
        <w:spacing w:before="0" w:after="60"/>
        <w:rPr/>
      </w:pPr>
      <w:r>
        <w:rPr>
          <w:rFonts w:eastAsia="Segoe UI" w:cs="Segoe UI" w:ascii="Segoe UI" w:hAnsi="Segoe UI"/>
          <w:b/>
          <w:color w:val="101820"/>
          <w:sz w:val="21"/>
        </w:rPr>
        <w:t>Tabs and cards</w:t>
      </w:r>
      <w:r>
        <w:rPr>
          <w:rFonts w:eastAsia="Segoe UI" w:cs="Segoe UI" w:ascii="Segoe UI" w:hAnsi="Segoe UI"/>
          <w:color w:val="101820"/>
          <w:sz w:val="21"/>
        </w:rPr>
        <w:t xml:space="preserve">: many lists have status cards or tabs at the top (for example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on Prospects). Select a card or tab to narrow the list.</w:t>
      </w:r>
    </w:p>
    <w:p>
      <w:pPr>
        <w:pStyle w:val="Normal"/>
        <w:numPr>
          <w:ilvl w:val="0"/>
          <w:numId w:val="1"/>
        </w:numPr>
        <w:spacing w:before="0" w:after="60"/>
        <w:rPr/>
      </w:pPr>
      <w:r>
        <w:rPr>
          <w:rFonts w:eastAsia="Segoe UI" w:cs="Segoe UI" w:ascii="Segoe UI" w:hAnsi="Segoe UI"/>
          <w:b/>
          <w:color w:val="101820"/>
          <w:sz w:val="21"/>
        </w:rPr>
        <w:t>Sorting</w:t>
      </w:r>
      <w:r>
        <w:rPr>
          <w:rFonts w:eastAsia="Segoe UI" w:cs="Segoe UI" w:ascii="Segoe UI" w:hAnsi="Segoe UI"/>
          <w:color w:val="101820"/>
          <w:sz w:val="21"/>
        </w:rPr>
        <w:t>: select a column heading to sort by it; select it again to reverse the order.</w:t>
      </w:r>
    </w:p>
    <w:p>
      <w:pPr>
        <w:pStyle w:val="Normal"/>
        <w:numPr>
          <w:ilvl w:val="0"/>
          <w:numId w:val="1"/>
        </w:numPr>
        <w:spacing w:before="0" w:after="60"/>
        <w:rPr/>
      </w:pPr>
      <w:r>
        <w:rPr>
          <w:rFonts w:eastAsia="Segoe UI" w:cs="Segoe UI" w:ascii="Segoe UI" w:hAnsi="Segoe UI"/>
          <w:b/>
          <w:color w:val="101820"/>
          <w:sz w:val="21"/>
        </w:rPr>
        <w:t>Paging</w:t>
      </w:r>
      <w:r>
        <w:rPr>
          <w:rFonts w:eastAsia="Segoe UI" w:cs="Segoe UI" w:ascii="Segoe UI" w:hAnsi="Segoe UI"/>
          <w:color w:val="101820"/>
          <w:sz w:val="21"/>
        </w:rPr>
        <w:t>: lists are paged by the server, 20, 50 or 100 rows per page (</w:t>
      </w:r>
      <w:r>
        <w:rPr>
          <w:rFonts w:eastAsia="Segoe UI" w:cs="Segoe UI" w:ascii="Segoe UI" w:hAnsi="Segoe UI"/>
          <w:b/>
          <w:color w:val="101820"/>
          <w:sz w:val="21"/>
        </w:rPr>
        <w:t>Rows per page</w:t>
      </w:r>
      <w:r>
        <w:rPr>
          <w:rFonts w:eastAsia="Segoe UI" w:cs="Segoe UI" w:ascii="Segoe UI" w:hAnsi="Segoe UI"/>
          <w:color w:val="101820"/>
          <w:sz w:val="21"/>
        </w:rPr>
        <w:t>). Use the arrows at the bottom right (first, previous, next, last page). The text next to the arrows shows the rows on screen and the total, for example 1 - 20 of 82. Search and filters apply to the whole list, not only to the page on screen.</w:t>
      </w:r>
    </w:p>
    <w:p>
      <w:pPr>
        <w:pStyle w:val="Normal"/>
        <w:numPr>
          <w:ilvl w:val="0"/>
          <w:numId w:val="1"/>
        </w:numPr>
        <w:spacing w:before="0" w:after="60"/>
        <w:rPr/>
      </w:pPr>
      <w:r>
        <w:rPr>
          <w:rFonts w:eastAsia="Segoe UI" w:cs="Segoe UI" w:ascii="Segoe UI" w:hAnsi="Segoe UI"/>
          <w:b/>
          <w:color w:val="101820"/>
          <w:sz w:val="21"/>
        </w:rPr>
        <w:t>Row actions</w:t>
      </w:r>
      <w:r>
        <w:rPr>
          <w:rFonts w:eastAsia="Segoe UI" w:cs="Segoe UI" w:ascii="Segoe UI" w:hAnsi="Segoe UI"/>
          <w:color w:val="101820"/>
          <w:sz w:val="21"/>
        </w:rPr>
        <w:t>: at the end of the row. The arrow or eye opens the record, the pencil edits it, the three dots (</w:t>
      </w:r>
      <w:r>
        <w:rPr>
          <w:rFonts w:eastAsia="Segoe UI" w:cs="Segoe UI" w:ascii="Segoe UI" w:hAnsi="Segoe UI"/>
          <w:b/>
          <w:color w:val="101820"/>
          <w:sz w:val="21"/>
        </w:rPr>
        <w:t>More Actions</w:t>
      </w:r>
      <w:r>
        <w:rPr>
          <w:rFonts w:eastAsia="Segoe UI" w:cs="Segoe UI" w:ascii="Segoe UI" w:hAnsi="Segoe UI"/>
          <w:color w:val="101820"/>
          <w:sz w:val="21"/>
        </w:rPr>
        <w:t>) open the other actions. An action that does not apply to the row is greyed out.</w:t>
      </w:r>
    </w:p>
    <w:p>
      <w:pPr>
        <w:pStyle w:val="Normal"/>
        <w:numPr>
          <w:ilvl w:val="0"/>
          <w:numId w:val="1"/>
        </w:numPr>
        <w:spacing w:before="0" w:after="60"/>
        <w:rPr/>
      </w:pPr>
      <w:r>
        <w:rPr>
          <w:rFonts w:eastAsia="Segoe UI" w:cs="Segoe UI" w:ascii="Segoe UI" w:hAnsi="Segoe UI"/>
          <w:b/>
          <w:color w:val="101820"/>
          <w:sz w:val="21"/>
        </w:rPr>
        <w:t>Export</w:t>
      </w:r>
      <w:r>
        <w:rPr>
          <w:rFonts w:eastAsia="Segoe UI" w:cs="Segoe UI" w:ascii="Segoe UI" w:hAnsi="Segoe UI"/>
          <w:color w:val="101820"/>
          <w:sz w:val="21"/>
        </w:rPr>
        <w:t xml:space="preserve">: lists that can be exported have </w:t>
      </w:r>
      <w:r>
        <w:rPr>
          <w:rFonts w:eastAsia="Segoe UI" w:cs="Segoe UI" w:ascii="Segoe UI" w:hAnsi="Segoe UI"/>
          <w:b/>
          <w:color w:val="101820"/>
          <w:sz w:val="21"/>
        </w:rPr>
        <w:t>Export</w:t>
      </w:r>
      <w:r>
        <w:rPr>
          <w:rFonts w:eastAsia="Segoe UI" w:cs="Segoe UI" w:ascii="Segoe UI" w:hAnsi="Segoe UI"/>
          <w:color w:val="101820"/>
          <w:sz w:val="21"/>
        </w:rPr>
        <w:t xml:space="preserve">, </w:t>
      </w:r>
      <w:r>
        <w:rPr>
          <w:rFonts w:eastAsia="Segoe UI" w:cs="Segoe UI" w:ascii="Segoe UI" w:hAnsi="Segoe UI"/>
          <w:b/>
          <w:color w:val="101820"/>
          <w:sz w:val="21"/>
        </w:rPr>
        <w:t>Export CSV</w:t>
      </w:r>
      <w:r>
        <w:rPr>
          <w:rFonts w:eastAsia="Segoe UI" w:cs="Segoe UI" w:ascii="Segoe UI" w:hAnsi="Segoe UI"/>
          <w:color w:val="101820"/>
          <w:sz w:val="21"/>
        </w:rPr>
        <w:t xml:space="preserve">, </w:t>
      </w:r>
      <w:r>
        <w:rPr>
          <w:rFonts w:eastAsia="Segoe UI" w:cs="Segoe UI" w:ascii="Segoe UI" w:hAnsi="Segoe UI"/>
          <w:b/>
          <w:color w:val="101820"/>
          <w:sz w:val="21"/>
        </w:rPr>
        <w:t>Excel</w:t>
      </w:r>
      <w:r>
        <w:rPr>
          <w:rFonts w:eastAsia="Segoe UI" w:cs="Segoe UI" w:ascii="Segoe UI" w:hAnsi="Segoe UI"/>
          <w:color w:val="101820"/>
          <w:sz w:val="21"/>
        </w:rPr>
        <w:t xml:space="preserve"> or </w:t>
      </w:r>
      <w:r>
        <w:rPr>
          <w:rFonts w:eastAsia="Segoe UI" w:cs="Segoe UI" w:ascii="Segoe UI" w:hAnsi="Segoe UI"/>
          <w:b/>
          <w:color w:val="101820"/>
          <w:sz w:val="21"/>
        </w:rPr>
        <w:t>Generate Report</w:t>
      </w:r>
      <w:r>
        <w:rPr>
          <w:rFonts w:eastAsia="Segoe UI" w:cs="Segoe UI" w:ascii="Segoe UI" w:hAnsi="Segoe UI"/>
          <w:color w:val="101820"/>
          <w:sz w:val="21"/>
        </w:rPr>
        <w:t>. The file downloads to your computer.</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 with the filters opened</w:t>
      </w:r>
    </w:p>
    <w:p>
      <w:pPr>
        <w:pStyle w:val="Normal"/>
        <w:spacing w:lineRule="auto" w:line="276" w:before="0" w:after="120"/>
        <w:rPr/>
      </w:pPr>
      <w:r>
        <w:rPr>
          <w:rFonts w:eastAsia="Segoe UI" w:cs="Segoe UI" w:ascii="Segoe UI" w:hAnsi="Segoe UI"/>
          <w:color w:val="101820"/>
          <w:sz w:val="21"/>
        </w:rPr>
        <w:t>Status tags are coloured: green for completed, active or paid; amber for pending or waiting; red for rejected, overdue or declined.</w:t>
      </w:r>
    </w:p>
    <w:p>
      <w:pPr>
        <w:pStyle w:val="Heading2"/>
        <w:rPr/>
      </w:pPr>
      <w:bookmarkStart w:id="15" w:name="__RefHeading___Toc107285_4049217194"/>
      <w:bookmarkEnd w:id="15"/>
      <w:r>
        <w:rPr>
          <w:rFonts w:eastAsia="Segoe UI" w:cs="Segoe UI"/>
          <w:b/>
          <w:color w:val="0F4761"/>
          <w:sz w:val="26"/>
        </w:rPr>
        <w:t>4.5  Working with forms</w:t>
      </w:r>
    </w:p>
    <w:p>
      <w:pPr>
        <w:pStyle w:val="Normal"/>
        <w:numPr>
          <w:ilvl w:val="0"/>
          <w:numId w:val="1"/>
        </w:numPr>
        <w:spacing w:before="0" w:after="60"/>
        <w:rPr/>
      </w:pPr>
      <w:r>
        <w:rPr>
          <w:rFonts w:eastAsia="Segoe UI" w:cs="Segoe UI" w:ascii="Segoe UI" w:hAnsi="Segoe UI"/>
          <w:color w:val="101820"/>
          <w:sz w:val="21"/>
        </w:rPr>
        <w:t>Required fields are marked with a red asterisk (*). A form cannot be saved until every required field is filled in.</w:t>
      </w:r>
    </w:p>
    <w:p>
      <w:pPr>
        <w:pStyle w:val="Normal"/>
        <w:numPr>
          <w:ilvl w:val="0"/>
          <w:numId w:val="1"/>
        </w:numPr>
        <w:spacing w:before="0" w:after="60"/>
        <w:rPr/>
      </w:pPr>
      <w:r>
        <w:rPr>
          <w:rFonts w:eastAsia="Segoe UI" w:cs="Segoe UI" w:ascii="Segoe UI" w:hAnsi="Segoe UI"/>
          <w:color w:val="101820"/>
          <w:sz w:val="21"/>
        </w:rPr>
        <w:t>Lists in a form (insurer, product, province, city) offer only active master records. Where one list depends on another, choose the first one first: country, then province, then city; vehicle brand, then model, then variant.</w:t>
      </w:r>
    </w:p>
    <w:p>
      <w:pPr>
        <w:pStyle w:val="Normal"/>
        <w:numPr>
          <w:ilvl w:val="0"/>
          <w:numId w:val="1"/>
        </w:numPr>
        <w:spacing w:before="0" w:after="60"/>
        <w:rPr/>
      </w:pPr>
      <w:r>
        <w:rPr>
          <w:rFonts w:eastAsia="Segoe UI" w:cs="Segoe UI" w:ascii="Segoe UI" w:hAnsi="Segoe UI"/>
          <w:color w:val="101820"/>
          <w:sz w:val="21"/>
        </w:rPr>
        <w:t>When a value breaks a rule, the message appears in red under the field or in a message box at the top, for example a mobile number that is not a Philippine number, a date of loss outside the policy period, or co-insurance shares that do not total 100%. Correct the field and save again.</w:t>
      </w:r>
    </w:p>
    <w:p>
      <w:pPr>
        <w:pStyle w:val="Normal"/>
        <w:numPr>
          <w:ilvl w:val="0"/>
          <w:numId w:val="1"/>
        </w:numPr>
        <w:spacing w:before="0" w:after="60"/>
        <w:rPr/>
      </w:pPr>
      <w:r>
        <w:rPr>
          <w:rFonts w:eastAsia="Segoe UI" w:cs="Segoe UI" w:ascii="Segoe UI" w:hAnsi="Segoe UI"/>
          <w:color w:val="101820"/>
          <w:sz w:val="21"/>
        </w:rPr>
        <w:t>Add and edit forms of the masters and of several accounting screens open as a panel on the right-hand side of the screen. Longer forms (a request for quotation, a placement slip, a receipt) open as a page of their own.</w:t>
      </w:r>
    </w:p>
    <w:p>
      <w:pPr>
        <w:pStyle w:val="Normal"/>
        <w:numPr>
          <w:ilvl w:val="0"/>
          <w:numId w:val="1"/>
        </w:numPr>
        <w:spacing w:before="0" w:after="60"/>
        <w:rPr/>
      </w:pPr>
      <w:r>
        <w:rPr>
          <w:rFonts w:eastAsia="Segoe UI" w:cs="Segoe UI" w:ascii="Segoe UI" w:hAnsi="Segoe UI"/>
          <w:b/>
          <w:color w:val="101820"/>
          <w:sz w:val="21"/>
        </w:rPr>
        <w:t>Save</w:t>
      </w:r>
      <w:r>
        <w:rPr>
          <w:rFonts w:eastAsia="Segoe UI" w:cs="Segoe UI" w:ascii="Segoe UI" w:hAnsi="Segoe UI"/>
          <w:color w:val="101820"/>
          <w:sz w:val="21"/>
        </w:rPr>
        <w:t xml:space="preserve"> (or the action named on the button, for example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Record payment</w:t>
      </w:r>
      <w:r>
        <w:rPr>
          <w:rFonts w:eastAsia="Segoe UI" w:cs="Segoe UI" w:ascii="Segoe UI" w:hAnsi="Segoe UI"/>
          <w:color w:val="101820"/>
          <w:sz w:val="21"/>
        </w:rPr>
        <w:t xml:space="preserve">, </w:t>
      </w:r>
      <w:r>
        <w:rPr>
          <w:rFonts w:eastAsia="Segoe UI" w:cs="Segoe UI" w:ascii="Segoe UI" w:hAnsi="Segoe UI"/>
          <w:b/>
          <w:color w:val="101820"/>
          <w:sz w:val="21"/>
        </w:rPr>
        <w:t>Create Placement Slip</w:t>
      </w:r>
      <w:r>
        <w:rPr>
          <w:rFonts w:eastAsia="Segoe UI" w:cs="Segoe UI" w:ascii="Segoe UI" w:hAnsi="Segoe UI"/>
          <w:color w:val="101820"/>
          <w:sz w:val="21"/>
        </w:rPr>
        <w:t xml:space="preserve">) stores the record. </w:t>
      </w:r>
      <w:r>
        <w:rPr>
          <w:rFonts w:eastAsia="Segoe UI" w:cs="Segoe UI" w:ascii="Segoe UI" w:hAnsi="Segoe UI"/>
          <w:b/>
          <w:color w:val="101820"/>
          <w:sz w:val="21"/>
        </w:rPr>
        <w:t>Cancel</w:t>
      </w:r>
      <w:r>
        <w:rPr>
          <w:rFonts w:eastAsia="Segoe UI" w:cs="Segoe UI" w:ascii="Segoe UI" w:hAnsi="Segoe UI"/>
          <w:color w:val="101820"/>
          <w:sz w:val="21"/>
        </w:rPr>
        <w:t xml:space="preserve">, </w:t>
      </w:r>
      <w:r>
        <w:rPr>
          <w:rFonts w:eastAsia="Segoe UI" w:cs="Segoe UI" w:ascii="Segoe UI" w:hAnsi="Segoe UI"/>
          <w:b/>
          <w:color w:val="101820"/>
          <w:sz w:val="21"/>
        </w:rPr>
        <w:t>Back</w:t>
      </w:r>
      <w:r>
        <w:rPr>
          <w:rFonts w:eastAsia="Segoe UI" w:cs="Segoe UI" w:ascii="Segoe UI" w:hAnsi="Segoe UI"/>
          <w:color w:val="101820"/>
          <w:sz w:val="21"/>
        </w:rPr>
        <w:t xml:space="preserve"> or the X closes the form without saving. Nothing is stored until you save.</w:t>
      </w:r>
    </w:p>
    <w:p>
      <w:pPr>
        <w:pStyle w:val="Normal"/>
        <w:numPr>
          <w:ilvl w:val="0"/>
          <w:numId w:val="1"/>
        </w:numPr>
        <w:spacing w:before="0" w:after="60"/>
        <w:rPr/>
      </w:pPr>
      <w:r>
        <w:rPr>
          <w:rFonts w:eastAsia="Segoe UI" w:cs="Segoe UI" w:ascii="Segoe UI" w:hAnsi="Segoe UI"/>
          <w:color w:val="101820"/>
          <w:sz w:val="21"/>
        </w:rPr>
        <w:t>After a save the system shows a confirmation at the top right and, for most records, the number it issued (for example PS-2026-00023). Many lists highlight the new row.</w:t>
      </w:r>
    </w:p>
    <w:p>
      <w:pPr>
        <w:pStyle w:val="Normal"/>
        <w:numPr>
          <w:ilvl w:val="0"/>
          <w:numId w:val="1"/>
        </w:numPr>
        <w:spacing w:before="0" w:after="60"/>
        <w:rPr/>
      </w:pPr>
      <w:r>
        <w:rPr>
          <w:rFonts w:eastAsia="Segoe UI" w:cs="Segoe UI" w:ascii="Segoe UI" w:hAnsi="Segoe UI"/>
          <w:color w:val="101820"/>
          <w:sz w:val="21"/>
        </w:rPr>
        <w:t xml:space="preserve">Uploads accept the formats named under the field, for example PNG, JPEG or PDF up to 2 MB for claim documents, .xlsx or .csv up to 10 MB for bulk uploads. Bulk uploads offer </w:t>
      </w:r>
      <w:r>
        <w:rPr>
          <w:rFonts w:eastAsia="Segoe UI" w:cs="Segoe UI" w:ascii="Segoe UI" w:hAnsi="Segoe UI"/>
          <w:b/>
          <w:color w:val="101820"/>
          <w:sz w:val="21"/>
        </w:rPr>
        <w:t>Download Template</w:t>
      </w:r>
      <w:r>
        <w:rPr>
          <w:rFonts w:eastAsia="Segoe UI" w:cs="Segoe UI" w:ascii="Segoe UI" w:hAnsi="Segoe UI"/>
          <w:color w:val="101820"/>
          <w:sz w:val="21"/>
        </w:rPr>
        <w:t>: use it, because the template has the exact columns.</w:t>
      </w:r>
    </w:p>
    <w:p>
      <w:pPr>
        <w:pStyle w:val="Heading2"/>
        <w:rPr/>
      </w:pPr>
      <w:bookmarkStart w:id="16" w:name="__RefHeading___Toc107287_4049217194"/>
      <w:bookmarkEnd w:id="16"/>
      <w:r>
        <w:rPr>
          <w:rFonts w:eastAsia="Segoe UI" w:cs="Segoe UI"/>
          <w:b/>
          <w:color w:val="0F4761"/>
          <w:sz w:val="26"/>
        </w:rPr>
        <w:t>4.6  Statuses, approvals and maker-checker</w:t>
      </w:r>
    </w:p>
    <w:p>
      <w:pPr>
        <w:pStyle w:val="Normal"/>
        <w:spacing w:lineRule="auto" w:line="276" w:before="0" w:after="120"/>
        <w:rPr/>
      </w:pPr>
      <w:r>
        <w:rPr>
          <w:rFonts w:eastAsia="Segoe UI" w:cs="Segoe UI" w:ascii="Segoe UI" w:hAnsi="Segoe UI"/>
          <w:color w:val="101820"/>
          <w:sz w:val="21"/>
        </w:rPr>
        <w:t>Every record carries a status that tells where it is in its life: a quotation goes from Draft to Pending Customer to Customer Accepted to Converted to Policy; a placement slip from Draft to Sent to insurer to Bound to Policy issued. The persona chapters give the statuses of each record and the module reference lists them all.</w:t>
      </w:r>
    </w:p>
    <w:p>
      <w:pPr>
        <w:pStyle w:val="Normal"/>
        <w:spacing w:lineRule="auto" w:line="276" w:before="0" w:after="120"/>
        <w:rPr/>
      </w:pPr>
      <w:r>
        <w:rPr>
          <w:rFonts w:eastAsia="Segoe UI" w:cs="Segoe UI" w:ascii="Segoe UI" w:hAnsi="Segoe UI"/>
          <w:color w:val="101820"/>
          <w:sz w:val="21"/>
        </w:rPr>
        <w:t>Maker-checker means that the user who enters a transaction cannot approve it. BrokerVerse refuses the approval with a message when the maker tries, and notifies the users who may approve. The maker-checker points are: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26"/>
        <w:gridCol w:w="2035"/>
        <w:gridCol w:w="2325"/>
        <w:gridCol w:w="2326"/>
      </w:tblGrid>
      <w:tr>
        <w:trPr>
          <w:tblHeader w:val="true"/>
        </w:trPr>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Transaction</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Maker</w:t>
            </w:r>
          </w:p>
        </w:tc>
        <w:tc>
          <w:tcPr>
            <w:tcW w:w="2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Checker</w:t>
            </w:r>
          </w:p>
        </w:tc>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creator of the quotation</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the Processing Team is notified</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workflow.quote_maker_checker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&amp; Marketing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Claims user who submits it</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Claims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claims.settlement_maker_checker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 or the 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adjustment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within the Remittance approval or Remittance settlement limit (Accounting up to PHP 1,000,000.00, Accounting Manager without limit)</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(direct bill)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accounting.period_close_requires_approval</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insurer statement reconciliation, credit control decisions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and account determination changes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or System Administrator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of them, on Configuration Approvals</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reinsurance.treaty_requires_approval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top of maker-checker, the </w:t>
      </w:r>
      <w:r>
        <w:rPr>
          <w:rFonts w:eastAsia="Segoe UI" w:cs="Segoe UI" w:ascii="Segoe UI" w:hAnsi="Segoe UI"/>
          <w:b/>
          <w:color w:val="101820"/>
          <w:sz w:val="21"/>
        </w:rPr>
        <w:t>Authority Matrix</w:t>
      </w:r>
      <w:r>
        <w:rPr>
          <w:rFonts w:eastAsia="Segoe UI" w:cs="Segoe UI" w:ascii="Segoe UI" w:hAnsi="Segoe UI"/>
          <w:color w:val="101820"/>
          <w:sz w:val="21"/>
        </w:rPr>
        <w:t xml:space="preserve"> (Master &gt; Generals &gt; User Management) can set the largest amount each role may approve per transaction type, and </w:t>
      </w:r>
      <w:r>
        <w:rPr>
          <w:rFonts w:eastAsia="Segoe UI" w:cs="Segoe UI" w:ascii="Segoe UI" w:hAnsi="Segoe UI"/>
          <w:b/>
          <w:color w:val="101820"/>
          <w:sz w:val="21"/>
        </w:rPr>
        <w:t>Segregation of Duties</w:t>
      </w:r>
      <w:r>
        <w:rPr>
          <w:rFonts w:eastAsia="Segoe UI" w:cs="Segoe UI" w:ascii="Segoe UI" w:hAnsi="Segoe UI"/>
          <w:color w:val="101820"/>
          <w:sz w:val="21"/>
        </w:rPr>
        <w:t xml:space="preserve"> rules stop conflicting roles being given to the same person. </w:t>
      </w:r>
      <w:r>
        <w:rPr>
          <w:rFonts w:eastAsia="Consolas" w:cs="Consolas" w:ascii="Consolas" w:hAnsi="Consolas"/>
          <w:color w:val="101820"/>
          <w:sz w:val="19"/>
        </w:rPr>
        <w:t>access.authority_enforced</w:t>
      </w:r>
      <w:r>
        <w:rPr>
          <w:rFonts w:eastAsia="Segoe UI" w:cs="Segoe UI" w:ascii="Segoe UI" w:hAnsi="Segoe UI"/>
          <w:color w:val="101820"/>
          <w:sz w:val="21"/>
        </w:rPr>
        <w:t xml:space="preserve"> and </w:t>
      </w:r>
      <w:r>
        <w:rPr>
          <w:rFonts w:eastAsia="Consolas" w:cs="Consolas" w:ascii="Consolas" w:hAnsi="Consolas"/>
          <w:color w:val="101820"/>
          <w:sz w:val="19"/>
        </w:rPr>
        <w:t>access.sod_enforced</w:t>
      </w:r>
      <w:r>
        <w:rPr>
          <w:rFonts w:eastAsia="Segoe UI" w:cs="Segoe UI" w:ascii="Segoe UI" w:hAnsi="Segoe UI"/>
          <w:color w:val="101820"/>
          <w:sz w:val="21"/>
        </w:rPr>
        <w:t xml:space="preserve"> are on in the delivered set-up.</w:t>
      </w:r>
    </w:p>
    <w:p>
      <w:pPr>
        <w:pStyle w:val="Heading2"/>
        <w:rPr/>
      </w:pPr>
      <w:bookmarkStart w:id="17" w:name="__RefHeading___Toc107289_4049217194"/>
      <w:bookmarkEnd w:id="17"/>
      <w:r>
        <w:rPr>
          <w:rFonts w:eastAsia="Segoe UI" w:cs="Segoe UI"/>
          <w:b/>
          <w:color w:val="0F4761"/>
          <w:sz w:val="26"/>
        </w:rPr>
        <w:t>4.7  Where the audit trail is</w:t>
      </w:r>
    </w:p>
    <w:p>
      <w:pPr>
        <w:pStyle w:val="Normal"/>
        <w:spacing w:lineRule="auto" w:line="276" w:before="0" w:after="120"/>
        <w:rPr/>
      </w:pPr>
      <w:r>
        <w:rPr>
          <w:rFonts w:eastAsia="Segoe UI" w:cs="Segoe UI" w:ascii="Segoe UI" w:hAnsi="Segoe UI"/>
          <w:color w:val="101820"/>
          <w:sz w:val="21"/>
        </w:rPr>
        <w:t>BrokerVerse records every create, change, approval, report run and sign-in with the user, the time and the values before and after.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3433"/>
        <w:gridCol w:w="2147"/>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w:t>
            </w:r>
          </w:p>
        </w:tc>
        <w:tc>
          <w:tcPr>
            <w:tcW w:w="2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Audit Trail</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searchable by record type, record ID, user and dates.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Audit Trail</w:t>
            </w:r>
            <w:r>
              <w:rPr>
                <w:rFonts w:eastAsia="Segoe UI" w:cs="Segoe UI" w:ascii="Segoe UI" w:hAnsi="Segoe UI"/>
                <w:color w:val="101820"/>
                <w:kern w:val="0"/>
                <w:sz w:val="18"/>
                <w:szCs w:val="24"/>
                <w:lang w:val="en-US" w:eastAsia="ja-JP" w:bidi="ar-SA"/>
              </w:rPr>
              <w:t xml:space="preserve"> tab of a quotation</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the quotation with date, field, old and new value and user.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who open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audit trail (icon on the claims list)</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status change of the claim with user and time.</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 of a period, reconciliation, close run or posting rule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status change with user, time and remarks.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Prepared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Submitted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Approved by</w:t>
            </w:r>
            <w:r>
              <w:rPr>
                <w:rFonts w:eastAsia="Segoe UI" w:cs="Segoe UI" w:ascii="Segoe UI" w:hAnsi="Segoe UI"/>
                <w:color w:val="101820"/>
                <w:kern w:val="0"/>
                <w:sz w:val="18"/>
                <w:szCs w:val="24"/>
                <w:lang w:val="en-US" w:eastAsia="ja-JP" w:bidi="ar-SA"/>
              </w:rPr>
              <w:t xml:space="preserve"> on approval screens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and the checker of the record.</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of the screen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Generals &gt; User Management &gt; User, </w:t>
            </w:r>
            <w:r>
              <w:rPr>
                <w:rFonts w:eastAsia="Segoe UI" w:cs="Segoe UI" w:ascii="Segoe UI" w:hAnsi="Segoe UI"/>
                <w:b/>
                <w:color w:val="101820"/>
                <w:kern w:val="0"/>
                <w:sz w:val="18"/>
                <w:szCs w:val="24"/>
                <w:lang w:val="en-US" w:eastAsia="ja-JP" w:bidi="ar-SA"/>
              </w:rPr>
              <w:t>Sign-in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a user with result, method, IP address and browser.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Heading1"/>
        <w:rPr/>
      </w:pPr>
      <w:r>
        <w:br w:type="page"/>
      </w:r>
      <w:bookmarkStart w:id="18" w:name="__RefHeading___Toc107291_4049217194"/>
      <w:bookmarkEnd w:id="18"/>
      <w:r>
        <w:rPr>
          <w:rFonts w:eastAsia="Segoe UI" w:cs="Segoe UI" w:ascii="Segoe UI" w:hAnsi="Segoe UI"/>
          <w:b/>
          <w:color w:val="0F4761"/>
          <w:sz w:val="32"/>
        </w:rPr>
        <w:t>5.  The business process end to end</w:t>
      </w:r>
    </w:p>
    <w:p>
      <w:pPr>
        <w:pStyle w:val="Heading2"/>
        <w:rPr/>
      </w:pPr>
      <w:bookmarkStart w:id="19" w:name="__RefHeading___Toc107293_4049217194"/>
      <w:bookmarkEnd w:id="19"/>
      <w:r>
        <w:rPr>
          <w:rFonts w:eastAsia="Segoe UI" w:cs="Segoe UI"/>
          <w:b/>
          <w:color w:val="0F4761"/>
          <w:sz w:val="26"/>
        </w:rPr>
        <w:t>5.1  The broking cycle</w:t>
      </w:r>
    </w:p>
    <w:p>
      <w:pPr>
        <w:pStyle w:val="Normal"/>
        <w:spacing w:lineRule="auto" w:line="276" w:before="0" w:after="120"/>
        <w:rPr/>
      </w:pPr>
      <w:r>
        <w:rPr>
          <w:rFonts w:eastAsia="Segoe UI" w:cs="Segoe UI" w:ascii="Segoe UI" w:hAnsi="Segoe UI"/>
          <w:color w:val="101820"/>
          <w:sz w:val="21"/>
        </w:rPr>
        <w:t>Every piece of business passes through the same cycle. Each step is done on its own screen, usually by a different team, and each step leaves a numbered record behind. The diagram shows the cycle; the numbered list and the table below give the detail.</w:t>
      </w:r>
    </w:p>
    <w:p>
      <w:pPr>
        <w:pStyle w:val="Normal"/>
        <w:jc w:val="center"/>
        <w:rPr/>
      </w:pPr>
      <w:r>
        <w:rPr/>
        <w:drawing>
          <wp:inline distT="0" distB="0" distL="0" distR="0">
            <wp:extent cx="5760085" cy="262699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The broking cycle in BrokerVerse, with the persona responsible for each step</w:t>
      </w:r>
    </w:p>
    <w:p>
      <w:pPr>
        <w:pStyle w:val="Normal"/>
        <w:numPr>
          <w:ilvl w:val="0"/>
          <w:numId w:val="65"/>
        </w:numPr>
        <w:spacing w:before="0" w:after="60"/>
        <w:rPr/>
      </w:pPr>
      <w:r>
        <w:rPr>
          <w:rFonts w:eastAsia="Segoe UI" w:cs="Segoe UI" w:ascii="Segoe UI" w:hAnsi="Segoe UI"/>
          <w:b/>
          <w:color w:val="101820"/>
          <w:sz w:val="21"/>
        </w:rPr>
        <w:t>Prospect.</w:t>
      </w:r>
      <w:r>
        <w:rPr>
          <w:rFonts w:eastAsia="Segoe UI" w:cs="Segoe UI" w:ascii="Segoe UI" w:hAnsi="Segoe UI"/>
          <w:color w:val="101820"/>
          <w:sz w:val="21"/>
        </w:rPr>
        <w:t xml:space="preserve"> The person or company that may buy insurance is recorded with contact details and address. Number LD-YYYY-NNNNN.</w:t>
      </w:r>
    </w:p>
    <w:p>
      <w:pPr>
        <w:pStyle w:val="Normal"/>
        <w:numPr>
          <w:ilvl w:val="0"/>
          <w:numId w:val="66"/>
        </w:numPr>
        <w:spacing w:before="0" w:after="60"/>
        <w:rPr/>
      </w:pPr>
      <w:r>
        <w:rPr>
          <w:rFonts w:eastAsia="Segoe UI" w:cs="Segoe UI" w:ascii="Segoe UI" w:hAnsi="Segoe UI"/>
          <w:b/>
          <w:color w:val="101820"/>
          <w:sz w:val="21"/>
        </w:rPr>
        <w:t>Quick quote or request for quotation.</w:t>
      </w:r>
      <w:r>
        <w:rPr>
          <w:rFonts w:eastAsia="Segoe UI" w:cs="Segoe UI" w:ascii="Segoe UI" w:hAnsi="Segoe UI"/>
          <w:color w:val="101820"/>
          <w:sz w:val="21"/>
        </w:rPr>
        <w:t xml:space="preserve"> A package product with a tariff (motor, CTPL) is priced on the spot with Quick Quote. A non-package risk (fire, IAR, marine, engineering, casualty, employee benefits) is presented to several insurers with a Request for Quotation (broker slip). Number BS-YYYY-NNNNN.</w:t>
      </w:r>
    </w:p>
    <w:p>
      <w:pPr>
        <w:pStyle w:val="Normal"/>
        <w:numPr>
          <w:ilvl w:val="0"/>
          <w:numId w:val="67"/>
        </w:numPr>
        <w:spacing w:before="0" w:after="60"/>
        <w:rPr/>
      </w:pPr>
      <w:r>
        <w:rPr>
          <w:rFonts w:eastAsia="Segoe UI" w:cs="Segoe UI" w:ascii="Segoe UI" w:hAnsi="Segoe UI"/>
          <w:b/>
          <w:color w:val="101820"/>
          <w:sz w:val="21"/>
        </w:rPr>
        <w:t>Insurer offers and comparison.</w:t>
      </w:r>
      <w:r>
        <w:rPr>
          <w:rFonts w:eastAsia="Segoe UI" w:cs="Segoe UI" w:ascii="Segoe UI" w:hAnsi="Segoe UI"/>
          <w:color w:val="101820"/>
          <w:sz w:val="21"/>
        </w:rPr>
        <w:t xml:space="preserve"> Each insurer's offer or decline is recorded against the request (OFR-YYYY-NNNNN). The offers are ranked by gross premium and compared, and the security is chosen: one insurer at 100%, or a lead insurer and co-insurers with shares that total 100%.</w:t>
      </w:r>
    </w:p>
    <w:p>
      <w:pPr>
        <w:pStyle w:val="Normal"/>
        <w:numPr>
          <w:ilvl w:val="0"/>
          <w:numId w:val="68"/>
        </w:numPr>
        <w:spacing w:before="0" w:after="60"/>
        <w:rPr/>
      </w:pPr>
      <w:r>
        <w:rPr>
          <w:rFonts w:eastAsia="Segoe UI" w:cs="Segoe UI" w:ascii="Segoe UI" w:hAnsi="Segoe UI"/>
          <w:b/>
          <w:color w:val="101820"/>
          <w:sz w:val="21"/>
        </w:rPr>
        <w:t>Quotation.</w:t>
      </w:r>
      <w:r>
        <w:rPr>
          <w:rFonts w:eastAsia="Segoe UI" w:cs="Segoe UI" w:ascii="Segoe UI" w:hAnsi="Segoe UI"/>
          <w:color w:val="101820"/>
          <w:sz w:val="21"/>
        </w:rPr>
        <w:t xml:space="preserve"> The chosen terms are priced for the client in a Quotation Slip: net premium, VAT, documentary stamp tax, local government tax, fire service tax where it applies, CTPL for motor, gross premium and commission. Number QT-YYYY-NNNNN.</w:t>
      </w:r>
    </w:p>
    <w:p>
      <w:pPr>
        <w:pStyle w:val="Normal"/>
        <w:numPr>
          <w:ilvl w:val="0"/>
          <w:numId w:val="69"/>
        </w:numPr>
        <w:spacing w:before="0" w:after="60"/>
        <w:rPr/>
      </w:pPr>
      <w:r>
        <w:rPr>
          <w:rFonts w:eastAsia="Segoe UI" w:cs="Segoe UI" w:ascii="Segoe UI" w:hAnsi="Segoe UI"/>
          <w:b/>
          <w:color w:val="101820"/>
          <w:sz w:val="21"/>
        </w:rPr>
        <w:t>Customer response.</w:t>
      </w:r>
      <w:r>
        <w:rPr>
          <w:rFonts w:eastAsia="Segoe UI" w:cs="Segoe UI" w:ascii="Segoe UI" w:hAnsi="Segoe UI"/>
          <w:color w:val="101820"/>
          <w:sz w:val="21"/>
        </w:rPr>
        <w:t xml:space="preserve"> The quotation is sent to the client for approval. The client accepts through the approval link, or the account executive records the answer received by e-mail, phone, Viber or WhatsApp, meeting or signed form: Accepted, Declined or Revise.</w:t>
      </w:r>
    </w:p>
    <w:p>
      <w:pPr>
        <w:pStyle w:val="Normal"/>
        <w:numPr>
          <w:ilvl w:val="0"/>
          <w:numId w:val="70"/>
        </w:numPr>
        <w:spacing w:before="0" w:after="60"/>
        <w:rPr/>
      </w:pPr>
      <w:r>
        <w:rPr>
          <w:rFonts w:eastAsia="Segoe UI" w:cs="Segoe UI" w:ascii="Segoe UI" w:hAnsi="Segoe UI"/>
          <w:b/>
          <w:color w:val="101820"/>
          <w:sz w:val="21"/>
        </w:rPr>
        <w:t>Placement slip.</w:t>
      </w:r>
      <w:r>
        <w:rPr>
          <w:rFonts w:eastAsia="Segoe UI" w:cs="Segoe UI" w:ascii="Segoe UI" w:hAnsi="Segoe UI"/>
          <w:color w:val="101820"/>
          <w:sz w:val="21"/>
        </w:rPr>
        <w:t xml:space="preserve"> For a risk that needs a firm order, the placement slip goes to the lead insurer and the co-insurers. Each insurer confirms its share with its policy or certificate number; when all have confirmed the slip is Bound. Number PS-YYYY-NNNNN.</w:t>
      </w:r>
    </w:p>
    <w:p>
      <w:pPr>
        <w:pStyle w:val="Normal"/>
        <w:numPr>
          <w:ilvl w:val="0"/>
          <w:numId w:val="71"/>
        </w:numPr>
        <w:spacing w:before="0" w:after="60"/>
        <w:rPr/>
      </w:pPr>
      <w:r>
        <w:rPr>
          <w:rFonts w:eastAsia="Segoe UI" w:cs="Segoe UI" w:ascii="Segoe UI" w:hAnsi="Segoe UI"/>
          <w:b/>
          <w:color w:val="101820"/>
          <w:sz w:val="21"/>
        </w:rPr>
        <w:t>Policy issuance.</w:t>
      </w:r>
      <w:r>
        <w:rPr>
          <w:rFonts w:eastAsia="Segoe UI" w:cs="Segoe UI" w:ascii="Segoe UI" w:hAnsi="Segoe UI"/>
          <w:color w:val="101820"/>
          <w:sz w:val="21"/>
        </w:rPr>
        <w:t xml:space="preserve"> The policy is issued from the bound placement slip, from the accepted quotation (motor and package lines) or recorded after the insurer issued it. The client record is created from the prospect. Numbers POL-YYYY-NNNNN and CL-YYYY-NNNNN.</w:t>
      </w:r>
    </w:p>
    <w:p>
      <w:pPr>
        <w:pStyle w:val="Normal"/>
        <w:numPr>
          <w:ilvl w:val="0"/>
          <w:numId w:val="72"/>
        </w:numPr>
        <w:spacing w:before="0" w:after="60"/>
        <w:rPr/>
      </w:pPr>
      <w:r>
        <w:rPr>
          <w:rFonts w:eastAsia="Segoe UI" w:cs="Segoe UI" w:ascii="Segoe UI" w:hAnsi="Segoe UI"/>
          <w:b/>
          <w:color w:val="101820"/>
          <w:sz w:val="21"/>
        </w:rPr>
        <w:t>Billing.</w:t>
      </w:r>
      <w:r>
        <w:rPr>
          <w:rFonts w:eastAsia="Segoe UI" w:cs="Segoe UI" w:ascii="Segoe UI" w:hAnsi="Segoe UI"/>
          <w:color w:val="101820"/>
          <w:sz w:val="21"/>
        </w:rPr>
        <w:t xml:space="preserve"> At issue the system raises the premium bill to the client (broker billed) or books the commission due from the insurer (direct bill), and posts the journal with each insurer's payable and commission on its own line. Numbers INV-YYYY-NNNNN and JV-YYYY-NNNNN.</w:t>
      </w:r>
    </w:p>
    <w:p>
      <w:pPr>
        <w:pStyle w:val="Normal"/>
        <w:numPr>
          <w:ilvl w:val="0"/>
          <w:numId w:val="73"/>
        </w:numPr>
        <w:spacing w:before="0" w:after="60"/>
        <w:rPr/>
      </w:pPr>
      <w:r>
        <w:rPr>
          <w:rFonts w:eastAsia="Segoe UI" w:cs="Segoe UI" w:ascii="Segoe UI" w:hAnsi="Segoe UI"/>
          <w:b/>
          <w:color w:val="101820"/>
          <w:sz w:val="21"/>
        </w:rPr>
        <w:t>Receipt and collection.</w:t>
      </w:r>
      <w:r>
        <w:rPr>
          <w:rFonts w:eastAsia="Segoe UI" w:cs="Segoe UI" w:ascii="Segoe UI" w:hAnsi="Segoe UI"/>
          <w:color w:val="101820"/>
          <w:sz w:val="21"/>
        </w:rPr>
        <w:t xml:space="preserve"> Operations or the account executive records how the client paid; Accounting verifies the payment and posts the official receipt against the bill. Collections follows unpaid premium by ageing bucket and sends reminders. Numbers OR-YYYY-NNNNN and RT-YYYY-NNNNN.</w:t>
      </w:r>
    </w:p>
    <w:p>
      <w:pPr>
        <w:pStyle w:val="Normal"/>
        <w:numPr>
          <w:ilvl w:val="0"/>
          <w:numId w:val="74"/>
        </w:numPr>
        <w:spacing w:before="0" w:after="60"/>
        <w:rPr/>
      </w:pPr>
      <w:r>
        <w:rPr>
          <w:rFonts w:eastAsia="Segoe UI" w:cs="Segoe UI" w:ascii="Segoe UI" w:hAnsi="Segoe UI"/>
          <w:b/>
          <w:color w:val="101820"/>
          <w:sz w:val="21"/>
        </w:rPr>
        <w:t>Remittance to the insurer.</w:t>
      </w:r>
      <w:r>
        <w:rPr>
          <w:rFonts w:eastAsia="Segoe UI" w:cs="Segoe UI" w:ascii="Segoe UI" w:hAnsi="Segoe UI"/>
          <w:color w:val="101820"/>
          <w:sz w:val="21"/>
        </w:rPr>
        <w:t xml:space="preserve"> Collected premium, net of the broker's commission and its taxes, is remitted to each insurer by its share, through a remittance, an insurer settlement and a payment voucher, each approved by a second user. Numbers REM-, SET- and PV-.</w:t>
      </w:r>
    </w:p>
    <w:p>
      <w:pPr>
        <w:pStyle w:val="Normal"/>
        <w:numPr>
          <w:ilvl w:val="0"/>
          <w:numId w:val="75"/>
        </w:numPr>
        <w:spacing w:before="0" w:after="60"/>
        <w:rPr/>
      </w:pPr>
      <w:r>
        <w:rPr>
          <w:rFonts w:eastAsia="Segoe UI" w:cs="Segoe UI" w:ascii="Segoe UI" w:hAnsi="Segoe UI"/>
          <w:b/>
          <w:color w:val="101820"/>
          <w:sz w:val="21"/>
        </w:rPr>
        <w:t>Commission.</w:t>
      </w:r>
      <w:r>
        <w:rPr>
          <w:rFonts w:eastAsia="Segoe UI" w:cs="Segoe UI" w:ascii="Segoe UI" w:hAnsi="Segoe UI"/>
          <w:color w:val="101820"/>
          <w:sz w:val="21"/>
        </w:rPr>
        <w:t xml:space="preserve"> The commission share of the agent or referrer (comsub) becomes eligible when the premium is fully collected, is approved by a second Accounting user and is paid by payment voucher less withholding tax. For direct-bill policies the broker bills its commission to the insurer with a debit note (DN-).</w:t>
      </w:r>
    </w:p>
    <w:p>
      <w:pPr>
        <w:pStyle w:val="Normal"/>
        <w:numPr>
          <w:ilvl w:val="0"/>
          <w:numId w:val="76"/>
        </w:numPr>
        <w:spacing w:before="0" w:after="60"/>
        <w:rPr/>
      </w:pPr>
      <w:r>
        <w:rPr>
          <w:rFonts w:eastAsia="Segoe UI" w:cs="Segoe UI" w:ascii="Segoe UI" w:hAnsi="Segoe UI"/>
          <w:b/>
          <w:color w:val="101820"/>
          <w:sz w:val="21"/>
        </w:rPr>
        <w:t>Endorsements.</w:t>
      </w:r>
      <w:r>
        <w:rPr>
          <w:rFonts w:eastAsia="Segoe UI" w:cs="Segoe UI" w:ascii="Segoe UI" w:hAnsi="Segoe UI"/>
          <w:color w:val="101820"/>
          <w:sz w:val="21"/>
        </w:rPr>
        <w:t xml:space="preserve"> A change to an issued policy (client details, vehicle, cover, period, cancellation) is requested, sent to the insurer and completed with the insurer's endorsement. Additional premium is billed and return premium credited. Number END-.</w:t>
      </w:r>
    </w:p>
    <w:p>
      <w:pPr>
        <w:pStyle w:val="Normal"/>
        <w:numPr>
          <w:ilvl w:val="0"/>
          <w:numId w:val="77"/>
        </w:numPr>
        <w:spacing w:before="0" w:after="60"/>
        <w:rPr/>
      </w:pPr>
      <w:r>
        <w:rPr>
          <w:rFonts w:eastAsia="Segoe UI" w:cs="Segoe UI" w:ascii="Segoe UI" w:hAnsi="Segoe UI"/>
          <w:b/>
          <w:color w:val="101820"/>
          <w:sz w:val="21"/>
        </w:rPr>
        <w:t>Claims.</w:t>
      </w:r>
      <w:r>
        <w:rPr>
          <w:rFonts w:eastAsia="Segoe UI" w:cs="Segoe UI" w:ascii="Segoe UI" w:hAnsi="Segoe UI"/>
          <w:color w:val="101820"/>
          <w:sz w:val="21"/>
        </w:rPr>
        <w:t xml:space="preserve"> A loss is registered against the policy, the Preliminary Loss Advice goes to the insurer, the adjuster report and the assessment are recorded, and the settlement is approved by a second Claims user. Number CLM-.</w:t>
      </w:r>
    </w:p>
    <w:p>
      <w:pPr>
        <w:pStyle w:val="Normal"/>
        <w:numPr>
          <w:ilvl w:val="0"/>
          <w:numId w:val="78"/>
        </w:numPr>
        <w:spacing w:before="0" w:after="60"/>
        <w:rPr/>
      </w:pPr>
      <w:r>
        <w:rPr>
          <w:rFonts w:eastAsia="Segoe UI" w:cs="Segoe UI" w:ascii="Segoe UI" w:hAnsi="Segoe UI"/>
          <w:b/>
          <w:color w:val="101820"/>
          <w:sz w:val="21"/>
        </w:rPr>
        <w:t>Renewals.</w:t>
      </w:r>
      <w:r>
        <w:rPr>
          <w:rFonts w:eastAsia="Segoe UI" w:cs="Segoe UI" w:ascii="Segoe UI" w:hAnsi="Segoe UI"/>
          <w:color w:val="101820"/>
          <w:sz w:val="21"/>
        </w:rPr>
        <w:t xml:space="preserve"> Policies enter the renewal pipeline 90 days before expiry, renewal notices go out 60, 30 and 15 days before, renewal terms are negotiated and approved, and the renewed term becomes a new policy.</w:t>
      </w:r>
    </w:p>
    <w:p>
      <w:pPr>
        <w:pStyle w:val="Normal"/>
        <w:numPr>
          <w:ilvl w:val="0"/>
          <w:numId w:val="79"/>
        </w:numPr>
        <w:spacing w:before="0" w:after="60"/>
        <w:rPr/>
      </w:pPr>
      <w:r>
        <w:rPr>
          <w:rFonts w:eastAsia="Segoe UI" w:cs="Segoe UI" w:ascii="Segoe UI" w:hAnsi="Segoe UI"/>
          <w:b/>
          <w:color w:val="101820"/>
          <w:sz w:val="21"/>
        </w:rPr>
        <w:t>Bank and insurer reconciliation.</w:t>
      </w:r>
      <w:r>
        <w:rPr>
          <w:rFonts w:eastAsia="Segoe UI" w:cs="Segoe UI" w:ascii="Segoe UI" w:hAnsi="Segoe UI"/>
          <w:color w:val="101820"/>
          <w:sz w:val="21"/>
        </w:rPr>
        <w:t xml:space="preserve"> Each bank statement is imported and matched with the books; each insurer's statement of account is imported and matched with the remittances and debit notes. Accounting prepares; the Accounting Manager approves. Numbers BST-, BRC- and ISR-.</w:t>
      </w:r>
    </w:p>
    <w:p>
      <w:pPr>
        <w:pStyle w:val="Normal"/>
        <w:numPr>
          <w:ilvl w:val="0"/>
          <w:numId w:val="80"/>
        </w:numPr>
        <w:spacing w:before="0" w:after="60"/>
        <w:rPr/>
      </w:pPr>
      <w:r>
        <w:rPr>
          <w:rFonts w:eastAsia="Segoe UI" w:cs="Segoe UI" w:ascii="Segoe UI" w:hAnsi="Segoe UI"/>
          <w:b/>
          <w:color w:val="101820"/>
          <w:sz w:val="21"/>
        </w:rPr>
        <w:t>Month-end close.</w:t>
      </w:r>
      <w:r>
        <w:rPr>
          <w:rFonts w:eastAsia="Segoe UI" w:cs="Segoe UI" w:ascii="Segoe UI" w:hAnsi="Segoe UI"/>
          <w:color w:val="101820"/>
          <w:sz w:val="21"/>
        </w:rPr>
        <w:t xml:space="preserve"> Accounting runs the close steps and the checklist for the period and submits the close; the Accounting Manager approves and the period closes. Number MEC-. The year-end close (YEC-) follows the twelfth month.</w:t>
      </w:r>
    </w:p>
    <w:p>
      <w:pPr>
        <w:pStyle w:val="Normal"/>
        <w:numPr>
          <w:ilvl w:val="0"/>
          <w:numId w:val="81"/>
        </w:numPr>
        <w:spacing w:before="0" w:after="60"/>
        <w:rPr/>
      </w:pPr>
      <w:r>
        <w:rPr>
          <w:rFonts w:eastAsia="Segoe UI" w:cs="Segoe UI" w:ascii="Segoe UI" w:hAnsi="Segoe UI"/>
          <w:b/>
          <w:color w:val="101820"/>
          <w:sz w:val="21"/>
        </w:rPr>
        <w:t>Reports.</w:t>
      </w:r>
      <w:r>
        <w:rPr>
          <w:rFonts w:eastAsia="Segoe UI" w:cs="Segoe UI" w:ascii="Segoe UI" w:hAnsi="Segoe UI"/>
          <w:color w:val="101820"/>
          <w:sz w:val="21"/>
        </w:rPr>
        <w:t xml:space="preserve"> Production, claims, renewal, remittance and commission registers, the statement of account, the trial balance and financial statements, and the BIR forms and alphalists (VAT summary, SAWT, QAP, SLSP, BIR Form 2307).</w:t>
      </w:r>
    </w:p>
    <w:p>
      <w:pPr>
        <w:pStyle w:val="Heading2"/>
        <w:rPr/>
      </w:pPr>
      <w:bookmarkStart w:id="20" w:name="__RefHeading___Toc107295_4049217194"/>
      <w:bookmarkEnd w:id="20"/>
      <w:r>
        <w:rPr>
          <w:rFonts w:eastAsia="Segoe UI" w:cs="Segoe UI"/>
          <w:b/>
          <w:color w:val="0F4761"/>
          <w:sz w:val="26"/>
        </w:rPr>
        <w:t>5.2  Who does each step and where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44"/>
        <w:gridCol w:w="3003"/>
        <w:gridCol w:w="305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30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Quick Quote, Compare Insurers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and Operations can start one)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and comparison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tabs Market responses, Compare offers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for quotation slips from a request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(approval link); Sales &amp; Marketing records other answers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w:t>
            </w:r>
            <w:r>
              <w:rPr>
                <w:rFonts w:eastAsia="Segoe UI" w:cs="Segoe UI" w:ascii="Segoe UI" w:hAnsi="Segoe UI"/>
                <w:b/>
                <w:color w:val="101820"/>
                <w:kern w:val="0"/>
                <w:sz w:val="18"/>
                <w:szCs w:val="24"/>
                <w:lang w:val="en-US" w:eastAsia="ja-JP" w:bidi="ar-SA"/>
              </w:rPr>
              <w:t>Send for Customer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customer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for motor and package quotations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Quotation: </w:t>
            </w: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Placement Slips: </w:t>
            </w:r>
            <w:r>
              <w:rPr>
                <w:rFonts w:eastAsia="Segoe UI" w:cs="Segoe UI" w:ascii="Segoe UI" w:hAnsi="Segoe UI"/>
                <w:b/>
                <w:color w:val="101820"/>
                <w:kern w:val="0"/>
                <w:sz w:val="18"/>
                <w:szCs w:val="24"/>
                <w:lang w:val="en-US" w:eastAsia="ja-JP" w:bidi="ar-SA"/>
              </w:rPr>
              <w:t>Record Issued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at issue; Accounting for direct-bill debit notes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Premium Accounting Entries; Accounts &gt; Remittance &gt; Direct Bill Processing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and collection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record the payment; Accounting posts the receipt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w:t>
            </w:r>
            <w:r>
              <w:rPr>
                <w:rFonts w:eastAsia="Segoe UI" w:cs="Segoe UI" w:ascii="Segoe UI" w:hAnsi="Segoe UI"/>
                <w:b/>
                <w:color w:val="101820"/>
                <w:kern w:val="0"/>
                <w:sz w:val="18"/>
                <w:szCs w:val="24"/>
                <w:lang w:val="en-US" w:eastAsia="ja-JP" w:bidi="ar-SA"/>
              </w:rPr>
              <w:t>Proceed to Payment</w:t>
            </w:r>
            <w:r>
              <w:rPr>
                <w:rFonts w:eastAsia="Segoe UI" w:cs="Segoe UI" w:ascii="Segoe UI" w:hAnsi="Segoe UI"/>
                <w:color w:val="101820"/>
                <w:kern w:val="0"/>
                <w:sz w:val="18"/>
                <w:szCs w:val="24"/>
                <w:lang w:val="en-US" w:eastAsia="ja-JP" w:bidi="ar-SA"/>
              </w:rPr>
              <w:t>; Accounts &gt; Receipts; Accounts &gt; Collections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 Processing Team complete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r>
              <w:rPr>
                <w:rFonts w:eastAsia="Segoe UI" w:cs="Segoe UI" w:ascii="Segoe UI" w:hAnsi="Segoe UI"/>
                <w:color w:val="101820"/>
                <w:kern w:val="0"/>
                <w:sz w:val="18"/>
                <w:szCs w:val="24"/>
                <w:lang w:val="en-US" w:eastAsia="ja-JP" w:bidi="ar-SA"/>
              </w:rPr>
              <w:t>; 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 approve terms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Accounts &gt; Insurer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per its menu</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Accounts &gt; Tax; Dashboard</w:t>
            </w:r>
          </w:p>
        </w:tc>
      </w:tr>
    </w:tbl>
    <w:p>
      <w:pPr>
        <w:pStyle w:val="Normal"/>
        <w:spacing w:before="0" w:after="80"/>
        <w:rPr/>
      </w:pPr>
      <w:r>
        <w:rPr/>
      </w:r>
    </w:p>
    <w:p>
      <w:pPr>
        <w:pStyle w:val="Heading2"/>
        <w:rPr/>
      </w:pPr>
      <w:bookmarkStart w:id="21" w:name="__RefHeading___Toc107297_4049217194"/>
      <w:bookmarkEnd w:id="21"/>
      <w:r>
        <w:rPr>
          <w:rFonts w:eastAsia="Segoe UI" w:cs="Segoe UI"/>
          <w:b/>
          <w:color w:val="0F4761"/>
          <w:sz w:val="26"/>
        </w:rPr>
        <w:t>5.3  The placement journey by line</w:t>
      </w:r>
    </w:p>
    <w:p>
      <w:pPr>
        <w:pStyle w:val="Normal"/>
        <w:spacing w:lineRule="auto" w:line="276" w:before="0" w:after="120"/>
        <w:rPr/>
      </w:pPr>
      <w:r>
        <w:rPr>
          <w:rFonts w:eastAsia="Segoe UI" w:cs="Segoe UI" w:ascii="Segoe UI" w:hAnsi="Segoe UI"/>
          <w:color w:val="101820"/>
          <w:sz w:val="21"/>
        </w:rPr>
        <w:t xml:space="preserve">Not every line uses every step. The steps a line must, may or does not use are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area Sales, Quotations &amp; Placement). In the delivered configuration every step is optional for every line: a risk can be quoted and issued from a quotation, marketed with a request for quotation, bound with a placement slip, or recorded after the insurer issued the policy. When the System Administrator makes a step Required for a line, the policy of that line cannot be issued without it, and a step set to Not used is refused with a message that names the line.</w:t>
      </w:r>
    </w:p>
    <w:p>
      <w:pPr>
        <w:pStyle w:val="Normal"/>
        <w:spacing w:lineRule="auto" w:line="276" w:before="0" w:after="120"/>
        <w:rPr/>
      </w:pPr>
      <w:r>
        <w:rPr>
          <w:rFonts w:eastAsia="Segoe UI" w:cs="Segoe UI" w:ascii="Segoe UI" w:hAnsi="Segoe UI"/>
          <w:color w:val="101820"/>
          <w:sz w:val="21"/>
        </w:rPr>
        <w:t xml:space="preserve">Each quotation, request for quotation and placement slip shows its journey as a progress bar: </w:t>
      </w:r>
      <w:r>
        <w:rPr>
          <w:rFonts w:eastAsia="Segoe UI" w:cs="Segoe UI" w:ascii="Segoe UI" w:hAnsi="Segoe UI"/>
          <w:b/>
          <w:color w:val="101820"/>
          <w:sz w:val="21"/>
        </w:rPr>
        <w:t>Request for Quotation</w:t>
      </w:r>
      <w:r>
        <w:rPr>
          <w:rFonts w:eastAsia="Segoe UI" w:cs="Segoe UI" w:ascii="Segoe UI" w:hAnsi="Segoe UI"/>
          <w:color w:val="101820"/>
          <w:sz w:val="21"/>
        </w:rPr>
        <w:t xml:space="preserve">, </w:t>
      </w:r>
      <w:r>
        <w:rPr>
          <w:rFonts w:eastAsia="Segoe UI" w:cs="Segoe UI" w:ascii="Segoe UI" w:hAnsi="Segoe UI"/>
          <w:b/>
          <w:color w:val="101820"/>
          <w:sz w:val="21"/>
        </w:rPr>
        <w:t>Quotation Slip</w:t>
      </w:r>
      <w:r>
        <w:rPr>
          <w:rFonts w:eastAsia="Segoe UI" w:cs="Segoe UI" w:ascii="Segoe UI" w:hAnsi="Segoe UI"/>
          <w:color w:val="101820"/>
          <w:sz w:val="21"/>
        </w:rPr>
        <w:t xml:space="preserve">, </w:t>
      </w:r>
      <w:r>
        <w:rPr>
          <w:rFonts w:eastAsia="Segoe UI" w:cs="Segoe UI" w:ascii="Segoe UI" w:hAnsi="Segoe UI"/>
          <w:b/>
          <w:color w:val="101820"/>
          <w:sz w:val="21"/>
        </w:rPr>
        <w:t>Placement Slip</w:t>
      </w:r>
      <w:r>
        <w:rPr>
          <w:rFonts w:eastAsia="Segoe UI" w:cs="Segoe UI" w:ascii="Segoe UI" w:hAnsi="Segoe UI"/>
          <w:color w:val="101820"/>
          <w:sz w:val="21"/>
        </w:rPr>
        <w:t xml:space="preserve">, </w:t>
      </w:r>
      <w:r>
        <w:rPr>
          <w:rFonts w:eastAsia="Segoe UI" w:cs="Segoe UI" w:ascii="Segoe UI" w:hAnsi="Segoe UI"/>
          <w:b/>
          <w:color w:val="101820"/>
          <w:sz w:val="21"/>
        </w:rPr>
        <w:t>Sent to insurer(s)</w:t>
      </w:r>
      <w:r>
        <w:rPr>
          <w:rFonts w:eastAsia="Segoe UI" w:cs="Segoe UI" w:ascii="Segoe UI" w:hAnsi="Segoe UI"/>
          <w:color w:val="101820"/>
          <w:sz w:val="21"/>
        </w:rPr>
        <w:t xml:space="preserve">,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Policy</w:t>
      </w:r>
      <w:r>
        <w:rPr>
          <w:rFonts w:eastAsia="Segoe UI" w:cs="Segoe UI" w:ascii="Segoe UI" w:hAnsi="Segoe UI"/>
          <w:color w:val="101820"/>
          <w:sz w:val="21"/>
        </w:rPr>
        <w:t>. Each step shows the number of its record, or Optional, Required or Not used.</w:t>
      </w:r>
    </w:p>
    <w:p>
      <w:pPr>
        <w:pStyle w:val="Heading2"/>
        <w:rPr/>
      </w:pPr>
      <w:bookmarkStart w:id="22" w:name="__RefHeading___Toc107299_4049217194"/>
      <w:bookmarkEnd w:id="22"/>
      <w:r>
        <w:rPr>
          <w:rFonts w:eastAsia="Segoe UI" w:cs="Segoe UI"/>
          <w:b/>
          <w:color w:val="0F4761"/>
          <w:sz w:val="26"/>
        </w:rPr>
        <w:t>5.4  What the system posts</w:t>
      </w:r>
    </w:p>
    <w:p>
      <w:pPr>
        <w:pStyle w:val="Normal"/>
        <w:spacing w:lineRule="auto" w:line="276" w:before="0" w:after="120"/>
        <w:rPr/>
      </w:pPr>
      <w:r>
        <w:rPr>
          <w:rFonts w:eastAsia="Segoe UI" w:cs="Segoe UI" w:ascii="Segoe UI" w:hAnsi="Segoe UI"/>
          <w:color w:val="101820"/>
          <w:sz w:val="21"/>
        </w:rPr>
        <w:t xml:space="preserve">Every journal is built from the posting rule of its business event (Master &gt; Finance &gt; Posting Rules); </w:t>
      </w: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event, the screen that triggers it, the approval before it posts and the accounts it debits and credits. The main events of the 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at the gross premium; Cr Premiums Payable to Insurers (each insurer by its share), the premium VAT, DST and LGT due to insurers, and Brokerage Commission Income.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from the insurer; Cr Brokerage Commission Income and Output VAT. No premium bill.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(or the account of the receipt mode); Cr Premiums Receivable.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approved and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Expense; Cr Commission Payable; at payout Dr Commission Payable; Cr Cash in Bank and Withholding Tax Payable.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premium: as a new bill. Return premium: the reverse, and the refund due from each insurer when the premium was already remitted.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 collected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and Creditable Withholding Tax (BIR Form 2307); Cr Commission Receivable.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payable and commission line carries the insurer, so the remittance, the Co-insurance Register and the Due to Insurers by Co-insurer report show each insurer's part. A rounding difference of a share split goes to the lead insurer.</w:t>
      </w:r>
      <w:r>
        <w:br w:type="page"/>
      </w:r>
    </w:p>
    <w:p>
      <w:pPr>
        <w:pStyle w:val="Heading1"/>
        <w:rPr/>
      </w:pPr>
      <w:bookmarkStart w:id="23" w:name="__RefHeading___Toc107301_4049217194"/>
      <w:bookmarkEnd w:id="23"/>
      <w:r>
        <w:rPr>
          <w:rFonts w:eastAsia="Segoe UI" w:cs="Segoe UI" w:ascii="Segoe UI" w:hAnsi="Segoe UI"/>
          <w:b/>
          <w:color w:val="0F4761"/>
          <w:sz w:val="32"/>
        </w:rPr>
        <w:t>6.  System Administrator</w:t>
      </w:r>
    </w:p>
    <w:p>
      <w:pPr>
        <w:pStyle w:val="Heading2"/>
        <w:rPr/>
      </w:pPr>
      <w:bookmarkStart w:id="24" w:name="__RefHeading___Toc107303_4049217194"/>
      <w:bookmarkEnd w:id="24"/>
      <w:r>
        <w:rPr>
          <w:rFonts w:eastAsia="Segoe UI" w:cs="Segoe UI"/>
          <w:b/>
          <w:color w:val="0F4761"/>
          <w:sz w:val="26"/>
        </w:rPr>
        <w:t>6.1  Role summary</w:t>
      </w:r>
    </w:p>
    <w:p>
      <w:pPr>
        <w:pStyle w:val="Normal"/>
        <w:spacing w:lineRule="auto" w:line="276" w:before="0" w:after="120"/>
        <w:rPr/>
      </w:pPr>
      <w:r>
        <w:rPr>
          <w:rFonts w:eastAsia="Segoe UI" w:cs="Segoe UI" w:ascii="Segoe UI" w:hAnsi="Segoe UI"/>
          <w:color w:val="101820"/>
          <w:sz w:val="21"/>
        </w:rPr>
        <w:t>The System Administrator (role System Administrator (Super Admin Access)) sets up and looks after BrokerVerse: users and roles, access controls, the company and its letterhead, the masters (insurers, products, covers, locations, banks, chart of accounts, tax codes), document numbering, the configuration settings, the schedules, the e-mail outbox and the audit trail. The role sees every menu and can open every screen of the other personas. Keep it for administration and give each person a business role for daily work; give the System Administrator role to as few people as possible.</w:t>
      </w:r>
    </w:p>
    <w:p>
      <w:pPr>
        <w:pStyle w:val="Normal"/>
        <w:jc w:val="center"/>
        <w:rPr/>
      </w:pPr>
      <w:r>
        <w:rPr/>
        <w:drawing>
          <wp:inline distT="0" distB="0" distL="0" distR="0">
            <wp:extent cx="5760085" cy="446913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System Administrator</w:t>
      </w:r>
    </w:p>
    <w:p>
      <w:pPr>
        <w:pStyle w:val="Heading2"/>
        <w:rPr/>
      </w:pPr>
      <w:bookmarkStart w:id="25" w:name="__RefHeading___Toc107305_4049217194"/>
      <w:bookmarkEnd w:id="25"/>
      <w:r>
        <w:rPr>
          <w:rFonts w:eastAsia="Segoe UI" w:cs="Segoe UI"/>
          <w:b/>
          <w:color w:val="0F4761"/>
          <w:sz w:val="26"/>
        </w:rPr>
        <w:t>6.2  Menus available</w:t>
      </w:r>
    </w:p>
    <w:p>
      <w:pPr>
        <w:pStyle w:val="Normal"/>
        <w:spacing w:lineRule="auto" w:line="276" w:before="0" w:after="120"/>
        <w:rPr/>
      </w:pPr>
      <w:r>
        <w:rPr>
          <w:rFonts w:eastAsia="Segoe UI" w:cs="Segoe UI" w:ascii="Segoe UI" w:hAnsi="Segoe UI"/>
          <w:color w:val="101820"/>
          <w:sz w:val="21"/>
        </w:rPr>
        <w:t>Every menu: Dashboard, Operations, Accounts, Commission, Reinsurance, Reports, Master and Product Configurator. The menus used for administration are: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Configuration, Document Numbering, Schedules, Audit Trail, E-mail Outbox, Data Privacy (Data Subject Requests, Consent Register)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(Company, Branch); Insurance Management (Insurance Company, Line of Business, Product, Cover, Signatories, Vehicle); Location (Country, State, City); Employee Management (Hierarchy, Designation); User Management (User, Role, User Access Matrix, Role Permissions, Authority Matrix, Delegations, Segregation of Duties, Access Reviews)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Package Bundles, Insurer Rate Tables, Premium Taxes &amp; LGU Rates, Payment Gateways, Commission Rate Matrix, Transaction Code, Currency, Exchange Rate, Bank, Account Category, Main Account, Sub Account, Taxation, Close Checklist, Bank Statement Formats, Bank Transaction Types, Insurer Statement Formats, Remittance Master, Incentive Programs, Reinsurance Treaty</w:t>
            </w:r>
          </w:p>
        </w:tc>
      </w:tr>
    </w:tbl>
    <w:p>
      <w:pPr>
        <w:pStyle w:val="Normal"/>
        <w:spacing w:before="0" w:after="80"/>
        <w:rPr/>
      </w:pPr>
      <w:r>
        <w:rPr/>
      </w:r>
    </w:p>
    <w:p>
      <w:pPr>
        <w:pStyle w:val="Heading2"/>
        <w:rPr/>
      </w:pPr>
      <w:bookmarkStart w:id="26" w:name="__RefHeading___Toc107307_4049217194"/>
      <w:bookmarkEnd w:id="26"/>
      <w:r>
        <w:rPr>
          <w:rFonts w:eastAsia="Segoe UI" w:cs="Segoe UI"/>
          <w:b/>
          <w:color w:val="0F4761"/>
          <w:sz w:val="26"/>
        </w:rPr>
        <w:t>6.3  Daily and periodic tasks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13"/>
        <w:gridCol w:w="4159"/>
        <w:gridCol w:w="3641"/>
      </w:tblGrid>
      <w:tr>
        <w:trPr>
          <w:tblHeader w:val="true"/>
        </w:trPr>
        <w:tc>
          <w:tcPr>
            <w:tcW w:w="12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1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6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 users and reset passwords on request</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e-mail outbox for failed messages</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the schedules ran (Last status)</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user, change a role, deactivate a leaver</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or change insurers, products, covers, banks and other masters</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Master &gt; Finance</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a business setting agreed with the process owner</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users without two-step verification, dormant users and segregation-of-duties conflicts</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 Access Matrix</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an access review</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Access Reviews</w:t>
            </w:r>
          </w:p>
        </w:tc>
      </w:tr>
      <w:tr>
        <w:trPr/>
        <w:tc>
          <w:tcPr>
            <w:tcW w:w="12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4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official receipt numbering to match the Authority to Print, security settings, e-mail settings</w:t>
            </w:r>
          </w:p>
        </w:tc>
        <w:tc>
          <w:tcPr>
            <w:tcW w:w="36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Document Numbering, Configuration</w:t>
            </w:r>
          </w:p>
        </w:tc>
      </w:tr>
    </w:tbl>
    <w:p>
      <w:pPr>
        <w:pStyle w:val="Normal"/>
        <w:spacing w:before="0" w:after="80"/>
        <w:rPr/>
      </w:pPr>
      <w:r>
        <w:rPr/>
      </w:r>
    </w:p>
    <w:p>
      <w:pPr>
        <w:pStyle w:val="Heading2"/>
        <w:rPr/>
      </w:pPr>
      <w:bookmarkStart w:id="27" w:name="__RefHeading___Toc107309_4049217194"/>
      <w:bookmarkEnd w:id="27"/>
      <w:r>
        <w:rPr>
          <w:rFonts w:eastAsia="Segoe UI" w:cs="Segoe UI"/>
          <w:b/>
          <w:color w:val="0F4761"/>
          <w:sz w:val="26"/>
        </w:rPr>
        <w:t>6.4  Users</w:t>
      </w:r>
    </w:p>
    <w:p>
      <w:pPr>
        <w:pStyle w:val="Heading3"/>
        <w:rPr/>
      </w:pPr>
      <w:r>
        <w:rPr>
          <w:rFonts w:eastAsia="Segoe UI" w:cs="Segoe UI"/>
          <w:b/>
          <w:color w:val="0F4761"/>
          <w:sz w:val="23"/>
        </w:rPr>
        <w:t>6.4.1  Add a user</w:t>
      </w:r>
    </w:p>
    <w:p>
      <w:pPr>
        <w:pStyle w:val="Normal"/>
        <w:jc w:val="center"/>
        <w:rPr/>
      </w:pPr>
      <w:r>
        <w:rPr/>
        <w:drawing>
          <wp:inline distT="0" distB="0" distL="0" distR="0">
            <wp:extent cx="5760085" cy="2785745"/>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278574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User &gt; Add</w:t>
      </w:r>
    </w:p>
    <w:p>
      <w:pPr>
        <w:pStyle w:val="Normal"/>
        <w:numPr>
          <w:ilvl w:val="0"/>
          <w:numId w:val="82"/>
        </w:numPr>
        <w:spacing w:before="0" w:after="60"/>
        <w:rPr/>
      </w:pPr>
      <w:r>
        <w:rPr>
          <w:rFonts w:eastAsia="Segoe UI" w:cs="Segoe UI" w:ascii="Segoe UI" w:hAnsi="Segoe UI"/>
          <w:color w:val="101820"/>
          <w:sz w:val="21"/>
        </w:rPr>
        <w:t xml:space="preserve">Choose Master &gt; Generals &gt; User Management &gt; User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83"/>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Username</w:t>
      </w:r>
      <w:r>
        <w:rPr>
          <w:rFonts w:eastAsia="Segoe UI" w:cs="Segoe UI" w:ascii="Segoe UI" w:hAnsi="Segoe UI"/>
          <w:color w:val="101820"/>
          <w:sz w:val="21"/>
        </w:rPr>
        <w:t xml:space="preserve"> (the user ID used to sign in), </w:t>
      </w:r>
      <w:r>
        <w:rPr>
          <w:rFonts w:eastAsia="Segoe UI" w:cs="Segoe UI" w:ascii="Segoe UI" w:hAnsi="Segoe UI"/>
          <w:b/>
          <w:color w:val="101820"/>
          <w:sz w:val="21"/>
        </w:rPr>
        <w:t>E-mail</w:t>
      </w:r>
      <w:r>
        <w:rPr>
          <w:rFonts w:eastAsia="Segoe UI" w:cs="Segoe UI" w:ascii="Segoe UI" w:hAnsi="Segoe UI"/>
          <w:color w:val="101820"/>
          <w:sz w:val="21"/>
        </w:rPr>
        <w:t xml:space="preserve"> and </w:t>
      </w:r>
      <w:r>
        <w:rPr>
          <w:rFonts w:eastAsia="Segoe UI" w:cs="Segoe UI" w:ascii="Segoe UI" w:hAnsi="Segoe UI"/>
          <w:b/>
          <w:color w:val="101820"/>
          <w:sz w:val="21"/>
        </w:rPr>
        <w:t>Display Name</w:t>
      </w:r>
      <w:r>
        <w:rPr>
          <w:rFonts w:eastAsia="Segoe UI" w:cs="Segoe UI" w:ascii="Segoe UI" w:hAnsi="Segoe UI"/>
          <w:color w:val="101820"/>
          <w:sz w:val="21"/>
        </w:rPr>
        <w:t>. All three are required. The e-mail is where Forgot password? sends its code.</w:t>
      </w:r>
    </w:p>
    <w:p>
      <w:pPr>
        <w:pStyle w:val="Normal"/>
        <w:numPr>
          <w:ilvl w:val="0"/>
          <w:numId w:val="84"/>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Password</w:t>
      </w:r>
      <w:r>
        <w:rPr>
          <w:rFonts w:eastAsia="Segoe UI" w:cs="Segoe UI" w:ascii="Segoe UI" w:hAnsi="Segoe UI"/>
          <w:color w:val="101820"/>
          <w:sz w:val="21"/>
        </w:rPr>
        <w:t xml:space="preserve"> empty: the system then generates a temporary password ("Leave empty for a temporary password").</w:t>
      </w:r>
    </w:p>
    <w:p>
      <w:pPr>
        <w:pStyle w:val="Normal"/>
        <w:numPr>
          <w:ilvl w:val="0"/>
          <w:numId w:val="8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Roles</w:t>
      </w:r>
      <w:r>
        <w:rPr>
          <w:rFonts w:eastAsia="Segoe UI" w:cs="Segoe UI" w:ascii="Segoe UI" w:hAnsi="Segoe UI"/>
          <w:color w:val="101820"/>
          <w:sz w:val="21"/>
        </w:rPr>
        <w:t xml:space="preserve">, tick the role or roles. A person normally holds one role. The Accounting Manager role includes Accounting. When </w:t>
      </w:r>
      <w:r>
        <w:rPr>
          <w:rFonts w:eastAsia="Consolas" w:cs="Consolas" w:ascii="Consolas" w:hAnsi="Consolas"/>
          <w:color w:val="101820"/>
          <w:sz w:val="19"/>
        </w:rPr>
        <w:t>access.sod_enforced</w:t>
      </w:r>
      <w:r>
        <w:rPr>
          <w:rFonts w:eastAsia="Segoe UI" w:cs="Segoe UI" w:ascii="Segoe UI" w:hAnsi="Segoe UI"/>
          <w:color w:val="101820"/>
          <w:sz w:val="21"/>
        </w:rPr>
        <w:t xml:space="preserve"> is on, a combination listed on Segregation of Duties with the action Block is refused.</w:t>
      </w:r>
    </w:p>
    <w:p>
      <w:pPr>
        <w:pStyle w:val="Normal"/>
        <w:numPr>
          <w:ilvl w:val="0"/>
          <w:numId w:val="8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temporary password is shown once. Hand it to the user privately.</w:t>
      </w:r>
    </w:p>
    <w:p>
      <w:pPr>
        <w:pStyle w:val="Normal"/>
        <w:spacing w:lineRule="auto" w:line="276" w:before="0" w:after="120"/>
        <w:rPr/>
      </w:pPr>
      <w:r>
        <w:rPr>
          <w:rFonts w:eastAsia="Segoe UI" w:cs="Segoe UI" w:ascii="Segoe UI" w:hAnsi="Segoe UI"/>
          <w:color w:val="101820"/>
          <w:sz w:val="21"/>
        </w:rPr>
        <w:t>A duplicate username is refused. At the first sign-in the user must choose a new password (Getting started).</w:t>
      </w:r>
    </w:p>
    <w:p>
      <w:pPr>
        <w:pStyle w:val="Heading3"/>
        <w:rPr/>
      </w:pPr>
      <w:r>
        <w:rPr>
          <w:rFonts w:eastAsia="Segoe UI" w:cs="Segoe UI"/>
          <w:b/>
          <w:color w:val="0F4761"/>
          <w:sz w:val="23"/>
        </w:rPr>
        <w:t>6.4.2  Account actions</w:t>
      </w:r>
    </w:p>
    <w:p>
      <w:pPr>
        <w:pStyle w:val="Normal"/>
        <w:jc w:val="center"/>
        <w:rPr/>
      </w:pPr>
      <w:r>
        <w:rPr/>
        <w:drawing>
          <wp:inline distT="0" distB="0" distL="0" distR="0">
            <wp:extent cx="5760085" cy="4469130"/>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User list with the account actions of a user</w:t>
      </w:r>
    </w:p>
    <w:p>
      <w:pPr>
        <w:pStyle w:val="Normal"/>
        <w:spacing w:lineRule="auto" w:line="276" w:before="0" w:after="120"/>
        <w:rPr/>
      </w:pPr>
      <w:r>
        <w:rPr>
          <w:rFonts w:eastAsia="Segoe UI" w:cs="Segoe UI" w:ascii="Segoe UI" w:hAnsi="Segoe UI"/>
          <w:color w:val="101820"/>
          <w:sz w:val="21"/>
        </w:rPr>
        <w:t xml:space="preserve">The user list shows </w:t>
      </w:r>
      <w:r>
        <w:rPr>
          <w:rFonts w:eastAsia="Segoe UI" w:cs="Segoe UI" w:ascii="Segoe UI" w:hAnsi="Segoe UI"/>
          <w:b/>
          <w:color w:val="101820"/>
          <w:sz w:val="21"/>
        </w:rPr>
        <w:t>User Name</w:t>
      </w:r>
      <w:r>
        <w:rPr>
          <w:rFonts w:eastAsia="Segoe UI" w:cs="Segoe UI" w:ascii="Segoe UI" w:hAnsi="Segoe UI"/>
          <w:color w:val="101820"/>
          <w:sz w:val="21"/>
        </w:rPr>
        <w:t xml:space="preserve">, </w:t>
      </w:r>
      <w:r>
        <w:rPr>
          <w:rFonts w:eastAsia="Segoe UI" w:cs="Segoe UI" w:ascii="Segoe UI" w:hAnsi="Segoe UI"/>
          <w:b/>
          <w:color w:val="101820"/>
          <w:sz w:val="21"/>
        </w:rPr>
        <w:t>Assigned Role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Display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w:t>
      </w:r>
      <w:r>
        <w:rPr>
          <w:rFonts w:eastAsia="Segoe UI" w:cs="Segoe UI" w:ascii="Segoe UI" w:hAnsi="Segoe UI"/>
          <w:color w:val="101820"/>
          <w:sz w:val="21"/>
        </w:rPr>
        <w:t>. The three dots at the end of a row (</w:t>
      </w:r>
      <w:r>
        <w:rPr>
          <w:rFonts w:eastAsia="Segoe UI" w:cs="Segoe UI" w:ascii="Segoe UI" w:hAnsi="Segoe UI"/>
          <w:b/>
          <w:color w:val="101820"/>
          <w:sz w:val="21"/>
        </w:rPr>
        <w:t>Account actions</w:t>
      </w:r>
      <w:r>
        <w:rPr>
          <w:rFonts w:eastAsia="Segoe UI" w:cs="Segoe UI" w:ascii="Segoe UI" w:hAnsi="Segoe UI"/>
          <w:color w:val="101820"/>
          <w:sz w:val="21"/>
        </w:rPr>
        <w:t>) offer the actions that apply to the user: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when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is locked after 5 failed sign-ins.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Reset password</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forgot the password and cannot use Forgot password?. A temporary password is shown once and every session of the user ends.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off two-step verification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lost the phone with the authenticator app.</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Sign-in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the user with date, result, method, IP address and browser.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eye opens the user, the pencil edits the display name, e-mail and roles (a role change ends the user's open sessions), and the </w:t>
      </w:r>
      <w:r>
        <w:rPr>
          <w:rFonts w:eastAsia="Segoe UI" w:cs="Segoe UI" w:ascii="Segoe UI" w:hAnsi="Segoe UI"/>
          <w:b/>
          <w:color w:val="101820"/>
          <w:sz w:val="21"/>
        </w:rPr>
        <w:t>Status</w:t>
      </w:r>
      <w:r>
        <w:rPr>
          <w:rFonts w:eastAsia="Segoe UI" w:cs="Segoe UI" w:ascii="Segoe UI" w:hAnsi="Segoe UI"/>
          <w:color w:val="101820"/>
          <w:sz w:val="21"/>
        </w:rPr>
        <w:t xml:space="preserve"> switch deactivates a leaver. Records of a deactivated user are kept. The daily Dormant accounts job deactivates users who have not signed in for 90 days (</w:t>
      </w:r>
      <w:r>
        <w:rPr>
          <w:rFonts w:eastAsia="Consolas" w:cs="Consolas" w:ascii="Consolas" w:hAnsi="Consolas"/>
          <w:color w:val="101820"/>
          <w:sz w:val="19"/>
        </w:rPr>
        <w:t>access.dormant_days</w:t>
      </w:r>
      <w:r>
        <w:rPr>
          <w:rFonts w:eastAsia="Segoe UI" w:cs="Segoe UI" w:ascii="Segoe UI" w:hAnsi="Segoe UI"/>
          <w:color w:val="101820"/>
          <w:sz w:val="21"/>
        </w:rPr>
        <w:t>).</w:t>
      </w:r>
    </w:p>
    <w:p>
      <w:pPr>
        <w:pStyle w:val="Heading3"/>
        <w:rPr/>
      </w:pPr>
      <w:r>
        <w:rPr>
          <w:rFonts w:eastAsia="Segoe UI" w:cs="Segoe UI"/>
          <w:b/>
          <w:color w:val="0F4761"/>
          <w:sz w:val="23"/>
        </w:rPr>
        <w:t>6.4.3  Roles and role permissions</w:t>
      </w:r>
    </w:p>
    <w:p>
      <w:pPr>
        <w:pStyle w:val="Normal"/>
        <w:spacing w:lineRule="auto" w:line="276" w:before="0" w:after="120"/>
        <w:rPr/>
      </w:pPr>
      <w:r>
        <w:rPr>
          <w:rFonts w:eastAsia="Segoe UI" w:cs="Segoe UI" w:ascii="Segoe UI" w:hAnsi="Segoe UI"/>
          <w:b/>
          <w:color w:val="101820"/>
          <w:sz w:val="21"/>
        </w:rPr>
        <w:t>Role</w:t>
      </w:r>
      <w:r>
        <w:rPr>
          <w:rFonts w:eastAsia="Segoe UI" w:cs="Segoe UI" w:ascii="Segoe UI" w:hAnsi="Segoe UI"/>
          <w:color w:val="101820"/>
          <w:sz w:val="21"/>
        </w:rPr>
        <w:t xml:space="preserve"> lists the seven roles. </w:t>
      </w:r>
      <w:r>
        <w:rPr>
          <w:rFonts w:eastAsia="Segoe UI" w:cs="Segoe UI" w:ascii="Segoe UI" w:hAnsi="Segoe UI"/>
          <w:b/>
          <w:color w:val="101820"/>
          <w:sz w:val="21"/>
        </w:rPr>
        <w:t>Role Permissions</w:t>
      </w:r>
      <w:r>
        <w:rPr>
          <w:rFonts w:eastAsia="Segoe UI" w:cs="Segoe UI" w:ascii="Segoe UI" w:hAnsi="Segoe UI"/>
          <w:color w:val="101820"/>
          <w:sz w:val="21"/>
        </w:rPr>
        <w:t xml:space="preserve"> shows, for each permission (for example read:receipts, write:bank-reconciliation, approve:period-end), which roles hold it. A role that builds on another (the Accounting Manager on Accounting) also has that role's permissions. </w:t>
      </w:r>
      <w:r>
        <w:rPr>
          <w:rFonts w:eastAsia="Segoe UI" w:cs="Segoe UI" w:ascii="Segoe UI" w:hAnsi="Segoe UI"/>
          <w:b/>
          <w:color w:val="101820"/>
          <w:sz w:val="21"/>
        </w:rPr>
        <w:t>Edit roles</w:t>
      </w:r>
      <w:r>
        <w:rPr>
          <w:rFonts w:eastAsia="Segoe UI" w:cs="Segoe UI" w:ascii="Segoe UI" w:hAnsi="Segoe UI"/>
          <w:color w:val="101820"/>
          <w:sz w:val="21"/>
        </w:rPr>
        <w:t xml:space="preserve"> changes the permissions of a role; do this only with the process owner, because the menus and the server checks follow the permissions.</w:t>
      </w:r>
    </w:p>
    <w:p>
      <w:pPr>
        <w:pStyle w:val="Normal"/>
        <w:jc w:val="center"/>
        <w:rPr/>
      </w:pPr>
      <w:r>
        <w:rPr/>
        <w:drawing>
          <wp:inline distT="0" distB="0" distL="0" distR="0">
            <wp:extent cx="5760085" cy="446913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Role Permissions</w:t>
      </w:r>
    </w:p>
    <w:p>
      <w:pPr>
        <w:pStyle w:val="Heading3"/>
        <w:rPr/>
      </w:pPr>
      <w:r>
        <w:rPr>
          <w:rFonts w:eastAsia="Segoe UI" w:cs="Segoe UI"/>
          <w:b/>
          <w:color w:val="0F4761"/>
          <w:sz w:val="23"/>
        </w:rPr>
        <w:t>6.4.4  User Access Matrix</w:t>
      </w:r>
    </w:p>
    <w:p>
      <w:pPr>
        <w:pStyle w:val="Normal"/>
        <w:spacing w:lineRule="auto" w:line="276" w:before="0" w:after="120"/>
        <w:rPr/>
      </w:pPr>
      <w:r>
        <w:rPr>
          <w:rFonts w:eastAsia="Segoe UI" w:cs="Segoe UI" w:ascii="Segoe UI" w:hAnsi="Segoe UI"/>
          <w:color w:val="101820"/>
          <w:sz w:val="21"/>
        </w:rPr>
        <w:t xml:space="preserve">The matrix lists every user with roles, branch, status, last sign-in, two-step verification, password age and segregation-of-duties conflicts. The cards at the top count </w:t>
      </w:r>
      <w:r>
        <w:rPr>
          <w:rFonts w:eastAsia="Segoe UI" w:cs="Segoe UI" w:ascii="Segoe UI" w:hAnsi="Segoe UI"/>
          <w:b/>
          <w:color w:val="101820"/>
          <w:sz w:val="21"/>
        </w:rPr>
        <w:t>Active users</w:t>
      </w:r>
      <w:r>
        <w:rPr>
          <w:rFonts w:eastAsia="Segoe UI" w:cs="Segoe UI" w:ascii="Segoe UI" w:hAnsi="Segoe UI"/>
          <w:color w:val="101820"/>
          <w:sz w:val="21"/>
        </w:rPr>
        <w:t xml:space="preserve">, </w:t>
      </w:r>
      <w:r>
        <w:rPr>
          <w:rFonts w:eastAsia="Segoe UI" w:cs="Segoe UI" w:ascii="Segoe UI" w:hAnsi="Segoe UI"/>
          <w:b/>
          <w:color w:val="101820"/>
          <w:sz w:val="21"/>
        </w:rPr>
        <w:t>Dormant (90+ days)</w:t>
      </w:r>
      <w:r>
        <w:rPr>
          <w:rFonts w:eastAsia="Segoe UI" w:cs="Segoe UI" w:ascii="Segoe UI" w:hAnsi="Segoe UI"/>
          <w:color w:val="101820"/>
          <w:sz w:val="21"/>
        </w:rPr>
        <w:t xml:space="preserve">, </w:t>
      </w:r>
      <w:r>
        <w:rPr>
          <w:rFonts w:eastAsia="Segoe UI" w:cs="Segoe UI" w:ascii="Segoe UI" w:hAnsi="Segoe UI"/>
          <w:b/>
          <w:color w:val="101820"/>
          <w:sz w:val="21"/>
        </w:rPr>
        <w:t>Segregation-of-duties conflicts</w:t>
      </w:r>
      <w:r>
        <w:rPr>
          <w:rFonts w:eastAsia="Segoe UI" w:cs="Segoe UI" w:ascii="Segoe UI" w:hAnsi="Segoe UI"/>
          <w:color w:val="101820"/>
          <w:sz w:val="21"/>
        </w:rPr>
        <w:t xml:space="preserve"> and </w:t>
      </w:r>
      <w:r>
        <w:rPr>
          <w:rFonts w:eastAsia="Segoe UI" w:cs="Segoe UI" w:ascii="Segoe UI" w:hAnsi="Segoe UI"/>
          <w:b/>
          <w:color w:val="101820"/>
          <w:sz w:val="21"/>
        </w:rPr>
        <w:t>Active without two-factor</w:t>
      </w:r>
      <w:r>
        <w:rPr>
          <w:rFonts w:eastAsia="Segoe UI" w:cs="Segoe UI" w:ascii="Segoe UI" w:hAnsi="Segoe UI"/>
          <w:color w:val="101820"/>
          <w:sz w:val="21"/>
        </w:rPr>
        <w:t xml:space="preserve">; select a card to filter the list.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matrix for an access review; </w:t>
      </w:r>
      <w:r>
        <w:rPr>
          <w:rFonts w:eastAsia="Segoe UI" w:cs="Segoe UI" w:ascii="Segoe UI" w:hAnsi="Segoe UI"/>
          <w:b/>
          <w:color w:val="101820"/>
          <w:sz w:val="21"/>
        </w:rPr>
        <w:t>Sign out everywhere</w:t>
      </w:r>
      <w:r>
        <w:rPr>
          <w:rFonts w:eastAsia="Segoe UI" w:cs="Segoe UI" w:ascii="Segoe UI" w:hAnsi="Segoe UI"/>
          <w:color w:val="101820"/>
          <w:sz w:val="21"/>
        </w:rPr>
        <w:t xml:space="preserve"> ends every session of a user.</w:t>
      </w:r>
    </w:p>
    <w:p>
      <w:pPr>
        <w:pStyle w:val="Normal"/>
        <w:jc w:val="center"/>
        <w:rPr/>
      </w:pPr>
      <w:r>
        <w:rPr/>
        <w:drawing>
          <wp:inline distT="0" distB="0" distL="0" distR="0">
            <wp:extent cx="5760085" cy="4469130"/>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User Access Matrix</w:t>
      </w:r>
    </w:p>
    <w:p>
      <w:pPr>
        <w:pStyle w:val="Heading3"/>
        <w:rPr/>
      </w:pPr>
      <w:r>
        <w:rPr>
          <w:rFonts w:eastAsia="Segoe UI" w:cs="Segoe UI"/>
          <w:b/>
          <w:color w:val="0F4761"/>
          <w:sz w:val="23"/>
        </w:rPr>
        <w:t>6.4.5  Authority Matrix</w:t>
      </w:r>
    </w:p>
    <w:p>
      <w:pPr>
        <w:pStyle w:val="Normal"/>
        <w:spacing w:lineRule="auto" w:line="276" w:before="0" w:after="120"/>
        <w:rPr/>
      </w:pPr>
      <w:r>
        <w:rPr>
          <w:rFonts w:eastAsia="Segoe UI" w:cs="Segoe UI" w:ascii="Segoe UI" w:hAnsi="Segoe UI"/>
          <w:color w:val="101820"/>
          <w:sz w:val="21"/>
        </w:rPr>
        <w:t xml:space="preserve">The Authority Matrix holds the approval limits per role and transaction type: amounts in PHP, discounts in percent of premium (for example a quotation discount of 10% for Sales &amp; Marketing, policy issuance up to PHP 1,000,000.00). A role with </w:t>
      </w:r>
      <w:r>
        <w:rPr>
          <w:rFonts w:eastAsia="Segoe UI" w:cs="Segoe UI" w:ascii="Segoe UI" w:hAnsi="Segoe UI"/>
          <w:b/>
          <w:color w:val="101820"/>
          <w:sz w:val="21"/>
        </w:rPr>
        <w:t>Not set</w:t>
      </w:r>
      <w:r>
        <w:rPr>
          <w:rFonts w:eastAsia="Segoe UI" w:cs="Segoe UI" w:ascii="Segoe UI" w:hAnsi="Segoe UI"/>
          <w:color w:val="101820"/>
          <w:sz w:val="21"/>
        </w:rPr>
        <w:t xml:space="preserve"> is not restricted by the matrix for that transaction type. </w:t>
      </w:r>
      <w:r>
        <w:rPr>
          <w:rFonts w:eastAsia="Segoe UI" w:cs="Segoe UI" w:ascii="Segoe UI" w:hAnsi="Segoe UI"/>
          <w:b/>
          <w:color w:val="101820"/>
          <w:sz w:val="21"/>
        </w:rPr>
        <w:t>Limit for one person</w:t>
      </w:r>
      <w:r>
        <w:rPr>
          <w:rFonts w:eastAsia="Segoe UI" w:cs="Segoe UI" w:ascii="Segoe UI" w:hAnsi="Segoe UI"/>
          <w:color w:val="101820"/>
          <w:sz w:val="21"/>
        </w:rPr>
        <w:t xml:space="preserve"> sets a personal limit for one user. A change applies once a second administrator approves it.</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Authority Matrix</w:t>
      </w:r>
    </w:p>
    <w:p>
      <w:pPr>
        <w:pStyle w:val="Heading3"/>
        <w:rPr/>
      </w:pPr>
      <w:r>
        <w:rPr>
          <w:rFonts w:eastAsia="Segoe UI" w:cs="Segoe UI"/>
          <w:b/>
          <w:color w:val="0F4761"/>
          <w:sz w:val="23"/>
        </w:rPr>
        <w:t>6.4.6  Delegations</w:t>
      </w:r>
    </w:p>
    <w:p>
      <w:pPr>
        <w:pStyle w:val="Normal"/>
        <w:spacing w:lineRule="auto" w:line="276" w:before="0" w:after="120"/>
        <w:rPr/>
      </w:pPr>
      <w:r>
        <w:rPr>
          <w:rFonts w:eastAsia="Segoe UI" w:cs="Segoe UI" w:ascii="Segoe UI" w:hAnsi="Segoe UI"/>
          <w:color w:val="101820"/>
          <w:sz w:val="21"/>
        </w:rPr>
        <w:t>A delegation lets another user approve for an approver who is away.</w:t>
      </w:r>
    </w:p>
    <w:p>
      <w:pPr>
        <w:pStyle w:val="Normal"/>
        <w:numPr>
          <w:ilvl w:val="0"/>
          <w:numId w:val="87"/>
        </w:numPr>
        <w:spacing w:before="0" w:after="60"/>
        <w:rPr/>
      </w:pPr>
      <w:r>
        <w:rPr>
          <w:rFonts w:eastAsia="Segoe UI" w:cs="Segoe UI" w:ascii="Segoe UI" w:hAnsi="Segoe UI"/>
          <w:color w:val="101820"/>
          <w:sz w:val="21"/>
        </w:rPr>
        <w:t xml:space="preserve">Choose User Management &gt; Delegations and select </w:t>
      </w:r>
      <w:r>
        <w:rPr>
          <w:rFonts w:eastAsia="Segoe UI" w:cs="Segoe UI" w:ascii="Segoe UI" w:hAnsi="Segoe UI"/>
          <w:b/>
          <w:color w:val="101820"/>
          <w:sz w:val="21"/>
        </w:rPr>
        <w:t>New delegation</w:t>
      </w:r>
      <w:r>
        <w:rPr>
          <w:rFonts w:eastAsia="Segoe UI" w:cs="Segoe UI" w:ascii="Segoe UI" w:hAnsi="Segoe UI"/>
          <w:color w:val="101820"/>
          <w:sz w:val="21"/>
        </w:rPr>
        <w:t>.</w:t>
      </w:r>
    </w:p>
    <w:p>
      <w:pPr>
        <w:pStyle w:val="Normal"/>
        <w:numPr>
          <w:ilvl w:val="0"/>
          <w:numId w:val="88"/>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Approver away</w:t>
      </w:r>
      <w:r>
        <w:rPr>
          <w:rFonts w:eastAsia="Segoe UI" w:cs="Segoe UI" w:ascii="Segoe UI" w:hAnsi="Segoe UI"/>
          <w:color w:val="101820"/>
          <w:sz w:val="21"/>
        </w:rPr>
        <w:t xml:space="preserve"> and </w:t>
      </w:r>
      <w:r>
        <w:rPr>
          <w:rFonts w:eastAsia="Segoe UI" w:cs="Segoe UI" w:ascii="Segoe UI" w:hAnsi="Segoe UI"/>
          <w:b/>
          <w:color w:val="101820"/>
          <w:sz w:val="21"/>
        </w:rPr>
        <w:t>Covered by</w:t>
      </w:r>
      <w:r>
        <w:rPr>
          <w:rFonts w:eastAsia="Segoe UI" w:cs="Segoe UI" w:ascii="Segoe UI" w:hAnsi="Segoe UI"/>
          <w:color w:val="101820"/>
          <w:sz w:val="21"/>
        </w:rPr>
        <w:t xml:space="preserve">, the </w:t>
      </w:r>
      <w:r>
        <w:rPr>
          <w:rFonts w:eastAsia="Segoe UI" w:cs="Segoe UI" w:ascii="Segoe UI" w:hAnsi="Segoe UI"/>
          <w:b/>
          <w:color w:val="101820"/>
          <w:sz w:val="21"/>
        </w:rPr>
        <w:t>Transactions</w:t>
      </w:r>
      <w:r>
        <w:rPr>
          <w:rFonts w:eastAsia="Segoe UI" w:cs="Segoe UI" w:ascii="Segoe UI" w:hAnsi="Segoe UI"/>
          <w:color w:val="101820"/>
          <w:sz w:val="21"/>
        </w:rPr>
        <w:t xml:space="preserve"> covered (</w:t>
      </w:r>
      <w:r>
        <w:rPr>
          <w:rFonts w:eastAsia="Segoe UI" w:cs="Segoe UI" w:ascii="Segoe UI" w:hAnsi="Segoe UI"/>
          <w:b/>
          <w:color w:val="101820"/>
          <w:sz w:val="21"/>
        </w:rPr>
        <w:t>All transactions</w:t>
      </w:r>
      <w:r>
        <w:rPr>
          <w:rFonts w:eastAsia="Segoe UI" w:cs="Segoe UI" w:ascii="Segoe UI" w:hAnsi="Segoe UI"/>
          <w:color w:val="101820"/>
          <w:sz w:val="21"/>
        </w:rPr>
        <w:t xml:space="preserve"> or a type),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dates and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8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delegation</w:t>
      </w:r>
    </w:p>
    <w:p>
      <w:pPr>
        <w:pStyle w:val="Heading3"/>
        <w:rPr/>
      </w:pPr>
      <w:r>
        <w:rPr>
          <w:rFonts w:eastAsia="Segoe UI" w:cs="Segoe UI"/>
          <w:b/>
          <w:color w:val="0F4761"/>
          <w:sz w:val="23"/>
        </w:rPr>
        <w:t>6.4.7  Segregation of Duties</w:t>
      </w:r>
    </w:p>
    <w:p>
      <w:pPr>
        <w:pStyle w:val="Normal"/>
        <w:spacing w:lineRule="auto" w:line="276" w:before="0" w:after="120"/>
        <w:rPr/>
      </w:pPr>
      <w:r>
        <w:rPr>
          <w:rFonts w:eastAsia="Segoe UI" w:cs="Segoe UI" w:ascii="Segoe UI" w:hAnsi="Segoe UI"/>
          <w:color w:val="101820"/>
          <w:sz w:val="21"/>
        </w:rPr>
        <w:t>Each rule names two roles that one person should not hold together, what happens when they are assigned (</w:t>
      </w:r>
      <w:r>
        <w:rPr>
          <w:rFonts w:eastAsia="Segoe UI" w:cs="Segoe UI" w:ascii="Segoe UI" w:hAnsi="Segoe UI"/>
          <w:b/>
          <w:color w:val="101820"/>
          <w:sz w:val="21"/>
        </w:rPr>
        <w:t>Block</w:t>
      </w:r>
      <w:r>
        <w:rPr>
          <w:rFonts w:eastAsia="Segoe UI" w:cs="Segoe UI" w:ascii="Segoe UI" w:hAnsi="Segoe UI"/>
          <w:color w:val="101820"/>
          <w:sz w:val="21"/>
        </w:rPr>
        <w:t xml:space="preserve">), the reason and the status. The delivered rules are SOD-CLM-ACCT (Claims and Accounting: the claims handler should not also release claim payments), SOD-PROC-ACCT (Processing Team and Accounting: the person who places and issues business should not also release premium to insurers) and SOD-PROC-MGR (Processing Team and Accounting Manager). </w:t>
      </w:r>
      <w:r>
        <w:rPr>
          <w:rFonts w:eastAsia="Segoe UI" w:cs="Segoe UI" w:ascii="Segoe UI" w:hAnsi="Segoe UI"/>
          <w:b/>
          <w:color w:val="101820"/>
          <w:sz w:val="21"/>
        </w:rPr>
        <w:t>New rule</w:t>
      </w:r>
      <w:r>
        <w:rPr>
          <w:rFonts w:eastAsia="Segoe UI" w:cs="Segoe UI" w:ascii="Segoe UI" w:hAnsi="Segoe UI"/>
          <w:color w:val="101820"/>
          <w:sz w:val="21"/>
        </w:rPr>
        <w:t xml:space="preserve"> adds a rule; </w:t>
      </w:r>
      <w:r>
        <w:rPr>
          <w:rFonts w:eastAsia="Segoe UI" w:cs="Segoe UI" w:ascii="Segoe UI" w:hAnsi="Segoe UI"/>
          <w:b/>
          <w:color w:val="101820"/>
          <w:sz w:val="21"/>
        </w:rPr>
        <w:t>Switch off</w:t>
      </w:r>
      <w:r>
        <w:rPr>
          <w:rFonts w:eastAsia="Segoe UI" w:cs="Segoe UI" w:ascii="Segoe UI" w:hAnsi="Segoe UI"/>
          <w:color w:val="101820"/>
          <w:sz w:val="21"/>
        </w:rPr>
        <w:t xml:space="preserve"> disables one.</w:t>
      </w:r>
    </w:p>
    <w:p>
      <w:pPr>
        <w:pStyle w:val="Normal"/>
        <w:jc w:val="center"/>
        <w:rPr/>
      </w:pPr>
      <w:r>
        <w:rPr/>
        <w:drawing>
          <wp:inline distT="0" distB="0" distL="0" distR="0">
            <wp:extent cx="5760085" cy="3510915"/>
            <wp:effectExtent l="0" t="0" r="0" b="0"/>
            <wp:docPr id="28" name="Picture 21212882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121288208" descr=""/>
                    <pic:cNvPicPr>
                      <a:picLocks noChangeAspect="1" noChangeArrowheads="1"/>
                    </pic:cNvPicPr>
                  </pic:nvPicPr>
                  <pic:blipFill>
                    <a:blip r:embed="rId24"/>
                    <a:stretch>
                      <a:fillRect/>
                    </a:stretch>
                  </pic:blipFill>
                  <pic:spPr bwMode="auto">
                    <a:xfrm>
                      <a:off x="0" y="0"/>
                      <a:ext cx="5760085" cy="351091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Segregation of Duties</w:t>
      </w:r>
    </w:p>
    <w:p>
      <w:pPr>
        <w:pStyle w:val="Heading3"/>
        <w:rPr/>
      </w:pPr>
      <w:r>
        <w:rPr>
          <w:rFonts w:eastAsia="Segoe UI" w:cs="Segoe UI"/>
          <w:b/>
          <w:color w:val="0F4761"/>
          <w:sz w:val="23"/>
        </w:rPr>
        <w:t>6.4.8  Access Reviews</w:t>
      </w:r>
    </w:p>
    <w:p>
      <w:pPr>
        <w:pStyle w:val="Normal"/>
        <w:spacing w:lineRule="auto" w:line="276" w:before="0" w:after="120"/>
        <w:rPr/>
      </w:pPr>
      <w:r>
        <w:rPr>
          <w:rFonts w:eastAsia="Segoe UI" w:cs="Segoe UI" w:ascii="Segoe UI" w:hAnsi="Segoe UI"/>
          <w:color w:val="101820"/>
          <w:sz w:val="21"/>
        </w:rPr>
        <w:t xml:space="preserve">Confirm at least every quarter that each active user still needs his or her access. </w:t>
      </w:r>
      <w:r>
        <w:rPr>
          <w:rFonts w:eastAsia="Segoe UI" w:cs="Segoe UI" w:ascii="Segoe UI" w:hAnsi="Segoe UI"/>
          <w:b/>
          <w:color w:val="101820"/>
          <w:sz w:val="21"/>
        </w:rPr>
        <w:t>Start a review</w:t>
      </w:r>
      <w:r>
        <w:rPr>
          <w:rFonts w:eastAsia="Segoe UI" w:cs="Segoe UI" w:ascii="Segoe UI" w:hAnsi="Segoe UI"/>
          <w:color w:val="101820"/>
          <w:sz w:val="21"/>
        </w:rPr>
        <w:t xml:space="preserve"> creates the review with every active user; for each user choose </w:t>
      </w:r>
      <w:r>
        <w:rPr>
          <w:rFonts w:eastAsia="Segoe UI" w:cs="Segoe UI" w:ascii="Segoe UI" w:hAnsi="Segoe UI"/>
          <w:b/>
          <w:color w:val="101820"/>
          <w:sz w:val="21"/>
        </w:rPr>
        <w:t>Keep</w:t>
      </w:r>
      <w:r>
        <w:rPr>
          <w:rFonts w:eastAsia="Segoe UI" w:cs="Segoe UI" w:ascii="Segoe UI" w:hAnsi="Segoe UI"/>
          <w:color w:val="101820"/>
          <w:sz w:val="21"/>
        </w:rPr>
        <w:t xml:space="preserve"> or </w:t>
      </w:r>
      <w:r>
        <w:rPr>
          <w:rFonts w:eastAsia="Segoe UI" w:cs="Segoe UI" w:ascii="Segoe UI" w:hAnsi="Segoe UI"/>
          <w:b/>
          <w:color w:val="101820"/>
          <w:sz w:val="21"/>
        </w:rPr>
        <w:t>Revoke</w:t>
      </w:r>
      <w:r>
        <w:rPr>
          <w:rFonts w:eastAsia="Segoe UI" w:cs="Segoe UI" w:ascii="Segoe UI" w:hAnsi="Segoe UI"/>
          <w:color w:val="101820"/>
          <w:sz w:val="21"/>
        </w:rPr>
        <w:t xml:space="preserve"> (the decision starts as </w:t>
      </w:r>
      <w:r>
        <w:rPr>
          <w:rFonts w:eastAsia="Segoe UI" w:cs="Segoe UI" w:ascii="Segoe UI" w:hAnsi="Segoe UI"/>
          <w:b/>
          <w:color w:val="101820"/>
          <w:sz w:val="21"/>
        </w:rPr>
        <w:t>To review</w:t>
      </w:r>
      <w:r>
        <w:rPr>
          <w:rFonts w:eastAsia="Segoe UI" w:cs="Segoe UI" w:ascii="Segoe UI" w:hAnsi="Segoe UI"/>
          <w:color w:val="101820"/>
          <w:sz w:val="21"/>
        </w:rPr>
        <w:t>). The closed review is kept as the audit record.</w:t>
      </w:r>
    </w:p>
    <w:p>
      <w:pPr>
        <w:pStyle w:val="Heading2"/>
        <w:rPr/>
      </w:pPr>
      <w:bookmarkStart w:id="28" w:name="__RefHeading___Toc107311_4049217194"/>
      <w:bookmarkEnd w:id="28"/>
      <w:r>
        <w:rPr>
          <w:rFonts w:eastAsia="Segoe UI" w:cs="Segoe UI"/>
          <w:b/>
          <w:color w:val="0F4761"/>
          <w:sz w:val="26"/>
        </w:rPr>
        <w:t>6.5  Company, branches and the letterhead</w:t>
      </w:r>
    </w:p>
    <w:p>
      <w:pPr>
        <w:pStyle w:val="Normal"/>
        <w:jc w:val="center"/>
        <w:rPr/>
      </w:pPr>
      <w:r>
        <w:rPr/>
        <w:drawing>
          <wp:inline distT="0" distB="0" distL="0" distR="0">
            <wp:extent cx="5760085" cy="4424680"/>
            <wp:effectExtent l="0" t="0" r="0" b="0"/>
            <wp:docPr id="29" name="Picture 21212882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121288209" descr=""/>
                    <pic:cNvPicPr>
                      <a:picLocks noChangeAspect="1" noChangeArrowheads="1"/>
                    </pic:cNvPicPr>
                  </pic:nvPicPr>
                  <pic:blipFill>
                    <a:blip r:embed="rId25"/>
                    <a:stretch>
                      <a:fillRect/>
                    </a:stretch>
                  </pic:blipFill>
                  <pic:spPr bwMode="auto">
                    <a:xfrm>
                      <a:off x="0" y="0"/>
                      <a:ext cx="5760085" cy="44246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Organization &gt; Company &gt; Add</w:t>
      </w:r>
    </w:p>
    <w:p>
      <w:pPr>
        <w:pStyle w:val="Normal"/>
        <w:spacing w:lineRule="auto" w:line="276" w:before="0" w:after="120"/>
        <w:rPr/>
      </w:pPr>
      <w:r>
        <w:rPr>
          <w:rFonts w:eastAsia="Segoe UI" w:cs="Segoe UI" w:ascii="Segoe UI" w:hAnsi="Segoe UI"/>
          <w:color w:val="101820"/>
          <w:sz w:val="21"/>
        </w:rPr>
        <w:t>Every printed document and report PDF (quotation, request for quotation, placement slip, policy schedule, billing statement, official receipt, payment voucher, debit note, claim letters, BIR forms) carries the letterhead of the company marked as letterhead company.</w:t>
      </w:r>
    </w:p>
    <w:p>
      <w:pPr>
        <w:pStyle w:val="Normal"/>
        <w:numPr>
          <w:ilvl w:val="0"/>
          <w:numId w:val="90"/>
        </w:numPr>
        <w:spacing w:before="0" w:after="60"/>
        <w:rPr/>
      </w:pPr>
      <w:r>
        <w:rPr>
          <w:rFonts w:eastAsia="Segoe UI" w:cs="Segoe UI" w:ascii="Segoe UI" w:hAnsi="Segoe UI"/>
          <w:color w:val="101820"/>
          <w:sz w:val="21"/>
        </w:rPr>
        <w:t xml:space="preserve">Choose Master &gt; Generals &gt; Organization &gt; Company. Select </w:t>
      </w:r>
      <w:r>
        <w:rPr>
          <w:rFonts w:eastAsia="Segoe UI" w:cs="Segoe UI" w:ascii="Segoe UI" w:hAnsi="Segoe UI"/>
          <w:b/>
          <w:color w:val="101820"/>
          <w:sz w:val="21"/>
        </w:rPr>
        <w:t>Add</w:t>
      </w:r>
      <w:r>
        <w:rPr>
          <w:rFonts w:eastAsia="Segoe UI" w:cs="Segoe UI" w:ascii="Segoe UI" w:hAnsi="Segoe UI"/>
          <w:color w:val="101820"/>
          <w:sz w:val="21"/>
        </w:rPr>
        <w:t>, or the pencil on the delivered company to edit it into your own.</w:t>
      </w:r>
    </w:p>
    <w:p>
      <w:pPr>
        <w:pStyle w:val="Normal"/>
        <w:numPr>
          <w:ilvl w:val="0"/>
          <w:numId w:val="91"/>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Company Code</w:t>
      </w:r>
      <w:r>
        <w:rPr>
          <w:rFonts w:eastAsia="Segoe UI" w:cs="Segoe UI" w:ascii="Segoe UI" w:hAnsi="Segoe UI"/>
          <w:color w:val="101820"/>
          <w:sz w:val="21"/>
        </w:rPr>
        <w:t xml:space="preserve">, </w:t>
      </w:r>
      <w:r>
        <w:rPr>
          <w:rFonts w:eastAsia="Segoe UI" w:cs="Segoe UI" w:ascii="Segoe UI" w:hAnsi="Segoe UI"/>
          <w:b/>
          <w:color w:val="101820"/>
          <w:sz w:val="21"/>
        </w:rPr>
        <w:t>Company Name</w:t>
      </w:r>
      <w:r>
        <w:rPr>
          <w:rFonts w:eastAsia="Segoe UI" w:cs="Segoe UI" w:ascii="Segoe UI" w:hAnsi="Segoe UI"/>
          <w:color w:val="101820"/>
          <w:sz w:val="21"/>
        </w:rPr>
        <w:t xml:space="preserve">, </w:t>
      </w:r>
      <w:r>
        <w:rPr>
          <w:rFonts w:eastAsia="Segoe UI" w:cs="Segoe UI" w:ascii="Segoe UI" w:hAnsi="Segoe UI"/>
          <w:b/>
          <w:color w:val="101820"/>
          <w:sz w:val="21"/>
        </w:rPr>
        <w:t>License Number</w:t>
      </w:r>
      <w:r>
        <w:rPr>
          <w:rFonts w:eastAsia="Segoe UI" w:cs="Segoe UI" w:ascii="Segoe UI" w:hAnsi="Segoe UI"/>
          <w:color w:val="101820"/>
          <w:sz w:val="21"/>
        </w:rPr>
        <w:t xml:space="preserve"> (Insurance Commission licence), </w:t>
      </w:r>
      <w:r>
        <w:rPr>
          <w:rFonts w:eastAsia="Segoe UI" w:cs="Segoe UI" w:ascii="Segoe UI" w:hAnsi="Segoe UI"/>
          <w:b/>
          <w:color w:val="101820"/>
          <w:sz w:val="21"/>
        </w:rPr>
        <w:t>Email ID</w:t>
      </w:r>
      <w:r>
        <w:rPr>
          <w:rFonts w:eastAsia="Segoe UI" w:cs="Segoe UI" w:ascii="Segoe UI" w:hAnsi="Segoe UI"/>
          <w:color w:val="101820"/>
          <w:sz w:val="21"/>
        </w:rPr>
        <w:t xml:space="preserve">, </w:t>
      </w:r>
      <w:r>
        <w:rPr>
          <w:rFonts w:eastAsia="Segoe UI" w:cs="Segoe UI" w:ascii="Segoe UI" w:hAnsi="Segoe UI"/>
          <w:b/>
          <w:color w:val="101820"/>
          <w:sz w:val="21"/>
        </w:rPr>
        <w:t>TIN</w:t>
      </w:r>
      <w:r>
        <w:rPr>
          <w:rFonts w:eastAsia="Segoe UI" w:cs="Segoe UI" w:ascii="Segoe UI" w:hAnsi="Segoe UI"/>
          <w:color w:val="101820"/>
          <w:sz w:val="21"/>
        </w:rPr>
        <w:t xml:space="preserve">, </w:t>
      </w:r>
      <w:r>
        <w:rPr>
          <w:rFonts w:eastAsia="Segoe UI" w:cs="Segoe UI" w:ascii="Segoe UI" w:hAnsi="Segoe UI"/>
          <w:b/>
          <w:color w:val="101820"/>
          <w:sz w:val="21"/>
        </w:rPr>
        <w:t>Logo (printed on documents)</w:t>
      </w:r>
      <w:r>
        <w:rPr>
          <w:rFonts w:eastAsia="Segoe UI" w:cs="Segoe UI" w:ascii="Segoe UI" w:hAnsi="Segoe UI"/>
          <w:color w:val="101820"/>
          <w:sz w:val="21"/>
        </w:rPr>
        <w:t xml:space="preserve"> (a link, or </w:t>
      </w:r>
      <w:r>
        <w:rPr>
          <w:rFonts w:eastAsia="Segoe UI" w:cs="Segoe UI" w:ascii="Segoe UI" w:hAnsi="Segoe UI"/>
          <w:b/>
          <w:color w:val="101820"/>
          <w:sz w:val="21"/>
        </w:rPr>
        <w:t>Upload</w:t>
      </w:r>
      <w:r>
        <w:rPr>
          <w:rFonts w:eastAsia="Segoe UI" w:cs="Segoe UI" w:ascii="Segoe UI" w:hAnsi="Segoe UI"/>
          <w:color w:val="101820"/>
          <w:sz w:val="21"/>
        </w:rPr>
        <w:t xml:space="preserve">), </w:t>
      </w:r>
      <w:r>
        <w:rPr>
          <w:rFonts w:eastAsia="Segoe UI" w:cs="Segoe UI" w:ascii="Segoe UI" w:hAnsi="Segoe UI"/>
          <w:b/>
          <w:color w:val="101820"/>
          <w:sz w:val="21"/>
        </w:rPr>
        <w:t>Website link</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ZIP Code</w:t>
      </w:r>
      <w:r>
        <w:rPr>
          <w:rFonts w:eastAsia="Segoe UI" w:cs="Segoe UI" w:ascii="Segoe UI" w:hAnsi="Segoe UI"/>
          <w:color w:val="101820"/>
          <w:sz w:val="21"/>
        </w:rPr>
        <w:t xml:space="preserve">, </w:t>
      </w:r>
      <w:r>
        <w:rPr>
          <w:rFonts w:eastAsia="Segoe UI" w:cs="Segoe UI" w:ascii="Segoe UI" w:hAnsi="Segoe UI"/>
          <w:b/>
          <w:color w:val="101820"/>
          <w:sz w:val="21"/>
        </w:rPr>
        <w:t>City</w:t>
      </w:r>
      <w:r>
        <w:rPr>
          <w:rFonts w:eastAsia="Segoe UI" w:cs="Segoe UI" w:ascii="Segoe UI" w:hAnsi="Segoe UI"/>
          <w:color w:val="101820"/>
          <w:sz w:val="21"/>
        </w:rPr>
        <w:t xml:space="preserv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and </w:t>
      </w:r>
      <w:r>
        <w:rPr>
          <w:rFonts w:eastAsia="Segoe UI" w:cs="Segoe UI" w:ascii="Segoe UI" w:hAnsi="Segoe UI"/>
          <w:b/>
          <w:color w:val="101820"/>
          <w:sz w:val="21"/>
        </w:rPr>
        <w:t>Fax</w:t>
      </w:r>
      <w:r>
        <w:rPr>
          <w:rFonts w:eastAsia="Segoe UI" w:cs="Segoe UI" w:ascii="Segoe UI" w:hAnsi="Segoe UI"/>
          <w:color w:val="101820"/>
          <w:sz w:val="21"/>
        </w:rPr>
        <w:t xml:space="preserve"> (+63 numbers).</w:t>
      </w:r>
    </w:p>
    <w:p>
      <w:pPr>
        <w:pStyle w:val="Normal"/>
        <w:numPr>
          <w:ilvl w:val="0"/>
          <w:numId w:val="92"/>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Letterhead company - used on documents and reports</w:t>
      </w:r>
      <w:r>
        <w:rPr>
          <w:rFonts w:eastAsia="Segoe UI" w:cs="Segoe UI" w:ascii="Segoe UI" w:hAnsi="Segoe UI"/>
          <w:color w:val="101820"/>
          <w:sz w:val="21"/>
        </w:rPr>
        <w:t xml:space="preserve"> for the company whose letterhead the documents use. Only one company holds it.</w:t>
      </w:r>
    </w:p>
    <w:p>
      <w:pPr>
        <w:pStyle w:val="Normal"/>
        <w:numPr>
          <w:ilvl w:val="0"/>
          <w:numId w:val="9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then print any statement or report as PDF to check the letterhead.</w:t>
      </w:r>
    </w:p>
    <w:p>
      <w:pPr>
        <w:pStyle w:val="Normal"/>
        <w:spacing w:lineRule="auto" w:line="276" w:before="0" w:after="120"/>
        <w:rPr/>
      </w:pPr>
      <w:r>
        <w:rPr>
          <w:rFonts w:eastAsia="Segoe UI" w:cs="Segoe UI" w:ascii="Segoe UI" w:hAnsi="Segoe UI"/>
          <w:color w:val="101820"/>
          <w:sz w:val="21"/>
        </w:rPr>
        <w:t>The application name and logo of the sign-in page and the sidebar come from Master &gt; System Settings, not from the Company master. Branches are kept on Master &gt; Generals &gt; Organization &gt; Branch in the same way.</w:t>
      </w:r>
    </w:p>
    <w:p>
      <w:pPr>
        <w:pStyle w:val="Heading2"/>
        <w:rPr/>
      </w:pPr>
      <w:bookmarkStart w:id="29" w:name="__RefHeading___Toc107313_4049217194"/>
      <w:bookmarkEnd w:id="29"/>
      <w:r>
        <w:rPr>
          <w:rFonts w:eastAsia="Segoe UI" w:cs="Segoe UI"/>
          <w:b/>
          <w:color w:val="0F4761"/>
          <w:sz w:val="26"/>
        </w:rPr>
        <w:t>6.6  Insurers and the other masters</w:t>
      </w:r>
    </w:p>
    <w:p>
      <w:pPr>
        <w:pStyle w:val="Heading3"/>
        <w:rPr/>
      </w:pPr>
      <w:r>
        <w:rPr>
          <w:rFonts w:eastAsia="Segoe UI" w:cs="Segoe UI"/>
          <w:b/>
          <w:color w:val="0F4761"/>
          <w:sz w:val="23"/>
        </w:rPr>
        <w:t>6.6.1  Insurance companies</w:t>
      </w:r>
    </w:p>
    <w:p>
      <w:pPr>
        <w:pStyle w:val="Normal"/>
        <w:jc w:val="center"/>
        <w:rPr/>
      </w:pPr>
      <w:r>
        <w:rPr/>
        <w:drawing>
          <wp:inline distT="0" distB="0" distL="0" distR="0">
            <wp:extent cx="5760085" cy="4474210"/>
            <wp:effectExtent l="0" t="0" r="0" b="0"/>
            <wp:docPr id="30" name="Picture 21212882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121288210" descr=""/>
                    <pic:cNvPicPr>
                      <a:picLocks noChangeAspect="1" noChangeArrowheads="1"/>
                    </pic:cNvPicPr>
                  </pic:nvPicPr>
                  <pic:blipFill>
                    <a:blip r:embed="rId26"/>
                    <a:stretch>
                      <a:fillRect/>
                    </a:stretch>
                  </pic:blipFill>
                  <pic:spPr bwMode="auto">
                    <a:xfrm>
                      <a:off x="0" y="0"/>
                      <a:ext cx="5760085" cy="447421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Insurance Management &gt; Insurance Company &gt; Add</w:t>
      </w:r>
    </w:p>
    <w:p>
      <w:pPr>
        <w:pStyle w:val="Normal"/>
        <w:numPr>
          <w:ilvl w:val="0"/>
          <w:numId w:val="94"/>
        </w:numPr>
        <w:spacing w:before="0" w:after="60"/>
        <w:rPr/>
      </w:pPr>
      <w:r>
        <w:rPr>
          <w:rFonts w:eastAsia="Segoe UI" w:cs="Segoe UI" w:ascii="Segoe UI" w:hAnsi="Segoe UI"/>
          <w:color w:val="101820"/>
          <w:sz w:val="21"/>
        </w:rPr>
        <w:t xml:space="preserve">Choose Master &gt; Generals &gt; Insurance Management &gt; Insurance Company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95"/>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Insurance Company Code</w:t>
      </w:r>
      <w:r>
        <w:rPr>
          <w:rFonts w:eastAsia="Segoe UI" w:cs="Segoe UI" w:ascii="Segoe UI" w:hAnsi="Segoe UI"/>
          <w:color w:val="101820"/>
          <w:sz w:val="21"/>
        </w:rPr>
        <w:t xml:space="preserve">,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Insurance Company Description</w:t>
      </w:r>
      <w:r>
        <w:rPr>
          <w:rFonts w:eastAsia="Segoe UI" w:cs="Segoe UI" w:ascii="Segoe UI" w:hAnsi="Segoe UI"/>
          <w:color w:val="101820"/>
          <w:sz w:val="21"/>
        </w:rPr>
        <w:t>, the address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City</w:t>
      </w:r>
      <w:r>
        <w:rPr>
          <w:rFonts w:eastAsia="Segoe UI" w:cs="Segoe UI" w:ascii="Segoe UI" w:hAnsi="Segoe UI"/>
          <w:color w:val="101820"/>
          <w:sz w:val="21"/>
        </w:rPr>
        <w:t xml:space="preserv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w:t>
      </w:r>
      <w:r>
        <w:rPr>
          <w:rFonts w:eastAsia="Segoe UI" w:cs="Segoe UI" w:ascii="Segoe UI" w:hAnsi="Segoe UI"/>
          <w:b/>
          <w:color w:val="101820"/>
          <w:sz w:val="21"/>
        </w:rPr>
        <w:t>Email ID</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9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Credit terms</w:t>
      </w:r>
      <w:r>
        <w:rPr>
          <w:rFonts w:eastAsia="Segoe UI" w:cs="Segoe UI" w:ascii="Segoe UI" w:hAnsi="Segoe UI"/>
          <w:color w:val="101820"/>
          <w:sz w:val="21"/>
        </w:rPr>
        <w:t xml:space="preserve">, enter </w:t>
      </w:r>
      <w:r>
        <w:rPr>
          <w:rFonts w:eastAsia="Segoe UI" w:cs="Segoe UI" w:ascii="Segoe UI" w:hAnsi="Segoe UI"/>
          <w:b/>
          <w:color w:val="101820"/>
          <w:sz w:val="21"/>
        </w:rPr>
        <w:t>Premium payment warranty (days)</w:t>
      </w:r>
      <w:r>
        <w:rPr>
          <w:rFonts w:eastAsia="Segoe UI" w:cs="Segoe UI" w:ascii="Segoe UI" w:hAnsi="Segoe UI"/>
          <w:color w:val="101820"/>
          <w:sz w:val="21"/>
        </w:rPr>
        <w:t xml:space="preserve"> (days the client has to pay: the due date of the premium bill), </w:t>
      </w:r>
      <w:r>
        <w:rPr>
          <w:rFonts w:eastAsia="Segoe UI" w:cs="Segoe UI" w:ascii="Segoe UI" w:hAnsi="Segoe UI"/>
          <w:b/>
          <w:color w:val="101820"/>
          <w:sz w:val="21"/>
        </w:rPr>
        <w:t>Remittance terms (days)</w:t>
      </w:r>
      <w:r>
        <w:rPr>
          <w:rFonts w:eastAsia="Segoe UI" w:cs="Segoe UI" w:ascii="Segoe UI" w:hAnsi="Segoe UI"/>
          <w:color w:val="101820"/>
          <w:sz w:val="21"/>
        </w:rPr>
        <w:t xml:space="preserve"> (days after collection within which the broker remits to the insurer) and </w:t>
      </w:r>
      <w:r>
        <w:rPr>
          <w:rFonts w:eastAsia="Segoe UI" w:cs="Segoe UI" w:ascii="Segoe UI" w:hAnsi="Segoe UI"/>
          <w:b/>
          <w:color w:val="101820"/>
          <w:sz w:val="21"/>
        </w:rPr>
        <w:t>Default billing mode</w:t>
      </w:r>
      <w:r>
        <w:rPr>
          <w:rFonts w:eastAsia="Segoe UI" w:cs="Segoe UI" w:ascii="Segoe UI" w:hAnsi="Segoe UI"/>
          <w:color w:val="101820"/>
          <w:sz w:val="21"/>
        </w:rPr>
        <w:t xml:space="preserve"> (broker billed or direct bill). Leave them empty to use the system defaults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9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Requests for quotation, placement slips, Preliminary Loss Advices and remittance advices go to the insurer's e-mail. Keep it current.</w:t>
      </w:r>
    </w:p>
    <w:p>
      <w:pPr>
        <w:pStyle w:val="Heading3"/>
        <w:rPr/>
      </w:pPr>
      <w:r>
        <w:rPr>
          <w:rFonts w:eastAsia="Segoe UI" w:cs="Segoe UI"/>
          <w:b/>
          <w:color w:val="0F4761"/>
          <w:sz w:val="23"/>
        </w:rPr>
        <w:t>6.6.2  Masters that work the same way</w:t>
      </w:r>
    </w:p>
    <w:p>
      <w:pPr>
        <w:pStyle w:val="Normal"/>
        <w:spacing w:lineRule="auto" w:line="276" w:before="0" w:after="120"/>
        <w:rPr/>
      </w:pPr>
      <w:r>
        <w:rPr>
          <w:rFonts w:eastAsia="Segoe UI" w:cs="Segoe UI" w:ascii="Segoe UI" w:hAnsi="Segoe UI"/>
          <w:color w:val="101820"/>
          <w:sz w:val="21"/>
        </w:rPr>
        <w:t xml:space="preserve">All masters work alike: a list with search, </w:t>
      </w:r>
      <w:r>
        <w:rPr>
          <w:rFonts w:eastAsia="Segoe UI" w:cs="Segoe UI" w:ascii="Segoe UI" w:hAnsi="Segoe UI"/>
          <w:b/>
          <w:color w:val="101820"/>
          <w:sz w:val="21"/>
        </w:rPr>
        <w:t>Add</w:t>
      </w:r>
      <w:r>
        <w:rPr>
          <w:rFonts w:eastAsia="Segoe UI" w:cs="Segoe UI" w:ascii="Segoe UI" w:hAnsi="Segoe UI"/>
          <w:color w:val="101820"/>
          <w:sz w:val="21"/>
        </w:rPr>
        <w:t xml:space="preserve"> (the form opens on its own page or as a panel on the right), </w:t>
      </w:r>
      <w:r>
        <w:rPr>
          <w:rFonts w:eastAsia="Segoe UI" w:cs="Segoe UI" w:ascii="Segoe UI" w:hAnsi="Segoe UI"/>
          <w:b/>
          <w:color w:val="101820"/>
          <w:sz w:val="21"/>
        </w:rPr>
        <w:t>Upload</w:t>
      </w:r>
      <w:r>
        <w:rPr>
          <w:rFonts w:eastAsia="Segoe UI" w:cs="Segoe UI" w:ascii="Segoe UI" w:hAnsi="Segoe UI"/>
          <w:color w:val="101820"/>
          <w:sz w:val="21"/>
        </w:rPr>
        <w:t xml:space="preserve"> where offered, the eye to view, the pencil to edit and a status switch to deactivate. Records are not deleted; a deactivated record no longer appears in the lists of the other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Business, Product, Cover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lines, products and covers offered in the quotation and placement screens.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and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 xml:space="preserve"> loads them from a template.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State, City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lists (a province is a State).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Hierarchy, Designation</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staff structure. A staff member's branch, designation and reporting line are kept on the user (Master &gt; Generals &gt; User Management &gt; User).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rates.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 each linked to its GL cash account and statement format.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chart of accounts.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Heading3"/>
        <w:rPr/>
      </w:pPr>
      <w:r>
        <w:rPr>
          <w:rFonts w:eastAsia="Segoe UI" w:cs="Segoe UI"/>
          <w:b/>
          <w:color w:val="0F4761"/>
          <w:sz w:val="23"/>
        </w:rPr>
        <w:t>6.6.3  Uploads</w:t>
      </w:r>
    </w:p>
    <w:p>
      <w:pPr>
        <w:pStyle w:val="Normal"/>
        <w:jc w:val="center"/>
        <w:rPr/>
      </w:pPr>
      <w:r>
        <w:rPr/>
        <w:drawing>
          <wp:inline distT="0" distB="0" distL="0" distR="0">
            <wp:extent cx="5760085" cy="1769745"/>
            <wp:effectExtent l="0" t="0" r="0" b="0"/>
            <wp:docPr id="31" name="Picture 21212882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121288211" descr=""/>
                    <pic:cNvPicPr>
                      <a:picLocks noChangeAspect="1" noChangeArrowheads="1"/>
                    </pic:cNvPicPr>
                  </pic:nvPicPr>
                  <pic:blipFill>
                    <a:blip r:embed="rId27"/>
                    <a:stretch>
                      <a:fillRect/>
                    </a:stretch>
                  </pic:blipFill>
                  <pic:spPr bwMode="auto">
                    <a:xfrm>
                      <a:off x="0" y="0"/>
                      <a:ext cx="5760085" cy="1769745"/>
                    </a:xfrm>
                    <a:prstGeom prst="rect">
                      <a:avLst/>
                    </a:prstGeom>
                  </pic:spPr>
                </pic:pic>
              </a:graphicData>
            </a:graphic>
          </wp:inline>
        </w:drawing>
      </w:r>
    </w:p>
    <w:p>
      <w:pPr>
        <w:pStyle w:val="Normal"/>
        <w:jc w:val="center"/>
        <w:rPr/>
      </w:pPr>
      <w:r>
        <w:rPr>
          <w:rFonts w:eastAsia="Segoe UI" w:cs="Segoe UI" w:ascii="Segoe UI" w:hAnsi="Segoe UI"/>
          <w:i/>
          <w:color w:val="555F6D"/>
          <w:sz w:val="18"/>
        </w:rPr>
        <w:t>Upload dialog of a master with Download template</w:t>
      </w:r>
    </w:p>
    <w:p>
      <w:pPr>
        <w:pStyle w:val="Normal"/>
        <w:numPr>
          <w:ilvl w:val="0"/>
          <w:numId w:val="9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w:t>
      </w:r>
      <w:r>
        <w:rPr>
          <w:rFonts w:eastAsia="Segoe UI" w:cs="Segoe UI" w:ascii="Segoe UI" w:hAnsi="Segoe UI"/>
          <w:color w:val="101820"/>
          <w:sz w:val="21"/>
        </w:rPr>
        <w:t>. Where a screen holds more than one record type, choose it in the dialog.</w:t>
      </w:r>
    </w:p>
    <w:p>
      <w:pPr>
        <w:pStyle w:val="Normal"/>
        <w:numPr>
          <w:ilvl w:val="0"/>
          <w:numId w:val="9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The workbook has a Data sheet with the header row and sample rows, a Columns sheet with the rules of each column, and an Instructions sheet.</w:t>
      </w:r>
    </w:p>
    <w:p>
      <w:pPr>
        <w:pStyle w:val="Normal"/>
        <w:numPr>
          <w:ilvl w:val="0"/>
          <w:numId w:val="100"/>
        </w:numPr>
        <w:spacing w:before="0" w:after="60"/>
        <w:rPr/>
      </w:pPr>
      <w:r>
        <w:rPr>
          <w:rFonts w:eastAsia="Segoe UI" w:cs="Segoe UI" w:ascii="Segoe UI" w:hAnsi="Segoe UI"/>
          <w:color w:val="101820"/>
          <w:sz w:val="21"/>
        </w:rPr>
        <w:t>Delete the sample rows, enter your data, save the file.</w:t>
      </w:r>
    </w:p>
    <w:p>
      <w:pPr>
        <w:pStyle w:val="Normal"/>
        <w:numPr>
          <w:ilvl w:val="0"/>
          <w:numId w:val="101"/>
        </w:numPr>
        <w:spacing w:before="0" w:after="60"/>
        <w:rPr/>
      </w:pPr>
      <w:r>
        <w:rPr>
          <w:rFonts w:eastAsia="Segoe UI" w:cs="Segoe UI" w:ascii="Segoe UI" w:hAnsi="Segoe UI"/>
          <w:color w:val="101820"/>
          <w:sz w:val="21"/>
        </w:rPr>
        <w:t>Choose the file and upload it. The result shows how many rows were created or updated and lists each failed row with its problem. Correct those rows and upload them again; an existing code updates the record.</w:t>
      </w:r>
    </w:p>
    <w:p>
      <w:pPr>
        <w:pStyle w:val="Heading2"/>
        <w:rPr/>
      </w:pPr>
      <w:bookmarkStart w:id="30" w:name="__RefHeading___Toc107315_4049217194"/>
      <w:bookmarkEnd w:id="30"/>
      <w:r>
        <w:rPr>
          <w:rFonts w:eastAsia="Segoe UI" w:cs="Segoe UI"/>
          <w:b/>
          <w:color w:val="0F4761"/>
          <w:sz w:val="26"/>
        </w:rPr>
        <w:t>6.7  Document Numbering</w:t>
      </w:r>
    </w:p>
    <w:p>
      <w:pPr>
        <w:pStyle w:val="Normal"/>
        <w:jc w:val="center"/>
        <w:rPr/>
      </w:pPr>
      <w:r>
        <w:rPr/>
        <w:drawing>
          <wp:inline distT="0" distB="0" distL="0" distR="0">
            <wp:extent cx="5760085" cy="4712970"/>
            <wp:effectExtent l="0" t="0" r="0" b="0"/>
            <wp:docPr id="32" name="Picture 21212882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21288212" descr=""/>
                    <pic:cNvPicPr>
                      <a:picLocks noChangeAspect="1" noChangeArrowheads="1"/>
                    </pic:cNvPicPr>
                  </pic:nvPicPr>
                  <pic:blipFill>
                    <a:blip r:embed="rId2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Document Numbering, editing a series</w:t>
      </w:r>
    </w:p>
    <w:p>
      <w:pPr>
        <w:pStyle w:val="Normal"/>
        <w:spacing w:lineRule="auto" w:line="276" w:before="0" w:after="120"/>
        <w:rPr/>
      </w:pPr>
      <w:r>
        <w:rPr>
          <w:rFonts w:eastAsia="Segoe UI" w:cs="Segoe UI" w:ascii="Segoe UI" w:hAnsi="Segoe UI"/>
          <w:color w:val="101820"/>
          <w:sz w:val="21"/>
        </w:rPr>
        <w:t>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w:pPr>
        <w:pStyle w:val="Normal"/>
        <w:numPr>
          <w:ilvl w:val="0"/>
          <w:numId w:val="10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w:t>
      </w:r>
      <w:r>
        <w:rPr>
          <w:rFonts w:eastAsia="Segoe UI" w:cs="Segoe UI" w:ascii="Segoe UI" w:hAnsi="Segoe UI"/>
          <w:color w:val="101820"/>
          <w:sz w:val="21"/>
        </w:rPr>
        <w:t xml:space="preserve"> on the series.</w:t>
      </w:r>
    </w:p>
    <w:p>
      <w:pPr>
        <w:pStyle w:val="Normal"/>
        <w:numPr>
          <w:ilvl w:val="0"/>
          <w:numId w:val="103"/>
        </w:numPr>
        <w:spacing w:before="0" w:after="60"/>
        <w:rPr/>
      </w:pPr>
      <w:r>
        <w:rPr>
          <w:rFonts w:eastAsia="Segoe UI" w:cs="Segoe UI" w:ascii="Segoe UI" w:hAnsi="Segoe UI"/>
          <w:color w:val="101820"/>
          <w:sz w:val="21"/>
        </w:rPr>
        <w:t xml:space="preserve">Change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Prefix</w:t>
      </w:r>
      <w:r>
        <w:rPr>
          <w:rFonts w:eastAsia="Segoe UI" w:cs="Segoe UI" w:ascii="Segoe UI" w:hAnsi="Segoe UI"/>
          <w:color w:val="101820"/>
          <w:sz w:val="21"/>
        </w:rPr>
        <w:t xml:space="preserve"> or </w:t>
      </w:r>
      <w:r>
        <w:rPr>
          <w:rFonts w:eastAsia="Segoe UI" w:cs="Segoe UI" w:ascii="Segoe UI" w:hAnsi="Segoe UI"/>
          <w:b/>
          <w:color w:val="101820"/>
          <w:sz w:val="21"/>
        </w:rPr>
        <w:t>Format</w:t>
      </w:r>
      <w:r>
        <w:rPr>
          <w:rFonts w:eastAsia="Segoe UI" w:cs="Segoe UI" w:ascii="Segoe UI" w:hAnsi="Segoe UI"/>
          <w:color w:val="101820"/>
          <w:sz w:val="21"/>
        </w:rPr>
        <w:t>. Click a token to add it: {PREFIX}, {YYYY}, {YY}, {MM}, {FY}, {BRANCH}, {LOB}, {SEQ}. {BRANCH} and {LOB} are filled by the transaction; when empty they are left out with their separator.</w:t>
      </w:r>
    </w:p>
    <w:p>
      <w:pPr>
        <w:pStyle w:val="Normal"/>
        <w:numPr>
          <w:ilvl w:val="0"/>
          <w:numId w:val="104"/>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Sequence digits</w:t>
      </w:r>
      <w:r>
        <w:rPr>
          <w:rFonts w:eastAsia="Segoe UI" w:cs="Segoe UI" w:ascii="Segoe UI" w:hAnsi="Segoe UI"/>
          <w:color w:val="101820"/>
          <w:sz w:val="21"/>
        </w:rPr>
        <w:t xml:space="preserve"> (5 gives 00001), </w:t>
      </w:r>
      <w:r>
        <w:rPr>
          <w:rFonts w:eastAsia="Segoe UI" w:cs="Segoe UI" w:ascii="Segoe UI" w:hAnsi="Segoe UI"/>
          <w:b/>
          <w:color w:val="101820"/>
          <w:sz w:val="21"/>
        </w:rPr>
        <w:t>Counter reset</w:t>
      </w:r>
      <w:r>
        <w:rPr>
          <w:rFonts w:eastAsia="Segoe UI" w:cs="Segoe UI" w:ascii="Segoe UI" w:hAnsi="Segoe UI"/>
          <w:color w:val="101820"/>
          <w:sz w:val="21"/>
        </w:rPr>
        <w:t xml:space="preserve"> (for example </w:t>
      </w:r>
      <w:r>
        <w:rPr>
          <w:rFonts w:eastAsia="Segoe UI" w:cs="Segoe UI" w:ascii="Segoe UI" w:hAnsi="Segoe UI"/>
          <w:b/>
          <w:color w:val="101820"/>
          <w:sz w:val="21"/>
        </w:rPr>
        <w:t>Every calendar year</w:t>
      </w:r>
      <w:r>
        <w:rPr>
          <w:rFonts w:eastAsia="Segoe UI" w:cs="Segoe UI" w:ascii="Segoe UI" w:hAnsi="Segoe UI"/>
          <w:color w:val="101820"/>
          <w:sz w:val="21"/>
        </w:rPr>
        <w:t xml:space="preserve">) and </w:t>
      </w:r>
      <w:r>
        <w:rPr>
          <w:rFonts w:eastAsia="Segoe UI" w:cs="Segoe UI" w:ascii="Segoe UI" w:hAnsi="Segoe UI"/>
          <w:b/>
          <w:color w:val="101820"/>
          <w:sz w:val="21"/>
        </w:rPr>
        <w:t>Start number (new period)</w:t>
      </w:r>
      <w:r>
        <w:rPr>
          <w:rFonts w:eastAsia="Segoe UI" w:cs="Segoe UI" w:ascii="Segoe UI" w:hAnsi="Segoe UI"/>
          <w:color w:val="101820"/>
          <w:sz w:val="21"/>
        </w:rPr>
        <w:t>.</w:t>
      </w:r>
    </w:p>
    <w:p>
      <w:pPr>
        <w:pStyle w:val="Normal"/>
        <w:numPr>
          <w:ilvl w:val="0"/>
          <w:numId w:val="105"/>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Next number preview</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Set next number</w:t>
      </w:r>
      <w:r>
        <w:rPr>
          <w:rFonts w:eastAsia="Segoe UI" w:cs="Segoe UI" w:ascii="Segoe UI" w:hAnsi="Segoe UI"/>
          <w:color w:val="101820"/>
          <w:sz w:val="21"/>
        </w:rPr>
        <w:t xml:space="preserve"> continues the numbering of the old system; the counter only moves forward. The official receipt series must match the BIR Authority to Print. A prefix used by another active series is refused. Every change is in the audit trail.</w:t>
      </w:r>
    </w:p>
    <w:p>
      <w:pPr>
        <w:pStyle w:val="Heading2"/>
        <w:rPr/>
      </w:pPr>
      <w:bookmarkStart w:id="31" w:name="__RefHeading___Toc107317_4049217194"/>
      <w:bookmarkEnd w:id="31"/>
      <w:r>
        <w:rPr>
          <w:rFonts w:eastAsia="Segoe UI" w:cs="Segoe UI"/>
          <w:b/>
          <w:color w:val="0F4761"/>
          <w:sz w:val="26"/>
        </w:rPr>
        <w:t>6.8  Configuration</w:t>
      </w:r>
    </w:p>
    <w:p>
      <w:pPr>
        <w:pStyle w:val="Normal"/>
        <w:jc w:val="center"/>
        <w:rPr/>
      </w:pPr>
      <w:r>
        <w:rPr/>
        <w:drawing>
          <wp:inline distT="0" distB="0" distL="0" distR="0">
            <wp:extent cx="5760085" cy="4469130"/>
            <wp:effectExtent l="0" t="0" r="0" b="0"/>
            <wp:docPr id="33" name="Picture 21212882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121288213" descr=""/>
                    <pic:cNvPicPr>
                      <a:picLocks noChangeAspect="1" noChangeArrowheads="1"/>
                    </pic:cNvPicPr>
                  </pic:nvPicPr>
                  <pic:blipFill>
                    <a:blip r:embed="rId2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business areas</w:t>
      </w:r>
    </w:p>
    <w:p>
      <w:pPr>
        <w:pStyle w:val="Normal"/>
        <w:spacing w:lineRule="auto" w:line="276" w:before="0" w:after="120"/>
        <w:rPr/>
      </w:pPr>
      <w:r>
        <w:rPr>
          <w:rFonts w:eastAsia="Segoe UI" w:cs="Segoe UI" w:ascii="Segoe UI" w:hAnsi="Segoe UI"/>
          <w:color w:val="101820"/>
          <w:sz w:val="21"/>
        </w:rPr>
        <w:t>Master &gt; Configuration holds every business parameter, grouped in areas: Company &amp; Branding; Sales, Quotations &amp; Placement; Policies, Endorsements &amp; Renewals; Claims; Billing, Collections &amp; Credit; Remittance &amp; Reconciliation; Commission &amp; Incentives; Accounting &amp; Tax; Notifications &amp; E-mail; Security &amp; Access; Reports &amp; Dashboards; Data Retention &amp; Uploads. The search box finds a setting by its words, for example VAT or renewal notice.</w:t>
      </w:r>
    </w:p>
    <w:p>
      <w:pPr>
        <w:pStyle w:val="Normal"/>
        <w:numPr>
          <w:ilvl w:val="0"/>
          <w:numId w:val="106"/>
        </w:numPr>
        <w:spacing w:before="0" w:after="60"/>
        <w:rPr/>
      </w:pPr>
      <w:r>
        <w:rPr>
          <w:rFonts w:eastAsia="Segoe UI" w:cs="Segoe UI" w:ascii="Segoe UI" w:hAnsi="Segoe UI"/>
          <w:color w:val="101820"/>
          <w:sz w:val="21"/>
        </w:rPr>
        <w:t xml:space="preserve">Select the area. The list on the left switches between areas; </w:t>
      </w:r>
      <w:r>
        <w:rPr>
          <w:rFonts w:eastAsia="Segoe UI" w:cs="Segoe UI" w:ascii="Segoe UI" w:hAnsi="Segoe UI"/>
          <w:b/>
          <w:color w:val="101820"/>
          <w:sz w:val="21"/>
        </w:rPr>
        <w:t>Related screens</w:t>
      </w:r>
      <w:r>
        <w:rPr>
          <w:rFonts w:eastAsia="Segoe UI" w:cs="Segoe UI" w:ascii="Segoe UI" w:hAnsi="Segoe UI"/>
          <w:color w:val="101820"/>
          <w:sz w:val="21"/>
        </w:rPr>
        <w:t xml:space="preserve"> link to the screens the settings affect.</w:t>
      </w:r>
    </w:p>
    <w:p>
      <w:pPr>
        <w:pStyle w:val="Normal"/>
        <w:numPr>
          <w:ilvl w:val="0"/>
          <w:numId w:val="107"/>
        </w:numPr>
        <w:spacing w:before="0" w:after="60"/>
        <w:rPr/>
      </w:pPr>
      <w:r>
        <w:rPr>
          <w:rFonts w:eastAsia="Segoe UI" w:cs="Segoe UI" w:ascii="Segoe UI" w:hAnsi="Segoe UI"/>
          <w:color w:val="101820"/>
          <w:sz w:val="21"/>
        </w:rPr>
        <w:t xml:space="preserve">Change the value. Numbers and text are typed, switches switched, lists edited as values or small tables, e-mail templates in a text box where you keep the {{placeholders}}. </w:t>
      </w:r>
      <w:r>
        <w:rPr>
          <w:rFonts w:eastAsia="Segoe UI" w:cs="Segoe UI" w:ascii="Segoe UI" w:hAnsi="Segoe UI"/>
          <w:b/>
          <w:color w:val="101820"/>
          <w:sz w:val="21"/>
        </w:rPr>
        <w:t>Show advanced settings</w:t>
      </w:r>
      <w:r>
        <w:rPr>
          <w:rFonts w:eastAsia="Segoe UI" w:cs="Segoe UI" w:ascii="Segoe UI" w:hAnsi="Segoe UI"/>
          <w:color w:val="101820"/>
          <w:sz w:val="21"/>
        </w:rPr>
        <w:t xml:space="preserve"> shows the rarely changed ones.</w:t>
      </w:r>
    </w:p>
    <w:p>
      <w:pPr>
        <w:pStyle w:val="Normal"/>
        <w:numPr>
          <w:ilvl w:val="0"/>
          <w:numId w:val="108"/>
        </w:numPr>
        <w:spacing w:before="0" w:after="60"/>
        <w:rPr/>
      </w:pPr>
      <w:r>
        <w:rPr>
          <w:rFonts w:eastAsia="Segoe UI" w:cs="Segoe UI" w:ascii="Segoe UI" w:hAnsi="Segoe UI"/>
          <w:color w:val="101820"/>
          <w:sz w:val="21"/>
        </w:rPr>
        <w:t>Save. The change applies at once and is recorded in the audit trail with the old and new value.</w:t>
      </w:r>
    </w:p>
    <w:p>
      <w:pPr>
        <w:pStyle w:val="Normal"/>
        <w:jc w:val="center"/>
        <w:rPr/>
      </w:pPr>
      <w:r>
        <w:rPr/>
        <w:drawing>
          <wp:inline distT="0" distB="0" distL="0" distR="0">
            <wp:extent cx="5760085" cy="4469130"/>
            <wp:effectExtent l="0" t="0" r="0" b="0"/>
            <wp:docPr id="34" name="Picture 21212882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121288214" descr=""/>
                    <pic:cNvPicPr>
                      <a:picLocks noChangeAspect="1" noChangeArrowheads="1"/>
                    </pic:cNvPicPr>
                  </pic:nvPicPr>
                  <pic:blipFill>
                    <a:blip r:embed="rId3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Configuration: the Security &amp; Access area</w:t>
      </w:r>
    </w:p>
    <w:p>
      <w:pPr>
        <w:pStyle w:val="Normal"/>
        <w:shd w:val="clear" w:color="auto" w:fill="EAF2FB"/>
        <w:spacing w:before="0" w:after="160"/>
        <w:ind w:left="170"/>
        <w:rPr/>
      </w:pPr>
      <w:r>
        <w:rPr>
          <w:rFonts w:eastAsia="Segoe UI" w:cs="Segoe UI" w:ascii="Segoe UI" w:hAnsi="Segoe UI"/>
          <w:color w:val="101820"/>
          <w:sz w:val="20"/>
        </w:rPr>
        <w:t>Change tax rates, GL accounts and maker-checker switches only with the agreement of the Accounting Manager. Settings that control postings are protected: the system refuses a change that must go through Configuration Approvals.</w:t>
      </w:r>
    </w:p>
    <w:p>
      <w:pPr>
        <w:pStyle w:val="Normal"/>
        <w:spacing w:lineRule="auto" w:line="276" w:before="0" w:after="120"/>
        <w:rPr/>
      </w:pPr>
      <w:r>
        <w:rPr>
          <w:rFonts w:eastAsia="Segoe UI" w:cs="Segoe UI" w:ascii="Segoe UI" w:hAnsi="Segoe UI"/>
          <w:b/>
          <w:color w:val="101820"/>
          <w:sz w:val="21"/>
        </w:rPr>
        <w:t>System Settings</w:t>
      </w:r>
      <w:r>
        <w:rPr>
          <w:rFonts w:eastAsia="Segoe UI" w:cs="Segoe UI" w:ascii="Segoe UI" w:hAnsi="Segoe UI"/>
          <w:color w:val="101820"/>
          <w:sz w:val="21"/>
        </w:rPr>
        <w:t xml:space="preserve"> (Master &gt; System Settings) holds the branding and localisation: </w:t>
      </w:r>
      <w:r>
        <w:rPr>
          <w:rFonts w:eastAsia="Segoe UI" w:cs="Segoe UI" w:ascii="Segoe UI" w:hAnsi="Segoe UI"/>
          <w:b/>
          <w:color w:val="101820"/>
          <w:sz w:val="21"/>
        </w:rPr>
        <w:t>App Title</w:t>
      </w:r>
      <w:r>
        <w:rPr>
          <w:rFonts w:eastAsia="Segoe UI" w:cs="Segoe UI" w:ascii="Segoe UI" w:hAnsi="Segoe UI"/>
          <w:color w:val="101820"/>
          <w:sz w:val="21"/>
        </w:rPr>
        <w:t xml:space="preserve">, </w:t>
      </w:r>
      <w:r>
        <w:rPr>
          <w:rFonts w:eastAsia="Segoe UI" w:cs="Segoe UI" w:ascii="Segoe UI" w:hAnsi="Segoe UI"/>
          <w:b/>
          <w:color w:val="101820"/>
          <w:sz w:val="21"/>
        </w:rPr>
        <w:t>Logo Preset</w:t>
      </w:r>
      <w:r>
        <w:rPr>
          <w:rFonts w:eastAsia="Segoe UI" w:cs="Segoe UI" w:ascii="Segoe UI" w:hAnsi="Segoe UI"/>
          <w:color w:val="101820"/>
          <w:sz w:val="21"/>
        </w:rPr>
        <w:t xml:space="preserve">, </w:t>
      </w:r>
      <w:r>
        <w:rPr>
          <w:rFonts w:eastAsia="Segoe UI" w:cs="Segoe UI" w:ascii="Segoe UI" w:hAnsi="Segoe UI"/>
          <w:b/>
          <w:color w:val="101820"/>
          <w:sz w:val="21"/>
        </w:rPr>
        <w:t>Upload Logo</w:t>
      </w:r>
      <w:r>
        <w:rPr>
          <w:rFonts w:eastAsia="Segoe UI" w:cs="Segoe UI" w:ascii="Segoe UI" w:hAnsi="Segoe UI"/>
          <w:color w:val="101820"/>
          <w:sz w:val="21"/>
        </w:rPr>
        <w:t xml:space="preserve">, </w:t>
      </w:r>
      <w:r>
        <w:rPr>
          <w:rFonts w:eastAsia="Segoe UI" w:cs="Segoe UI" w:ascii="Segoe UI" w:hAnsi="Segoe UI"/>
          <w:b/>
          <w:color w:val="101820"/>
          <w:sz w:val="21"/>
        </w:rPr>
        <w:t>Favicon</w:t>
      </w:r>
      <w:r>
        <w:rPr>
          <w:rFonts w:eastAsia="Segoe UI" w:cs="Segoe UI" w:ascii="Segoe UI" w:hAnsi="Segoe UI"/>
          <w:color w:val="101820"/>
          <w:sz w:val="21"/>
        </w:rPr>
        <w:t xml:space="preserve">, </w:t>
      </w:r>
      <w:r>
        <w:rPr>
          <w:rFonts w:eastAsia="Segoe UI" w:cs="Segoe UI" w:ascii="Segoe UI" w:hAnsi="Segoe UI"/>
          <w:b/>
          <w:color w:val="101820"/>
          <w:sz w:val="21"/>
        </w:rPr>
        <w:t>Display Currency</w:t>
      </w:r>
      <w:r>
        <w:rPr>
          <w:rFonts w:eastAsia="Segoe UI" w:cs="Segoe UI" w:ascii="Segoe UI" w:hAnsi="Segoe UI"/>
          <w:color w:val="101820"/>
          <w:sz w:val="21"/>
        </w:rPr>
        <w:t xml:space="preserve">, </w:t>
      </w:r>
      <w:r>
        <w:rPr>
          <w:rFonts w:eastAsia="Segoe UI" w:cs="Segoe UI" w:ascii="Segoe UI" w:hAnsi="Segoe UI"/>
          <w:b/>
          <w:color w:val="101820"/>
          <w:sz w:val="21"/>
        </w:rPr>
        <w:t>Default Language</w:t>
      </w:r>
      <w:r>
        <w:rPr>
          <w:rFonts w:eastAsia="Segoe UI" w:cs="Segoe UI" w:ascii="Segoe UI" w:hAnsi="Segoe UI"/>
          <w:color w:val="101820"/>
          <w:sz w:val="21"/>
        </w:rPr>
        <w:t xml:space="preserve">, </w:t>
      </w:r>
      <w:r>
        <w:rPr>
          <w:rFonts w:eastAsia="Segoe UI" w:cs="Segoe UI" w:ascii="Segoe UI" w:hAnsi="Segoe UI"/>
          <w:b/>
          <w:color w:val="101820"/>
          <w:sz w:val="21"/>
        </w:rPr>
        <w:t>Primary Color</w:t>
      </w:r>
      <w:r>
        <w:rPr>
          <w:rFonts w:eastAsia="Segoe UI" w:cs="Segoe UI" w:ascii="Segoe UI" w:hAnsi="Segoe UI"/>
          <w:color w:val="101820"/>
          <w:sz w:val="21"/>
        </w:rPr>
        <w:t xml:space="preserve"> and </w:t>
      </w:r>
      <w:r>
        <w:rPr>
          <w:rFonts w:eastAsia="Segoe UI" w:cs="Segoe UI" w:ascii="Segoe UI" w:hAnsi="Segoe UI"/>
          <w:b/>
          <w:color w:val="101820"/>
          <w:sz w:val="21"/>
        </w:rPr>
        <w:t>Secondary Color</w:t>
      </w:r>
      <w:r>
        <w:rPr>
          <w:rFonts w:eastAsia="Segoe UI" w:cs="Segoe UI" w:ascii="Segoe UI" w:hAnsi="Segoe UI"/>
          <w:color w:val="101820"/>
          <w:sz w:val="21"/>
        </w:rPr>
        <w:t xml:space="preserve">. </w:t>
      </w:r>
      <w:r>
        <w:rPr>
          <w:rFonts w:eastAsia="Segoe UI" w:cs="Segoe UI" w:ascii="Segoe UI" w:hAnsi="Segoe UI"/>
          <w:b/>
          <w:color w:val="101820"/>
          <w:sz w:val="21"/>
        </w:rPr>
        <w:t>Save</w:t>
      </w:r>
      <w:r>
        <w:rPr>
          <w:rFonts w:eastAsia="Segoe UI" w:cs="Segoe UI" w:ascii="Segoe UI" w:hAnsi="Segoe UI"/>
          <w:color w:val="101820"/>
          <w:sz w:val="21"/>
        </w:rPr>
        <w:t xml:space="preserve"> applies them to every user, including the sign-in page.</w:t>
      </w:r>
    </w:p>
    <w:p>
      <w:pPr>
        <w:pStyle w:val="Normal"/>
        <w:jc w:val="center"/>
        <w:rPr/>
      </w:pPr>
      <w:r>
        <w:rPr/>
        <w:drawing>
          <wp:inline distT="0" distB="0" distL="0" distR="0">
            <wp:extent cx="5760085" cy="4469130"/>
            <wp:effectExtent l="0" t="0" r="0" b="0"/>
            <wp:docPr id="35" name="Picture 21212882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121288215" descr=""/>
                    <pic:cNvPicPr>
                      <a:picLocks noChangeAspect="1" noChangeArrowheads="1"/>
                    </pic:cNvPicPr>
                  </pic:nvPicPr>
                  <pic:blipFill>
                    <a:blip r:embed="rId3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Settings</w:t>
      </w:r>
    </w:p>
    <w:p>
      <w:pPr>
        <w:pStyle w:val="Heading2"/>
        <w:rPr/>
      </w:pPr>
      <w:bookmarkStart w:id="32" w:name="__RefHeading___Toc107319_4049217194"/>
      <w:bookmarkEnd w:id="32"/>
      <w:r>
        <w:rPr>
          <w:rFonts w:eastAsia="Segoe UI" w:cs="Segoe UI"/>
          <w:b/>
          <w:color w:val="0F4761"/>
          <w:sz w:val="26"/>
        </w:rPr>
        <w:t>6.9  Schedules</w:t>
      </w:r>
    </w:p>
    <w:p>
      <w:pPr>
        <w:pStyle w:val="Normal"/>
        <w:jc w:val="center"/>
        <w:rPr/>
      </w:pPr>
      <w:r>
        <w:rPr/>
        <w:drawing>
          <wp:inline distT="0" distB="0" distL="0" distR="0">
            <wp:extent cx="5760085" cy="4469130"/>
            <wp:effectExtent l="0" t="0" r="0" b="0"/>
            <wp:docPr id="36" name="Picture 21212882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121288216" descr=""/>
                    <pic:cNvPicPr>
                      <a:picLocks noChangeAspect="1" noChangeArrowheads="1"/>
                    </pic:cNvPicPr>
                  </pic:nvPicPr>
                  <pic:blipFill>
                    <a:blip r:embed="rId3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Schedules</w:t>
      </w:r>
    </w:p>
    <w:p>
      <w:pPr>
        <w:pStyle w:val="Normal"/>
        <w:spacing w:lineRule="auto" w:line="276" w:before="0" w:after="120"/>
        <w:rPr/>
      </w:pPr>
      <w:r>
        <w:rPr>
          <w:rFonts w:eastAsia="Segoe UI" w:cs="Segoe UI" w:ascii="Segoe UI" w:hAnsi="Segoe UI"/>
          <w:color w:val="101820"/>
          <w:sz w:val="21"/>
        </w:rPr>
        <w:t xml:space="preserve">Master &gt; Schedules lists the jobs the system runs by itself, with </w:t>
      </w:r>
      <w:r>
        <w:rPr>
          <w:rFonts w:eastAsia="Segoe UI" w:cs="Segoe UI" w:ascii="Segoe UI" w:hAnsi="Segoe UI"/>
          <w:b/>
          <w:color w:val="101820"/>
          <w:sz w:val="21"/>
        </w:rPr>
        <w:t>Job</w:t>
      </w:r>
      <w:r>
        <w:rPr>
          <w:rFonts w:eastAsia="Segoe UI" w:cs="Segoe UI" w:ascii="Segoe UI" w:hAnsi="Segoe UI"/>
          <w:color w:val="101820"/>
          <w:sz w:val="21"/>
        </w:rPr>
        <w:t xml:space="preserve">, </w:t>
      </w:r>
      <w:r>
        <w:rPr>
          <w:rFonts w:eastAsia="Segoe UI" w:cs="Segoe UI" w:ascii="Segoe UI" w:hAnsi="Segoe UI"/>
          <w:b/>
          <w:color w:val="101820"/>
          <w:sz w:val="21"/>
        </w:rPr>
        <w:t>What it does</w:t>
      </w:r>
      <w:r>
        <w:rPr>
          <w:rFonts w:eastAsia="Segoe UI" w:cs="Segoe UI" w:ascii="Segoe UI" w:hAnsi="Segoe UI"/>
          <w:color w:val="101820"/>
          <w:sz w:val="21"/>
        </w:rPr>
        <w:t xml:space="preserve">, </w:t>
      </w:r>
      <w:r>
        <w:rPr>
          <w:rFonts w:eastAsia="Segoe UI" w:cs="Segoe UI" w:ascii="Segoe UI" w:hAnsi="Segoe UI"/>
          <w:b/>
          <w:color w:val="101820"/>
          <w:sz w:val="21"/>
        </w:rPr>
        <w:t>Schedule (Asia/Manila)</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(Scheduled or </w:t>
      </w:r>
      <w:r>
        <w:rPr>
          <w:rFonts w:eastAsia="Segoe UI" w:cs="Segoe UI" w:ascii="Segoe UI" w:hAnsi="Segoe UI"/>
          <w:b/>
          <w:color w:val="101820"/>
          <w:sz w:val="21"/>
        </w:rPr>
        <w:t>Switched off</w:t>
      </w:r>
      <w:r>
        <w:rPr>
          <w:rFonts w:eastAsia="Segoe UI" w:cs="Segoe UI" w:ascii="Segoe UI" w:hAnsi="Segoe UI"/>
          <w:color w:val="101820"/>
          <w:sz w:val="21"/>
        </w:rPr>
        <w:t xml:space="preserve">), </w:t>
      </w:r>
      <w:r>
        <w:rPr>
          <w:rFonts w:eastAsia="Segoe UI" w:cs="Segoe UI" w:ascii="Segoe UI" w:hAnsi="Segoe UI"/>
          <w:b/>
          <w:color w:val="101820"/>
          <w:sz w:val="21"/>
        </w:rPr>
        <w:t>Next run</w:t>
      </w:r>
      <w:r>
        <w:rPr>
          <w:rFonts w:eastAsia="Segoe UI" w:cs="Segoe UI" w:ascii="Segoe UI" w:hAnsi="Segoe UI"/>
          <w:color w:val="101820"/>
          <w:sz w:val="21"/>
        </w:rPr>
        <w:t xml:space="preserve">, </w:t>
      </w:r>
      <w:r>
        <w:rPr>
          <w:rFonts w:eastAsia="Segoe UI" w:cs="Segoe UI" w:ascii="Segoe UI" w:hAnsi="Segoe UI"/>
          <w:b/>
          <w:color w:val="101820"/>
          <w:sz w:val="21"/>
        </w:rPr>
        <w:t>Last run</w:t>
      </w:r>
      <w:r>
        <w:rPr>
          <w:rFonts w:eastAsia="Segoe UI" w:cs="Segoe UI" w:ascii="Segoe UI" w:hAnsi="Segoe UI"/>
          <w:color w:val="101820"/>
          <w:sz w:val="21"/>
        </w:rPr>
        <w:t xml:space="preserve"> and </w:t>
      </w:r>
      <w:r>
        <w:rPr>
          <w:rFonts w:eastAsia="Segoe UI" w:cs="Segoe UI" w:ascii="Segoe UI" w:hAnsi="Segoe UI"/>
          <w:b/>
          <w:color w:val="101820"/>
          <w:sz w:val="21"/>
        </w:rPr>
        <w:t>Last status</w:t>
      </w:r>
      <w:r>
        <w:rPr>
          <w:rFonts w:eastAsia="Segoe UI" w:cs="Segoe UI" w:ascii="Segoe UI" w:hAnsi="Segoe UI"/>
          <w:color w:val="101820"/>
          <w:sz w:val="21"/>
        </w:rPr>
        <w:t>. Each row has three actions:</w:t>
      </w:r>
    </w:p>
    <w:p>
      <w:pPr>
        <w:pStyle w:val="Normal"/>
        <w:numPr>
          <w:ilvl w:val="0"/>
          <w:numId w:val="1"/>
        </w:numPr>
        <w:spacing w:before="0" w:after="60"/>
        <w:rPr/>
      </w:pPr>
      <w:r>
        <w:rPr>
          <w:rFonts w:eastAsia="Segoe UI" w:cs="Segoe UI" w:ascii="Segoe UI" w:hAnsi="Segoe UI"/>
          <w:b/>
          <w:color w:val="101820"/>
          <w:sz w:val="21"/>
        </w:rPr>
        <w:t>Run now</w:t>
      </w:r>
      <w:r>
        <w:rPr>
          <w:rFonts w:eastAsia="Segoe UI" w:cs="Segoe UI" w:ascii="Segoe UI" w:hAnsi="Segoe UI"/>
          <w:color w:val="101820"/>
          <w:sz w:val="21"/>
        </w:rPr>
        <w:t xml:space="preserve"> runs the job at once and shows the result.</w:t>
      </w:r>
    </w:p>
    <w:p>
      <w:pPr>
        <w:pStyle w:val="Normal"/>
        <w:numPr>
          <w:ilvl w:val="0"/>
          <w:numId w:val="1"/>
        </w:numPr>
        <w:spacing w:before="0" w:after="60"/>
        <w:rPr/>
      </w:pPr>
      <w:r>
        <w:rPr>
          <w:rFonts w:eastAsia="Segoe UI" w:cs="Segoe UI" w:ascii="Segoe UI" w:hAnsi="Segoe UI"/>
          <w:b/>
          <w:color w:val="101820"/>
          <w:sz w:val="21"/>
        </w:rPr>
        <w:t>Run history</w:t>
      </w:r>
      <w:r>
        <w:rPr>
          <w:rFonts w:eastAsia="Segoe UI" w:cs="Segoe UI" w:ascii="Segoe UI" w:hAnsi="Segoe UI"/>
          <w:color w:val="101820"/>
          <w:sz w:val="21"/>
        </w:rPr>
        <w:t xml:space="preserve"> lists the last runs with </w:t>
      </w:r>
      <w:r>
        <w:rPr>
          <w:rFonts w:eastAsia="Segoe UI" w:cs="Segoe UI" w:ascii="Segoe UI" w:hAnsi="Segoe UI"/>
          <w:b/>
          <w:color w:val="101820"/>
          <w:sz w:val="21"/>
        </w:rPr>
        <w:t>Started</w:t>
      </w:r>
      <w:r>
        <w:rPr>
          <w:rFonts w:eastAsia="Segoe UI" w:cs="Segoe UI" w:ascii="Segoe UI" w:hAnsi="Segoe UI"/>
          <w:color w:val="101820"/>
          <w:sz w:val="21"/>
        </w:rPr>
        <w:t xml:space="preserve">, </w:t>
      </w:r>
      <w:r>
        <w:rPr>
          <w:rFonts w:eastAsia="Segoe UI" w:cs="Segoe UI" w:ascii="Segoe UI" w:hAnsi="Segoe UI"/>
          <w:b/>
          <w:color w:val="101820"/>
          <w:sz w:val="21"/>
        </w:rPr>
        <w:t>Finished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Triggered by</w:t>
      </w:r>
      <w:r>
        <w:rPr>
          <w:rFonts w:eastAsia="Segoe UI" w:cs="Segoe UI" w:ascii="Segoe UI" w:hAnsi="Segoe UI"/>
          <w:color w:val="101820"/>
          <w:sz w:val="21"/>
        </w:rPr>
        <w:t xml:space="preserve"> and </w:t>
      </w:r>
      <w:r>
        <w:rPr>
          <w:rFonts w:eastAsia="Segoe UI" w:cs="Segoe UI" w:ascii="Segoe UI" w:hAnsi="Segoe UI"/>
          <w:b/>
          <w:color w:val="101820"/>
          <w:sz w:val="21"/>
        </w:rPr>
        <w:t>Result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Edit schedule</w:t>
      </w:r>
      <w:r>
        <w:rPr>
          <w:rFonts w:eastAsia="Segoe UI" w:cs="Segoe UI" w:ascii="Segoe UI" w:hAnsi="Segoe UI"/>
          <w:color w:val="101820"/>
          <w:sz w:val="21"/>
        </w:rPr>
        <w:t xml:space="preserve"> changes the timetable (cron format, for example 0 6 * * * for 06:00 daily) and switches the job on or off. Check that </w:t>
      </w:r>
      <w:r>
        <w:rPr>
          <w:rFonts w:eastAsia="Segoe UI" w:cs="Segoe UI" w:ascii="Segoe UI" w:hAnsi="Segoe UI"/>
          <w:b/>
          <w:color w:val="101820"/>
          <w:sz w:val="21"/>
        </w:rPr>
        <w:t>Next run</w:t>
      </w:r>
      <w:r>
        <w:rPr>
          <w:rFonts w:eastAsia="Segoe UI" w:cs="Segoe UI" w:ascii="Segoe UI" w:hAnsi="Segoe UI"/>
          <w:color w:val="101820"/>
          <w:sz w:val="21"/>
        </w:rPr>
        <w:t xml:space="preserve"> shows a date after every edit.</w:t>
      </w:r>
    </w:p>
    <w:p>
      <w:pPr>
        <w:pStyle w:val="Normal"/>
        <w:jc w:val="center"/>
        <w:rPr/>
      </w:pPr>
      <w:r>
        <w:rPr/>
        <w:drawing>
          <wp:inline distT="0" distB="0" distL="0" distR="0">
            <wp:extent cx="5760085" cy="1293495"/>
            <wp:effectExtent l="0" t="0" r="0" b="0"/>
            <wp:docPr id="37" name="Picture 21212882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21288217" descr=""/>
                    <pic:cNvPicPr>
                      <a:picLocks noChangeAspect="1" noChangeArrowheads="1"/>
                    </pic:cNvPicPr>
                  </pic:nvPicPr>
                  <pic:blipFill>
                    <a:blip r:embed="rId33"/>
                    <a:stretch>
                      <a:fillRect/>
                    </a:stretch>
                  </pic:blipFill>
                  <pic:spPr bwMode="auto">
                    <a:xfrm>
                      <a:off x="0" y="0"/>
                      <a:ext cx="5760085" cy="1293495"/>
                    </a:xfrm>
                    <a:prstGeom prst="rect">
                      <a:avLst/>
                    </a:prstGeom>
                  </pic:spPr>
                </pic:pic>
              </a:graphicData>
            </a:graphic>
          </wp:inline>
        </w:drawing>
      </w:r>
    </w:p>
    <w:p>
      <w:pPr>
        <w:pStyle w:val="Normal"/>
        <w:jc w:val="center"/>
        <w:rPr/>
      </w:pPr>
      <w:r>
        <w:rPr>
          <w:rFonts w:eastAsia="Segoe UI" w:cs="Segoe UI" w:ascii="Segoe UI" w:hAnsi="Segoe UI"/>
          <w:i/>
          <w:color w:val="555F6D"/>
          <w:sz w:val="18"/>
        </w:rPr>
        <w:t>Run history of a job</w:t>
      </w:r>
    </w:p>
    <w:p>
      <w:pPr>
        <w:pStyle w:val="Normal"/>
        <w:spacing w:lineRule="auto" w:line="276" w:before="0" w:after="120"/>
        <w:rPr/>
      </w:pPr>
      <w:r>
        <w:rPr>
          <w:rFonts w:eastAsia="Segoe UI" w:cs="Segoe UI" w:ascii="Segoe UI" w:hAnsi="Segoe UI"/>
          <w:color w:val="101820"/>
          <w:sz w:val="21"/>
        </w:rPr>
        <w:t>The jobs, their times and what they do are listed in the BrokerVerse Schedules and Batch Jobs document.</w:t>
      </w:r>
    </w:p>
    <w:p>
      <w:pPr>
        <w:pStyle w:val="Heading2"/>
        <w:rPr/>
      </w:pPr>
      <w:bookmarkStart w:id="33" w:name="__RefHeading___Toc107321_4049217194"/>
      <w:bookmarkEnd w:id="33"/>
      <w:r>
        <w:rPr>
          <w:rFonts w:eastAsia="Segoe UI" w:cs="Segoe UI"/>
          <w:b/>
          <w:color w:val="0F4761"/>
          <w:sz w:val="26"/>
        </w:rPr>
        <w:t>6.10  E-mail Outbox</w:t>
      </w:r>
    </w:p>
    <w:p>
      <w:pPr>
        <w:pStyle w:val="Normal"/>
        <w:jc w:val="center"/>
        <w:rPr/>
      </w:pPr>
      <w:r>
        <w:rPr/>
        <w:drawing>
          <wp:inline distT="0" distB="0" distL="0" distR="0">
            <wp:extent cx="5760085" cy="4469130"/>
            <wp:effectExtent l="0" t="0" r="0" b="0"/>
            <wp:docPr id="38" name="Picture 21212882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21288218" descr=""/>
                    <pic:cNvPicPr>
                      <a:picLocks noChangeAspect="1" noChangeArrowheads="1"/>
                    </pic:cNvPicPr>
                  </pic:nvPicPr>
                  <pic:blipFill>
                    <a:blip r:embed="rId3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E-mail Outbox</w:t>
      </w:r>
    </w:p>
    <w:p>
      <w:pPr>
        <w:pStyle w:val="Normal"/>
        <w:spacing w:lineRule="auto" w:line="276" w:before="0" w:after="120"/>
        <w:rPr/>
      </w:pPr>
      <w:r>
        <w:rPr>
          <w:rFonts w:eastAsia="Segoe UI" w:cs="Segoe UI" w:ascii="Segoe UI" w:hAnsi="Segoe UI"/>
          <w:color w:val="101820"/>
          <w:sz w:val="21"/>
        </w:rPr>
        <w:t xml:space="preserve">Every e-mail the system queues (quotation approval links, requests for quotation, placement slips, loss advices, renewal notices, reminders, official receipts, premium invoices, debit notes) is listed with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w:t>
      </w:r>
      <w:r>
        <w:rPr>
          <w:rFonts w:eastAsia="Segoe UI" w:cs="Segoe UI" w:ascii="Segoe UI" w:hAnsi="Segoe UI"/>
          <w:b/>
          <w:color w:val="101820"/>
          <w:sz w:val="21"/>
        </w:rPr>
        <w:t>Record</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Sent</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names the PDF files sent with the message (official receipt, premium invoice, policy schedule, commission debit note); the PDF is produced when the message is sent. A message whose attachments exceed </w:t>
      </w:r>
      <w:r>
        <w:rPr>
          <w:rFonts w:eastAsia="Consolas" w:cs="Consolas" w:ascii="Consolas" w:hAnsi="Consolas"/>
          <w:color w:val="101820"/>
          <w:sz w:val="19"/>
        </w:rPr>
        <w:t>email.max_attachment_mb</w:t>
      </w:r>
      <w:r>
        <w:rPr>
          <w:rFonts w:eastAsia="Segoe UI" w:cs="Segoe UI" w:ascii="Segoe UI" w:hAnsi="Segoe UI"/>
          <w:color w:val="101820"/>
          <w:sz w:val="21"/>
        </w:rPr>
        <w:t xml:space="preserve"> (10 MB) fails with the reason in </w:t>
      </w:r>
      <w:r>
        <w:rPr>
          <w:rFonts w:eastAsia="Segoe UI" w:cs="Segoe UI" w:ascii="Segoe UI" w:hAnsi="Segoe UI"/>
          <w:b/>
          <w:color w:val="101820"/>
          <w:sz w:val="21"/>
        </w:rPr>
        <w:t>Last error</w:t>
      </w:r>
      <w:r>
        <w:rPr>
          <w:rFonts w:eastAsia="Segoe UI" w:cs="Segoe UI" w:ascii="Segoe UI" w:hAnsi="Segoe UI"/>
          <w:color w:val="101820"/>
          <w:sz w:val="21"/>
        </w:rPr>
        <w:t xml:space="preserve">. The E-mail outbox job sends queued messages every 5 minutes; </w:t>
      </w:r>
      <w:r>
        <w:rPr>
          <w:rFonts w:eastAsia="Segoe UI" w:cs="Segoe UI" w:ascii="Segoe UI" w:hAnsi="Segoe UI"/>
          <w:b/>
          <w:color w:val="101820"/>
          <w:sz w:val="21"/>
        </w:rPr>
        <w:t>Retry</w:t>
      </w:r>
      <w:r>
        <w:rPr>
          <w:rFonts w:eastAsia="Segoe UI" w:cs="Segoe UI" w:ascii="Segoe UI" w:hAnsi="Segoe UI"/>
          <w:color w:val="101820"/>
          <w:sz w:val="21"/>
        </w:rPr>
        <w:t xml:space="preserve"> sends a failed message again. Nothing leaves the system until </w:t>
      </w:r>
      <w:r>
        <w:rPr>
          <w:rFonts w:eastAsia="Segoe UI" w:cs="Segoe UI" w:ascii="Segoe UI" w:hAnsi="Segoe UI"/>
          <w:b/>
          <w:color w:val="101820"/>
          <w:sz w:val="21"/>
        </w:rPr>
        <w:t>Send e-mails</w:t>
      </w:r>
      <w:r>
        <w:rPr>
          <w:rFonts w:eastAsia="Segoe UI" w:cs="Segoe UI" w:ascii="Segoe UI" w:hAnsi="Segoe UI"/>
          <w:color w:val="101820"/>
          <w:sz w:val="21"/>
        </w:rPr>
        <w:t xml:space="preserve"> (</w:t>
      </w:r>
      <w:r>
        <w:rPr>
          <w:rFonts w:eastAsia="Consolas" w:cs="Consolas" w:ascii="Consolas" w:hAnsi="Consolas"/>
          <w:color w:val="101820"/>
          <w:sz w:val="19"/>
        </w:rPr>
        <w:t>notification.email_enabled</w:t>
      </w:r>
      <w:r>
        <w:rPr>
          <w:rFonts w:eastAsia="Segoe UI" w:cs="Segoe UI" w:ascii="Segoe UI" w:hAnsi="Segoe UI"/>
          <w:color w:val="101820"/>
          <w:sz w:val="21"/>
        </w:rPr>
        <w:t>) is on and the mail server is set on the server; until then the screen says so and messages stay queued. Review the outbox before switching sending on.</w:t>
      </w:r>
    </w:p>
    <w:p>
      <w:pPr>
        <w:pStyle w:val="Heading2"/>
        <w:rPr/>
      </w:pPr>
      <w:bookmarkStart w:id="34" w:name="__RefHeading___Toc107323_4049217194"/>
      <w:bookmarkEnd w:id="34"/>
      <w:r>
        <w:rPr>
          <w:rFonts w:eastAsia="Segoe UI" w:cs="Segoe UI"/>
          <w:b/>
          <w:color w:val="0F4761"/>
          <w:sz w:val="26"/>
        </w:rPr>
        <w:t>6.11  Audit Trail</w:t>
      </w:r>
    </w:p>
    <w:p>
      <w:pPr>
        <w:pStyle w:val="Normal"/>
        <w:jc w:val="center"/>
        <w:rPr/>
      </w:pPr>
      <w:r>
        <w:rPr/>
        <w:drawing>
          <wp:inline distT="0" distB="0" distL="0" distR="0">
            <wp:extent cx="5760085" cy="4469130"/>
            <wp:effectExtent l="0" t="0" r="0" b="0"/>
            <wp:docPr id="39" name="Picture 21212882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121288219" descr=""/>
                    <pic:cNvPicPr>
                      <a:picLocks noChangeAspect="1" noChangeArrowheads="1"/>
                    </pic:cNvPicPr>
                  </pic:nvPicPr>
                  <pic:blipFill>
                    <a:blip r:embed="rId3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Audit Trail</w:t>
      </w:r>
    </w:p>
    <w:p>
      <w:pPr>
        <w:pStyle w:val="Normal"/>
        <w:numPr>
          <w:ilvl w:val="0"/>
          <w:numId w:val="109"/>
        </w:numPr>
        <w:spacing w:before="0" w:after="60"/>
        <w:rPr/>
      </w:pPr>
      <w:r>
        <w:rPr>
          <w:rFonts w:eastAsia="Segoe UI" w:cs="Segoe UI" w:ascii="Segoe UI" w:hAnsi="Segoe UI"/>
          <w:color w:val="101820"/>
          <w:sz w:val="21"/>
        </w:rPr>
        <w:t xml:space="preserve">Enter a </w:t>
      </w:r>
      <w:r>
        <w:rPr>
          <w:rFonts w:eastAsia="Segoe UI" w:cs="Segoe UI" w:ascii="Segoe UI" w:hAnsi="Segoe UI"/>
          <w:b/>
          <w:color w:val="101820"/>
          <w:sz w:val="21"/>
        </w:rPr>
        <w:t>Record type</w:t>
      </w:r>
      <w:r>
        <w:rPr>
          <w:rFonts w:eastAsia="Segoe UI" w:cs="Segoe UI" w:ascii="Segoe UI" w:hAnsi="Segoe UI"/>
          <w:color w:val="101820"/>
          <w:sz w:val="21"/>
        </w:rPr>
        <w:t xml:space="preserve"> (for example session for sign-ins, policy, receipt, placement), a </w:t>
      </w:r>
      <w:r>
        <w:rPr>
          <w:rFonts w:eastAsia="Segoe UI" w:cs="Segoe UI" w:ascii="Segoe UI" w:hAnsi="Segoe UI"/>
          <w:b/>
          <w:color w:val="101820"/>
          <w:sz w:val="21"/>
        </w:rPr>
        <w:t>Record ID</w:t>
      </w:r>
      <w:r>
        <w:rPr>
          <w:rFonts w:eastAsia="Segoe UI" w:cs="Segoe UI" w:ascii="Segoe UI" w:hAnsi="Segoe UI"/>
          <w:color w:val="101820"/>
          <w:sz w:val="21"/>
        </w:rPr>
        <w:t xml:space="preserve"> or a </w:t>
      </w:r>
      <w:r>
        <w:rPr>
          <w:rFonts w:eastAsia="Segoe UI" w:cs="Segoe UI" w:ascii="Segoe UI" w:hAnsi="Segoe UI"/>
          <w:b/>
          <w:color w:val="101820"/>
          <w:sz w:val="21"/>
        </w:rPr>
        <w:t>User</w:t>
      </w:r>
      <w:r>
        <w:rPr>
          <w:rFonts w:eastAsia="Segoe UI" w:cs="Segoe UI" w:ascii="Segoe UI" w:hAnsi="Segoe UI"/>
          <w:color w:val="101820"/>
          <w:sz w:val="21"/>
        </w:rPr>
        <w:t>.</w:t>
      </w:r>
    </w:p>
    <w:p>
      <w:pPr>
        <w:pStyle w:val="Normal"/>
        <w:numPr>
          <w:ilvl w:val="0"/>
          <w:numId w:val="110"/>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11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Search</w:t>
      </w:r>
      <w:r>
        <w:rPr>
          <w:rFonts w:eastAsia="Segoe UI" w:cs="Segoe UI" w:ascii="Segoe UI" w:hAnsi="Segoe UI"/>
          <w:color w:val="101820"/>
          <w:sz w:val="21"/>
        </w:rPr>
        <w:t xml:space="preserve">. The list shows </w:t>
      </w:r>
      <w:r>
        <w:rPr>
          <w:rFonts w:eastAsia="Segoe UI" w:cs="Segoe UI" w:ascii="Segoe UI" w:hAnsi="Segoe UI"/>
          <w:b/>
          <w:color w:val="101820"/>
          <w:sz w:val="21"/>
        </w:rPr>
        <w:t>When</w:t>
      </w:r>
      <w:r>
        <w:rPr>
          <w:rFonts w:eastAsia="Segoe UI" w:cs="Segoe UI" w:ascii="Segoe UI" w:hAnsi="Segoe UI"/>
          <w:color w:val="101820"/>
          <w:sz w:val="21"/>
        </w:rPr>
        <w:t xml:space="preserve">, </w:t>
      </w:r>
      <w:r>
        <w:rPr>
          <w:rFonts w:eastAsia="Segoe UI" w:cs="Segoe UI" w:ascii="Segoe UI" w:hAnsi="Segoe UI"/>
          <w:b/>
          <w:color w:val="101820"/>
          <w:sz w:val="21"/>
        </w:rPr>
        <w:t>User</w:t>
      </w:r>
      <w:r>
        <w:rPr>
          <w:rFonts w:eastAsia="Segoe UI" w:cs="Segoe UI" w:ascii="Segoe UI" w:hAnsi="Segoe UI"/>
          <w:color w:val="101820"/>
          <w:sz w:val="21"/>
        </w:rPr>
        <w:t xml:space="preserve">, </w:t>
      </w:r>
      <w:r>
        <w:rPr>
          <w:rFonts w:eastAsia="Segoe UI" w:cs="Segoe UI" w:ascii="Segoe UI" w:hAnsi="Segoe UI"/>
          <w:b/>
          <w:color w:val="101820"/>
          <w:sz w:val="21"/>
        </w:rPr>
        <w:t>Record type</w:t>
      </w:r>
      <w:r>
        <w:rPr>
          <w:rFonts w:eastAsia="Segoe UI" w:cs="Segoe UI" w:ascii="Segoe UI" w:hAnsi="Segoe UI"/>
          <w:color w:val="101820"/>
          <w:sz w:val="21"/>
        </w:rPr>
        <w:t xml:space="preserve">, </w:t>
      </w:r>
      <w:r>
        <w:rPr>
          <w:rFonts w:eastAsia="Segoe UI" w:cs="Segoe UI" w:ascii="Segoe UI" w:hAnsi="Segoe UI"/>
          <w:b/>
          <w:color w:val="101820"/>
          <w:sz w:val="21"/>
        </w:rPr>
        <w:t>Record ID</w:t>
      </w:r>
      <w:r>
        <w:rPr>
          <w:rFonts w:eastAsia="Segoe UI" w:cs="Segoe UI" w:ascii="Segoe UI" w:hAnsi="Segoe UI"/>
          <w:color w:val="101820"/>
          <w:sz w:val="21"/>
        </w:rPr>
        <w:t xml:space="preserve">, </w:t>
      </w:r>
      <w:r>
        <w:rPr>
          <w:rFonts w:eastAsia="Segoe UI" w:cs="Segoe UI" w:ascii="Segoe UI" w:hAnsi="Segoe UI"/>
          <w:b/>
          <w:color w:val="101820"/>
          <w:sz w:val="21"/>
        </w:rPr>
        <w:t>Action</w:t>
      </w:r>
      <w:r>
        <w:rPr>
          <w:rFonts w:eastAsia="Segoe UI" w:cs="Segoe UI" w:ascii="Segoe UI" w:hAnsi="Segoe UI"/>
          <w:color w:val="101820"/>
          <w:sz w:val="21"/>
        </w:rPr>
        <w:t xml:space="preserve"> and </w:t>
      </w:r>
      <w:r>
        <w:rPr>
          <w:rFonts w:eastAsia="Segoe UI" w:cs="Segoe UI" w:ascii="Segoe UI" w:hAnsi="Segoe UI"/>
          <w:b/>
          <w:color w:val="101820"/>
          <w:sz w:val="21"/>
        </w:rPr>
        <w:t>Change</w:t>
      </w:r>
      <w:r>
        <w:rPr>
          <w:rFonts w:eastAsia="Segoe UI" w:cs="Segoe UI" w:ascii="Segoe UI" w:hAnsi="Segoe UI"/>
          <w:color w:val="101820"/>
          <w:sz w:val="21"/>
        </w:rPr>
        <w:t xml:space="preserve"> (before and after values).</w:t>
      </w:r>
    </w:p>
    <w:p>
      <w:pPr>
        <w:pStyle w:val="Normal"/>
        <w:spacing w:lineRule="auto" w:line="276" w:before="0" w:after="120"/>
        <w:rPr/>
      </w:pPr>
      <w:r>
        <w:rPr>
          <w:rFonts w:eastAsia="Segoe UI" w:cs="Segoe UI" w:ascii="Segoe UI" w:hAnsi="Segoe UI"/>
          <w:color w:val="101820"/>
          <w:sz w:val="21"/>
        </w:rPr>
        <w:t>Use it for investigations, access reviews and to show that maker and checker were different people.</w:t>
      </w:r>
    </w:p>
    <w:p>
      <w:pPr>
        <w:pStyle w:val="Heading2"/>
        <w:rPr/>
      </w:pPr>
      <w:bookmarkStart w:id="35" w:name="__RefHeading___Toc107325_4049217194"/>
      <w:bookmarkEnd w:id="35"/>
      <w:r>
        <w:rPr>
          <w:rFonts w:eastAsia="Segoe UI" w:cs="Segoe UI"/>
          <w:b/>
          <w:color w:val="0F4761"/>
          <w:sz w:val="26"/>
        </w:rPr>
        <w:t>6.12  Data privacy</w:t>
      </w:r>
    </w:p>
    <w:p>
      <w:pPr>
        <w:pStyle w:val="Normal"/>
        <w:spacing w:lineRule="auto" w:line="276" w:before="0" w:after="120"/>
        <w:rPr/>
      </w:pPr>
      <w:r>
        <w:rPr>
          <w:rFonts w:eastAsia="Segoe UI" w:cs="Segoe UI" w:ascii="Segoe UI" w:hAnsi="Segoe UI"/>
          <w:color w:val="101820"/>
          <w:sz w:val="21"/>
        </w:rPr>
        <w:t>The Data Privacy menu supports the broker's Data Protection Officer under the Data Privacy Act. The System Administrator and Operations roles hold the privacy permissions (</w:t>
      </w:r>
      <w:r>
        <w:rPr>
          <w:rFonts w:eastAsia="Consolas" w:cs="Consolas" w:ascii="Consolas" w:hAnsi="Consolas"/>
          <w:color w:val="101820"/>
          <w:sz w:val="19"/>
        </w:rPr>
        <w:t>read:privacy</w:t>
      </w:r>
      <w:r>
        <w:rPr>
          <w:rFonts w:eastAsia="Segoe UI" w:cs="Segoe UI" w:ascii="Segoe UI" w:hAnsi="Segoe UI"/>
          <w:color w:val="101820"/>
          <w:sz w:val="21"/>
        </w:rPr>
        <w:t xml:space="preserve">, </w:t>
      </w:r>
      <w:r>
        <w:rPr>
          <w:rFonts w:eastAsia="Consolas" w:cs="Consolas" w:ascii="Consolas" w:hAnsi="Consolas"/>
          <w:color w:val="101820"/>
          <w:sz w:val="19"/>
        </w:rPr>
        <w:t>write:privacy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Consent.</w:t>
      </w:r>
      <w:r>
        <w:rPr>
          <w:rFonts w:eastAsia="Segoe UI" w:cs="Segoe UI" w:ascii="Segoe UI" w:hAnsi="Segoe UI"/>
          <w:color w:val="101820"/>
          <w:sz w:val="21"/>
        </w:rPr>
        <w:t xml:space="preserve"> Consent is recorded on the client (tab </w:t>
      </w:r>
      <w:r>
        <w:rPr>
          <w:rFonts w:eastAsia="Segoe UI" w:cs="Segoe UI" w:ascii="Segoe UI" w:hAnsi="Segoe UI"/>
          <w:b/>
          <w:color w:val="101820"/>
          <w:sz w:val="21"/>
        </w:rPr>
        <w:t>Data privacy</w:t>
      </w:r>
      <w:r>
        <w:rPr>
          <w:rFonts w:eastAsia="Segoe UI" w:cs="Segoe UI" w:ascii="Segoe UI" w:hAnsi="Segoe UI"/>
          <w:color w:val="101820"/>
          <w:sz w:val="21"/>
        </w:rPr>
        <w:t xml:space="preserve">) and on the prospect view, per purpose: </w:t>
      </w:r>
      <w:r>
        <w:rPr>
          <w:rFonts w:eastAsia="Segoe UI" w:cs="Segoe UI" w:ascii="Segoe UI" w:hAnsi="Segoe UI"/>
          <w:b/>
          <w:color w:val="101820"/>
          <w:sz w:val="21"/>
        </w:rPr>
        <w:t>Processing</w:t>
      </w:r>
      <w:r>
        <w:rPr>
          <w:rFonts w:eastAsia="Segoe UI" w:cs="Segoe UI" w:ascii="Segoe UI" w:hAnsi="Segoe UI"/>
          <w:color w:val="101820"/>
          <w:sz w:val="21"/>
        </w:rPr>
        <w:t xml:space="preserve"> (privacy notice acknowledged), </w:t>
      </w:r>
      <w:r>
        <w:rPr>
          <w:rFonts w:eastAsia="Segoe UI" w:cs="Segoe UI" w:ascii="Segoe UI" w:hAnsi="Segoe UI"/>
          <w:b/>
          <w:color w:val="101820"/>
          <w:sz w:val="21"/>
        </w:rPr>
        <w:t>Marketing</w:t>
      </w:r>
      <w:r>
        <w:rPr>
          <w:rFonts w:eastAsia="Segoe UI" w:cs="Segoe UI" w:ascii="Segoe UI" w:hAnsi="Segoe UI"/>
          <w:color w:val="101820"/>
          <w:sz w:val="21"/>
        </w:rPr>
        <w:t xml:space="preserve"> and </w:t>
      </w:r>
      <w:r>
        <w:rPr>
          <w:rFonts w:eastAsia="Segoe UI" w:cs="Segoe UI" w:ascii="Segoe UI" w:hAnsi="Segoe UI"/>
          <w:b/>
          <w:color w:val="101820"/>
          <w:sz w:val="21"/>
        </w:rPr>
        <w:t>Sharing with insurers</w:t>
      </w:r>
      <w:r>
        <w:rPr>
          <w:rFonts w:eastAsia="Segoe UI" w:cs="Segoe UI" w:ascii="Segoe UI" w:hAnsi="Segoe UI"/>
          <w:color w:val="101820"/>
          <w:sz w:val="21"/>
        </w:rPr>
        <w:t xml:space="preserve">. Select </w:t>
      </w:r>
      <w:r>
        <w:rPr>
          <w:rFonts w:eastAsia="Segoe UI" w:cs="Segoe UI" w:ascii="Segoe UI" w:hAnsi="Segoe UI"/>
          <w:b/>
          <w:color w:val="101820"/>
          <w:sz w:val="21"/>
        </w:rPr>
        <w:t>Record consent</w:t>
      </w:r>
      <w:r>
        <w:rPr>
          <w:rFonts w:eastAsia="Segoe UI" w:cs="Segoe UI" w:ascii="Segoe UI" w:hAnsi="Segoe UI"/>
          <w:color w:val="101820"/>
          <w:sz w:val="21"/>
        </w:rPr>
        <w:t xml:space="preserve">, choose the purpose, </w:t>
      </w:r>
      <w:r>
        <w:rPr>
          <w:rFonts w:eastAsia="Segoe UI" w:cs="Segoe UI" w:ascii="Segoe UI" w:hAnsi="Segoe UI"/>
          <w:b/>
          <w:color w:val="101820"/>
          <w:sz w:val="21"/>
        </w:rPr>
        <w:t>Given</w:t>
      </w:r>
      <w:r>
        <w:rPr>
          <w:rFonts w:eastAsia="Segoe UI" w:cs="Segoe UI" w:ascii="Segoe UI" w:hAnsi="Segoe UI"/>
          <w:color w:val="101820"/>
          <w:sz w:val="21"/>
        </w:rPr>
        <w:t xml:space="preserve"> or </w:t>
      </w:r>
      <w:r>
        <w:rPr>
          <w:rFonts w:eastAsia="Segoe UI" w:cs="Segoe UI" w:ascii="Segoe UI" w:hAnsi="Segoe UI"/>
          <w:b/>
          <w:color w:val="101820"/>
          <w:sz w:val="21"/>
        </w:rPr>
        <w:t>Refused</w:t>
      </w:r>
      <w:r>
        <w:rPr>
          <w:rFonts w:eastAsia="Segoe UI" w:cs="Segoe UI" w:ascii="Segoe UI" w:hAnsi="Segoe UI"/>
          <w:color w:val="101820"/>
          <w:sz w:val="21"/>
        </w:rPr>
        <w:t xml:space="preserve">, the channel (Form, E-mail, Phone, Portal, In person), the evidence and the notice version (the version in force, </w:t>
      </w:r>
      <w:r>
        <w:rPr>
          <w:rFonts w:eastAsia="Consolas" w:cs="Consolas" w:ascii="Consolas" w:hAnsi="Consolas"/>
          <w:color w:val="101820"/>
          <w:sz w:val="19"/>
        </w:rPr>
        <w:t>privacy.notice_version</w:t>
      </w:r>
      <w:r>
        <w:rPr>
          <w:rFonts w:eastAsia="Segoe UI" w:cs="Segoe UI" w:ascii="Segoe UI" w:hAnsi="Segoe UI"/>
          <w:color w:val="101820"/>
          <w:sz w:val="21"/>
        </w:rPr>
        <w:t xml:space="preserve">, by default). </w:t>
      </w:r>
      <w:r>
        <w:rPr>
          <w:rFonts w:eastAsia="Segoe UI" w:cs="Segoe UI" w:ascii="Segoe UI" w:hAnsi="Segoe UI"/>
          <w:b/>
          <w:color w:val="101820"/>
          <w:sz w:val="21"/>
        </w:rPr>
        <w:t>Withdraw</w:t>
      </w:r>
      <w:r>
        <w:rPr>
          <w:rFonts w:eastAsia="Segoe UI" w:cs="Segoe UI" w:ascii="Segoe UI" w:hAnsi="Segoe UI"/>
          <w:color w:val="101820"/>
          <w:sz w:val="21"/>
        </w:rPr>
        <w:t xml:space="preserve"> ends a consent with a reason; the record stays in the history. Master &gt; Data Privacy &gt; Consent Register lists every consent of every client and prospect, with </w:t>
      </w:r>
      <w:r>
        <w:rPr>
          <w:rFonts w:eastAsia="Segoe UI" w:cs="Segoe UI" w:ascii="Segoe UI" w:hAnsi="Segoe UI"/>
          <w:b/>
          <w:color w:val="101820"/>
          <w:sz w:val="21"/>
        </w:rPr>
        <w:t>Current status only</w:t>
      </w:r>
      <w:r>
        <w:rPr>
          <w:rFonts w:eastAsia="Segoe UI" w:cs="Segoe UI" w:ascii="Segoe UI" w:hAnsi="Segoe UI"/>
          <w:color w:val="101820"/>
          <w:sz w:val="21"/>
        </w:rPr>
        <w:t xml:space="preserve"> to see the latest per purpose.</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Master &gt; Data Privacy &gt; Data Subject Requests is the register of requests:</w:t>
      </w:r>
    </w:p>
    <w:p>
      <w:pPr>
        <w:pStyle w:val="Normal"/>
        <w:numPr>
          <w:ilvl w:val="0"/>
          <w:numId w:val="11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request</w:t>
      </w:r>
      <w:r>
        <w:rPr>
          <w:rFonts w:eastAsia="Segoe UI" w:cs="Segoe UI" w:ascii="Segoe UI" w:hAnsi="Segoe UI"/>
          <w:color w:val="101820"/>
          <w:sz w:val="21"/>
        </w:rPr>
        <w:t>. Enter the requester name and contact, the request type (Access, Rectification, Erasure or blocking, Objection, Data portability, Withdraw consent), the request details and the date received. Search the client or prospect, or leave it empty while the requester is not yet identified.</w:t>
      </w:r>
    </w:p>
    <w:p>
      <w:pPr>
        <w:pStyle w:val="Normal"/>
        <w:numPr>
          <w:ilvl w:val="0"/>
          <w:numId w:val="113"/>
        </w:numPr>
        <w:spacing w:before="0" w:after="60"/>
        <w:rPr/>
      </w:pPr>
      <w:r>
        <w:rPr>
          <w:rFonts w:eastAsia="Segoe UI" w:cs="Segoe UI" w:ascii="Segoe UI" w:hAnsi="Segoe UI"/>
          <w:color w:val="101820"/>
          <w:sz w:val="21"/>
        </w:rPr>
        <w:t xml:space="preserve">Save. The request takes a number from the DSR series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after the date received. The cards count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Completed</w:t>
      </w:r>
      <w:r>
        <w:rPr>
          <w:rFonts w:eastAsia="Segoe UI" w:cs="Segoe UI" w:ascii="Segoe UI" w:hAnsi="Segoe UI"/>
          <w:color w:val="101820"/>
          <w:sz w:val="21"/>
        </w:rPr>
        <w:t xml:space="preserve"> and </w:t>
      </w:r>
      <w:r>
        <w:rPr>
          <w:rFonts w:eastAsia="Segoe UI" w:cs="Segoe UI" w:ascii="Segoe UI" w:hAnsi="Segoe UI"/>
          <w:b/>
          <w:color w:val="101820"/>
          <w:sz w:val="21"/>
        </w:rPr>
        <w:t>Rejected</w:t>
      </w:r>
      <w:r>
        <w:rPr>
          <w:rFonts w:eastAsia="Segoe UI" w:cs="Segoe UI" w:ascii="Segoe UI" w:hAnsi="Segoe UI"/>
          <w:color w:val="101820"/>
          <w:sz w:val="21"/>
        </w:rPr>
        <w:t>.</w:t>
      </w:r>
    </w:p>
    <w:p>
      <w:pPr>
        <w:pStyle w:val="Normal"/>
        <w:numPr>
          <w:ilvl w:val="0"/>
          <w:numId w:val="114"/>
        </w:numPr>
        <w:spacing w:before="0" w:after="60"/>
        <w:rPr/>
      </w:pPr>
      <w:r>
        <w:rPr>
          <w:rFonts w:eastAsia="Segoe UI" w:cs="Segoe UI" w:ascii="Segoe UI" w:hAnsi="Segoe UI"/>
          <w:color w:val="101820"/>
          <w:sz w:val="21"/>
        </w:rPr>
        <w:t>Use the download icon (</w:t>
      </w:r>
      <w:r>
        <w:rPr>
          <w:rFonts w:eastAsia="Segoe UI" w:cs="Segoe UI" w:ascii="Segoe UI" w:hAnsi="Segoe UI"/>
          <w:b/>
          <w:color w:val="101820"/>
          <w:sz w:val="21"/>
        </w:rPr>
        <w:t>Export personal data</w:t>
      </w:r>
      <w:r>
        <w:rPr>
          <w:rFonts w:eastAsia="Segoe UI" w:cs="Segoe UI" w:ascii="Segoe UI" w:hAnsi="Segoe UI"/>
          <w:color w:val="101820"/>
          <w:sz w:val="21"/>
        </w:rPr>
        <w:t>) to give the data subject a copy, as JSON or Excel; the export is noted on the request.</w:t>
      </w:r>
    </w:p>
    <w:p>
      <w:pPr>
        <w:pStyle w:val="Normal"/>
        <w:numPr>
          <w:ilvl w:val="0"/>
          <w:numId w:val="115"/>
        </w:numPr>
        <w:spacing w:before="0" w:after="60"/>
        <w:rPr/>
      </w:pPr>
      <w:r>
        <w:rPr>
          <w:rFonts w:eastAsia="Segoe UI" w:cs="Segoe UI" w:ascii="Segoe UI" w:hAnsi="Segoe UI"/>
          <w:color w:val="101820"/>
          <w:sz w:val="21"/>
        </w:rPr>
        <w:t xml:space="preserve">For an erasure, use </w:t>
      </w:r>
      <w:r>
        <w:rPr>
          <w:rFonts w:eastAsia="Segoe UI" w:cs="Segoe UI" w:ascii="Segoe UI" w:hAnsi="Segoe UI"/>
          <w:b/>
          <w:color w:val="101820"/>
          <w:sz w:val="21"/>
        </w:rPr>
        <w:t>Anonymise</w:t>
      </w:r>
      <w:r>
        <w:rPr>
          <w:rFonts w:eastAsia="Segoe UI" w:cs="Segoe UI" w:ascii="Segoe UI" w:hAnsi="Segoe UI"/>
          <w:color w:val="101820"/>
          <w:sz w:val="21"/>
        </w:rPr>
        <w:t xml:space="preserve">. The dry run shows what would be cleared per record type, or why the data must be kept for now (for example policies in force, open bills or claims, or less than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since the last policy expiry). Names are replaced by an anonymised label and contact details, addresses, ID numbers, birth date and personal notes are cleared; policy, receipt and claim numbers, amounts and dates are kept for the books.</w:t>
      </w:r>
    </w:p>
    <w:p>
      <w:pPr>
        <w:pStyle w:val="Normal"/>
        <w:numPr>
          <w:ilvl w:val="0"/>
          <w:numId w:val="11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w:t>
      </w:r>
      <w:r>
        <w:rPr>
          <w:rFonts w:eastAsia="Segoe UI" w:cs="Segoe UI" w:ascii="Segoe UI" w:hAnsi="Segoe UI"/>
          <w:color w:val="101820"/>
          <w:sz w:val="21"/>
        </w:rPr>
        <w:t>, record the outcome told to the data subject, and close the request as Completed or Rejected.</w:t>
      </w:r>
    </w:p>
    <w:p>
      <w:pPr>
        <w:pStyle w:val="Normal"/>
        <w:spacing w:lineRule="auto" w:line="276" w:before="0" w:after="120"/>
        <w:rPr/>
      </w:pPr>
      <w:r>
        <w:rPr>
          <w:rFonts w:eastAsia="Segoe UI" w:cs="Segoe UI" w:ascii="Segoe UI" w:hAnsi="Segoe UI"/>
          <w:color w:val="101820"/>
          <w:sz w:val="21"/>
        </w:rPr>
        <w:t xml:space="preserve">The job </w:t>
      </w:r>
      <w:r>
        <w:rPr>
          <w:rFonts w:eastAsia="Consolas" w:cs="Consolas" w:ascii="Consolas" w:hAnsi="Consolas"/>
          <w:color w:val="101820"/>
          <w:sz w:val="19"/>
        </w:rPr>
        <w:t>privacy-requests-due</w:t>
      </w:r>
      <w:r>
        <w:rPr>
          <w:rFonts w:eastAsia="Segoe UI" w:cs="Segoe UI" w:ascii="Segoe UI" w:hAnsi="Segoe UI"/>
          <w:color w:val="101820"/>
          <w:sz w:val="21"/>
        </w:rPr>
        <w:t xml:space="preserve"> (Master &gt; Schedules, delivered switched off) notifies the privacy team every morning of open requests past their due date.</w:t>
      </w:r>
    </w:p>
    <w:p>
      <w:pPr>
        <w:pStyle w:val="Heading2"/>
        <w:rPr/>
      </w:pPr>
      <w:bookmarkStart w:id="36" w:name="__RefHeading___Toc107327_4049217194"/>
      <w:bookmarkEnd w:id="36"/>
      <w:r>
        <w:rPr>
          <w:rFonts w:eastAsia="Segoe UI" w:cs="Segoe UI"/>
          <w:b/>
          <w:color w:val="0F4761"/>
          <w:sz w:val="26"/>
        </w:rPr>
        <w:t>6.13  Finance set-up shared with the Accounting Manager</w:t>
      </w:r>
    </w:p>
    <w:p>
      <w:pPr>
        <w:pStyle w:val="Normal"/>
        <w:spacing w:lineRule="auto" w:line="276" w:before="0" w:after="120"/>
        <w:rPr/>
      </w:pPr>
      <w:r>
        <w:rPr>
          <w:rFonts w:eastAsia="Segoe UI" w:cs="Segoe UI" w:ascii="Segoe UI" w:hAnsi="Segoe UI"/>
          <w:color w:val="101820"/>
          <w:sz w:val="21"/>
        </w:rPr>
        <w:t>The System Administrator can open every Master &gt; Finance screen. The Accounting chapters describe them: Commission Rate Matrix, Posting Rules, Account Determination, Configuration Approvals and Accounting Flow (Accounting Manager chapter), Taxation, Close Checklist, Bank Statement Formats, Bank Transaction Types and Insurer Statement Formats (Accounting chapter), and Package Bundles, Insurer Rate Tables, Premium Taxes &amp; LGU Rates and Payment Gateways (Module reference). Changes to posting rules and account determination wait for a second user on Configuration Approvals.</w:t>
      </w:r>
    </w:p>
    <w:p>
      <w:pPr>
        <w:pStyle w:val="Heading2"/>
        <w:rPr/>
      </w:pPr>
      <w:bookmarkStart w:id="37" w:name="__RefHeading___Toc107329_4049217194"/>
      <w:bookmarkEnd w:id="37"/>
      <w:r>
        <w:rPr>
          <w:rFonts w:eastAsia="Segoe UI" w:cs="Segoe UI"/>
          <w:b/>
          <w:color w:val="0F4761"/>
          <w:sz w:val="26"/>
        </w:rPr>
        <w:t>6.14  Reinsurance treaties and incentive programmes</w:t>
      </w:r>
    </w:p>
    <w:p>
      <w:pPr>
        <w:pStyle w:val="Normal"/>
        <w:numPr>
          <w:ilvl w:val="0"/>
          <w:numId w:val="1"/>
        </w:numPr>
        <w:spacing w:before="0" w:after="60"/>
        <w:rPr/>
      </w:pPr>
      <w:r>
        <w:rPr>
          <w:rFonts w:eastAsia="Segoe UI" w:cs="Segoe UI" w:ascii="Segoe UI" w:hAnsi="Segoe UI"/>
          <w:b/>
          <w:color w:val="101820"/>
          <w:sz w:val="21"/>
        </w:rPr>
        <w:t>Master &gt; Finance &gt; Reinsurance Treaty</w:t>
      </w:r>
      <w:r>
        <w:rPr>
          <w:rFonts w:eastAsia="Segoe UI" w:cs="Segoe UI" w:ascii="Segoe UI" w:hAnsi="Segoe UI"/>
          <w:color w:val="101820"/>
          <w:sz w:val="21"/>
        </w:rPr>
        <w:t xml:space="preserve">: </w:t>
      </w:r>
      <w:r>
        <w:rPr>
          <w:rFonts w:eastAsia="Segoe UI" w:cs="Segoe UI" w:ascii="Segoe UI" w:hAnsi="Segoe UI"/>
          <w:b/>
          <w:color w:val="101820"/>
          <w:sz w:val="21"/>
        </w:rPr>
        <w:t>Add Treaty</w:t>
      </w:r>
      <w:r>
        <w:rPr>
          <w:rFonts w:eastAsia="Segoe UI" w:cs="Segoe UI" w:ascii="Segoe UI" w:hAnsi="Segoe UI"/>
          <w:color w:val="101820"/>
          <w:sz w:val="21"/>
        </w:rPr>
        <w:t xml:space="preserve"> with </w:t>
      </w:r>
      <w:r>
        <w:rPr>
          <w:rFonts w:eastAsia="Segoe UI" w:cs="Segoe UI" w:ascii="Segoe UI" w:hAnsi="Segoe UI"/>
          <w:b/>
          <w:color w:val="101820"/>
          <w:sz w:val="21"/>
        </w:rPr>
        <w:t>Treaty Number</w:t>
      </w:r>
      <w:r>
        <w:rPr>
          <w:rFonts w:eastAsia="Segoe UI" w:cs="Segoe UI" w:ascii="Segoe UI" w:hAnsi="Segoe UI"/>
          <w:color w:val="101820"/>
          <w:sz w:val="21"/>
        </w:rPr>
        <w:t xml:space="preserve">, </w:t>
      </w:r>
      <w:r>
        <w:rPr>
          <w:rFonts w:eastAsia="Segoe UI" w:cs="Segoe UI" w:ascii="Segoe UI" w:hAnsi="Segoe UI"/>
          <w:b/>
          <w:color w:val="101820"/>
          <w:sz w:val="21"/>
        </w:rPr>
        <w:t>Treaty Name</w:t>
      </w:r>
      <w:r>
        <w:rPr>
          <w:rFonts w:eastAsia="Segoe UI" w:cs="Segoe UI" w:ascii="Segoe UI" w:hAnsi="Segoe UI"/>
          <w:color w:val="101820"/>
          <w:sz w:val="21"/>
        </w:rPr>
        <w:t xml:space="preserve">, </w:t>
      </w:r>
      <w:r>
        <w:rPr>
          <w:rFonts w:eastAsia="Segoe UI" w:cs="Segoe UI" w:ascii="Segoe UI" w:hAnsi="Segoe UI"/>
          <w:b/>
          <w:color w:val="101820"/>
          <w:sz w:val="21"/>
        </w:rPr>
        <w:t>Treaty Type</w:t>
      </w:r>
      <w:r>
        <w:rPr>
          <w:rFonts w:eastAsia="Segoe UI" w:cs="Segoe UI" w:ascii="Segoe UI" w:hAnsi="Segoe UI"/>
          <w:color w:val="101820"/>
          <w:sz w:val="21"/>
        </w:rPr>
        <w:t xml:space="preserve"> (quota share, surplus, excess of loss, stop loss),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Reinsurers</w:t>
      </w:r>
      <w:r>
        <w:rPr>
          <w:rFonts w:eastAsia="Segoe UI" w:cs="Segoe UI" w:ascii="Segoe UI" w:hAnsi="Segoe UI"/>
          <w:color w:val="101820"/>
          <w:sz w:val="21"/>
        </w:rPr>
        <w:t xml:space="preserve">, </w:t>
      </w:r>
      <w:r>
        <w:rPr>
          <w:rFonts w:eastAsia="Segoe UI" w:cs="Segoe UI" w:ascii="Segoe UI" w:hAnsi="Segoe UI"/>
          <w:b/>
          <w:color w:val="101820"/>
          <w:sz w:val="21"/>
        </w:rPr>
        <w:t>Effective Date</w:t>
      </w:r>
      <w:r>
        <w:rPr>
          <w:rFonts w:eastAsia="Segoe UI" w:cs="Segoe UI" w:ascii="Segoe UI" w:hAnsi="Segoe UI"/>
          <w:color w:val="101820"/>
          <w:sz w:val="21"/>
        </w:rPr>
        <w:t xml:space="preserve"> and </w:t>
      </w:r>
      <w:r>
        <w:rPr>
          <w:rFonts w:eastAsia="Segoe UI" w:cs="Segoe UI" w:ascii="Segoe UI" w:hAnsi="Segoe UI"/>
          <w:b/>
          <w:color w:val="101820"/>
          <w:sz w:val="21"/>
        </w:rPr>
        <w:t>Expiry Date</w:t>
      </w:r>
      <w:r>
        <w:rPr>
          <w:rFonts w:eastAsia="Segoe UI" w:cs="Segoe UI" w:ascii="Segoe UI" w:hAnsi="Segoe UI"/>
          <w:color w:val="101820"/>
          <w:sz w:val="21"/>
        </w:rPr>
        <w:t>, then the tabs Coverage &amp; Limits and Commission. A new treaty needs a second user's approval (</w:t>
      </w:r>
      <w:r>
        <w:rPr>
          <w:rFonts w:eastAsia="Consolas" w:cs="Consolas" w:ascii="Consolas" w:hAnsi="Consolas"/>
          <w:color w:val="101820"/>
          <w:sz w:val="19"/>
        </w:rPr>
        <w:t>reinsurance.treaty_requires_approval</w:t>
      </w:r>
      <w:r>
        <w:rPr>
          <w:rFonts w:eastAsia="Segoe UI" w:cs="Segoe UI" w:ascii="Segoe UI" w:hAnsi="Segoe UI"/>
          <w:color w:val="101820"/>
          <w:sz w:val="21"/>
        </w:rPr>
        <w:t>); reinsurers must meet the minimum security rating A- (</w:t>
      </w:r>
      <w:r>
        <w:rPr>
          <w:rFonts w:eastAsia="Consolas" w:cs="Consolas" w:ascii="Consolas" w:hAnsi="Consolas"/>
          <w:color w:val="101820"/>
          <w:sz w:val="19"/>
        </w:rPr>
        <w:t>reinsurance.min_security_rating</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Master &gt; Finance &gt; Incentive Programs</w:t>
      </w:r>
      <w:r>
        <w:rPr>
          <w:rFonts w:eastAsia="Segoe UI" w:cs="Segoe UI" w:ascii="Segoe UI" w:hAnsi="Segoe UI"/>
          <w:color w:val="101820"/>
          <w:sz w:val="21"/>
        </w:rPr>
        <w:t xml:space="preserve">: </w:t>
      </w:r>
      <w:r>
        <w:rPr>
          <w:rFonts w:eastAsia="Segoe UI" w:cs="Segoe UI" w:ascii="Segoe UI" w:hAnsi="Segoe UI"/>
          <w:b/>
          <w:color w:val="101820"/>
          <w:sz w:val="21"/>
        </w:rPr>
        <w:t>Add Program</w:t>
      </w:r>
      <w:r>
        <w:rPr>
          <w:rFonts w:eastAsia="Segoe UI" w:cs="Segoe UI" w:ascii="Segoe UI" w:hAnsi="Segoe UI"/>
          <w:color w:val="101820"/>
          <w:sz w:val="21"/>
        </w:rPr>
        <w:t xml:space="preserve"> with the code, name, type (Target Based, Commission Based, Hybrid, Contest), target metric, base target, frequency and dates. Accounting calculates and pays the programmes but cannot change them.</w:t>
      </w:r>
    </w:p>
    <w:p>
      <w:pPr>
        <w:pStyle w:val="Heading2"/>
        <w:rPr/>
      </w:pPr>
      <w:bookmarkStart w:id="38" w:name="__RefHeading___Toc107331_4049217194"/>
      <w:bookmarkEnd w:id="38"/>
      <w:r>
        <w:rPr>
          <w:rFonts w:eastAsia="Segoe UI" w:cs="Segoe UI"/>
          <w:b/>
          <w:color w:val="0F4761"/>
          <w:sz w:val="26"/>
        </w:rPr>
        <w:t>6.15  Approvals</w:t>
      </w:r>
    </w:p>
    <w:p>
      <w:pPr>
        <w:pStyle w:val="Normal"/>
        <w:spacing w:lineRule="auto" w:line="276" w:before="0" w:after="120"/>
        <w:rPr/>
      </w:pPr>
      <w:r>
        <w:rPr>
          <w:rFonts w:eastAsia="Segoe UI" w:cs="Segoe UI" w:ascii="Segoe UI" w:hAnsi="Segoe UI"/>
          <w:color w:val="101820"/>
          <w:sz w:val="21"/>
        </w:rPr>
        <w:t>The System Administrator approves posting rule and account determination changes of another user (Configuration Approvals), Authority Matrix changes of another administrator, and treaties created by another user. Business approvals belong to the business roles.</w:t>
      </w:r>
      <w:r>
        <w:br w:type="page"/>
      </w:r>
    </w:p>
    <w:p>
      <w:pPr>
        <w:pStyle w:val="Heading1"/>
        <w:rPr/>
      </w:pPr>
      <w:bookmarkStart w:id="39" w:name="__RefHeading___Toc107333_4049217194"/>
      <w:bookmarkEnd w:id="39"/>
      <w:r>
        <w:rPr>
          <w:rFonts w:eastAsia="Segoe UI" w:cs="Segoe UI" w:ascii="Segoe UI" w:hAnsi="Segoe UI"/>
          <w:b/>
          <w:color w:val="0F4761"/>
          <w:sz w:val="32"/>
        </w:rPr>
        <w:t>7.  Sales &amp; Marketing (Account Executive)</w:t>
      </w:r>
    </w:p>
    <w:p>
      <w:pPr>
        <w:pStyle w:val="Heading2"/>
        <w:rPr/>
      </w:pPr>
      <w:bookmarkStart w:id="40" w:name="__RefHeading___Toc107335_4049217194"/>
      <w:bookmarkEnd w:id="40"/>
      <w:r>
        <w:rPr>
          <w:rFonts w:eastAsia="Segoe UI" w:cs="Segoe UI"/>
          <w:b/>
          <w:color w:val="0F4761"/>
          <w:sz w:val="26"/>
        </w:rPr>
        <w:t>7.1  Role summary</w:t>
      </w:r>
    </w:p>
    <w:p>
      <w:pPr>
        <w:pStyle w:val="Normal"/>
        <w:spacing w:lineRule="auto" w:line="276" w:before="0" w:after="120"/>
        <w:rPr/>
      </w:pPr>
      <w:r>
        <w:rPr>
          <w:rFonts w:eastAsia="Segoe UI" w:cs="Segoe UI" w:ascii="Segoe UI" w:hAnsi="Segoe UI"/>
          <w:color w:val="101820"/>
          <w:sz w:val="21"/>
        </w:rPr>
        <w:t>The account executive (role Sales &amp; Marketing (Account Executive)) finds and records prospects, quotes package products on the spot, asks the Processing Team to market non-package risks, sends quotations to clients and records their answers, records the client's payment for Accounting to verify, follows renewals and watches his or her own production and commission. Commission and incentives are earned on the policies the account executive produces (</w:t>
      </w:r>
      <w:r>
        <w:rPr>
          <w:rFonts w:eastAsia="Consolas" w:cs="Consolas" w:ascii="Consolas" w:hAnsi="Consolas"/>
          <w:color w:val="101820"/>
          <w:sz w:val="19"/>
        </w:rPr>
        <w:t>commission.eligible_roles</w:t>
      </w:r>
      <w:r>
        <w:rPr>
          <w:rFonts w:eastAsia="Segoe UI" w:cs="Segoe UI" w:ascii="Segoe UI" w:hAnsi="Segoe UI"/>
          <w:color w:val="101820"/>
          <w:sz w:val="21"/>
        </w:rPr>
        <w:t xml:space="preserve">, </w:t>
      </w:r>
      <w:r>
        <w:rPr>
          <w:rFonts w:eastAsia="Consolas" w:cs="Consolas" w:ascii="Consolas" w:hAnsi="Consolas"/>
          <w:color w:val="101820"/>
          <w:sz w:val="19"/>
        </w:rPr>
        <w:t>incentive.eligible_roles</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40" name="Picture 21212882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21288220" descr=""/>
                    <pic:cNvPicPr>
                      <a:picLocks noChangeAspect="1" noChangeArrowheads="1"/>
                    </pic:cNvPicPr>
                  </pic:nvPicPr>
                  <pic:blipFill>
                    <a:blip r:embed="rId3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Sales Dashboard of an account executive</w:t>
      </w:r>
    </w:p>
    <w:p>
      <w:pPr>
        <w:pStyle w:val="Heading2"/>
        <w:rPr/>
      </w:pPr>
      <w:bookmarkStart w:id="41" w:name="__RefHeading___Toc107337_4049217194"/>
      <w:bookmarkEnd w:id="41"/>
      <w:r>
        <w:rPr>
          <w:rFonts w:eastAsia="Segoe UI" w:cs="Segoe UI"/>
          <w:b/>
          <w:color w:val="0F4761"/>
          <w:sz w:val="26"/>
        </w:rPr>
        <w:t>7.2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(Production, Claims, Renewal, Remittance, Broker Commission)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Heading2"/>
        <w:rPr/>
      </w:pPr>
      <w:bookmarkStart w:id="42" w:name="__RefHeading___Toc107339_4049217194"/>
      <w:bookmarkEnd w:id="42"/>
      <w:r>
        <w:rPr>
          <w:rFonts w:eastAsia="Segoe UI" w:cs="Segoe UI"/>
          <w:b/>
          <w:color w:val="0F4761"/>
          <w:sz w:val="26"/>
        </w:rPr>
        <w:t>7.3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new prospects and follow them up</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motor and other package products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quotations for customer approval; record the answers received</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client's payment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quotations still with the customer and the pending payments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up the renewals of your clients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At-Risk Policies,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your production, commission and incentives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 Commission Dashboard, Reports &gt; Operational Reports &gt; Production</w:t>
            </w:r>
          </w:p>
        </w:tc>
      </w:tr>
    </w:tbl>
    <w:p>
      <w:pPr>
        <w:pStyle w:val="Normal"/>
        <w:spacing w:before="0" w:after="80"/>
        <w:rPr/>
      </w:pPr>
      <w:r>
        <w:rPr/>
      </w:r>
    </w:p>
    <w:p>
      <w:pPr>
        <w:pStyle w:val="Heading2"/>
        <w:rPr/>
      </w:pPr>
      <w:bookmarkStart w:id="43" w:name="__RefHeading___Toc107341_4049217194"/>
      <w:bookmarkEnd w:id="43"/>
      <w:r>
        <w:rPr>
          <w:rFonts w:eastAsia="Segoe UI" w:cs="Segoe UI"/>
          <w:b/>
          <w:color w:val="0F4761"/>
          <w:sz w:val="26"/>
        </w:rPr>
        <w:t>7.4  Sales Dashboard</w:t>
      </w:r>
    </w:p>
    <w:p>
      <w:pPr>
        <w:pStyle w:val="Normal"/>
        <w:spacing w:lineRule="auto" w:line="276" w:before="0" w:after="120"/>
        <w:rPr/>
      </w:pPr>
      <w:r>
        <w:rPr>
          <w:rFonts w:eastAsia="Segoe UI" w:cs="Segoe UI" w:ascii="Segoe UI" w:hAnsi="Segoe UI"/>
          <w:color w:val="101820"/>
          <w:sz w:val="21"/>
        </w:rPr>
        <w:t>Choose Dashboard &gt; Sales Dashboard. The dashboard shows the prospects, quotations and new business of the sales team for the period chosen at the top (</w:t>
      </w:r>
      <w:r>
        <w:rPr>
          <w:rFonts w:eastAsia="Segoe UI" w:cs="Segoe UI" w:ascii="Segoe UI" w:hAnsi="Segoe UI"/>
          <w:b/>
          <w:color w:val="101820"/>
          <w:sz w:val="21"/>
        </w:rPr>
        <w:t>All sales persons</w:t>
      </w:r>
      <w:r>
        <w:rPr>
          <w:rFonts w:eastAsia="Segoe UI" w:cs="Segoe UI" w:ascii="Segoe UI" w:hAnsi="Segoe UI"/>
          <w:color w:val="101820"/>
          <w:sz w:val="21"/>
        </w:rPr>
        <w:t xml:space="preserve"> or one person, </w:t>
      </w:r>
      <w:r>
        <w:rPr>
          <w:rFonts w:eastAsia="Segoe UI" w:cs="Segoe UI" w:ascii="Segoe UI" w:hAnsi="Segoe UI"/>
          <w:b/>
          <w:color w:val="101820"/>
          <w:sz w:val="21"/>
        </w:rPr>
        <w:t>This month</w:t>
      </w:r>
      <w:r>
        <w:rPr>
          <w:rFonts w:eastAsia="Segoe UI" w:cs="Segoe UI" w:ascii="Segoe UI" w:hAnsi="Segoe UI"/>
          <w:color w:val="101820"/>
          <w:sz w:val="21"/>
        </w:rPr>
        <w:t xml:space="preserve"> or another period, or a </w:t>
      </w:r>
      <w:r>
        <w:rPr>
          <w:rFonts w:eastAsia="Segoe UI" w:cs="Segoe UI" w:ascii="Segoe UI" w:hAnsi="Segoe UI"/>
          <w:b/>
          <w:color w:val="101820"/>
          <w:sz w:val="21"/>
        </w:rPr>
        <w:t>Custom range</w:t>
      </w:r>
      <w:r>
        <w:rPr>
          <w:rFonts w:eastAsia="Segoe UI" w:cs="Segoe UI" w:ascii="Segoe UI" w:hAnsi="Segoe UI"/>
          <w:color w:val="101820"/>
          <w:sz w:val="21"/>
        </w:rPr>
        <w:t xml:space="preserv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Conversion</w:t>
      </w:r>
      <w:r>
        <w:rPr>
          <w:rFonts w:eastAsia="Segoe UI" w:cs="Segoe UI" w:ascii="Segoe UI" w:hAnsi="Segoe UI"/>
          <w:color w:val="101820"/>
          <w:sz w:val="21"/>
        </w:rPr>
        <w:t xml:space="preserve"> (quote to policy), </w:t>
      </w:r>
      <w:r>
        <w:rPr>
          <w:rFonts w:eastAsia="Segoe UI" w:cs="Segoe UI" w:ascii="Segoe UI" w:hAnsi="Segoe UI"/>
          <w:b/>
          <w:color w:val="101820"/>
          <w:sz w:val="21"/>
        </w:rPr>
        <w:t>Policies issued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and </w:t>
      </w:r>
      <w:r>
        <w:rPr>
          <w:rFonts w:eastAsia="Segoe UI" w:cs="Segoe UI" w:ascii="Segoe UI" w:hAnsi="Segoe UI"/>
          <w:b/>
          <w:color w:val="101820"/>
          <w:sz w:val="21"/>
        </w:rPr>
        <w:t>Open pipeline</w:t>
      </w:r>
      <w:r>
        <w:rPr>
          <w:rFonts w:eastAsia="Segoe UI" w:cs="Segoe UI" w:ascii="Segoe UI" w:hAnsi="Segoe UI"/>
          <w:color w:val="101820"/>
          <w:sz w:val="21"/>
        </w:rPr>
        <w:t xml:space="preserve">, with the monthly trend, premium by product, the prospect pipeline and the quotation pipeline. </w:t>
      </w:r>
      <w:r>
        <w:rPr>
          <w:rFonts w:eastAsia="Segoe UI" w:cs="Segoe UI" w:ascii="Segoe UI" w:hAnsi="Segoe UI"/>
          <w:b/>
          <w:color w:val="101820"/>
          <w:sz w:val="21"/>
        </w:rPr>
        <w:t>View prospects</w:t>
      </w:r>
      <w:r>
        <w:rPr>
          <w:rFonts w:eastAsia="Segoe UI" w:cs="Segoe UI" w:ascii="Segoe UI" w:hAnsi="Segoe UI"/>
          <w:color w:val="101820"/>
          <w:sz w:val="21"/>
        </w:rPr>
        <w:t xml:space="preserve"> opens the prospect list.</w:t>
      </w:r>
    </w:p>
    <w:p>
      <w:pPr>
        <w:pStyle w:val="Normal"/>
        <w:spacing w:lineRule="auto" w:line="276" w:before="0" w:after="120"/>
        <w:rPr/>
      </w:pPr>
      <w:r>
        <w:rPr>
          <w:rFonts w:eastAsia="Segoe UI" w:cs="Segoe UI" w:ascii="Segoe UI" w:hAnsi="Segoe UI"/>
          <w:color w:val="101820"/>
          <w:sz w:val="21"/>
        </w:rPr>
        <w:t>The Executive Dashboard is described in the chapter Reports, dashboards, schedules and notifications.</w:t>
      </w:r>
    </w:p>
    <w:p>
      <w:pPr>
        <w:pStyle w:val="Heading2"/>
        <w:rPr/>
      </w:pPr>
      <w:bookmarkStart w:id="44" w:name="__RefHeading___Toc107343_4049217194"/>
      <w:bookmarkEnd w:id="44"/>
      <w:r>
        <w:rPr>
          <w:rFonts w:eastAsia="Segoe UI" w:cs="Segoe UI"/>
          <w:b/>
          <w:color w:val="0F4761"/>
          <w:sz w:val="26"/>
        </w:rPr>
        <w:t>7.5  Prospects</w:t>
      </w:r>
    </w:p>
    <w:p>
      <w:pPr>
        <w:pStyle w:val="Normal"/>
        <w:jc w:val="center"/>
        <w:rPr/>
      </w:pPr>
      <w:r>
        <w:rPr/>
        <w:drawing>
          <wp:inline distT="0" distB="0" distL="0" distR="0">
            <wp:extent cx="5760085" cy="4469130"/>
            <wp:effectExtent l="0" t="0" r="0" b="0"/>
            <wp:docPr id="41" name="Picture 21212882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21288221" descr=""/>
                    <pic:cNvPicPr>
                      <a:picLocks noChangeAspect="1" noChangeArrowheads="1"/>
                    </pic:cNvPicPr>
                  </pic:nvPicPr>
                  <pic:blipFill>
                    <a:blip r:embed="rId3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Prospects</w:t>
      </w:r>
    </w:p>
    <w:p>
      <w:pPr>
        <w:pStyle w:val="Normal"/>
        <w:spacing w:lineRule="auto" w:line="276" w:before="0" w:after="120"/>
        <w:rPr/>
      </w:pPr>
      <w:r>
        <w:rPr>
          <w:rFonts w:eastAsia="Segoe UI" w:cs="Segoe UI" w:ascii="Segoe UI" w:hAnsi="Segoe UI"/>
          <w:color w:val="101820"/>
          <w:sz w:val="21"/>
        </w:rPr>
        <w:t xml:space="preserve">Choose Operations &gt; Sales &amp; Marketing &gt; Prospects. The cards count </w:t>
      </w:r>
      <w:r>
        <w:rPr>
          <w:rFonts w:eastAsia="Segoe UI" w:cs="Segoe UI" w:ascii="Segoe UI" w:hAnsi="Segoe UI"/>
          <w:b/>
          <w:color w:val="101820"/>
          <w:sz w:val="21"/>
        </w:rPr>
        <w:t>Total Prospects</w:t>
      </w:r>
      <w:r>
        <w:rPr>
          <w:rFonts w:eastAsia="Segoe UI" w:cs="Segoe UI" w:ascii="Segoe UI" w:hAnsi="Segoe UI"/>
          <w:color w:val="101820"/>
          <w:sz w:val="21"/>
        </w:rPr>
        <w:t xml:space="preserve">, </w:t>
      </w:r>
      <w:r>
        <w:rPr>
          <w:rFonts w:eastAsia="Segoe UI" w:cs="Segoe UI" w:ascii="Segoe UI" w:hAnsi="Segoe UI"/>
          <w:b/>
          <w:color w:val="101820"/>
          <w:sz w:val="21"/>
        </w:rPr>
        <w:t>Last 7 Days</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w:t>
      </w:r>
      <w:r>
        <w:rPr>
          <w:rFonts w:eastAsia="Segoe UI" w:cs="Segoe UI" w:ascii="Segoe UI" w:hAnsi="Segoe UI"/>
          <w:b/>
          <w:color w:val="101820"/>
          <w:sz w:val="21"/>
        </w:rPr>
        <w:t>Converted Prospects</w:t>
      </w:r>
      <w:r>
        <w:rPr>
          <w:rFonts w:eastAsia="Segoe UI" w:cs="Segoe UI" w:ascii="Segoe UI" w:hAnsi="Segoe UI"/>
          <w:color w:val="101820"/>
          <w:sz w:val="21"/>
        </w:rPr>
        <w:t xml:space="preserve"> (with the conversion rate), </w:t>
      </w:r>
      <w:r>
        <w:rPr>
          <w:rFonts w:eastAsia="Segoe UI" w:cs="Segoe UI" w:ascii="Segoe UI" w:hAnsi="Segoe UI"/>
          <w:b/>
          <w:color w:val="101820"/>
          <w:sz w:val="21"/>
        </w:rPr>
        <w:t>With Quotations</w:t>
      </w:r>
      <w:r>
        <w:rPr>
          <w:rFonts w:eastAsia="Segoe UI" w:cs="Segoe UI" w:ascii="Segoe UI" w:hAnsi="Segoe UI"/>
          <w:color w:val="101820"/>
          <w:sz w:val="21"/>
        </w:rPr>
        <w:t xml:space="preserve"> and </w:t>
      </w:r>
      <w:r>
        <w:rPr>
          <w:rFonts w:eastAsia="Segoe UI" w:cs="Segoe UI" w:ascii="Segoe UI" w:hAnsi="Segoe UI"/>
          <w:b/>
          <w:color w:val="101820"/>
          <w:sz w:val="21"/>
        </w:rPr>
        <w:t>Active Prospects</w:t>
      </w:r>
      <w:r>
        <w:rPr>
          <w:rFonts w:eastAsia="Segoe UI" w:cs="Segoe UI" w:ascii="Segoe UI" w:hAnsi="Segoe UI"/>
          <w:color w:val="101820"/>
          <w:sz w:val="21"/>
        </w:rPr>
        <w:t xml:space="preserve">. The tabs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and </w:t>
      </w:r>
      <w:r>
        <w:rPr>
          <w:rFonts w:eastAsia="Segoe UI" w:cs="Segoe UI" w:ascii="Segoe UI" w:hAnsi="Segoe UI"/>
          <w:b/>
          <w:color w:val="101820"/>
          <w:sz w:val="21"/>
        </w:rPr>
        <w:t>Industrial All Risks</w:t>
      </w:r>
      <w:r>
        <w:rPr>
          <w:rFonts w:eastAsia="Segoe UI" w:cs="Segoe UI" w:ascii="Segoe UI" w:hAnsi="Segoe UI"/>
          <w:color w:val="101820"/>
          <w:sz w:val="21"/>
        </w:rPr>
        <w:t xml:space="preserve"> list the prospects of each line in a table with the columns </w:t>
      </w:r>
      <w:r>
        <w:rPr>
          <w:rFonts w:eastAsia="Segoe UI" w:cs="Segoe UI" w:ascii="Segoe UI" w:hAnsi="Segoe UI"/>
          <w:b/>
          <w:color w:val="101820"/>
          <w:sz w:val="21"/>
        </w:rPr>
        <w:t>Prospect ID</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Product line</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Created 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Actions</w:t>
      </w:r>
      <w:r>
        <w:rPr>
          <w:rFonts w:eastAsia="Segoe UI" w:cs="Segoe UI" w:ascii="Segoe UI" w:hAnsi="Segoe UI"/>
          <w:color w:val="101820"/>
          <w:sz w:val="21"/>
        </w:rPr>
        <w:t xml:space="preserve"> (</w:t>
      </w:r>
      <w:r>
        <w:rPr>
          <w:rFonts w:eastAsia="Segoe UI" w:cs="Segoe UI" w:ascii="Segoe UI" w:hAnsi="Segoe UI"/>
          <w:b/>
          <w:color w:val="101820"/>
          <w:sz w:val="21"/>
        </w:rPr>
        <w:t>View</w:t>
      </w:r>
      <w:r>
        <w:rPr>
          <w:rFonts w:eastAsia="Segoe UI" w:cs="Segoe UI" w:ascii="Segoe UI" w:hAnsi="Segoe UI"/>
          <w:color w:val="101820"/>
          <w:sz w:val="21"/>
        </w:rPr>
        <w:t xml:space="preserve">, </w:t>
      </w:r>
      <w:r>
        <w:rPr>
          <w:rFonts w:eastAsia="Segoe UI" w:cs="Segoe UI" w:ascii="Segoe UI" w:hAnsi="Segoe UI"/>
          <w:b/>
          <w:color w:val="101820"/>
          <w:sz w:val="21"/>
        </w:rPr>
        <w:t>Edit</w:t>
      </w:r>
      <w:r>
        <w:rPr>
          <w:rFonts w:eastAsia="Segoe UI" w:cs="Segoe UI" w:ascii="Segoe UI" w:hAnsi="Segoe UI"/>
          <w:color w:val="101820"/>
          <w:sz w:val="21"/>
        </w:rPr>
        <w:t xml:space="preserve"> and </w:t>
      </w:r>
      <w:r>
        <w:rPr>
          <w:rFonts w:eastAsia="Segoe UI" w:cs="Segoe UI" w:ascii="Segoe UI" w:hAnsi="Segoe UI"/>
          <w:b/>
          <w:color w:val="101820"/>
          <w:sz w:val="21"/>
        </w:rPr>
        <w:t>Delete</w:t>
      </w:r>
      <w:r>
        <w:rPr>
          <w:rFonts w:eastAsia="Segoe UI" w:cs="Segoe UI" w:ascii="Segoe UI" w:hAnsi="Segoe UI"/>
          <w:color w:val="101820"/>
          <w:sz w:val="21"/>
        </w:rPr>
        <w:t xml:space="preserve">). Use the search box (name or prospect ID), the </w:t>
      </w:r>
      <w:r>
        <w:rPr>
          <w:rFonts w:eastAsia="Segoe UI" w:cs="Segoe UI" w:ascii="Segoe UI" w:hAnsi="Segoe UI"/>
          <w:b/>
          <w:color w:val="101820"/>
          <w:sz w:val="21"/>
        </w:rPr>
        <w:t>Category</w:t>
      </w:r>
      <w:r>
        <w:rPr>
          <w:rFonts w:eastAsia="Segoe UI" w:cs="Segoe UI" w:ascii="Segoe UI" w:hAnsi="Segoe UI"/>
          <w:color w:val="101820"/>
          <w:sz w:val="21"/>
        </w:rPr>
        <w:t xml:space="preserve"> filter and </w:t>
      </w:r>
      <w:r>
        <w:rPr>
          <w:rFonts w:eastAsia="Segoe UI" w:cs="Segoe UI" w:ascii="Segoe UI" w:hAnsi="Segoe UI"/>
          <w:b/>
          <w:color w:val="101820"/>
          <w:sz w:val="21"/>
        </w:rPr>
        <w:t>Show Filters</w:t>
      </w:r>
      <w:r>
        <w:rPr>
          <w:rFonts w:eastAsia="Segoe UI" w:cs="Segoe UI" w:ascii="Segoe UI" w:hAnsi="Segoe UI"/>
          <w:color w:val="101820"/>
          <w:sz w:val="21"/>
        </w:rPr>
        <w:t xml:space="preserve"> (country, province, city) to narrow the list. The search, filters, tab and page are kept when you open a prospect and come back.</w:t>
      </w:r>
    </w:p>
    <w:p>
      <w:pPr>
        <w:pStyle w:val="Heading3"/>
        <w:rPr/>
      </w:pPr>
      <w:r>
        <w:rPr>
          <w:rFonts w:eastAsia="Segoe UI" w:cs="Segoe UI"/>
          <w:b/>
          <w:color w:val="0F4761"/>
          <w:sz w:val="23"/>
        </w:rPr>
        <w:t>7.5.1  Create a prospect</w:t>
      </w:r>
    </w:p>
    <w:p>
      <w:pPr>
        <w:pStyle w:val="Normal"/>
        <w:numPr>
          <w:ilvl w:val="0"/>
          <w:numId w:val="1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Prospect</w:t>
      </w:r>
      <w:r>
        <w:rPr>
          <w:rFonts w:eastAsia="Segoe UI" w:cs="Segoe UI" w:ascii="Segoe UI" w:hAnsi="Segoe UI"/>
          <w:color w:val="101820"/>
          <w:sz w:val="21"/>
        </w:rPr>
        <w:t xml:space="preserve">. The </w:t>
      </w:r>
      <w:r>
        <w:rPr>
          <w:rFonts w:eastAsia="Segoe UI" w:cs="Segoe UI" w:ascii="Segoe UI" w:hAnsi="Segoe UI"/>
          <w:b/>
          <w:color w:val="101820"/>
          <w:sz w:val="21"/>
        </w:rPr>
        <w:t>Create prospect</w:t>
      </w:r>
      <w:r>
        <w:rPr>
          <w:rFonts w:eastAsia="Segoe UI" w:cs="Segoe UI" w:ascii="Segoe UI" w:hAnsi="Segoe UI"/>
          <w:color w:val="101820"/>
          <w:sz w:val="21"/>
        </w:rPr>
        <w:t xml:space="preserve"> panel asks whether the customer is new or already a client.</w:t>
      </w:r>
    </w:p>
    <w:p>
      <w:pPr>
        <w:pStyle w:val="Normal"/>
        <w:numPr>
          <w:ilvl w:val="0"/>
          <w:numId w:val="118"/>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New customer</w:t>
      </w:r>
      <w:r>
        <w:rPr>
          <w:rFonts w:eastAsia="Segoe UI" w:cs="Segoe UI" w:ascii="Segoe UI" w:hAnsi="Segoe UI"/>
          <w:color w:val="101820"/>
          <w:sz w:val="21"/>
        </w:rPr>
        <w:t xml:space="preserve"> (enter the customer's details on the prospect form) or </w:t>
      </w:r>
      <w:r>
        <w:rPr>
          <w:rFonts w:eastAsia="Segoe UI" w:cs="Segoe UI" w:ascii="Segoe UI" w:hAnsi="Segoe UI"/>
          <w:b/>
          <w:color w:val="101820"/>
          <w:sz w:val="21"/>
        </w:rPr>
        <w:t>Existing client</w:t>
      </w:r>
      <w:r>
        <w:rPr>
          <w:rFonts w:eastAsia="Segoe UI" w:cs="Segoe UI" w:ascii="Segoe UI" w:hAnsi="Segoe UI"/>
          <w:color w:val="101820"/>
          <w:sz w:val="21"/>
        </w:rPr>
        <w:t xml:space="preserve"> (find the client by name, mobile number or e-mail; the prospect is linked to that client), then select </w:t>
      </w:r>
      <w:r>
        <w:rPr>
          <w:rFonts w:eastAsia="Segoe UI" w:cs="Segoe UI" w:ascii="Segoe UI" w:hAnsi="Segoe UI"/>
          <w:b/>
          <w:color w:val="101820"/>
          <w:sz w:val="21"/>
        </w:rPr>
        <w:t>Continue</w:t>
      </w:r>
      <w:r>
        <w:rPr>
          <w:rFonts w:eastAsia="Segoe UI" w:cs="Segoe UI" w:ascii="Segoe UI" w:hAnsi="Segoe UI"/>
          <w:color w:val="101820"/>
          <w:sz w:val="21"/>
        </w:rPr>
        <w:t>.</w:t>
      </w:r>
    </w:p>
    <w:p>
      <w:pPr>
        <w:pStyle w:val="Normal"/>
        <w:numPr>
          <w:ilvl w:val="0"/>
          <w:numId w:val="119"/>
        </w:numPr>
        <w:spacing w:before="0" w:after="60"/>
        <w:rPr/>
      </w:pPr>
      <w:r>
        <w:rPr>
          <w:rFonts w:eastAsia="Segoe UI" w:cs="Segoe UI" w:ascii="Segoe UI" w:hAnsi="Segoe UI"/>
          <w:color w:val="101820"/>
          <w:sz w:val="21"/>
        </w:rPr>
        <w:t xml:space="preserve">Choose the product the prospect is for: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w:t>
      </w:r>
      <w:r>
        <w:rPr>
          <w:rFonts w:eastAsia="Segoe UI" w:cs="Segoe UI" w:ascii="Segoe UI" w:hAnsi="Segoe UI"/>
          <w:b/>
          <w:color w:val="101820"/>
          <w:sz w:val="21"/>
        </w:rPr>
        <w:t>Employee Benefit</w:t>
      </w:r>
      <w:r>
        <w:rPr>
          <w:rFonts w:eastAsia="Segoe UI" w:cs="Segoe UI" w:ascii="Segoe UI" w:hAnsi="Segoe UI"/>
          <w:color w:val="101820"/>
          <w:sz w:val="21"/>
        </w:rPr>
        <w:t xml:space="preserve">, or </w:t>
      </w:r>
      <w:r>
        <w:rPr>
          <w:rFonts w:eastAsia="Segoe UI" w:cs="Segoe UI" w:ascii="Segoe UI" w:hAnsi="Segoe UI"/>
          <w:b/>
          <w:color w:val="101820"/>
          <w:sz w:val="21"/>
        </w:rPr>
        <w:t>Package products (Quick Quote)</w:t>
      </w:r>
      <w:r>
        <w:rPr>
          <w:rFonts w:eastAsia="Segoe UI" w:cs="Segoe UI" w:ascii="Segoe UI" w:hAnsi="Segoe UI"/>
          <w:color w:val="101820"/>
          <w:sz w:val="21"/>
        </w:rPr>
        <w:t>.</w:t>
      </w:r>
    </w:p>
    <w:p>
      <w:pPr>
        <w:pStyle w:val="Normal"/>
        <w:numPr>
          <w:ilvl w:val="0"/>
          <w:numId w:val="120"/>
        </w:numPr>
        <w:spacing w:before="0" w:after="60"/>
        <w:rPr/>
      </w:pPr>
      <w:r>
        <w:rPr>
          <w:rFonts w:eastAsia="Segoe UI" w:cs="Segoe UI" w:ascii="Segoe UI" w:hAnsi="Segoe UI"/>
          <w:color w:val="101820"/>
          <w:sz w:val="21"/>
        </w:rPr>
        <w:t xml:space="preserve">Fill in the prospect form and select </w:t>
      </w:r>
      <w:r>
        <w:rPr>
          <w:rFonts w:eastAsia="Segoe UI" w:cs="Segoe UI" w:ascii="Segoe UI" w:hAnsi="Segoe UI"/>
          <w:b/>
          <w:color w:val="101820"/>
          <w:sz w:val="21"/>
        </w:rPr>
        <w:t>Save &amp; Continue</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42" name="Picture 21212882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21288222" descr=""/>
                    <pic:cNvPicPr>
                      <a:picLocks noChangeAspect="1" noChangeArrowheads="1"/>
                    </pic:cNvPicPr>
                  </pic:nvPicPr>
                  <pic:blipFill>
                    <a:blip r:embed="rId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new customer or existing client</w:t>
      </w:r>
    </w:p>
    <w:p>
      <w:pPr>
        <w:pStyle w:val="Normal"/>
        <w:jc w:val="center"/>
        <w:rPr/>
      </w:pPr>
      <w:r>
        <w:rPr/>
        <w:drawing>
          <wp:inline distT="0" distB="0" distL="0" distR="0">
            <wp:extent cx="5760085" cy="6455410"/>
            <wp:effectExtent l="0" t="0" r="0" b="0"/>
            <wp:docPr id="43" name="Picture 21212882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21288223" descr=""/>
                    <pic:cNvPicPr>
                      <a:picLocks noChangeAspect="1" noChangeArrowheads="1"/>
                    </pic:cNvPicPr>
                  </pic:nvPicPr>
                  <pic:blipFill>
                    <a:blip r:embed="rId3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the product the prospect is for</w:t>
      </w:r>
    </w:p>
    <w:p>
      <w:pPr>
        <w:pStyle w:val="Normal"/>
        <w:jc w:val="center"/>
        <w:rPr/>
      </w:pPr>
      <w:r>
        <w:rPr/>
        <w:drawing>
          <wp:inline distT="0" distB="0" distL="0" distR="0">
            <wp:extent cx="5760085" cy="5000625"/>
            <wp:effectExtent l="0" t="0" r="0" b="0"/>
            <wp:docPr id="44" name="Picture 21212882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121288224" descr=""/>
                    <pic:cNvPicPr>
                      <a:picLocks noChangeAspect="1" noChangeArrowheads="1"/>
                    </pic:cNvPicPr>
                  </pic:nvPicPr>
                  <pic:blipFill>
                    <a:blip r:embed="rId40"/>
                    <a:stretch>
                      <a:fillRect/>
                    </a:stretch>
                  </pic:blipFill>
                  <pic:spPr bwMode="auto">
                    <a:xfrm>
                      <a:off x="0" y="0"/>
                      <a:ext cx="5760085" cy="5000625"/>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form for a motor prospect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4"/>
        <w:gridCol w:w="1123"/>
        <w:gridCol w:w="3958"/>
      </w:tblGrid>
      <w:tr>
        <w:trPr>
          <w:tblHeader w:val="true"/>
        </w:trPr>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Category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Retail</w:t>
            </w:r>
            <w:r>
              <w:rPr>
                <w:rFonts w:eastAsia="Segoe UI" w:cs="Segoe UI" w:ascii="Segoe UI" w:hAnsi="Segoe UI"/>
                <w:color w:val="101820"/>
                <w:kern w:val="0"/>
                <w:sz w:val="18"/>
                <w:szCs w:val="24"/>
                <w:lang w:val="en-US" w:eastAsia="ja-JP" w:bidi="ar-SA"/>
              </w:rPr>
              <w:t xml:space="preserve"> (a person) or </w:t>
            </w:r>
            <w:r>
              <w:rPr>
                <w:rFonts w:eastAsia="Segoe UI" w:cs="Segoe UI" w:ascii="Segoe UI" w:hAnsi="Segoe UI"/>
                <w:b/>
                <w:color w:val="101820"/>
                <w:kern w:val="0"/>
                <w:sz w:val="18"/>
                <w:szCs w:val="24"/>
                <w:lang w:val="en-US" w:eastAsia="ja-JP" w:bidi="ar-SA"/>
              </w:rPr>
              <w:t>Corporate</w:t>
            </w:r>
            <w:r>
              <w:rPr>
                <w:rFonts w:eastAsia="Segoe UI" w:cs="Segoe UI" w:ascii="Segoe UI" w:hAnsi="Segoe UI"/>
                <w:color w:val="101820"/>
                <w:kern w:val="0"/>
                <w:sz w:val="18"/>
                <w:szCs w:val="24"/>
                <w:lang w:val="en-US" w:eastAsia="ja-JP" w:bidi="ar-SA"/>
              </w:rPr>
              <w:t xml:space="preserve"> (a company). Corporate asks for the company name and TIN.</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Last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or the contact person.</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Preferred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name used in letters and e-mails.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Birth</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age 18 to 100 (</w:t>
            </w:r>
            <w:r>
              <w:rPr>
                <w:rFonts w:eastAsia="Consolas" w:cs="Consolas" w:ascii="Consolas" w:hAnsi="Consolas"/>
                <w:color w:val="101820"/>
                <w:kern w:val="0"/>
                <w:sz w:val="16"/>
                <w:szCs w:val="24"/>
                <w:lang w:val="en-US" w:eastAsia="ja-JP" w:bidi="ar-SA"/>
              </w:rPr>
              <w:t>leads.min_age_years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leads.max_age_years</w:t>
            </w:r>
            <w:r>
              <w:rPr>
                <w:rFonts w:eastAsia="Segoe UI" w:cs="Segoe UI" w:ascii="Segoe UI" w:hAnsi="Segoe UI"/>
                <w:color w:val="101820"/>
                <w:kern w:val="0"/>
                <w:sz w:val="18"/>
                <w:szCs w:val="24"/>
                <w:lang w:val="en-US" w:eastAsia="ja-JP" w:bidi="ar-SA"/>
              </w:rPr>
              <w:t>).</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Gender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Male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Female</w:t>
            </w:r>
            <w:r>
              <w:rPr>
                <w:rFonts w:eastAsia="Segoe UI" w:cs="Segoe UI" w:ascii="Segoe UI" w:hAnsi="Segoe UI"/>
                <w:color w:val="101820"/>
                <w:kern w:val="0"/>
                <w:sz w:val="18"/>
                <w:szCs w:val="24"/>
                <w:lang w:val="en-US" w:eastAsia="ja-JP" w:bidi="ar-SA"/>
              </w:rPr>
              <w:t>.</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ID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valid e-mail address. Quotations and approval links are sent there.</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Contact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mobile number: 0917 123 4567 or +63 917 123 4567.</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Country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location masters; choose the country first, then the province, then the city.</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ZIP Code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digits.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Barangay / Subd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House No / Unit No / Street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street address.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system gives the prospect its number (LD-YYYY-NNNNN) with status New and, for a motor prospect, opens </w:t>
      </w:r>
      <w:r>
        <w:rPr>
          <w:rFonts w:eastAsia="Segoe UI" w:cs="Segoe UI" w:ascii="Segoe UI" w:hAnsi="Segoe UI"/>
          <w:b/>
          <w:color w:val="101820"/>
          <w:sz w:val="21"/>
        </w:rPr>
        <w:t>Create Quote</w:t>
      </w:r>
      <w:r>
        <w:rPr>
          <w:rFonts w:eastAsia="Segoe UI" w:cs="Segoe UI" w:ascii="Segoe UI" w:hAnsi="Segoe UI"/>
          <w:color w:val="101820"/>
          <w:sz w:val="21"/>
        </w:rPr>
        <w:t xml:space="preserve"> for it. Fire and Allied Perils and Industrial All Risks prospects also ask for the risk location and the sums insured.</w:t>
      </w:r>
    </w:p>
    <w:p>
      <w:pPr>
        <w:pStyle w:val="Heading3"/>
        <w:rPr/>
      </w:pPr>
      <w:r>
        <w:rPr>
          <w:rFonts w:eastAsia="Segoe UI" w:cs="Segoe UI"/>
          <w:b/>
          <w:color w:val="0F4761"/>
          <w:sz w:val="23"/>
        </w:rPr>
        <w:t>7.5.2  View, edit or delete a prospect</w:t>
      </w:r>
    </w:p>
    <w:p>
      <w:pPr>
        <w:pStyle w:val="Normal"/>
        <w:jc w:val="center"/>
        <w:rPr/>
      </w:pPr>
      <w:r>
        <w:rPr/>
        <w:drawing>
          <wp:inline distT="0" distB="0" distL="0" distR="0">
            <wp:extent cx="5760085" cy="4290060"/>
            <wp:effectExtent l="0" t="0" r="0" b="0"/>
            <wp:docPr id="45" name="Picture 21212882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121288225" descr=""/>
                    <pic:cNvPicPr>
                      <a:picLocks noChangeAspect="1" noChangeArrowheads="1"/>
                    </pic:cNvPicPr>
                  </pic:nvPicPr>
                  <pic:blipFill>
                    <a:blip r:embed="rId41"/>
                    <a:stretch>
                      <a:fillRect/>
                    </a:stretch>
                  </pic:blipFill>
                  <pic:spPr bwMode="auto">
                    <a:xfrm>
                      <a:off x="0" y="0"/>
                      <a:ext cx="5760085" cy="4290060"/>
                    </a:xfrm>
                    <a:prstGeom prst="rect">
                      <a:avLst/>
                    </a:prstGeom>
                  </pic:spPr>
                </pic:pic>
              </a:graphicData>
            </a:graphic>
          </wp:inline>
        </w:drawing>
      </w:r>
    </w:p>
    <w:p>
      <w:pPr>
        <w:pStyle w:val="Normal"/>
        <w:jc w:val="center"/>
        <w:rPr/>
      </w:pPr>
      <w:r>
        <w:rPr>
          <w:rFonts w:eastAsia="Segoe UI" w:cs="Segoe UI" w:ascii="Segoe UI" w:hAnsi="Segoe UI"/>
          <w:i/>
          <w:color w:val="555F6D"/>
          <w:sz w:val="18"/>
        </w:rPr>
        <w:t>Prospect Details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View</w:t>
      </w:r>
      <w:r>
        <w:rPr>
          <w:rFonts w:eastAsia="Segoe UI" w:cs="Segoe UI" w:ascii="Segoe UI" w:hAnsi="Segoe UI"/>
          <w:color w:val="101820"/>
          <w:sz w:val="21"/>
        </w:rPr>
        <w:t xml:space="preserve"> on a prospect card. </w:t>
      </w:r>
      <w:r>
        <w:rPr>
          <w:rFonts w:eastAsia="Segoe UI" w:cs="Segoe UI" w:ascii="Segoe UI" w:hAnsi="Segoe UI"/>
          <w:b/>
          <w:color w:val="101820"/>
          <w:sz w:val="21"/>
        </w:rPr>
        <w:t>Prospect Details</w:t>
      </w:r>
      <w:r>
        <w:rPr>
          <w:rFonts w:eastAsia="Segoe UI" w:cs="Segoe UI" w:ascii="Segoe UI" w:hAnsi="Segoe UI"/>
          <w:color w:val="101820"/>
          <w:sz w:val="21"/>
        </w:rPr>
        <w:t xml:space="preserve"> shows </w:t>
      </w:r>
      <w:r>
        <w:rPr>
          <w:rFonts w:eastAsia="Segoe UI" w:cs="Segoe UI" w:ascii="Segoe UI" w:hAnsi="Segoe UI"/>
          <w:b/>
          <w:color w:val="101820"/>
          <w:sz w:val="21"/>
        </w:rPr>
        <w:t>Personal Information</w:t>
      </w:r>
      <w:r>
        <w:rPr>
          <w:rFonts w:eastAsia="Segoe UI" w:cs="Segoe UI" w:ascii="Segoe UI" w:hAnsi="Segoe UI"/>
          <w:color w:val="101820"/>
          <w:sz w:val="21"/>
        </w:rPr>
        <w:t xml:space="preserve">, </w:t>
      </w:r>
      <w:r>
        <w:rPr>
          <w:rFonts w:eastAsia="Segoe UI" w:cs="Segoe UI" w:ascii="Segoe UI" w:hAnsi="Segoe UI"/>
          <w:b/>
          <w:color w:val="101820"/>
          <w:sz w:val="21"/>
        </w:rPr>
        <w:t>Contact Information</w:t>
      </w:r>
      <w:r>
        <w:rPr>
          <w:rFonts w:eastAsia="Segoe UI" w:cs="Segoe UI" w:ascii="Segoe UI" w:hAnsi="Segoe UI"/>
          <w:color w:val="101820"/>
          <w:sz w:val="21"/>
        </w:rPr>
        <w:t xml:space="preserve">, </w:t>
      </w:r>
      <w:r>
        <w:rPr>
          <w:rFonts w:eastAsia="Segoe UI" w:cs="Segoe UI" w:ascii="Segoe UI" w:hAnsi="Segoe UI"/>
          <w:b/>
          <w:color w:val="101820"/>
          <w:sz w:val="21"/>
        </w:rPr>
        <w:t>Address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last updated, number of quotes). Select </w:t>
      </w:r>
      <w:r>
        <w:rPr>
          <w:rFonts w:eastAsia="Segoe UI" w:cs="Segoe UI" w:ascii="Segoe UI" w:hAnsi="Segoe UI"/>
          <w:b/>
          <w:color w:val="101820"/>
          <w:sz w:val="21"/>
        </w:rPr>
        <w:t>Create Quote</w:t>
      </w:r>
      <w:r>
        <w:rPr>
          <w:rFonts w:eastAsia="Segoe UI" w:cs="Segoe UI" w:ascii="Segoe UI" w:hAnsi="Segoe UI"/>
          <w:color w:val="101820"/>
          <w:sz w:val="21"/>
        </w:rPr>
        <w:t xml:space="preserve"> to start a quotation, </w:t>
      </w:r>
      <w:r>
        <w:rPr>
          <w:rFonts w:eastAsia="Segoe UI" w:cs="Segoe UI" w:ascii="Segoe UI" w:hAnsi="Segoe UI"/>
          <w:b/>
          <w:color w:val="101820"/>
          <w:sz w:val="21"/>
        </w:rPr>
        <w:t>Edit</w:t>
      </w:r>
      <w:r>
        <w:rPr>
          <w:rFonts w:eastAsia="Segoe UI" w:cs="Segoe UI" w:ascii="Segoe UI" w:hAnsi="Segoe UI"/>
          <w:color w:val="101820"/>
          <w:sz w:val="21"/>
        </w:rPr>
        <w:t xml:space="preserve"> to correct the prospect (the form shows the same fields; select </w:t>
      </w:r>
      <w:r>
        <w:rPr>
          <w:rFonts w:eastAsia="Segoe UI" w:cs="Segoe UI" w:ascii="Segoe UI" w:hAnsi="Segoe UI"/>
          <w:b/>
          <w:color w:val="101820"/>
          <w:sz w:val="21"/>
        </w:rPr>
        <w:t>Update</w:t>
      </w:r>
      <w:r>
        <w:rPr>
          <w:rFonts w:eastAsia="Segoe UI" w:cs="Segoe UI" w:ascii="Segoe UI" w:hAnsi="Segoe UI"/>
          <w:color w:val="101820"/>
          <w:sz w:val="21"/>
        </w:rPr>
        <w:t xml:space="preserve"> to save), </w:t>
      </w:r>
      <w:r>
        <w:rPr>
          <w:rFonts w:eastAsia="Segoe UI" w:cs="Segoe UI" w:ascii="Segoe UI" w:hAnsi="Segoe UI"/>
          <w:b/>
          <w:color w:val="101820"/>
          <w:sz w:val="21"/>
        </w:rPr>
        <w:t>Delete</w:t>
      </w:r>
      <w:r>
        <w:rPr>
          <w:rFonts w:eastAsia="Segoe UI" w:cs="Segoe UI" w:ascii="Segoe UI" w:hAnsi="Segoe UI"/>
          <w:color w:val="101820"/>
          <w:sz w:val="21"/>
        </w:rPr>
        <w:t xml:space="preserve"> to remove a prospect entered by mistake, or </w:t>
      </w:r>
      <w:r>
        <w:rPr>
          <w:rFonts w:eastAsia="Segoe UI" w:cs="Segoe UI" w:ascii="Segoe UI" w:hAnsi="Segoe UI"/>
          <w:b/>
          <w:color w:val="101820"/>
          <w:sz w:val="21"/>
        </w:rPr>
        <w:t>Back</w:t>
      </w:r>
      <w:r>
        <w:rPr>
          <w:rFonts w:eastAsia="Segoe UI" w:cs="Segoe UI" w:ascii="Segoe UI" w:hAnsi="Segoe UI"/>
          <w:color w:val="101820"/>
          <w:sz w:val="21"/>
        </w:rPr>
        <w:t>. Keep prospects that have quotations.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Prospect status</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created.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Contacted, Qualified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followed up.</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is saved for the prospect.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issued from one of its quotations; the prospect becomes a client.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does not buy.</w:t>
            </w:r>
          </w:p>
        </w:tc>
      </w:tr>
    </w:tbl>
    <w:p>
      <w:pPr>
        <w:pStyle w:val="Normal"/>
        <w:spacing w:before="0" w:after="80"/>
        <w:rPr/>
      </w:pPr>
      <w:r>
        <w:rPr/>
      </w:r>
    </w:p>
    <w:p>
      <w:pPr>
        <w:pStyle w:val="Heading3"/>
        <w:rPr/>
      </w:pPr>
      <w:r>
        <w:rPr>
          <w:rFonts w:eastAsia="Segoe UI" w:cs="Segoe UI"/>
          <w:b/>
          <w:color w:val="0F4761"/>
          <w:sz w:val="23"/>
        </w:rPr>
        <w:t>7.5.3  Upload many prospects</w:t>
      </w:r>
    </w:p>
    <w:p>
      <w:pPr>
        <w:pStyle w:val="Normal"/>
        <w:numPr>
          <w:ilvl w:val="0"/>
          <w:numId w:val="12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Bulk Upload</w:t>
      </w:r>
      <w:r>
        <w:rPr>
          <w:rFonts w:eastAsia="Segoe UI" w:cs="Segoe UI" w:ascii="Segoe UI" w:hAnsi="Segoe UI"/>
          <w:color w:val="101820"/>
          <w:sz w:val="21"/>
        </w:rPr>
        <w:t>.</w:t>
      </w:r>
    </w:p>
    <w:p>
      <w:pPr>
        <w:pStyle w:val="Normal"/>
        <w:numPr>
          <w:ilvl w:val="0"/>
          <w:numId w:val="12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and fill in one prospect per row.</w:t>
      </w:r>
    </w:p>
    <w:p>
      <w:pPr>
        <w:pStyle w:val="Normal"/>
        <w:numPr>
          <w:ilvl w:val="0"/>
          <w:numId w:val="12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Choose File</w:t>
      </w:r>
      <w:r>
        <w:rPr>
          <w:rFonts w:eastAsia="Segoe UI" w:cs="Segoe UI" w:ascii="Segoe UI" w:hAnsi="Segoe UI"/>
          <w:color w:val="101820"/>
          <w:sz w:val="21"/>
        </w:rPr>
        <w:t xml:space="preserve">, choose the file (.xlsx or .csv, at most 10 MB) and select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system checks every row and reports the rows it could not load with the reason. </w:t>
      </w:r>
      <w:r>
        <w:rPr>
          <w:rFonts w:eastAsia="Segoe UI" w:cs="Segoe UI" w:ascii="Segoe UI" w:hAnsi="Segoe UI"/>
          <w:b/>
          <w:color w:val="101820"/>
          <w:sz w:val="21"/>
        </w:rPr>
        <w:t>Generate Report</w:t>
      </w:r>
      <w:r>
        <w:rPr>
          <w:rFonts w:eastAsia="Segoe UI" w:cs="Segoe UI" w:ascii="Segoe UI" w:hAnsi="Segoe UI"/>
          <w:color w:val="101820"/>
          <w:sz w:val="21"/>
        </w:rPr>
        <w:t xml:space="preserve"> downloads the prospect list as a spreadsheet.</w:t>
      </w:r>
    </w:p>
    <w:p>
      <w:pPr>
        <w:pStyle w:val="Normal"/>
        <w:jc w:val="center"/>
        <w:rPr/>
      </w:pPr>
      <w:r>
        <w:rPr/>
        <w:drawing>
          <wp:inline distT="0" distB="0" distL="0" distR="0">
            <wp:extent cx="5760085" cy="3922395"/>
            <wp:effectExtent l="0" t="0" r="0" b="0"/>
            <wp:docPr id="46" name="Picture 2121288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121288226" descr=""/>
                    <pic:cNvPicPr>
                      <a:picLocks noChangeAspect="1" noChangeArrowheads="1"/>
                    </pic:cNvPicPr>
                  </pic:nvPicPr>
                  <pic:blipFill>
                    <a:blip r:embed="rId42"/>
                    <a:stretch>
                      <a:fillRect/>
                    </a:stretch>
                  </pic:blipFill>
                  <pic:spPr bwMode="auto">
                    <a:xfrm>
                      <a:off x="0" y="0"/>
                      <a:ext cx="5760085" cy="3922395"/>
                    </a:xfrm>
                    <a:prstGeom prst="rect">
                      <a:avLst/>
                    </a:prstGeom>
                  </pic:spPr>
                </pic:pic>
              </a:graphicData>
            </a:graphic>
          </wp:inline>
        </w:drawing>
      </w:r>
    </w:p>
    <w:p>
      <w:pPr>
        <w:pStyle w:val="Normal"/>
        <w:jc w:val="center"/>
        <w:rPr/>
      </w:pPr>
      <w:r>
        <w:rPr>
          <w:rFonts w:eastAsia="Segoe UI" w:cs="Segoe UI" w:ascii="Segoe UI" w:hAnsi="Segoe UI"/>
          <w:i/>
          <w:color w:val="555F6D"/>
          <w:sz w:val="18"/>
        </w:rPr>
        <w:t>Bulk upload prospects</w:t>
      </w:r>
    </w:p>
    <w:p>
      <w:pPr>
        <w:pStyle w:val="Heading2"/>
        <w:rPr/>
      </w:pPr>
      <w:bookmarkStart w:id="45" w:name="__RefHeading___Toc107345_4049217194"/>
      <w:bookmarkEnd w:id="45"/>
      <w:r>
        <w:rPr>
          <w:rFonts w:eastAsia="Segoe UI" w:cs="Segoe UI"/>
          <w:b/>
          <w:color w:val="0F4761"/>
          <w:sz w:val="26"/>
        </w:rPr>
        <w:t>7.6  Quick Quote and Compare Insurers</w:t>
      </w:r>
    </w:p>
    <w:p>
      <w:pPr>
        <w:pStyle w:val="Normal"/>
        <w:jc w:val="center"/>
        <w:rPr/>
      </w:pPr>
      <w:r>
        <w:rPr/>
        <w:drawing>
          <wp:inline distT="0" distB="0" distL="0" distR="0">
            <wp:extent cx="5760085" cy="4086860"/>
            <wp:effectExtent l="0" t="0" r="0" b="0"/>
            <wp:docPr id="47" name="Picture 2121288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121288227" descr=""/>
                    <pic:cNvPicPr>
                      <a:picLocks noChangeAspect="1" noChangeArrowheads="1"/>
                    </pic:cNvPicPr>
                  </pic:nvPicPr>
                  <pic:blipFill>
                    <a:blip r:embed="rId43"/>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Quick Quote</w:t>
      </w:r>
    </w:p>
    <w:p>
      <w:pPr>
        <w:pStyle w:val="Normal"/>
        <w:spacing w:lineRule="auto" w:line="276" w:before="0" w:after="120"/>
        <w:rPr/>
      </w:pPr>
      <w:r>
        <w:rPr>
          <w:rFonts w:eastAsia="Segoe UI" w:cs="Segoe UI" w:ascii="Segoe UI" w:hAnsi="Segoe UI"/>
          <w:color w:val="101820"/>
          <w:sz w:val="21"/>
        </w:rPr>
        <w:t>Quick Quote lists the package products: standard tariff and wording, quoted on the spot. Each card shows the product, whether it is for retail or corporate clients, and one of two buttons:</w:t>
      </w:r>
    </w:p>
    <w:p>
      <w:pPr>
        <w:pStyle w:val="Normal"/>
        <w:numPr>
          <w:ilvl w:val="0"/>
          <w:numId w:val="1"/>
        </w:numPr>
        <w:spacing w:before="0" w:after="60"/>
        <w:rPr/>
      </w:pPr>
      <w:r>
        <w:rPr>
          <w:rFonts w:eastAsia="Segoe UI" w:cs="Segoe UI" w:ascii="Segoe UI" w:hAnsi="Segoe UI"/>
          <w:b/>
          <w:color w:val="101820"/>
          <w:sz w:val="21"/>
        </w:rPr>
        <w:t>Start quote</w:t>
      </w:r>
      <w:r>
        <w:rPr>
          <w:rFonts w:eastAsia="Segoe UI" w:cs="Segoe UI" w:ascii="Segoe UI" w:hAnsi="Segoe UI"/>
          <w:color w:val="101820"/>
          <w:sz w:val="21"/>
        </w:rPr>
        <w:t>: the product has a quote wizard (Motor Vehicle Insurance, Compulsory Third Party Liability). Enter the customer and the vehicle; the premium is priced from the tariff. The wizard starts with the prospect form when the customer is not yet a prospect.</w:t>
      </w:r>
    </w:p>
    <w:p>
      <w:pPr>
        <w:pStyle w:val="Normal"/>
        <w:numPr>
          <w:ilvl w:val="0"/>
          <w:numId w:val="1"/>
        </w:numPr>
        <w:spacing w:before="0" w:after="60"/>
        <w:rPr/>
      </w:pPr>
      <w:r>
        <w:rPr>
          <w:rFonts w:eastAsia="Segoe UI" w:cs="Segoe UI" w:ascii="Segoe UI" w:hAnsi="Segoe UI"/>
          <w:b/>
          <w:color w:val="101820"/>
          <w:sz w:val="21"/>
        </w:rPr>
        <w:t>Request quotation</w:t>
      </w:r>
      <w:r>
        <w:rPr>
          <w:rFonts w:eastAsia="Segoe UI" w:cs="Segoe UI" w:ascii="Segoe UI" w:hAnsi="Segoe UI"/>
          <w:color w:val="101820"/>
          <w:sz w:val="21"/>
        </w:rPr>
        <w:t>: the product has no quote wizard yet. The button opens a Request for Quotation so the Processing Team gets the terms from the insurers.</w:t>
      </w:r>
    </w:p>
    <w:p>
      <w:pPr>
        <w:pStyle w:val="Normal"/>
        <w:spacing w:lineRule="auto" w:line="276" w:before="0" w:after="120"/>
        <w:rPr/>
      </w:pP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at the top opens a new request for a risk that is not a package product.</w:t>
      </w:r>
    </w:p>
    <w:p>
      <w:pPr>
        <w:pStyle w:val="Normal"/>
        <w:spacing w:lineRule="auto" w:line="276" w:before="0" w:after="120"/>
        <w:rPr/>
      </w:pPr>
      <w:r>
        <w:rPr>
          <w:rFonts w:eastAsia="Segoe UI" w:cs="Segoe UI" w:ascii="Segoe UI" w:hAnsi="Segoe UI"/>
          <w:b/>
          <w:color w:val="101820"/>
          <w:sz w:val="21"/>
        </w:rPr>
        <w:t>Compare Insurers</w:t>
      </w:r>
      <w:r>
        <w:rPr>
          <w:rFonts w:eastAsia="Segoe UI" w:cs="Segoe UI" w:ascii="Segoe UI" w:hAnsi="Segoe UI"/>
          <w:color w:val="101820"/>
          <w:sz w:val="21"/>
        </w:rPr>
        <w:t xml:space="preserve"> shows the premiums of several insurers side by side for a package product, from their rate tables (Master &gt; Finance &gt; Insurer Rate Tables). Choose the </w:t>
      </w:r>
      <w:r>
        <w:rPr>
          <w:rFonts w:eastAsia="Segoe UI" w:cs="Segoe UI" w:ascii="Segoe UI" w:hAnsi="Segoe UI"/>
          <w:b/>
          <w:color w:val="101820"/>
          <w:sz w:val="21"/>
        </w:rPr>
        <w:t>Product</w:t>
      </w:r>
      <w:r>
        <w:rPr>
          <w:rFonts w:eastAsia="Segoe UI" w:cs="Segoe UI" w:ascii="Segoe UI" w:hAnsi="Segoe UI"/>
          <w:color w:val="101820"/>
          <w:sz w:val="21"/>
        </w:rPr>
        <w:t xml:space="preserve">, the </w:t>
      </w:r>
      <w:r>
        <w:rPr>
          <w:rFonts w:eastAsia="Segoe UI" w:cs="Segoe UI" w:ascii="Segoe UI" w:hAnsi="Segoe UI"/>
          <w:b/>
          <w:color w:val="101820"/>
          <w:sz w:val="21"/>
        </w:rPr>
        <w:t>Sum insured</w:t>
      </w:r>
      <w:r>
        <w:rPr>
          <w:rFonts w:eastAsia="Segoe UI" w:cs="Segoe UI" w:ascii="Segoe UI" w:hAnsi="Segoe UI"/>
          <w:color w:val="101820"/>
          <w:sz w:val="21"/>
        </w:rPr>
        <w:t xml:space="preserve">, the </w:t>
      </w:r>
      <w:r>
        <w:rPr>
          <w:rFonts w:eastAsia="Segoe UI" w:cs="Segoe UI" w:ascii="Segoe UI" w:hAnsi="Segoe UI"/>
          <w:b/>
          <w:color w:val="101820"/>
          <w:sz w:val="21"/>
        </w:rPr>
        <w:t>Location of the risk</w:t>
      </w:r>
      <w:r>
        <w:rPr>
          <w:rFonts w:eastAsia="Segoe UI" w:cs="Segoe UI" w:ascii="Segoe UI" w:hAnsi="Segoe UI"/>
          <w:color w:val="101820"/>
          <w:sz w:val="21"/>
        </w:rPr>
        <w:t xml:space="preserve"> (the city or municipality decides the local government tax) and the </w:t>
      </w:r>
      <w:r>
        <w:rPr>
          <w:rFonts w:eastAsia="Segoe UI" w:cs="Segoe UI" w:ascii="Segoe UI" w:hAnsi="Segoe UI"/>
          <w:b/>
          <w:color w:val="101820"/>
          <w:sz w:val="21"/>
        </w:rPr>
        <w:t>Inception date</w:t>
      </w:r>
      <w:r>
        <w:rPr>
          <w:rFonts w:eastAsia="Segoe UI" w:cs="Segoe UI" w:ascii="Segoe UI" w:hAnsi="Segoe UI"/>
          <w:color w:val="101820"/>
          <w:sz w:val="21"/>
        </w:rPr>
        <w:t xml:space="preserve">, then select </w:t>
      </w:r>
      <w:r>
        <w:rPr>
          <w:rFonts w:eastAsia="Segoe UI" w:cs="Segoe UI" w:ascii="Segoe UI" w:hAnsi="Segoe UI"/>
          <w:b/>
          <w:color w:val="101820"/>
          <w:sz w:val="21"/>
        </w:rPr>
        <w:t>Compare</w:t>
      </w:r>
      <w:r>
        <w:rPr>
          <w:rFonts w:eastAsia="Segoe UI" w:cs="Segoe UI" w:ascii="Segoe UI" w:hAnsi="Segoe UI"/>
          <w:color w:val="101820"/>
          <w:sz w:val="21"/>
        </w:rPr>
        <w:t>. An insurer without a rate for the product is not listed.</w:t>
      </w:r>
    </w:p>
    <w:p>
      <w:pPr>
        <w:pStyle w:val="Normal"/>
        <w:jc w:val="center"/>
        <w:rPr/>
      </w:pPr>
      <w:r>
        <w:rPr/>
        <w:drawing>
          <wp:inline distT="0" distB="0" distL="0" distR="0">
            <wp:extent cx="5760085" cy="1648460"/>
            <wp:effectExtent l="0" t="0" r="0" b="0"/>
            <wp:docPr id="48" name="Picture 2121288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121288228" descr=""/>
                    <pic:cNvPicPr>
                      <a:picLocks noChangeAspect="1" noChangeArrowheads="1"/>
                    </pic:cNvPicPr>
                  </pic:nvPicPr>
                  <pic:blipFill>
                    <a:blip r:embed="rId44"/>
                    <a:stretch>
                      <a:fillRect/>
                    </a:stretch>
                  </pic:blipFill>
                  <pic:spPr bwMode="auto">
                    <a:xfrm>
                      <a:off x="0" y="0"/>
                      <a:ext cx="5760085" cy="16484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Compare Insurers</w:t>
      </w:r>
    </w:p>
    <w:p>
      <w:pPr>
        <w:pStyle w:val="Heading2"/>
        <w:rPr/>
      </w:pPr>
      <w:bookmarkStart w:id="46" w:name="__RefHeading___Toc107347_4049217194"/>
      <w:bookmarkEnd w:id="46"/>
      <w:r>
        <w:rPr>
          <w:rFonts w:eastAsia="Segoe UI" w:cs="Segoe UI"/>
          <w:b/>
          <w:color w:val="0F4761"/>
          <w:sz w:val="26"/>
        </w:rPr>
        <w:t>7.7  Create a motor quotation</w:t>
      </w:r>
    </w:p>
    <w:p>
      <w:pPr>
        <w:pStyle w:val="Normal"/>
        <w:spacing w:lineRule="auto" w:line="276" w:before="0" w:after="120"/>
        <w:rPr/>
      </w:pPr>
      <w:r>
        <w:rPr>
          <w:rFonts w:eastAsia="Segoe UI" w:cs="Segoe UI" w:ascii="Segoe UI" w:hAnsi="Segoe UI"/>
          <w:color w:val="101820"/>
          <w:sz w:val="21"/>
        </w:rPr>
        <w:t xml:space="preserve">A motor quotation has five steps. Nothing is saved until </w:t>
      </w:r>
      <w:r>
        <w:rPr>
          <w:rFonts w:eastAsia="Segoe UI" w:cs="Segoe UI" w:ascii="Segoe UI" w:hAnsi="Segoe UI"/>
          <w:b/>
          <w:color w:val="101820"/>
          <w:sz w:val="21"/>
        </w:rPr>
        <w:t>Completed Quote</w:t>
      </w:r>
      <w:r>
        <w:rPr>
          <w:rFonts w:eastAsia="Segoe UI" w:cs="Segoe UI" w:ascii="Segoe UI" w:hAnsi="Segoe UI"/>
          <w:color w:val="101820"/>
          <w:sz w:val="21"/>
        </w:rPr>
        <w:t xml:space="preserve"> on the last step, so you can move with </w:t>
      </w:r>
      <w:r>
        <w:rPr>
          <w:rFonts w:eastAsia="Segoe UI" w:cs="Segoe UI" w:ascii="Segoe UI" w:hAnsi="Segoe UI"/>
          <w:b/>
          <w:color w:val="101820"/>
          <w:sz w:val="21"/>
        </w:rPr>
        <w:t>Back</w:t>
      </w:r>
      <w:r>
        <w:rPr>
          <w:rFonts w:eastAsia="Segoe UI" w:cs="Segoe UI" w:ascii="Segoe UI" w:hAnsi="Segoe UI"/>
          <w:color w:val="101820"/>
          <w:sz w:val="21"/>
        </w:rPr>
        <w:t xml:space="preserve"> and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4"/>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and select </w:t>
      </w:r>
      <w:r>
        <w:rPr>
          <w:rFonts w:eastAsia="Segoe UI" w:cs="Segoe UI" w:ascii="Segoe UI" w:hAnsi="Segoe UI"/>
          <w:b/>
          <w:color w:val="101820"/>
          <w:sz w:val="21"/>
        </w:rPr>
        <w:t>Create Quote</w:t>
      </w:r>
      <w:r>
        <w:rPr>
          <w:rFonts w:eastAsia="Segoe UI" w:cs="Segoe UI" w:ascii="Segoe UI" w:hAnsi="Segoe UI"/>
          <w:color w:val="101820"/>
          <w:sz w:val="21"/>
        </w:rPr>
        <w:t xml:space="preserve">, or select </w:t>
      </w:r>
      <w:r>
        <w:rPr>
          <w:rFonts w:eastAsia="Segoe UI" w:cs="Segoe UI" w:ascii="Segoe UI" w:hAnsi="Segoe UI"/>
          <w:b/>
          <w:color w:val="101820"/>
          <w:sz w:val="21"/>
        </w:rPr>
        <w:t>Start quote</w:t>
      </w:r>
      <w:r>
        <w:rPr>
          <w:rFonts w:eastAsia="Segoe UI" w:cs="Segoe UI" w:ascii="Segoe UI" w:hAnsi="Segoe UI"/>
          <w:color w:val="101820"/>
          <w:sz w:val="21"/>
        </w:rPr>
        <w:t xml:space="preserve"> on Quick Quote.</w:t>
      </w:r>
    </w:p>
    <w:p>
      <w:pPr>
        <w:pStyle w:val="Normal"/>
        <w:numPr>
          <w:ilvl w:val="0"/>
          <w:numId w:val="125"/>
        </w:numPr>
        <w:spacing w:before="0" w:after="60"/>
        <w:rPr/>
      </w:pPr>
      <w:r>
        <w:rPr>
          <w:rFonts w:eastAsia="Segoe UI" w:cs="Segoe UI" w:ascii="Segoe UI" w:hAnsi="Segoe UI"/>
          <w:b/>
          <w:color w:val="101820"/>
          <w:sz w:val="21"/>
        </w:rPr>
        <w:t>Policy Details</w:t>
      </w:r>
      <w:r>
        <w:rPr>
          <w:rFonts w:eastAsia="Segoe UI" w:cs="Segoe UI" w:ascii="Segoe UI" w:hAnsi="Segoe UI"/>
          <w:color w:val="101820"/>
          <w:sz w:val="21"/>
        </w:rPr>
        <w:t xml:space="preserve"> and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fill in the fields below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6"/>
        </w:numPr>
        <w:spacing w:before="0" w:after="60"/>
        <w:rPr/>
      </w:pPr>
      <w:r>
        <w:rPr>
          <w:rFonts w:eastAsia="Segoe UI" w:cs="Segoe UI" w:ascii="Segoe UI" w:hAnsi="Segoe UI"/>
          <w:color w:val="101820"/>
          <w:sz w:val="21"/>
        </w:rPr>
        <w:t xml:space="preserve">Plan recommendations: keep the recommended plan or choose another,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7"/>
        </w:numPr>
        <w:spacing w:before="0" w:after="60"/>
        <w:rPr/>
      </w:pPr>
      <w:r>
        <w:rPr>
          <w:rFonts w:eastAsia="Segoe UI" w:cs="Segoe UI" w:ascii="Segoe UI" w:hAnsi="Segoe UI"/>
          <w:color w:val="101820"/>
          <w:sz w:val="21"/>
        </w:rPr>
        <w:t xml:space="preserve">Coverage details: fill in the covers, select </w:t>
      </w:r>
      <w:r>
        <w:rPr>
          <w:rFonts w:eastAsia="Segoe UI" w:cs="Segoe UI" w:ascii="Segoe UI" w:hAnsi="Segoe UI"/>
          <w:b/>
          <w:color w:val="101820"/>
          <w:sz w:val="21"/>
        </w:rPr>
        <w:t>Calculate</w:t>
      </w:r>
      <w:r>
        <w:rPr>
          <w:rFonts w:eastAsia="Segoe UI" w:cs="Segoe UI" w:ascii="Segoe UI" w:hAnsi="Segoe UI"/>
          <w:color w:val="101820"/>
          <w:sz w:val="21"/>
        </w:rPr>
        <w:t xml:space="preserve">, check the premium,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8"/>
        </w:numPr>
        <w:spacing w:before="0" w:after="60"/>
        <w:rPr/>
      </w:pPr>
      <w:r>
        <w:rPr>
          <w:rFonts w:eastAsia="Segoe UI" w:cs="Segoe UI" w:ascii="Segoe UI" w:hAnsi="Segoe UI"/>
          <w:color w:val="101820"/>
          <w:sz w:val="21"/>
        </w:rPr>
        <w:t xml:space="preserve">Accessories and policy limits,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29"/>
        </w:numPr>
        <w:spacing w:before="0" w:after="60"/>
        <w:rPr/>
      </w:pPr>
      <w:r>
        <w:rPr>
          <w:rFonts w:eastAsia="Segoe UI" w:cs="Segoe UI" w:ascii="Segoe UI" w:hAnsi="Segoe UI"/>
          <w:color w:val="101820"/>
          <w:sz w:val="21"/>
        </w:rPr>
        <w:t xml:space="preserve">Order summary: set the discount, the referrer and the signatory, then select </w:t>
      </w:r>
      <w:r>
        <w:rPr>
          <w:rFonts w:eastAsia="Segoe UI" w:cs="Segoe UI" w:ascii="Segoe UI" w:hAnsi="Segoe UI"/>
          <w:b/>
          <w:color w:val="101820"/>
          <w:sz w:val="21"/>
        </w:rPr>
        <w:t>Completed Quote</w:t>
      </w:r>
      <w:r>
        <w:rPr>
          <w:rFonts w:eastAsia="Segoe UI" w:cs="Segoe UI" w:ascii="Segoe UI" w:hAnsi="Segoe UI"/>
          <w:color w:val="101820"/>
          <w:sz w:val="21"/>
        </w:rPr>
        <w:t>.</w:t>
      </w:r>
    </w:p>
    <w:p>
      <w:pPr>
        <w:pStyle w:val="Normal"/>
        <w:jc w:val="center"/>
        <w:rPr/>
      </w:pPr>
      <w:r>
        <w:rPr/>
        <w:drawing>
          <wp:inline distT="0" distB="0" distL="0" distR="0">
            <wp:extent cx="5760085" cy="5313045"/>
            <wp:effectExtent l="0" t="0" r="0" b="0"/>
            <wp:docPr id="49" name="Picture 2121288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121288229" descr=""/>
                    <pic:cNvPicPr>
                      <a:picLocks noChangeAspect="1" noChangeArrowheads="1"/>
                    </pic:cNvPicPr>
                  </pic:nvPicPr>
                  <pic:blipFill>
                    <a:blip r:embed="rId45"/>
                    <a:stretch>
                      <a:fillRect/>
                    </a:stretch>
                  </pic:blipFill>
                  <pic:spPr bwMode="auto">
                    <a:xfrm>
                      <a:off x="0" y="0"/>
                      <a:ext cx="5760085" cy="5313045"/>
                    </a:xfrm>
                    <a:prstGeom prst="rect">
                      <a:avLst/>
                    </a:prstGeom>
                  </pic:spPr>
                </pic:pic>
              </a:graphicData>
            </a:graphic>
          </wp:inline>
        </w:drawing>
      </w:r>
    </w:p>
    <w:p>
      <w:pPr>
        <w:pStyle w:val="Normal"/>
        <w:jc w:val="center"/>
        <w:rPr/>
      </w:pPr>
      <w:r>
        <w:rPr>
          <w:rFonts w:eastAsia="Segoe UI" w:cs="Segoe UI" w:ascii="Segoe UI" w:hAnsi="Segoe UI"/>
          <w:i/>
          <w:color w:val="555F6D"/>
          <w:sz w:val="18"/>
        </w:rPr>
        <w:t>Create Quote, step 1: Policy Details and Insurance Vehicle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53"/>
        <w:gridCol w:w="1124"/>
        <w:gridCol w:w="3938"/>
      </w:tblGrid>
      <w:tr>
        <w:trPr>
          <w:tblHeader w:val="true"/>
        </w:trPr>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 (step 1)</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 and rules</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Co-Insurance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when more than one insurer shares the risk; a table appears for the co-insurers and their shares (total 100%, one lead).</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Name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will issue the policy.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Policy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Comprehensive, Own Damage / Theft or Third Party Liability.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Referrer (agent / account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referrer credited with the business; active referrers only.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Payment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Cash or Credit.</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vehicle class; it sets the CTPL tariff, the default seats and the own damage rate.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Brand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Model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Model Variant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vehicle master; each list follows the one before.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Model Year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Color</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Model year within the last 20 years up to next year.</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Seating Capacity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Seats including the driver, 1 to 99; used for Auto Passenger PA.</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the coverage step, own damage is priced from the sum insured (the market value) and the rate of the motor tariff; CTPL is the Insurance Commission tariff of the vehicle class, inclusive of taxes and fees; the optional covers are Acts of Nature, excess Bodily Injury and Property Damage, Personal Accident and Auto Passenger PA (limit per person x seats covered).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every change. The order summary shows: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calculated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of the cover premiums, without CTPL.</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of the net premium (VAT rule of Master &gt; Finance &gt; Premium Taxes &amp; LGU Rates), for products under the VAT regime.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0.50 on each PHP 4.00 of net premium, a fraction counting as a whole PHP 4.00 (DST rule).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0.75% of the net premium (LGT rule), or the rate of the client's city or municipality in Premium Taxes &amp; LGU Rates.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tariff amount, not taxed again and never discounted.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discount given to the client, limited by the Authority Matrix of your role.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 taxes + CTPL + other premium - discount.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commission and referral choose the referrer or keep the broker's own lead; the comsub rate fills in from the commission rule (level L1 8%, L2 5%, </w:t>
      </w:r>
      <w:r>
        <w:rPr>
          <w:rFonts w:eastAsia="Consolas" w:cs="Consolas" w:ascii="Consolas" w:hAnsi="Consolas"/>
          <w:color w:val="101820"/>
          <w:sz w:val="19"/>
        </w:rPr>
        <w:t>commission.comsub_rate_by_level</w:t>
      </w:r>
      <w:r>
        <w:rPr>
          <w:rFonts w:eastAsia="Segoe UI" w:cs="Segoe UI" w:ascii="Segoe UI" w:hAnsi="Segoe UI"/>
          <w:color w:val="101820"/>
          <w:sz w:val="21"/>
        </w:rPr>
        <w:t xml:space="preserve">). The brokerage rate comes from the Commission Rate Matrix, then the insurer's default rate,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spacing w:lineRule="auto" w:line="276" w:before="0" w:after="120"/>
        <w:rPr/>
      </w:pPr>
      <w:r>
        <w:rPr>
          <w:rFonts w:eastAsia="Segoe UI" w:cs="Segoe UI" w:ascii="Segoe UI" w:hAnsi="Segoe UI"/>
          <w:color w:val="101820"/>
          <w:sz w:val="21"/>
        </w:rPr>
        <w:t xml:space="preserve">When you select </w:t>
      </w:r>
      <w:r>
        <w:rPr>
          <w:rFonts w:eastAsia="Segoe UI" w:cs="Segoe UI" w:ascii="Segoe UI" w:hAnsi="Segoe UI"/>
          <w:b/>
          <w:color w:val="101820"/>
          <w:sz w:val="21"/>
        </w:rPr>
        <w:t>Completed Quote</w:t>
      </w:r>
      <w:r>
        <w:rPr>
          <w:rFonts w:eastAsia="Segoe UI" w:cs="Segoe UI" w:ascii="Segoe UI" w:hAnsi="Segoe UI"/>
          <w:color w:val="101820"/>
          <w:sz w:val="21"/>
        </w:rPr>
        <w:t xml:space="preserve">, the system prices the quotation again on the server from the configured rates and taxes, saves it as </w:t>
      </w:r>
      <w:r>
        <w:rPr>
          <w:rFonts w:eastAsia="Segoe UI" w:cs="Segoe UI" w:ascii="Segoe UI" w:hAnsi="Segoe UI"/>
          <w:b/>
          <w:color w:val="101820"/>
          <w:sz w:val="21"/>
        </w:rPr>
        <w:t>Draft</w:t>
      </w:r>
      <w:r>
        <w:rPr>
          <w:rFonts w:eastAsia="Segoe UI" w:cs="Segoe UI" w:ascii="Segoe UI" w:hAnsi="Segoe UI"/>
          <w:color w:val="101820"/>
          <w:sz w:val="21"/>
        </w:rPr>
        <w:t xml:space="preserve"> with its number QT-YYYY-NNNNN, sets the prospect to QuoteGenerated and opens the quotation. A premium changed in the browser is refused. The quotation is valid for 30 days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Heading2"/>
        <w:rPr/>
      </w:pPr>
      <w:bookmarkStart w:id="47" w:name="__RefHeading___Toc107349_4049217194"/>
      <w:bookmarkEnd w:id="47"/>
      <w:r>
        <w:rPr>
          <w:rFonts w:eastAsia="Segoe UI" w:cs="Segoe UI"/>
          <w:b/>
          <w:color w:val="0F4761"/>
          <w:sz w:val="26"/>
        </w:rPr>
        <w:t>7.8  Quotations</w:t>
      </w:r>
    </w:p>
    <w:p>
      <w:pPr>
        <w:pStyle w:val="Normal"/>
        <w:jc w:val="center"/>
        <w:rPr/>
      </w:pPr>
      <w:r>
        <w:rPr/>
        <w:drawing>
          <wp:inline distT="0" distB="0" distL="0" distR="0">
            <wp:extent cx="5760085" cy="4469130"/>
            <wp:effectExtent l="0" t="0" r="0" b="0"/>
            <wp:docPr id="50" name="Picture 2121288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121288230" descr=""/>
                    <pic:cNvPicPr>
                      <a:picLocks noChangeAspect="1" noChangeArrowheads="1"/>
                    </pic:cNvPicPr>
                  </pic:nvPicPr>
                  <pic:blipFill>
                    <a:blip r:embed="rId4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Quotations</w:t>
      </w:r>
    </w:p>
    <w:p>
      <w:pPr>
        <w:pStyle w:val="Normal"/>
        <w:spacing w:lineRule="auto" w:line="276" w:before="0" w:after="120"/>
        <w:rPr/>
      </w:pPr>
      <w:r>
        <w:rPr>
          <w:rFonts w:eastAsia="Segoe UI" w:cs="Segoe UI" w:ascii="Segoe UI" w:hAnsi="Segoe UI"/>
          <w:color w:val="101820"/>
          <w:sz w:val="21"/>
        </w:rPr>
        <w:t xml:space="preserve">Choose Operations &gt; Sales &amp; Marketing &gt; Quotations. The cards count </w:t>
      </w:r>
      <w:r>
        <w:rPr>
          <w:rFonts w:eastAsia="Segoe UI" w:cs="Segoe UI" w:ascii="Segoe UI" w:hAnsi="Segoe UI"/>
          <w:b/>
          <w:color w:val="101820"/>
          <w:sz w:val="21"/>
        </w:rPr>
        <w:t>Total Quotations</w:t>
      </w:r>
      <w:r>
        <w:rPr>
          <w:rFonts w:eastAsia="Segoe UI" w:cs="Segoe UI" w:ascii="Segoe UI" w:hAnsi="Segoe UI"/>
          <w:color w:val="101820"/>
          <w:sz w:val="21"/>
        </w:rPr>
        <w:t xml:space="preserve">, </w:t>
      </w:r>
      <w:r>
        <w:rPr>
          <w:rFonts w:eastAsia="Segoe UI" w:cs="Segoe UI" w:ascii="Segoe UI" w:hAnsi="Segoe UI"/>
          <w:b/>
          <w:color w:val="101820"/>
          <w:sz w:val="21"/>
        </w:rPr>
        <w:t>Converted to Policy</w:t>
      </w:r>
      <w:r>
        <w:rPr>
          <w:rFonts w:eastAsia="Segoe UI" w:cs="Segoe UI" w:ascii="Segoe UI" w:hAnsi="Segoe UI"/>
          <w:color w:val="101820"/>
          <w:sz w:val="21"/>
        </w:rPr>
        <w:t xml:space="preserve">, </w:t>
      </w:r>
      <w:r>
        <w:rPr>
          <w:rFonts w:eastAsia="Segoe UI" w:cs="Segoe UI" w:ascii="Segoe UI" w:hAnsi="Segoe UI"/>
          <w:b/>
          <w:color w:val="101820"/>
          <w:sz w:val="21"/>
        </w:rPr>
        <w:t>Rejected</w:t>
      </w:r>
      <w:r>
        <w:rPr>
          <w:rFonts w:eastAsia="Segoe UI" w:cs="Segoe UI" w:ascii="Segoe UI" w:hAnsi="Segoe UI"/>
          <w:color w:val="101820"/>
          <w:sz w:val="21"/>
        </w:rPr>
        <w:t xml:space="preserve">, </w:t>
      </w:r>
      <w:r>
        <w:rPr>
          <w:rFonts w:eastAsia="Segoe UI" w:cs="Segoe UI" w:ascii="Segoe UI" w:hAnsi="Segoe UI"/>
          <w:b/>
          <w:color w:val="101820"/>
          <w:sz w:val="21"/>
        </w:rPr>
        <w:t>Pending Customer</w:t>
      </w:r>
      <w:r>
        <w:rPr>
          <w:rFonts w:eastAsia="Segoe UI" w:cs="Segoe UI" w:ascii="Segoe UI" w:hAnsi="Segoe UI"/>
          <w:color w:val="101820"/>
          <w:sz w:val="21"/>
        </w:rPr>
        <w:t xml:space="preserve">, </w:t>
      </w:r>
      <w:r>
        <w:rPr>
          <w:rFonts w:eastAsia="Segoe UI" w:cs="Segoe UI" w:ascii="Segoe UI" w:hAnsi="Segoe UI"/>
          <w:b/>
          <w:color w:val="101820"/>
          <w:sz w:val="21"/>
        </w:rPr>
        <w:t>Approved Quotations</w:t>
      </w:r>
      <w:r>
        <w:rPr>
          <w:rFonts w:eastAsia="Segoe UI" w:cs="Segoe UI" w:ascii="Segoe UI" w:hAnsi="Segoe UI"/>
          <w:color w:val="101820"/>
          <w:sz w:val="21"/>
        </w:rPr>
        <w:t xml:space="preserve">, </w:t>
      </w:r>
      <w:r>
        <w:rPr>
          <w:rFonts w:eastAsia="Segoe UI" w:cs="Segoe UI" w:ascii="Segoe UI" w:hAnsi="Segoe UI"/>
          <w:b/>
          <w:color w:val="101820"/>
          <w:sz w:val="21"/>
        </w:rPr>
        <w:t>Active Quotations</w:t>
      </w:r>
      <w:r>
        <w:rPr>
          <w:rFonts w:eastAsia="Segoe UI" w:cs="Segoe UI" w:ascii="Segoe UI" w:hAnsi="Segoe UI"/>
          <w:color w:val="101820"/>
          <w:sz w:val="21"/>
        </w:rPr>
        <w:t xml:space="preserve"> and </w:t>
      </w:r>
      <w:r>
        <w:rPr>
          <w:rFonts w:eastAsia="Segoe UI" w:cs="Segoe UI" w:ascii="Segoe UI" w:hAnsi="Segoe UI"/>
          <w:b/>
          <w:color w:val="101820"/>
          <w:sz w:val="21"/>
        </w:rPr>
        <w:t>Pending Review</w:t>
      </w:r>
      <w:r>
        <w:rPr>
          <w:rFonts w:eastAsia="Segoe UI" w:cs="Segoe UI" w:ascii="Segoe UI" w:hAnsi="Segoe UI"/>
          <w:color w:val="101820"/>
          <w:sz w:val="21"/>
        </w:rPr>
        <w:t xml:space="preserve">, with the </w:t>
      </w:r>
      <w:r>
        <w:rPr>
          <w:rFonts w:eastAsia="Segoe UI" w:cs="Segoe UI" w:ascii="Segoe UI" w:hAnsi="Segoe UI"/>
          <w:b/>
          <w:color w:val="101820"/>
          <w:sz w:val="21"/>
        </w:rPr>
        <w:t>Average Premium</w:t>
      </w:r>
      <w:r>
        <w:rPr>
          <w:rFonts w:eastAsia="Segoe UI" w:cs="Segoe UI" w:ascii="Segoe UI" w:hAnsi="Segoe UI"/>
          <w:color w:val="101820"/>
          <w:sz w:val="21"/>
        </w:rPr>
        <w:t xml:space="preserve">. The list shows </w:t>
      </w:r>
      <w:r>
        <w:rPr>
          <w:rFonts w:eastAsia="Segoe UI" w:cs="Segoe UI" w:ascii="Segoe UI" w:hAnsi="Segoe UI"/>
          <w:b/>
          <w:color w:val="101820"/>
          <w:sz w:val="21"/>
        </w:rPr>
        <w:t>Quote ID</w:t>
      </w:r>
      <w:r>
        <w:rPr>
          <w:rFonts w:eastAsia="Segoe UI" w:cs="Segoe UI" w:ascii="Segoe UI" w:hAnsi="Segoe UI"/>
          <w:color w:val="101820"/>
          <w:sz w:val="21"/>
        </w:rPr>
        <w:t xml:space="preserve">, </w:t>
      </w:r>
      <w:r>
        <w:rPr>
          <w:rFonts w:eastAsia="Segoe UI" w:cs="Segoe UI" w:ascii="Segoe UI" w:hAnsi="Segoe UI"/>
          <w:b/>
          <w:color w:val="101820"/>
          <w:sz w:val="21"/>
        </w:rPr>
        <w:t>Prospect Name</w:t>
      </w:r>
      <w:r>
        <w:rPr>
          <w:rFonts w:eastAsia="Segoe UI" w:cs="Segoe UI" w:ascii="Segoe UI" w:hAnsi="Segoe UI"/>
          <w:color w:val="101820"/>
          <w:sz w:val="21"/>
        </w:rPr>
        <w:t xml:space="preserve">, </w:t>
      </w:r>
      <w:r>
        <w:rPr>
          <w:rFonts w:eastAsia="Segoe UI" w:cs="Segoe UI" w:ascii="Segoe UI" w:hAnsi="Segoe UI"/>
          <w:b/>
          <w:color w:val="101820"/>
          <w:sz w:val="21"/>
        </w:rPr>
        <w:t>Policy Type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View Details</w:t>
      </w:r>
      <w:r>
        <w:rPr>
          <w:rFonts w:eastAsia="Segoe UI" w:cs="Segoe UI" w:ascii="Segoe UI" w:hAnsi="Segoe UI"/>
          <w:color w:val="101820"/>
          <w:sz w:val="21"/>
        </w:rPr>
        <w:t xml:space="preserve"> opens a quotation. </w:t>
      </w:r>
      <w:r>
        <w:rPr>
          <w:rFonts w:eastAsia="Segoe UI" w:cs="Segoe UI" w:ascii="Segoe UI" w:hAnsi="Segoe UI"/>
          <w:b/>
          <w:color w:val="101820"/>
          <w:sz w:val="21"/>
        </w:rPr>
        <w:t>Create Quote</w:t>
      </w:r>
      <w:r>
        <w:rPr>
          <w:rFonts w:eastAsia="Segoe UI" w:cs="Segoe UI" w:ascii="Segoe UI" w:hAnsi="Segoe UI"/>
          <w:color w:val="101820"/>
          <w:sz w:val="21"/>
        </w:rPr>
        <w:t xml:space="preserve"> starts a quotation and </w:t>
      </w:r>
      <w:r>
        <w:rPr>
          <w:rFonts w:eastAsia="Segoe UI" w:cs="Segoe UI" w:ascii="Segoe UI" w:hAnsi="Segoe UI"/>
          <w:b/>
          <w:color w:val="101820"/>
          <w:sz w:val="21"/>
        </w:rPr>
        <w:t>Bulk Upload</w:t>
      </w:r>
      <w:r>
        <w:rPr>
          <w:rFonts w:eastAsia="Segoe UI" w:cs="Segoe UI" w:ascii="Segoe UI" w:hAnsi="Segoe UI"/>
          <w:color w:val="101820"/>
          <w:sz w:val="21"/>
        </w:rPr>
        <w:t xml:space="preserve"> loads quotations from a template.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Next step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 can still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Send for Customer Approval</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client; waiting for the answer.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 accepts, or </w:t>
            </w:r>
            <w:r>
              <w:rPr>
                <w:rFonts w:eastAsia="Segoe UI" w:cs="Segoe UI" w:ascii="Segoe UI" w:hAnsi="Segoe UI"/>
                <w:b/>
                <w:color w:val="101820"/>
                <w:kern w:val="0"/>
                <w:sz w:val="18"/>
                <w:szCs w:val="24"/>
                <w:lang w:val="en-US" w:eastAsia="ja-JP" w:bidi="ar-SA"/>
              </w:rPr>
              <w:t>Record customer response</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accepted.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Create Placement Slip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a user other than the creator.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Dropped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taken up; can be reopened as Draft.</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converted within its validity (Quotation expiry job, daily 00:30).</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as Draft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 to Policy</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the quotation can no longer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3"/>
        <w:rPr/>
      </w:pPr>
      <w:r>
        <w:rPr>
          <w:rFonts w:eastAsia="Segoe UI" w:cs="Segoe UI"/>
          <w:b/>
          <w:color w:val="0F4761"/>
          <w:sz w:val="23"/>
        </w:rPr>
        <w:t>7.8.1  Send the quotation and record the customer's response</w:t>
      </w:r>
    </w:p>
    <w:p>
      <w:pPr>
        <w:pStyle w:val="Normal"/>
        <w:jc w:val="center"/>
        <w:rPr/>
      </w:pPr>
      <w:r>
        <w:rPr/>
        <w:drawing>
          <wp:inline distT="0" distB="0" distL="0" distR="0">
            <wp:extent cx="5760085" cy="6455410"/>
            <wp:effectExtent l="0" t="0" r="0" b="0"/>
            <wp:docPr id="51" name="Picture 2121288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121288231" descr=""/>
                    <pic:cNvPicPr>
                      <a:picLocks noChangeAspect="1" noChangeArrowheads="1"/>
                    </pic:cNvPicPr>
                  </pic:nvPicPr>
                  <pic:blipFill>
                    <a:blip r:embed="rId47"/>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Slip details of a quotation waiting for the customer</w:t>
      </w:r>
    </w:p>
    <w:p>
      <w:pPr>
        <w:pStyle w:val="Normal"/>
        <w:numPr>
          <w:ilvl w:val="0"/>
          <w:numId w:val="130"/>
        </w:numPr>
        <w:spacing w:before="0" w:after="60"/>
        <w:rPr/>
      </w:pPr>
      <w:r>
        <w:rPr>
          <w:rFonts w:eastAsia="Segoe UI" w:cs="Segoe UI" w:ascii="Segoe UI" w:hAnsi="Segoe UI"/>
          <w:color w:val="101820"/>
          <w:sz w:val="21"/>
        </w:rPr>
        <w:t xml:space="preserve">Open the quotation with </w:t>
      </w:r>
      <w:r>
        <w:rPr>
          <w:rFonts w:eastAsia="Segoe UI" w:cs="Segoe UI" w:ascii="Segoe UI" w:hAnsi="Segoe UI"/>
          <w:b/>
          <w:color w:val="101820"/>
          <w:sz w:val="21"/>
        </w:rPr>
        <w:t>View Details</w:t>
      </w:r>
      <w:r>
        <w:rPr>
          <w:rFonts w:eastAsia="Segoe UI" w:cs="Segoe UI" w:ascii="Segoe UI" w:hAnsi="Segoe UI"/>
          <w:color w:val="101820"/>
          <w:sz w:val="21"/>
        </w:rPr>
        <w:t xml:space="preserve">. The page shows the </w:t>
      </w:r>
      <w:r>
        <w:rPr>
          <w:rFonts w:eastAsia="Segoe UI" w:cs="Segoe UI" w:ascii="Segoe UI" w:hAnsi="Segoe UI"/>
          <w:b/>
          <w:color w:val="101820"/>
          <w:sz w:val="21"/>
        </w:rPr>
        <w:t>Placement journey</w:t>
      </w:r>
      <w:r>
        <w:rPr>
          <w:rFonts w:eastAsia="Segoe UI" w:cs="Segoe UI" w:ascii="Segoe UI" w:hAnsi="Segoe UI"/>
          <w:color w:val="101820"/>
          <w:sz w:val="21"/>
        </w:rPr>
        <w:t xml:space="preserve">,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Assured Details</w:t>
      </w:r>
      <w:r>
        <w:rPr>
          <w:rFonts w:eastAsia="Segoe UI" w:cs="Segoe UI" w:ascii="Segoe UI" w:hAnsi="Segoe UI"/>
          <w:color w:val="101820"/>
          <w:sz w:val="21"/>
        </w:rPr>
        <w:t xml:space="preserve">,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w:t>
      </w:r>
      <w:r>
        <w:rPr>
          <w:rFonts w:eastAsia="Segoe UI" w:cs="Segoe UI" w:ascii="Segoe UI" w:hAnsi="Segoe UI"/>
          <w:b/>
          <w:color w:val="101820"/>
          <w:sz w:val="21"/>
        </w:rPr>
        <w:t>Coverage details</w:t>
      </w:r>
      <w:r>
        <w:rPr>
          <w:rFonts w:eastAsia="Segoe UI" w:cs="Segoe UI" w:ascii="Segoe UI" w:hAnsi="Segoe UI"/>
          <w:color w:val="101820"/>
          <w:sz w:val="21"/>
        </w:rPr>
        <w:t xml:space="preserve"> and </w:t>
      </w:r>
      <w:r>
        <w:rPr>
          <w:rFonts w:eastAsia="Segoe UI" w:cs="Segoe UI" w:ascii="Segoe UI" w:hAnsi="Segoe UI"/>
          <w:b/>
          <w:color w:val="101820"/>
          <w:sz w:val="21"/>
        </w:rPr>
        <w:t>Payment Details</w:t>
      </w:r>
      <w:r>
        <w:rPr>
          <w:rFonts w:eastAsia="Segoe UI" w:cs="Segoe UI" w:ascii="Segoe UI" w:hAnsi="Segoe UI"/>
          <w:color w:val="101820"/>
          <w:sz w:val="21"/>
        </w:rPr>
        <w:t xml:space="preserve"> (net premium, DST, VAT, LGT, others, discount, gross premium). The </w:t>
      </w:r>
      <w:r>
        <w:rPr>
          <w:rFonts w:eastAsia="Segoe UI" w:cs="Segoe UI" w:ascii="Segoe UI" w:hAnsi="Segoe UI"/>
          <w:b/>
          <w:color w:val="101820"/>
          <w:sz w:val="21"/>
        </w:rPr>
        <w:t>Audit Trail</w:t>
      </w:r>
      <w:r>
        <w:rPr>
          <w:rFonts w:eastAsia="Segoe UI" w:cs="Segoe UI" w:ascii="Segoe UI" w:hAnsi="Segoe UI"/>
          <w:color w:val="101820"/>
          <w:sz w:val="21"/>
        </w:rPr>
        <w:t xml:space="preserve"> tab lists every change.</w:t>
      </w:r>
    </w:p>
    <w:p>
      <w:pPr>
        <w:pStyle w:val="Normal"/>
        <w:numPr>
          <w:ilvl w:val="0"/>
          <w:numId w:val="131"/>
        </w:numPr>
        <w:spacing w:before="0" w:after="60"/>
        <w:rPr/>
      </w:pPr>
      <w:r>
        <w:rPr>
          <w:rFonts w:eastAsia="Segoe UI" w:cs="Segoe UI" w:ascii="Segoe UI" w:hAnsi="Segoe UI"/>
          <w:color w:val="101820"/>
          <w:sz w:val="21"/>
        </w:rPr>
        <w:t xml:space="preserve">Check the details and select </w:t>
      </w:r>
      <w:r>
        <w:rPr>
          <w:rFonts w:eastAsia="Segoe UI" w:cs="Segoe UI" w:ascii="Segoe UI" w:hAnsi="Segoe UI"/>
          <w:b/>
          <w:color w:val="101820"/>
          <w:sz w:val="21"/>
        </w:rPr>
        <w:t>Send for Customer Approval</w:t>
      </w:r>
      <w:r>
        <w:rPr>
          <w:rFonts w:eastAsia="Segoe UI" w:cs="Segoe UI" w:ascii="Segoe UI" w:hAnsi="Segoe UI"/>
          <w:color w:val="101820"/>
          <w:sz w:val="21"/>
        </w:rPr>
        <w:t>. The client must have an e-mail address. The system e-mails a signed approval link valid for 7 days (</w:t>
      </w:r>
      <w:r>
        <w:rPr>
          <w:rFonts w:eastAsia="Consolas" w:cs="Consolas" w:ascii="Consolas" w:hAnsi="Consolas"/>
          <w:color w:val="101820"/>
          <w:sz w:val="19"/>
        </w:rPr>
        <w:t>quotations.approval_link_ttl_hours</w:t>
      </w:r>
      <w:r>
        <w:rPr>
          <w:rFonts w:eastAsia="Segoe UI" w:cs="Segoe UI" w:ascii="Segoe UI" w:hAnsi="Segoe UI"/>
          <w:color w:val="101820"/>
          <w:sz w:val="21"/>
        </w:rPr>
        <w:t xml:space="preserve">), sets the status to </w:t>
      </w:r>
      <w:r>
        <w:rPr>
          <w:rFonts w:eastAsia="Segoe UI" w:cs="Segoe UI" w:ascii="Segoe UI" w:hAnsi="Segoe UI"/>
          <w:b/>
          <w:color w:val="101820"/>
          <w:sz w:val="21"/>
        </w:rPr>
        <w:t>Pending Customer</w:t>
      </w:r>
      <w:r>
        <w:rPr>
          <w:rFonts w:eastAsia="Segoe UI" w:cs="Segoe UI" w:ascii="Segoe UI" w:hAnsi="Segoe UI"/>
          <w:color w:val="101820"/>
          <w:sz w:val="21"/>
        </w:rPr>
        <w:t xml:space="preserve"> and notifies the Processing Team.</w:t>
      </w:r>
    </w:p>
    <w:p>
      <w:pPr>
        <w:pStyle w:val="Normal"/>
        <w:numPr>
          <w:ilvl w:val="0"/>
          <w:numId w:val="132"/>
        </w:numPr>
        <w:spacing w:before="0" w:after="60"/>
        <w:rPr/>
      </w:pPr>
      <w:r>
        <w:rPr>
          <w:rFonts w:eastAsia="Segoe UI" w:cs="Segoe UI" w:ascii="Segoe UI" w:hAnsi="Segoe UI"/>
          <w:color w:val="101820"/>
          <w:sz w:val="21"/>
        </w:rPr>
        <w:t xml:space="preserve">The client opens the link, checks the quotation and approves it; no sign-in is needed. The status becomes </w:t>
      </w:r>
      <w:r>
        <w:rPr>
          <w:rFonts w:eastAsia="Segoe UI" w:cs="Segoe UI" w:ascii="Segoe UI" w:hAnsi="Segoe UI"/>
          <w:b/>
          <w:color w:val="101820"/>
          <w:sz w:val="21"/>
        </w:rPr>
        <w:t>Customer Accepted</w:t>
      </w:r>
      <w:r>
        <w:rPr>
          <w:rFonts w:eastAsia="Segoe UI" w:cs="Segoe UI" w:ascii="Segoe UI" w:hAnsi="Segoe UI"/>
          <w:color w:val="101820"/>
          <w:sz w:val="21"/>
        </w:rPr>
        <w:t xml:space="preserve"> and you are notified. </w:t>
      </w:r>
      <w:r>
        <w:rPr>
          <w:rFonts w:eastAsia="Segoe UI" w:cs="Segoe UI" w:ascii="Segoe UI" w:hAnsi="Segoe UI"/>
          <w:b/>
          <w:color w:val="101820"/>
          <w:sz w:val="21"/>
        </w:rPr>
        <w:t>Copy approval link</w:t>
      </w:r>
      <w:r>
        <w:rPr>
          <w:rFonts w:eastAsia="Segoe UI" w:cs="Segoe UI" w:ascii="Segoe UI" w:hAnsi="Segoe UI"/>
          <w:color w:val="101820"/>
          <w:sz w:val="21"/>
        </w:rPr>
        <w:t xml:space="preserve"> copies the link so you can send it by another channel.</w:t>
      </w:r>
    </w:p>
    <w:p>
      <w:pPr>
        <w:pStyle w:val="Normal"/>
        <w:numPr>
          <w:ilvl w:val="0"/>
          <w:numId w:val="133"/>
        </w:numPr>
        <w:spacing w:before="0" w:after="60"/>
        <w:rPr/>
      </w:pPr>
      <w:r>
        <w:rPr>
          <w:rFonts w:eastAsia="Segoe UI" w:cs="Segoe UI" w:ascii="Segoe UI" w:hAnsi="Segoe UI"/>
          <w:color w:val="101820"/>
          <w:sz w:val="21"/>
        </w:rPr>
        <w:t xml:space="preserve">When the client answers in another way, select </w:t>
      </w:r>
      <w:r>
        <w:rPr>
          <w:rFonts w:eastAsia="Segoe UI" w:cs="Segoe UI" w:ascii="Segoe UI" w:hAnsi="Segoe UI"/>
          <w:b/>
          <w:color w:val="101820"/>
          <w:sz w:val="21"/>
        </w:rPr>
        <w:t>Record customer response</w:t>
      </w:r>
      <w:r>
        <w:rPr>
          <w:rFonts w:eastAsia="Segoe UI" w:cs="Segoe UI" w:ascii="Segoe UI" w:hAnsi="Segoe UI"/>
          <w:color w:val="101820"/>
          <w:sz w:val="21"/>
        </w:rPr>
        <w:t xml:space="preserve">. Choose the </w:t>
      </w:r>
      <w:r>
        <w:rPr>
          <w:rFonts w:eastAsia="Segoe UI" w:cs="Segoe UI" w:ascii="Segoe UI" w:hAnsi="Segoe UI"/>
          <w:b/>
          <w:color w:val="101820"/>
          <w:sz w:val="21"/>
        </w:rPr>
        <w:t>Customer's answer</w:t>
      </w:r>
      <w:r>
        <w:rPr>
          <w:rFonts w:eastAsia="Segoe UI" w:cs="Segoe UI" w:ascii="Segoe UI" w:hAnsi="Segoe UI"/>
          <w:color w:val="101820"/>
          <w:sz w:val="21"/>
        </w:rPr>
        <w:t xml:space="preserve"> (</w:t>
      </w:r>
      <w:r>
        <w:rPr>
          <w:rFonts w:eastAsia="Segoe UI" w:cs="Segoe UI" w:ascii="Segoe UI" w:hAnsi="Segoe UI"/>
          <w:b/>
          <w:color w:val="101820"/>
          <w:sz w:val="21"/>
        </w:rPr>
        <w:t>Accepted</w:t>
      </w:r>
      <w:r>
        <w:rPr>
          <w:rFonts w:eastAsia="Segoe UI" w:cs="Segoe UI" w:ascii="Segoe UI" w:hAnsi="Segoe UI"/>
          <w:color w:val="101820"/>
          <w:sz w:val="21"/>
        </w:rPr>
        <w:t xml:space="preserve">, </w:t>
      </w:r>
      <w:r>
        <w:rPr>
          <w:rFonts w:eastAsia="Segoe UI" w:cs="Segoe UI" w:ascii="Segoe UI" w:hAnsi="Segoe UI"/>
          <w:b/>
          <w:color w:val="101820"/>
          <w:sz w:val="21"/>
        </w:rPr>
        <w:t>Declined</w:t>
      </w:r>
      <w:r>
        <w:rPr>
          <w:rFonts w:eastAsia="Segoe UI" w:cs="Segoe UI" w:ascii="Segoe UI" w:hAnsi="Segoe UI"/>
          <w:color w:val="101820"/>
          <w:sz w:val="21"/>
        </w:rPr>
        <w:t xml:space="preserve"> or </w:t>
      </w:r>
      <w:r>
        <w:rPr>
          <w:rFonts w:eastAsia="Segoe UI" w:cs="Segoe UI" w:ascii="Segoe UI" w:hAnsi="Segoe UI"/>
          <w:b/>
          <w:color w:val="101820"/>
          <w:sz w:val="21"/>
        </w:rPr>
        <w:t>Revise</w:t>
      </w:r>
      <w:r>
        <w:rPr>
          <w:rFonts w:eastAsia="Segoe UI" w:cs="Segoe UI" w:ascii="Segoe UI" w:hAnsi="Segoe UI"/>
          <w:color w:val="101820"/>
          <w:sz w:val="21"/>
        </w:rPr>
        <w:t xml:space="preserve">), </w:t>
      </w:r>
      <w:r>
        <w:rPr>
          <w:rFonts w:eastAsia="Segoe UI" w:cs="Segoe UI" w:ascii="Segoe UI" w:hAnsi="Segoe UI"/>
          <w:b/>
          <w:color w:val="101820"/>
          <w:sz w:val="21"/>
        </w:rPr>
        <w:t>Received by</w:t>
      </w:r>
      <w:r>
        <w:rPr>
          <w:rFonts w:eastAsia="Segoe UI" w:cs="Segoe UI" w:ascii="Segoe UI" w:hAnsi="Segoe UI"/>
          <w:color w:val="101820"/>
          <w:sz w:val="21"/>
        </w:rPr>
        <w:t xml:space="preserve"> (E-mail, Phone, Viber/WhatsApp, Meeting or Signed form), the </w:t>
      </w:r>
      <w:r>
        <w:rPr>
          <w:rFonts w:eastAsia="Segoe UI" w:cs="Segoe UI" w:ascii="Segoe UI" w:hAnsi="Segoe UI"/>
          <w:b/>
          <w:color w:val="101820"/>
          <w:sz w:val="21"/>
        </w:rPr>
        <w:t>Response date</w:t>
      </w:r>
      <w:r>
        <w:rPr>
          <w:rFonts w:eastAsia="Segoe UI" w:cs="Segoe UI" w:ascii="Segoe UI" w:hAnsi="Segoe UI"/>
          <w:color w:val="101820"/>
          <w:sz w:val="21"/>
        </w:rPr>
        <w:t xml:space="preserve">, a </w:t>
      </w:r>
      <w:r>
        <w:rPr>
          <w:rFonts w:eastAsia="Segoe UI" w:cs="Segoe UI" w:ascii="Segoe UI" w:hAnsi="Segoe UI"/>
          <w:b/>
          <w:color w:val="101820"/>
          <w:sz w:val="21"/>
        </w:rPr>
        <w:t>Reference</w:t>
      </w:r>
      <w:r>
        <w:rPr>
          <w:rFonts w:eastAsia="Segoe UI" w:cs="Segoe UI" w:ascii="Segoe UI" w:hAnsi="Segoe UI"/>
          <w:color w:val="101820"/>
          <w:sz w:val="21"/>
        </w:rPr>
        <w:t xml:space="preserve"> (for example the Viber message time or the signed form number), </w:t>
      </w:r>
      <w:r>
        <w:rPr>
          <w:rFonts w:eastAsia="Segoe UI" w:cs="Segoe UI" w:ascii="Segoe UI" w:hAnsi="Segoe UI"/>
          <w:b/>
          <w:color w:val="101820"/>
          <w:sz w:val="21"/>
        </w:rPr>
        <w:t>Remarks</w:t>
      </w:r>
      <w:r>
        <w:rPr>
          <w:rFonts w:eastAsia="Segoe UI" w:cs="Segoe UI" w:ascii="Segoe UI" w:hAnsi="Segoe UI"/>
          <w:color w:val="101820"/>
          <w:sz w:val="21"/>
        </w:rPr>
        <w:t xml:space="preserve"> and, if you have it, an attachment (screenshot, signed form or e-mail). Select </w:t>
      </w:r>
      <w:r>
        <w:rPr>
          <w:rFonts w:eastAsia="Segoe UI" w:cs="Segoe UI" w:ascii="Segoe UI" w:hAnsi="Segoe UI"/>
          <w:b/>
          <w:color w:val="101820"/>
          <w:sz w:val="21"/>
        </w:rPr>
        <w:t>Record response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52" name="Picture 21212882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121288232" descr=""/>
                    <pic:cNvPicPr>
                      <a:picLocks noChangeAspect="1" noChangeArrowheads="1"/>
                    </pic:cNvPicPr>
                  </pic:nvPicPr>
                  <pic:blipFill>
                    <a:blip r:embed="rId4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customer response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Resulting status (</w:t>
            </w:r>
            <w:r>
              <w:rPr>
                <w:rFonts w:eastAsia="Consolas" w:cs="Consolas" w:ascii="Consolas" w:hAnsi="Consolas"/>
                <w:color w:val="0F4761"/>
                <w:kern w:val="0"/>
                <w:sz w:val="16"/>
                <w:szCs w:val="24"/>
                <w:lang w:val="en-US" w:eastAsia="ja-JP" w:bidi="ar-SA"/>
              </w:rPr>
              <w:t>quotations.customer_response_status</w:t>
            </w:r>
            <w:r>
              <w:rPr>
                <w:rFonts w:eastAsia="Segoe UI" w:cs="Segoe UI" w:ascii="Segoe UI" w:hAnsi="Segoe UI"/>
                <w:b/>
                <w:color w:val="0F4761"/>
                <w:kern w:val="0"/>
                <w:sz w:val="18"/>
                <w:szCs w:val="24"/>
                <w:lang w:val="en-US" w:eastAsia="ja-JP" w:bidi="ar-SA"/>
              </w:rPr>
              <w: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 the quotation can go on to placement or policy.</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Revise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change the quotation and send it again.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Share</w:t>
      </w:r>
      <w:r>
        <w:rPr>
          <w:rFonts w:eastAsia="Segoe UI" w:cs="Segoe UI" w:ascii="Segoe UI" w:hAnsi="Segoe UI"/>
          <w:color w:val="101820"/>
          <w:sz w:val="21"/>
        </w:rPr>
        <w:t xml:space="preserve"> offers </w:t>
      </w:r>
      <w:r>
        <w:rPr>
          <w:rFonts w:eastAsia="Segoe UI" w:cs="Segoe UI" w:ascii="Segoe UI" w:hAnsi="Segoe UI"/>
          <w:b/>
          <w:color w:val="101820"/>
          <w:sz w:val="21"/>
        </w:rPr>
        <w:t>Download</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WhatsApp</w:t>
      </w:r>
      <w:r>
        <w:rPr>
          <w:rFonts w:eastAsia="Segoe UI" w:cs="Segoe UI" w:ascii="Segoe UI" w:hAnsi="Segoe UI"/>
          <w:color w:val="101820"/>
          <w:sz w:val="21"/>
        </w:rPr>
        <w:t xml:space="preserve">, </w:t>
      </w:r>
      <w:r>
        <w:rPr>
          <w:rFonts w:eastAsia="Segoe UI" w:cs="Segoe UI" w:ascii="Segoe UI" w:hAnsi="Segoe UI"/>
          <w:b/>
          <w:color w:val="101820"/>
          <w:sz w:val="21"/>
        </w:rPr>
        <w:t>Send to Insurer</w:t>
      </w:r>
      <w:r>
        <w:rPr>
          <w:rFonts w:eastAsia="Segoe UI" w:cs="Segoe UI" w:ascii="Segoe UI" w:hAnsi="Segoe UI"/>
          <w:color w:val="101820"/>
          <w:sz w:val="21"/>
        </w:rPr>
        <w:t xml:space="preserve"> and </w:t>
      </w:r>
      <w:r>
        <w:rPr>
          <w:rFonts w:eastAsia="Segoe UI" w:cs="Segoe UI" w:ascii="Segoe UI" w:hAnsi="Segoe UI"/>
          <w:b/>
          <w:color w:val="101820"/>
          <w:sz w:val="21"/>
        </w:rPr>
        <w:t>Copy link</w:t>
      </w:r>
      <w:r>
        <w:rPr>
          <w:rFonts w:eastAsia="Segoe UI" w:cs="Segoe UI" w:ascii="Segoe UI" w:hAnsi="Segoe UI"/>
          <w:color w:val="101820"/>
          <w:sz w:val="21"/>
        </w:rPr>
        <w:t>.</w:t>
      </w:r>
    </w:p>
    <w:p>
      <w:pPr>
        <w:pStyle w:val="Normal"/>
        <w:jc w:val="center"/>
        <w:rPr/>
      </w:pPr>
      <w:r>
        <w:rPr/>
        <w:drawing>
          <wp:inline distT="0" distB="0" distL="0" distR="0">
            <wp:extent cx="5760085" cy="1623060"/>
            <wp:effectExtent l="0" t="0" r="0" b="0"/>
            <wp:docPr id="53" name="Picture 21212882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121288233" descr=""/>
                    <pic:cNvPicPr>
                      <a:picLocks noChangeAspect="1" noChangeArrowheads="1"/>
                    </pic:cNvPicPr>
                  </pic:nvPicPr>
                  <pic:blipFill>
                    <a:blip r:embed="rId49"/>
                    <a:stretch>
                      <a:fillRect/>
                    </a:stretch>
                  </pic:blipFill>
                  <pic:spPr bwMode="auto">
                    <a:xfrm>
                      <a:off x="0" y="0"/>
                      <a:ext cx="5760085" cy="1623060"/>
                    </a:xfrm>
                    <a:prstGeom prst="rect">
                      <a:avLst/>
                    </a:prstGeom>
                  </pic:spPr>
                </pic:pic>
              </a:graphicData>
            </a:graphic>
          </wp:inline>
        </w:drawing>
      </w:r>
    </w:p>
    <w:p>
      <w:pPr>
        <w:pStyle w:val="Normal"/>
        <w:jc w:val="center"/>
        <w:rPr/>
      </w:pPr>
      <w:r>
        <w:rPr>
          <w:rFonts w:eastAsia="Segoe UI" w:cs="Segoe UI" w:ascii="Segoe UI" w:hAnsi="Segoe UI"/>
          <w:i/>
          <w:color w:val="555F6D"/>
          <w:sz w:val="18"/>
        </w:rPr>
        <w:t>Share Quote</w:t>
      </w:r>
    </w:p>
    <w:p>
      <w:pPr>
        <w:pStyle w:val="Heading3"/>
        <w:rPr/>
      </w:pPr>
      <w:r>
        <w:rPr>
          <w:rFonts w:eastAsia="Segoe UI" w:cs="Segoe UI"/>
          <w:b/>
          <w:color w:val="0F4761"/>
          <w:sz w:val="23"/>
        </w:rPr>
        <w:t>7.8.2  From the accepted quotation to the policy</w:t>
      </w:r>
    </w:p>
    <w:p>
      <w:pPr>
        <w:pStyle w:val="Normal"/>
        <w:spacing w:lineRule="auto" w:line="276" w:before="0" w:after="120"/>
        <w:rPr/>
      </w:pPr>
      <w:r>
        <w:rPr>
          <w:rFonts w:eastAsia="Segoe UI" w:cs="Segoe UI" w:ascii="Segoe UI" w:hAnsi="Segoe UI"/>
          <w:color w:val="101820"/>
          <w:sz w:val="21"/>
        </w:rPr>
        <w:t xml:space="preserve">For motor and package lines, select </w:t>
      </w:r>
      <w:r>
        <w:rPr>
          <w:rFonts w:eastAsia="Segoe UI" w:cs="Segoe UI" w:ascii="Segoe UI" w:hAnsi="Segoe UI"/>
          <w:b/>
          <w:color w:val="101820"/>
          <w:sz w:val="21"/>
        </w:rPr>
        <w:t>Proceed to Policy</w:t>
      </w:r>
      <w:r>
        <w:rPr>
          <w:rFonts w:eastAsia="Segoe UI" w:cs="Segoe UI" w:ascii="Segoe UI" w:hAnsi="Segoe UI"/>
          <w:color w:val="101820"/>
          <w:sz w:val="21"/>
        </w:rPr>
        <w:t xml:space="preserve"> on the accepted quotation:</w:t>
      </w:r>
    </w:p>
    <w:p>
      <w:pPr>
        <w:pStyle w:val="Normal"/>
        <w:numPr>
          <w:ilvl w:val="0"/>
          <w:numId w:val="134"/>
        </w:numPr>
        <w:spacing w:before="0" w:after="60"/>
        <w:rPr/>
      </w:pPr>
      <w:r>
        <w:rPr>
          <w:rFonts w:eastAsia="Segoe UI" w:cs="Segoe UI" w:ascii="Segoe UI" w:hAnsi="Segoe UI"/>
          <w:b/>
          <w:color w:val="101820"/>
          <w:sz w:val="21"/>
        </w:rPr>
        <w:t>Customer information</w:t>
      </w:r>
      <w:r>
        <w:rPr>
          <w:rFonts w:eastAsia="Segoe UI" w:cs="Segoe UI" w:ascii="Segoe UI" w:hAnsi="Segoe UI"/>
          <w:color w:val="101820"/>
          <w:sz w:val="21"/>
        </w:rPr>
        <w:t>: the government ID (</w:t>
      </w:r>
      <w:r>
        <w:rPr>
          <w:rFonts w:eastAsia="Segoe UI" w:cs="Segoe UI" w:ascii="Segoe UI" w:hAnsi="Segoe UI"/>
          <w:b/>
          <w:color w:val="101820"/>
          <w:sz w:val="21"/>
        </w:rPr>
        <w:t>ID Type</w:t>
      </w:r>
      <w:r>
        <w:rPr>
          <w:rFonts w:eastAsia="Segoe UI" w:cs="Segoe UI" w:ascii="Segoe UI" w:hAnsi="Segoe UI"/>
          <w:color w:val="101820"/>
          <w:sz w:val="21"/>
        </w:rPr>
        <w:t xml:space="preserve">, ID card number and a scan of the ID card), </w:t>
      </w:r>
      <w:r>
        <w:rPr>
          <w:rFonts w:eastAsia="Segoe UI" w:cs="Segoe UI" w:ascii="Segoe UI" w:hAnsi="Segoe UI"/>
          <w:b/>
          <w:color w:val="101820"/>
          <w:sz w:val="21"/>
        </w:rPr>
        <w:t>Motor Number</w:t>
      </w:r>
      <w:r>
        <w:rPr>
          <w:rFonts w:eastAsia="Segoe UI" w:cs="Segoe UI" w:ascii="Segoe UI" w:hAnsi="Segoe UI"/>
          <w:color w:val="101820"/>
          <w:sz w:val="21"/>
        </w:rPr>
        <w:t xml:space="preserve">, </w:t>
      </w:r>
      <w:r>
        <w:rPr>
          <w:rFonts w:eastAsia="Segoe UI" w:cs="Segoe UI" w:ascii="Segoe UI" w:hAnsi="Segoe UI"/>
          <w:b/>
          <w:color w:val="101820"/>
          <w:sz w:val="21"/>
        </w:rPr>
        <w:t>Chassis Number</w:t>
      </w:r>
      <w:r>
        <w:rPr>
          <w:rFonts w:eastAsia="Segoe UI" w:cs="Segoe UI" w:ascii="Segoe UI" w:hAnsi="Segoe UI"/>
          <w:color w:val="101820"/>
          <w:sz w:val="21"/>
        </w:rPr>
        <w:t xml:space="preserve"> and </w:t>
      </w:r>
      <w:r>
        <w:rPr>
          <w:rFonts w:eastAsia="Segoe UI" w:cs="Segoe UI" w:ascii="Segoe UI" w:hAnsi="Segoe UI"/>
          <w:b/>
          <w:color w:val="101820"/>
          <w:sz w:val="21"/>
        </w:rPr>
        <w:t>Plate Number</w:t>
      </w:r>
      <w:r>
        <w:rPr>
          <w:rFonts w:eastAsia="Segoe UI" w:cs="Segoe UI" w:ascii="Segoe UI" w:hAnsi="Segoe UI"/>
          <w:color w:val="101820"/>
          <w:sz w:val="21"/>
        </w:rPr>
        <w:t xml:space="preserve"> or </w:t>
      </w:r>
      <w:r>
        <w:rPr>
          <w:rFonts w:eastAsia="Segoe UI" w:cs="Segoe UI" w:ascii="Segoe UI" w:hAnsi="Segoe UI"/>
          <w:b/>
          <w:color w:val="101820"/>
          <w:sz w:val="21"/>
        </w:rPr>
        <w:t>MV File Number</w:t>
      </w:r>
      <w:r>
        <w:rPr>
          <w:rFonts w:eastAsia="Segoe UI" w:cs="Segoe UI" w:ascii="Segoe UI" w:hAnsi="Segoe UI"/>
          <w:color w:val="101820"/>
          <w:sz w:val="21"/>
        </w:rPr>
        <w:t xml:space="preserve">, and the optional mortgagee, CTPL certificate number and authentication code. The server refuses to issue a motor policy without the fields in </w:t>
      </w:r>
      <w:r>
        <w:rPr>
          <w:rFonts w:eastAsia="Consolas" w:cs="Consolas" w:ascii="Consolas" w:hAnsi="Consolas"/>
          <w:color w:val="101820"/>
          <w:sz w:val="19"/>
        </w:rPr>
        <w:t>policy.kyc_required_fields</w:t>
      </w:r>
      <w:r>
        <w:rPr>
          <w:rFonts w:eastAsia="Segoe UI" w:cs="Segoe UI" w:ascii="Segoe UI" w:hAnsi="Segoe UI"/>
          <w:color w:val="101820"/>
          <w:sz w:val="21"/>
        </w:rPr>
        <w:t>. The accepted ID types are PhilSys ID, UMID, Passport, Driver's License, PRC ID, SSS ID, GSIS ID, TIN ID, Postal ID, Voter's ID and Senior Citizen ID (</w:t>
      </w:r>
      <w:r>
        <w:rPr>
          <w:rFonts w:eastAsia="Consolas" w:cs="Consolas" w:ascii="Consolas" w:hAnsi="Consolas"/>
          <w:color w:val="101820"/>
          <w:sz w:val="19"/>
        </w:rPr>
        <w:t>policy.kyc_id_types</w:t>
      </w:r>
      <w:r>
        <w:rPr>
          <w:rFonts w:eastAsia="Segoe UI" w:cs="Segoe UI" w:ascii="Segoe UI" w:hAnsi="Segoe UI"/>
          <w:color w:val="101820"/>
          <w:sz w:val="21"/>
        </w:rPr>
        <w:t>).</w:t>
      </w:r>
    </w:p>
    <w:p>
      <w:pPr>
        <w:pStyle w:val="Normal"/>
        <w:numPr>
          <w:ilvl w:val="0"/>
          <w:numId w:val="135"/>
        </w:numPr>
        <w:spacing w:before="0" w:after="60"/>
        <w:rPr/>
      </w:pPr>
      <w:r>
        <w:rPr>
          <w:rFonts w:eastAsia="Segoe UI" w:cs="Segoe UI" w:ascii="Segoe UI" w:hAnsi="Segoe UI"/>
          <w:b/>
          <w:color w:val="101820"/>
          <w:sz w:val="21"/>
        </w:rPr>
        <w:t>Vehicle photos</w:t>
      </w:r>
      <w:r>
        <w:rPr>
          <w:rFonts w:eastAsia="Segoe UI" w:cs="Segoe UI" w:ascii="Segoe UI" w:hAnsi="Segoe UI"/>
          <w:color w:val="101820"/>
          <w:sz w:val="21"/>
        </w:rPr>
        <w:t>: left side, right side, front, rear and interior.</w:t>
      </w:r>
    </w:p>
    <w:p>
      <w:pPr>
        <w:pStyle w:val="Normal"/>
        <w:numPr>
          <w:ilvl w:val="0"/>
          <w:numId w:val="136"/>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policy, assured, vehicle, coverage, premium and the participating insurers with their shares. Choose the billing mode next to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broker billed (the client pays the broker) or direct bill (the client pays the insurer). The default is the insurer's default billing mode, else </w:t>
      </w:r>
      <w:r>
        <w:rPr>
          <w:rFonts w:eastAsia="Consolas" w:cs="Consolas" w:ascii="Consolas" w:hAnsi="Consolas"/>
          <w:color w:val="101820"/>
          <w:sz w:val="19"/>
        </w:rPr>
        <w:t>direct_bill.default_billing_mode</w:t>
      </w:r>
      <w:r>
        <w:rPr>
          <w:rFonts w:eastAsia="Segoe UI" w:cs="Segoe UI" w:ascii="Segoe UI" w:hAnsi="Segoe UI"/>
          <w:color w:val="101820"/>
          <w:sz w:val="21"/>
        </w:rPr>
        <w:t xml:space="preserve"> (broker). Select </w:t>
      </w:r>
      <w:r>
        <w:rPr>
          <w:rFonts w:eastAsia="Segoe UI" w:cs="Segoe UI" w:ascii="Segoe UI" w:hAnsi="Segoe UI"/>
          <w:b/>
          <w:color w:val="101820"/>
          <w:sz w:val="21"/>
        </w:rPr>
        <w:t>Send to Insurance Company</w:t>
      </w:r>
      <w:r>
        <w:rPr>
          <w:rFonts w:eastAsia="Segoe UI" w:cs="Segoe UI" w:ascii="Segoe UI" w:hAnsi="Segoe UI"/>
          <w:color w:val="101820"/>
          <w:sz w:val="21"/>
        </w:rPr>
        <w:t>: the policy is issued.</w:t>
      </w:r>
    </w:p>
    <w:p>
      <w:pPr>
        <w:pStyle w:val="Normal"/>
        <w:numPr>
          <w:ilvl w:val="0"/>
          <w:numId w:val="137"/>
        </w:numPr>
        <w:spacing w:before="0" w:after="60"/>
        <w:rPr/>
      </w:pPr>
      <w:r>
        <w:rPr>
          <w:rFonts w:eastAsia="Segoe UI" w:cs="Segoe UI" w:ascii="Segoe UI" w:hAnsi="Segoe UI"/>
          <w:b/>
          <w:color w:val="101820"/>
          <w:sz w:val="21"/>
        </w:rPr>
        <w:t>Upload policy</w:t>
      </w:r>
      <w:r>
        <w:rPr>
          <w:rFonts w:eastAsia="Segoe UI" w:cs="Segoe UI" w:ascii="Segoe UI" w:hAnsi="Segoe UI"/>
          <w:color w:val="101820"/>
          <w:sz w:val="21"/>
        </w:rPr>
        <w:t xml:space="preserve">: check the policy number, insurer and dates, upload the insurer's policy document (PDF, PNG, JPG or JPEG, at most 10 MB) and choose </w:t>
      </w:r>
      <w:r>
        <w:rPr>
          <w:rFonts w:eastAsia="Segoe UI" w:cs="Segoe UI" w:ascii="Segoe UI" w:hAnsi="Segoe UI"/>
          <w:b/>
          <w:color w:val="101820"/>
          <w:sz w:val="21"/>
        </w:rPr>
        <w:t>Pay Later</w:t>
      </w:r>
      <w:r>
        <w:rPr>
          <w:rFonts w:eastAsia="Segoe UI" w:cs="Segoe UI" w:ascii="Segoe UI" w:hAnsi="Segoe UI"/>
          <w:color w:val="101820"/>
          <w:sz w:val="21"/>
        </w:rPr>
        <w:t xml:space="preserve"> or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At issue the system gives the policy number, creates the client from the prospect (CL-YYYY-NNNNN), copies the participants, raises the premium bill (broker billed) or books the commission due from the insurer (direct bill), posts the journal and accrues the referrer's commission. The quotation becomes </w:t>
      </w:r>
      <w:r>
        <w:rPr>
          <w:rFonts w:eastAsia="Segoe UI" w:cs="Segoe UI" w:ascii="Segoe UI" w:hAnsi="Segoe UI"/>
          <w:b/>
          <w:color w:val="101820"/>
          <w:sz w:val="21"/>
        </w:rPr>
        <w:t>Converted to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For a line that needs a firm order,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instead; the Processing Team continues as described in its chapter. When the placement slip is optional,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asks which way to go: place with the insurer(s) through a placement slip, or </w:t>
      </w:r>
      <w:r>
        <w:rPr>
          <w:rFonts w:eastAsia="Segoe UI" w:cs="Segoe UI" w:ascii="Segoe UI" w:hAnsi="Segoe UI"/>
          <w:b/>
          <w:color w:val="101820"/>
          <w:sz w:val="21"/>
        </w:rPr>
        <w:t>Issue the policy directly</w:t>
      </w:r>
      <w:r>
        <w:rPr>
          <w:rFonts w:eastAsia="Segoe UI" w:cs="Segoe UI" w:ascii="Segoe UI" w:hAnsi="Segoe UI"/>
          <w:color w:val="101820"/>
          <w:sz w:val="21"/>
        </w:rPr>
        <w:t>.</w:t>
      </w:r>
    </w:p>
    <w:p>
      <w:pPr>
        <w:pStyle w:val="Heading2"/>
        <w:rPr/>
      </w:pPr>
      <w:bookmarkStart w:id="48" w:name="__RefHeading___Toc107351_4049217194"/>
      <w:bookmarkEnd w:id="48"/>
      <w:r>
        <w:rPr>
          <w:rFonts w:eastAsia="Segoe UI" w:cs="Segoe UI"/>
          <w:b/>
          <w:color w:val="0F4761"/>
          <w:sz w:val="26"/>
        </w:rPr>
        <w:t>7.9  Request a quotation from the market</w:t>
      </w:r>
    </w:p>
    <w:p>
      <w:pPr>
        <w:pStyle w:val="Normal"/>
        <w:spacing w:lineRule="auto" w:line="276" w:before="0" w:after="120"/>
        <w:rPr/>
      </w:pPr>
      <w:r>
        <w:rPr>
          <w:rFonts w:eastAsia="Segoe UI" w:cs="Segoe UI" w:ascii="Segoe UI" w:hAnsi="Segoe UI"/>
          <w:color w:val="101820"/>
          <w:sz w:val="21"/>
        </w:rPr>
        <w:t xml:space="preserve">For a non-package risk, select </w:t>
      </w:r>
      <w:r>
        <w:rPr>
          <w:rFonts w:eastAsia="Segoe UI" w:cs="Segoe UI" w:ascii="Segoe UI" w:hAnsi="Segoe UI"/>
          <w:b/>
          <w:color w:val="101820"/>
          <w:sz w:val="21"/>
        </w:rPr>
        <w:t>Request quotation</w:t>
      </w:r>
      <w:r>
        <w:rPr>
          <w:rFonts w:eastAsia="Segoe UI" w:cs="Segoe UI" w:ascii="Segoe UI" w:hAnsi="Segoe UI"/>
          <w:color w:val="101820"/>
          <w:sz w:val="21"/>
        </w:rPr>
        <w:t xml:space="preserve"> on Quick Quote, or </w:t>
      </w: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or </w:t>
      </w:r>
      <w:r>
        <w:rPr>
          <w:rFonts w:eastAsia="Segoe UI" w:cs="Segoe UI" w:ascii="Segoe UI" w:hAnsi="Segoe UI"/>
          <w:b/>
          <w:color w:val="101820"/>
          <w:sz w:val="21"/>
        </w:rPr>
        <w:t>New Request for Quotation</w:t>
      </w:r>
      <w:r>
        <w:rPr>
          <w:rFonts w:eastAsia="Segoe UI" w:cs="Segoe UI" w:ascii="Segoe UI" w:hAnsi="Segoe UI"/>
          <w:color w:val="101820"/>
          <w:sz w:val="21"/>
        </w:rPr>
        <w:t xml:space="preserve"> on Operations &gt; Sales &amp; Marketing &gt; Request for Quotation (Broker Slip). Describe the customer, the risk, the covers and the insurers to approach, as described in the Processing Team chapter, and agree with the Processing Team who sends it to the market. The Processing Team records the offers, compares them and prepares the Quotation Slip that you send to the client.</w:t>
      </w:r>
    </w:p>
    <w:p>
      <w:pPr>
        <w:pStyle w:val="Heading2"/>
        <w:rPr/>
      </w:pPr>
      <w:bookmarkStart w:id="49" w:name="__RefHeading___Toc107353_4049217194"/>
      <w:bookmarkEnd w:id="49"/>
      <w:r>
        <w:rPr>
          <w:rFonts w:eastAsia="Segoe UI" w:cs="Segoe UI"/>
          <w:b/>
          <w:color w:val="0F4761"/>
          <w:sz w:val="26"/>
        </w:rPr>
        <w:t>7.10  Record the client's payment</w:t>
      </w:r>
    </w:p>
    <w:p>
      <w:pPr>
        <w:pStyle w:val="Normal"/>
        <w:spacing w:lineRule="auto" w:line="276" w:before="0" w:after="120"/>
        <w:rPr/>
      </w:pPr>
      <w:r>
        <w:rPr>
          <w:rFonts w:eastAsia="Segoe UI" w:cs="Segoe UI" w:ascii="Segoe UI" w:hAnsi="Segoe UI"/>
          <w:color w:val="101820"/>
          <w:sz w:val="21"/>
        </w:rPr>
        <w:t>Only Accounting posts official receipts. The account executive records how the client paid; Accounting verifies the payment and posts the receipt.</w:t>
      </w:r>
    </w:p>
    <w:p>
      <w:pPr>
        <w:pStyle w:val="Normal"/>
        <w:jc w:val="center"/>
        <w:rPr/>
      </w:pPr>
      <w:r>
        <w:rPr/>
        <w:drawing>
          <wp:inline distT="0" distB="0" distL="0" distR="0">
            <wp:extent cx="5760085" cy="4826635"/>
            <wp:effectExtent l="0" t="0" r="0" b="0"/>
            <wp:docPr id="54" name="Picture 21212882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21288234" descr=""/>
                    <pic:cNvPicPr>
                      <a:picLocks noChangeAspect="1" noChangeArrowheads="1"/>
                    </pic:cNvPicPr>
                  </pic:nvPicPr>
                  <pic:blipFill>
                    <a:blip r:embed="rId50"/>
                    <a:stretch>
                      <a:fillRect/>
                    </a:stretch>
                  </pic:blipFill>
                  <pic:spPr bwMode="auto">
                    <a:xfrm>
                      <a:off x="0" y="0"/>
                      <a:ext cx="5760085" cy="4826635"/>
                    </a:xfrm>
                    <a:prstGeom prst="rect">
                      <a:avLst/>
                    </a:prstGeom>
                  </pic:spPr>
                </pic:pic>
              </a:graphicData>
            </a:graphic>
          </wp:inline>
        </w:drawing>
      </w:r>
    </w:p>
    <w:p>
      <w:pPr>
        <w:pStyle w:val="Normal"/>
        <w:jc w:val="center"/>
        <w:rPr/>
      </w:pPr>
      <w:r>
        <w:rPr>
          <w:rFonts w:eastAsia="Segoe UI" w:cs="Segoe UI" w:ascii="Segoe UI" w:hAnsi="Segoe UI"/>
          <w:i/>
          <w:color w:val="555F6D"/>
          <w:sz w:val="18"/>
        </w:rPr>
        <w:t>Payment Confirmation: How does the client pay?</w:t>
      </w:r>
    </w:p>
    <w:p>
      <w:pPr>
        <w:pStyle w:val="Normal"/>
        <w:numPr>
          <w:ilvl w:val="0"/>
          <w:numId w:val="138"/>
        </w:numPr>
        <w:spacing w:before="0" w:after="60"/>
        <w:rPr/>
      </w:pPr>
      <w:r>
        <w:rPr>
          <w:rFonts w:eastAsia="Segoe UI" w:cs="Segoe UI" w:ascii="Segoe UI" w:hAnsi="Segoe UI"/>
          <w:color w:val="101820"/>
          <w:sz w:val="21"/>
        </w:rPr>
        <w:t xml:space="preserve">Open the policy (Operations &gt; Policy, arrow on the row) and select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39"/>
        </w:numPr>
        <w:spacing w:before="0" w:after="60"/>
        <w:rPr/>
      </w:pPr>
      <w:r>
        <w:rPr>
          <w:rFonts w:eastAsia="Segoe UI" w:cs="Segoe UI" w:ascii="Segoe UI" w:hAnsi="Segoe UI"/>
          <w:color w:val="101820"/>
          <w:sz w:val="21"/>
        </w:rPr>
        <w:t xml:space="preserve">The page shows the </w:t>
      </w:r>
      <w:r>
        <w:rPr>
          <w:rFonts w:eastAsia="Segoe UI" w:cs="Segoe UI" w:ascii="Segoe UI" w:hAnsi="Segoe UI"/>
          <w:b/>
          <w:color w:val="101820"/>
          <w:sz w:val="21"/>
        </w:rPr>
        <w:t>Payment Details</w:t>
      </w:r>
      <w:r>
        <w:rPr>
          <w:rFonts w:eastAsia="Segoe UI" w:cs="Segoe UI" w:ascii="Segoe UI" w:hAnsi="Segoe UI"/>
          <w:color w:val="101820"/>
          <w:sz w:val="21"/>
        </w:rPr>
        <w:t xml:space="preserve"> of the policy and the </w:t>
      </w:r>
      <w:r>
        <w:rPr>
          <w:rFonts w:eastAsia="Segoe UI" w:cs="Segoe UI" w:ascii="Segoe UI" w:hAnsi="Segoe UI"/>
          <w:b/>
          <w:color w:val="101820"/>
          <w:sz w:val="21"/>
        </w:rPr>
        <w:t>Outstanding</w:t>
      </w:r>
      <w:r>
        <w:rPr>
          <w:rFonts w:eastAsia="Segoe UI" w:cs="Segoe UI" w:ascii="Segoe UI" w:hAnsi="Segoe UI"/>
          <w:color w:val="101820"/>
          <w:sz w:val="21"/>
        </w:rPr>
        <w:t xml:space="preserve"> amount.</w:t>
      </w:r>
    </w:p>
    <w:p>
      <w:pPr>
        <w:pStyle w:val="Normal"/>
        <w:numPr>
          <w:ilvl w:val="0"/>
          <w:numId w:val="14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choose </w:t>
      </w:r>
      <w:r>
        <w:rPr>
          <w:rFonts w:eastAsia="Segoe UI" w:cs="Segoe UI" w:ascii="Segoe UI" w:hAnsi="Segoe UI"/>
          <w:b/>
          <w:color w:val="101820"/>
          <w:sz w:val="21"/>
        </w:rPr>
        <w:t>Pay later</w:t>
      </w:r>
      <w:r>
        <w:rPr>
          <w:rFonts w:eastAsia="Segoe UI" w:cs="Segoe UI" w:ascii="Segoe UI" w:hAnsi="Segoe UI"/>
          <w:color w:val="101820"/>
          <w:sz w:val="21"/>
        </w:rPr>
        <w:t xml:space="preserve"> (the bill stays open; record the payment when the client pays), </w:t>
      </w:r>
      <w:r>
        <w:rPr>
          <w:rFonts w:eastAsia="Segoe UI" w:cs="Segoe UI" w:ascii="Segoe UI" w:hAnsi="Segoe UI"/>
          <w:b/>
          <w:color w:val="101820"/>
          <w:sz w:val="21"/>
        </w:rPr>
        <w:t>Bank transfer</w:t>
      </w:r>
      <w:r>
        <w:rPr>
          <w:rFonts w:eastAsia="Segoe UI" w:cs="Segoe UI" w:ascii="Segoe UI" w:hAnsi="Segoe UI"/>
          <w:color w:val="101820"/>
          <w:sz w:val="21"/>
        </w:rPr>
        <w:t xml:space="preserve">, </w:t>
      </w:r>
      <w:r>
        <w:rPr>
          <w:rFonts w:eastAsia="Segoe UI" w:cs="Segoe UI" w:ascii="Segoe UI" w:hAnsi="Segoe UI"/>
          <w:b/>
          <w:color w:val="101820"/>
          <w:sz w:val="21"/>
        </w:rPr>
        <w:t>Cheque</w:t>
      </w:r>
      <w:r>
        <w:rPr>
          <w:rFonts w:eastAsia="Segoe UI" w:cs="Segoe UI" w:ascii="Segoe UI" w:hAnsi="Segoe UI"/>
          <w:color w:val="101820"/>
          <w:sz w:val="21"/>
        </w:rPr>
        <w:t xml:space="preserve">, </w:t>
      </w:r>
      <w:r>
        <w:rPr>
          <w:rFonts w:eastAsia="Segoe UI" w:cs="Segoe UI" w:ascii="Segoe UI" w:hAnsi="Segoe UI"/>
          <w:b/>
          <w:color w:val="101820"/>
          <w:sz w:val="21"/>
        </w:rPr>
        <w:t>Online payment</w:t>
      </w:r>
      <w:r>
        <w:rPr>
          <w:rFonts w:eastAsia="Segoe UI" w:cs="Segoe UI" w:ascii="Segoe UI" w:hAnsi="Segoe UI"/>
          <w:color w:val="101820"/>
          <w:sz w:val="21"/>
        </w:rPr>
        <w:t xml:space="preserve"> (paid online by the client; enter the transaction reference) or </w:t>
      </w:r>
      <w:r>
        <w:rPr>
          <w:rFonts w:eastAsia="Segoe UI" w:cs="Segoe UI" w:ascii="Segoe UI" w:hAnsi="Segoe UI"/>
          <w:b/>
          <w:color w:val="101820"/>
          <w:sz w:val="21"/>
        </w:rPr>
        <w:t>Cash</w:t>
      </w:r>
      <w:r>
        <w:rPr>
          <w:rFonts w:eastAsia="Segoe UI" w:cs="Segoe UI" w:ascii="Segoe UI" w:hAnsi="Segoe UI"/>
          <w:color w:val="101820"/>
          <w:sz w:val="21"/>
        </w:rPr>
        <w:t>.</w:t>
      </w:r>
    </w:p>
    <w:p>
      <w:pPr>
        <w:pStyle w:val="Normal"/>
        <w:numPr>
          <w:ilvl w:val="0"/>
          <w:numId w:val="141"/>
        </w:numPr>
        <w:spacing w:before="0" w:after="60"/>
        <w:rPr/>
      </w:pPr>
      <w:r>
        <w:rPr>
          <w:rFonts w:eastAsia="Segoe UI" w:cs="Segoe UI" w:ascii="Segoe UI" w:hAnsi="Segoe UI"/>
          <w:color w:val="101820"/>
          <w:sz w:val="21"/>
        </w:rPr>
        <w:t>Fill in the reference, the amount paid, the payment date, remarks and, if you have it, the proof of payment.</w:t>
      </w:r>
    </w:p>
    <w:p>
      <w:pPr>
        <w:pStyle w:val="Normal"/>
        <w:numPr>
          <w:ilvl w:val="0"/>
          <w:numId w:val="14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payment waits for verification, the policy payment status becomes Reviewing and Accounting receives the notification to verify it. Accounting confirms it (the official receipt is posted) or rejects it with a reason.</w:t>
      </w:r>
    </w:p>
    <w:p>
      <w:pPr>
        <w:pStyle w:val="Heading2"/>
        <w:rPr/>
      </w:pPr>
      <w:bookmarkStart w:id="50" w:name="__RefHeading___Toc107355_4049217194"/>
      <w:bookmarkEnd w:id="50"/>
      <w:r>
        <w:rPr>
          <w:rFonts w:eastAsia="Segoe UI" w:cs="Segoe UI"/>
          <w:b/>
          <w:color w:val="0F4761"/>
          <w:sz w:val="26"/>
        </w:rPr>
        <w:t>7.11  Policies</w:t>
      </w:r>
    </w:p>
    <w:p>
      <w:pPr>
        <w:pStyle w:val="Normal"/>
        <w:jc w:val="center"/>
        <w:rPr/>
      </w:pPr>
      <w:r>
        <w:rPr/>
        <w:drawing>
          <wp:inline distT="0" distB="0" distL="0" distR="0">
            <wp:extent cx="5760085" cy="4469130"/>
            <wp:effectExtent l="0" t="0" r="0" b="0"/>
            <wp:docPr id="55" name="Picture 21212882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121288235" descr=""/>
                    <pic:cNvPicPr>
                      <a:picLocks noChangeAspect="1" noChangeArrowheads="1"/>
                    </pic:cNvPicPr>
                  </pic:nvPicPr>
                  <pic:blipFill>
                    <a:blip r:embed="rId5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w:t>
      </w:r>
    </w:p>
    <w:p>
      <w:pPr>
        <w:pStyle w:val="Normal"/>
        <w:spacing w:lineRule="auto" w:line="276" w:before="0" w:after="120"/>
        <w:rPr/>
      </w:pPr>
      <w:r>
        <w:rPr>
          <w:rFonts w:eastAsia="Segoe UI" w:cs="Segoe UI" w:ascii="Segoe UI" w:hAnsi="Segoe UI"/>
          <w:color w:val="101820"/>
          <w:sz w:val="21"/>
        </w:rPr>
        <w:t xml:space="preserve">Choose Operations &gt; Policy. The list shows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Policy Expiry</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Payment</w:t>
      </w:r>
      <w:r>
        <w:rPr>
          <w:rFonts w:eastAsia="Segoe UI" w:cs="Segoe UI" w:ascii="Segoe UI" w:hAnsi="Segoe UI"/>
          <w:color w:val="101820"/>
          <w:sz w:val="21"/>
        </w:rPr>
        <w:t xml:space="preserve"> status. The field selector next to the search box chooses what you search by. </w:t>
      </w:r>
      <w:r>
        <w:rPr>
          <w:rFonts w:eastAsia="Segoe UI" w:cs="Segoe UI" w:ascii="Segoe UI" w:hAnsi="Segoe UI"/>
          <w:b/>
          <w:color w:val="101820"/>
          <w:sz w:val="21"/>
        </w:rPr>
        <w:t>Show Filters</w:t>
      </w:r>
      <w:r>
        <w:rPr>
          <w:rFonts w:eastAsia="Segoe UI" w:cs="Segoe UI" w:ascii="Segoe UI" w:hAnsi="Segoe UI"/>
          <w:color w:val="101820"/>
          <w:sz w:val="21"/>
        </w:rPr>
        <w:t xml:space="preserve"> offers </w:t>
      </w:r>
      <w:r>
        <w:rPr>
          <w:rFonts w:eastAsia="Segoe UI" w:cs="Segoe UI" w:ascii="Segoe UI" w:hAnsi="Segoe UI"/>
          <w:b/>
          <w:color w:val="101820"/>
          <w:sz w:val="21"/>
        </w:rPr>
        <w:t>Payment Status</w:t>
      </w:r>
      <w:r>
        <w:rPr>
          <w:rFonts w:eastAsia="Segoe UI" w:cs="Segoe UI" w:ascii="Segoe UI" w:hAnsi="Segoe UI"/>
          <w:color w:val="101820"/>
          <w:sz w:val="21"/>
        </w:rPr>
        <w:t xml:space="preserve">, </w:t>
      </w:r>
      <w:r>
        <w:rPr>
          <w:rFonts w:eastAsia="Segoe UI" w:cs="Segoe UI" w:ascii="Segoe UI" w:hAnsi="Segoe UI"/>
          <w:b/>
          <w:color w:val="101820"/>
          <w:sz w:val="21"/>
        </w:rPr>
        <w:t>Product Type</w:t>
      </w:r>
      <w:r>
        <w:rPr>
          <w:rFonts w:eastAsia="Segoe UI" w:cs="Segoe UI" w:ascii="Segoe UI" w:hAnsi="Segoe UI"/>
          <w:color w:val="101820"/>
          <w:sz w:val="21"/>
        </w:rPr>
        <w:t xml:space="preserve">, </w:t>
      </w:r>
      <w:r>
        <w:rPr>
          <w:rFonts w:eastAsia="Segoe UI" w:cs="Segoe UI" w:ascii="Segoe UI" w:hAnsi="Segoe UI"/>
          <w:b/>
          <w:color w:val="101820"/>
          <w:sz w:val="21"/>
        </w:rPr>
        <w:t>Insurance Company</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issue and expiry date ranges and minimum and maximum premium.</w:t>
      </w:r>
    </w:p>
    <w:p>
      <w:pPr>
        <w:pStyle w:val="Normal"/>
        <w:spacing w:lineRule="auto" w:line="276" w:before="0" w:after="120"/>
        <w:rPr/>
      </w:pPr>
      <w:r>
        <w:rPr>
          <w:rFonts w:eastAsia="Segoe UI" w:cs="Segoe UI" w:ascii="Segoe UI" w:hAnsi="Segoe UI"/>
          <w:color w:val="101820"/>
          <w:sz w:val="21"/>
        </w:rPr>
        <w:t>The arrow on a row (</w:t>
      </w:r>
      <w:r>
        <w:rPr>
          <w:rFonts w:eastAsia="Segoe UI" w:cs="Segoe UI" w:ascii="Segoe UI" w:hAnsi="Segoe UI"/>
          <w:b/>
          <w:color w:val="101820"/>
          <w:sz w:val="21"/>
        </w:rPr>
        <w:t>View Policy</w:t>
      </w:r>
      <w:r>
        <w:rPr>
          <w:rFonts w:eastAsia="Segoe UI" w:cs="Segoe UI" w:ascii="Segoe UI" w:hAnsi="Segoe UI"/>
          <w:color w:val="101820"/>
          <w:sz w:val="21"/>
        </w:rPr>
        <w:t xml:space="preserve">) opens the policy; </w:t>
      </w:r>
      <w:r>
        <w:rPr>
          <w:rFonts w:eastAsia="Segoe UI" w:cs="Segoe UI" w:ascii="Segoe UI" w:hAnsi="Segoe UI"/>
          <w:b/>
          <w:color w:val="101820"/>
          <w:sz w:val="21"/>
        </w:rPr>
        <w:t>More Actions</w:t>
      </w:r>
      <w:r>
        <w:rPr>
          <w:rFonts w:eastAsia="Segoe UI" w:cs="Segoe UI" w:ascii="Segoe UI" w:hAnsi="Segoe UI"/>
          <w:color w:val="101820"/>
          <w:sz w:val="21"/>
        </w:rPr>
        <w:t xml:space="preserve"> opens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Endorsement</w:t>
      </w:r>
      <w:r>
        <w:rPr>
          <w:rFonts w:eastAsia="Segoe UI" w:cs="Segoe UI" w:ascii="Segoe UI" w:hAnsi="Segoe UI"/>
          <w:color w:val="101820"/>
          <w:sz w:val="21"/>
        </w:rPr>
        <w:t xml:space="preserve"> and </w:t>
      </w:r>
      <w:r>
        <w:rPr>
          <w:rFonts w:eastAsia="Segoe UI" w:cs="Segoe UI" w:ascii="Segoe UI" w:hAnsi="Segoe UI"/>
          <w:b/>
          <w:color w:val="101820"/>
          <w:sz w:val="21"/>
        </w:rPr>
        <w:t>Reminder</w:t>
      </w:r>
      <w:r>
        <w:rPr>
          <w:rFonts w:eastAsia="Segoe UI" w:cs="Segoe UI" w:ascii="Segoe UI" w:hAnsi="Segoe UI"/>
          <w:color w:val="101820"/>
          <w:sz w:val="21"/>
        </w:rPr>
        <w:t xml:space="preserve">. These are greyed out while the premium payment is Pending or Reviewing, and </w:t>
      </w:r>
      <w:r>
        <w:rPr>
          <w:rFonts w:eastAsia="Segoe UI" w:cs="Segoe UI" w:ascii="Segoe UI" w:hAnsi="Segoe UI"/>
          <w:b/>
          <w:color w:val="101820"/>
          <w:sz w:val="21"/>
        </w:rPr>
        <w:t>Endorsement</w:t>
      </w:r>
      <w:r>
        <w:rPr>
          <w:rFonts w:eastAsia="Segoe UI" w:cs="Segoe UI" w:ascii="Segoe UI" w:hAnsi="Segoe UI"/>
          <w:color w:val="101820"/>
          <w:sz w:val="21"/>
        </w:rPr>
        <w:t xml:space="preserve"> is not offered for expired, lapsed, cancelled or renewed policies.</w:t>
      </w:r>
    </w:p>
    <w:p>
      <w:pPr>
        <w:pStyle w:val="Normal"/>
        <w:jc w:val="center"/>
        <w:rPr/>
      </w:pPr>
      <w:r>
        <w:rPr/>
        <w:drawing>
          <wp:inline distT="0" distB="0" distL="0" distR="0">
            <wp:extent cx="5760085" cy="4250690"/>
            <wp:effectExtent l="0" t="0" r="0" b="0"/>
            <wp:docPr id="56" name="Picture 21212882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21288236" descr=""/>
                    <pic:cNvPicPr>
                      <a:picLocks noChangeAspect="1" noChangeArrowheads="1"/>
                    </pic:cNvPicPr>
                  </pic:nvPicPr>
                  <pic:blipFill>
                    <a:blip r:embed="rId52"/>
                    <a:stretch>
                      <a:fillRect/>
                    </a:stretch>
                  </pic:blipFill>
                  <pic:spPr bwMode="auto">
                    <a:xfrm>
                      <a:off x="0" y="0"/>
                      <a:ext cx="5760085" cy="4250690"/>
                    </a:xfrm>
                    <a:prstGeom prst="rect">
                      <a:avLst/>
                    </a:prstGeom>
                  </pic:spPr>
                </pic:pic>
              </a:graphicData>
            </a:graphic>
          </wp:inline>
        </w:drawing>
      </w:r>
    </w:p>
    <w:p>
      <w:pPr>
        <w:pStyle w:val="Normal"/>
        <w:jc w:val="center"/>
        <w:rPr/>
      </w:pPr>
      <w:r>
        <w:rPr>
          <w:rFonts w:eastAsia="Segoe UI" w:cs="Segoe UI" w:ascii="Segoe UI" w:hAnsi="Segoe UI"/>
          <w:i/>
          <w:color w:val="555F6D"/>
          <w:sz w:val="18"/>
        </w:rPr>
        <w:t>More Actions on a policy row</w:t>
      </w:r>
    </w:p>
    <w:p>
      <w:pPr>
        <w:pStyle w:val="Normal"/>
        <w:jc w:val="center"/>
        <w:rPr/>
      </w:pPr>
      <w:r>
        <w:rPr/>
        <w:drawing>
          <wp:inline distT="0" distB="0" distL="0" distR="0">
            <wp:extent cx="5760085" cy="6455410"/>
            <wp:effectExtent l="0" t="0" r="0" b="0"/>
            <wp:docPr id="57" name="Picture 21212882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121288237" descr=""/>
                    <pic:cNvPicPr>
                      <a:picLocks noChangeAspect="1" noChangeArrowheads="1"/>
                    </pic:cNvPicPr>
                  </pic:nvPicPr>
                  <pic:blipFill>
                    <a:blip r:embed="rId53"/>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shows the header (policy number, client, expiry, payment status) with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View Policy</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the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Expiry Date</w:t>
      </w:r>
      <w:r>
        <w:rPr>
          <w:rFonts w:eastAsia="Segoe UI" w:cs="Segoe UI" w:ascii="Segoe UI" w:hAnsi="Segoe UI"/>
          <w:color w:val="101820"/>
          <w:sz w:val="21"/>
        </w:rPr>
        <w:t xml:space="preserve"> and </w:t>
      </w:r>
      <w:r>
        <w:rPr>
          <w:rFonts w:eastAsia="Segoe UI" w:cs="Segoe UI" w:ascii="Segoe UI" w:hAnsi="Segoe UI"/>
          <w:b/>
          <w:color w:val="101820"/>
          <w:sz w:val="21"/>
        </w:rPr>
        <w:t>Client ID</w:t>
      </w:r>
      <w:r>
        <w:rPr>
          <w:rFonts w:eastAsia="Segoe UI" w:cs="Segoe UI" w:ascii="Segoe UI" w:hAnsi="Segoe UI"/>
          <w:color w:val="101820"/>
          <w:sz w:val="21"/>
        </w:rPr>
        <w:t xml:space="preserve"> cards;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Insured Details</w:t>
      </w:r>
      <w:r>
        <w:rPr>
          <w:rFonts w:eastAsia="Segoe UI" w:cs="Segoe UI" w:ascii="Segoe UI" w:hAnsi="Segoe UI"/>
          <w:color w:val="101820"/>
          <w:sz w:val="21"/>
        </w:rPr>
        <w:t xml:space="preserve">, vehicle details and photos for motor, coverage and premium; </w:t>
      </w:r>
      <w:r>
        <w:rPr>
          <w:rFonts w:eastAsia="Segoe UI" w:cs="Segoe UI" w:ascii="Segoe UI" w:hAnsi="Segoe UI"/>
          <w:b/>
          <w:color w:val="101820"/>
          <w:sz w:val="21"/>
        </w:rPr>
        <w:t>Documents &amp; Billing</w:t>
      </w:r>
      <w:r>
        <w:rPr>
          <w:rFonts w:eastAsia="Segoe UI" w:cs="Segoe UI" w:ascii="Segoe UI" w:hAnsi="Segoe UI"/>
          <w:color w:val="101820"/>
          <w:sz w:val="21"/>
        </w:rPr>
        <w:t xml:space="preserve"> (</w:t>
      </w:r>
      <w:r>
        <w:rPr>
          <w:rFonts w:eastAsia="Segoe UI" w:cs="Segoe UI" w:ascii="Segoe UI" w:hAnsi="Segoe UI"/>
          <w:b/>
          <w:color w:val="101820"/>
          <w:sz w:val="21"/>
        </w:rPr>
        <w:t>Generate Policy Invoice</w:t>
      </w:r>
      <w:r>
        <w:rPr>
          <w:rFonts w:eastAsia="Segoe UI" w:cs="Segoe UI" w:ascii="Segoe UI" w:hAnsi="Segoe UI"/>
          <w:color w:val="101820"/>
          <w:sz w:val="21"/>
        </w:rPr>
        <w:t xml:space="preserve">,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the policy document with </w:t>
      </w:r>
      <w:r>
        <w:rPr>
          <w:rFonts w:eastAsia="Segoe UI" w:cs="Segoe UI" w:ascii="Segoe UI" w:hAnsi="Segoe UI"/>
          <w:b/>
          <w:color w:val="101820"/>
          <w:sz w:val="21"/>
        </w:rPr>
        <w:t>Preview</w:t>
      </w:r>
      <w:r>
        <w:rPr>
          <w:rFonts w:eastAsia="Segoe UI" w:cs="Segoe UI" w:ascii="Segoe UI" w:hAnsi="Segoe UI"/>
          <w:color w:val="101820"/>
          <w:sz w:val="21"/>
        </w:rPr>
        <w:t xml:space="preserve"> and </w:t>
      </w:r>
      <w:r>
        <w:rPr>
          <w:rFonts w:eastAsia="Segoe UI" w:cs="Segoe UI" w:ascii="Segoe UI" w:hAnsi="Segoe UI"/>
          <w:b/>
          <w:color w:val="101820"/>
          <w:sz w:val="21"/>
        </w:rPr>
        <w:t>Open</w:t>
      </w:r>
      <w:r>
        <w:rPr>
          <w:rFonts w:eastAsia="Segoe UI" w:cs="Segoe UI" w:ascii="Segoe UI" w:hAnsi="Segoe UI"/>
          <w:color w:val="101820"/>
          <w:sz w:val="21"/>
        </w:rPr>
        <w:t xml:space="preserve">); and </w:t>
      </w:r>
      <w:r>
        <w:rPr>
          <w:rFonts w:eastAsia="Segoe UI" w:cs="Segoe UI" w:ascii="Segoe UI" w:hAnsi="Segoe UI"/>
          <w:b/>
          <w:color w:val="101820"/>
          <w:sz w:val="21"/>
        </w:rPr>
        <w:t>Related Records</w:t>
      </w:r>
      <w:r>
        <w:rPr>
          <w:rFonts w:eastAsia="Segoe UI" w:cs="Segoe UI" w:ascii="Segoe UI" w:hAnsi="Segoe UI"/>
          <w:color w:val="101820"/>
          <w:sz w:val="21"/>
        </w:rPr>
        <w:t xml:space="preserve"> (quotation reference, insurance company, account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Past its expiry date (Policy expiry job, daily 00:15).</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Replaced by a new term.</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renewed within the 30-day grace period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endorsement.</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status</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nothing received.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was recorded and waits for Accounting.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premium was receipted.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Fully paid.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returned to the client.</w:t>
            </w:r>
          </w:p>
        </w:tc>
      </w:tr>
    </w:tbl>
    <w:p>
      <w:pPr>
        <w:pStyle w:val="Normal"/>
        <w:spacing w:before="0" w:after="80"/>
        <w:rPr/>
      </w:pPr>
      <w:r>
        <w:rPr/>
      </w:r>
    </w:p>
    <w:p>
      <w:pPr>
        <w:pStyle w:val="Heading2"/>
        <w:rPr/>
      </w:pPr>
      <w:bookmarkStart w:id="51" w:name="__RefHeading___Toc107357_4049217194"/>
      <w:bookmarkEnd w:id="51"/>
      <w:r>
        <w:rPr>
          <w:rFonts w:eastAsia="Segoe UI" w:cs="Segoe UI"/>
          <w:b/>
          <w:color w:val="0F4761"/>
          <w:sz w:val="26"/>
        </w:rPr>
        <w:t>7.12  Renewals, open items, payments and clients</w:t>
      </w:r>
    </w:p>
    <w:p>
      <w:pPr>
        <w:pStyle w:val="Normal"/>
        <w:spacing w:lineRule="auto" w:line="276" w:before="0" w:after="120"/>
        <w:rPr/>
      </w:pPr>
      <w:r>
        <w:rPr>
          <w:rFonts w:eastAsia="Segoe UI" w:cs="Segoe UI" w:ascii="Segoe UI" w:hAnsi="Segoe UI"/>
          <w:color w:val="101820"/>
          <w:sz w:val="21"/>
        </w:rPr>
        <w:t xml:space="preserve">The account executive uses the same renewal screens as Operations (Operations chapter) for his or her own clients: the </w:t>
      </w:r>
      <w:r>
        <w:rPr>
          <w:rFonts w:eastAsia="Segoe UI" w:cs="Segoe UI" w:ascii="Segoe UI" w:hAnsi="Segoe UI"/>
          <w:b/>
          <w:color w:val="101820"/>
          <w:sz w:val="21"/>
        </w:rPr>
        <w:t>Renewal Queue</w:t>
      </w:r>
      <w:r>
        <w:rPr>
          <w:rFonts w:eastAsia="Segoe UI" w:cs="Segoe UI" w:ascii="Segoe UI" w:hAnsi="Segoe UI"/>
          <w:color w:val="101820"/>
          <w:sz w:val="21"/>
        </w:rPr>
        <w:t xml:space="preserve"> filtered by </w:t>
      </w:r>
      <w:r>
        <w:rPr>
          <w:rFonts w:eastAsia="Segoe UI" w:cs="Segoe UI" w:ascii="Segoe UI" w:hAnsi="Segoe UI"/>
          <w:b/>
          <w:color w:val="101820"/>
          <w:sz w:val="21"/>
        </w:rPr>
        <w:t>Sales person</w:t>
      </w:r>
      <w:r>
        <w:rPr>
          <w:rFonts w:eastAsia="Segoe UI" w:cs="Segoe UI" w:ascii="Segoe UI" w:hAnsi="Segoe UI"/>
          <w:color w:val="101820"/>
          <w:sz w:val="21"/>
        </w:rPr>
        <w:t xml:space="preserve">, </w:t>
      </w:r>
      <w:r>
        <w:rPr>
          <w:rFonts w:eastAsia="Segoe UI" w:cs="Segoe UI" w:ascii="Segoe UI" w:hAnsi="Segoe UI"/>
          <w:b/>
          <w:color w:val="101820"/>
          <w:sz w:val="21"/>
        </w:rPr>
        <w:t>At-Risk Policies</w:t>
      </w:r>
      <w:r>
        <w:rPr>
          <w:rFonts w:eastAsia="Segoe UI" w:cs="Segoe UI" w:ascii="Segoe UI" w:hAnsi="Segoe UI"/>
          <w:color w:val="101820"/>
          <w:sz w:val="21"/>
        </w:rPr>
        <w:t xml:space="preserve">, and </w:t>
      </w:r>
      <w:r>
        <w:rPr>
          <w:rFonts w:eastAsia="Segoe UI" w:cs="Segoe UI" w:ascii="Segoe UI" w:hAnsi="Segoe UI"/>
          <w:b/>
          <w:color w:val="101820"/>
          <w:sz w:val="21"/>
        </w:rPr>
        <w:t>Negotiations</w:t>
      </w:r>
      <w:r>
        <w:rPr>
          <w:rFonts w:eastAsia="Segoe UI" w:cs="Segoe UI" w:ascii="Segoe UI" w:hAnsi="Segoe UI"/>
          <w:color w:val="101820"/>
          <w:sz w:val="21"/>
        </w:rPr>
        <w:t xml:space="preserve"> to record contacts and request approval of renewal terms. </w:t>
      </w:r>
      <w:r>
        <w:rPr>
          <w:rFonts w:eastAsia="Segoe UI" w:cs="Segoe UI" w:ascii="Segoe UI" w:hAnsi="Segoe UI"/>
          <w:b/>
          <w:color w:val="101820"/>
          <w:sz w:val="21"/>
        </w:rPr>
        <w:t>Open Items</w:t>
      </w:r>
      <w:r>
        <w:rPr>
          <w:rFonts w:eastAsia="Segoe UI" w:cs="Segoe UI" w:ascii="Segoe UI" w:hAnsi="Segoe UI"/>
          <w:color w:val="101820"/>
          <w:sz w:val="21"/>
        </w:rPr>
        <w:t xml:space="preserve"> shows the daily worklist (expiring policies, pending payments, quotations pending, renewal requests); </w:t>
      </w:r>
      <w:r>
        <w:rPr>
          <w:rFonts w:eastAsia="Segoe UI" w:cs="Segoe UI" w:ascii="Segoe UI" w:hAnsi="Segoe UI"/>
          <w:b/>
          <w:color w:val="101820"/>
          <w:sz w:val="21"/>
        </w:rPr>
        <w:t>Payments</w:t>
      </w:r>
      <w:r>
        <w:rPr>
          <w:rFonts w:eastAsia="Segoe UI" w:cs="Segoe UI" w:ascii="Segoe UI" w:hAnsi="Segoe UI"/>
          <w:color w:val="101820"/>
          <w:sz w:val="21"/>
        </w:rPr>
        <w:t xml:space="preserve"> shows the premium of your policies by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w:t>
      </w:r>
      <w:r>
        <w:rPr>
          <w:rFonts w:eastAsia="Segoe UI" w:cs="Segoe UI" w:ascii="Segoe UI" w:hAnsi="Segoe UI"/>
          <w:b/>
          <w:color w:val="101820"/>
          <w:sz w:val="21"/>
        </w:rPr>
        <w:t>Clients</w:t>
      </w:r>
      <w:r>
        <w:rPr>
          <w:rFonts w:eastAsia="Segoe UI" w:cs="Segoe UI" w:ascii="Segoe UI" w:hAnsi="Segoe UI"/>
          <w:color w:val="101820"/>
          <w:sz w:val="21"/>
        </w:rPr>
        <w:t xml:space="preserve"> opens the client record with its policies, claims, renewals and endorsements.</w:t>
      </w:r>
    </w:p>
    <w:p>
      <w:pPr>
        <w:pStyle w:val="Heading2"/>
        <w:rPr/>
      </w:pPr>
      <w:bookmarkStart w:id="52" w:name="__RefHeading___Toc107359_4049217194"/>
      <w:bookmarkEnd w:id="52"/>
      <w:r>
        <w:rPr>
          <w:rFonts w:eastAsia="Segoe UI" w:cs="Segoe UI"/>
          <w:b/>
          <w:color w:val="0F4761"/>
          <w:sz w:val="26"/>
        </w:rPr>
        <w:t>7.13  Commission and reports</w:t>
      </w:r>
    </w:p>
    <w:p>
      <w:pPr>
        <w:pStyle w:val="Normal"/>
        <w:jc w:val="center"/>
        <w:rPr/>
      </w:pPr>
      <w:r>
        <w:rPr/>
        <w:drawing>
          <wp:inline distT="0" distB="0" distL="0" distR="0">
            <wp:extent cx="5760085" cy="4469130"/>
            <wp:effectExtent l="0" t="0" r="0" b="0"/>
            <wp:docPr id="58" name="Picture 21212882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121288238" descr=""/>
                    <pic:cNvPicPr>
                      <a:picLocks noChangeAspect="1" noChangeArrowheads="1"/>
                    </pic:cNvPicPr>
                  </pic:nvPicPr>
                  <pic:blipFill>
                    <a:blip r:embed="rId5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Commission Dashboard</w:t>
      </w:r>
    </w:p>
    <w:p>
      <w:pPr>
        <w:pStyle w:val="Normal"/>
        <w:spacing w:lineRule="auto" w:line="276" w:before="0" w:after="120"/>
        <w:rPr/>
      </w:pPr>
      <w:r>
        <w:rPr>
          <w:rFonts w:eastAsia="Segoe UI" w:cs="Segoe UI" w:ascii="Segoe UI" w:hAnsi="Segoe UI"/>
          <w:color w:val="101820"/>
          <w:sz w:val="21"/>
        </w:rPr>
        <w:t xml:space="preserve">Commission &gt; Commission Dashboard shows live figures from the commission ledger: brokerage income, comsub (gross), net margin and margin %, outstanding payable and the withholding tax withheld, with comsub by referrer, lines by status (Accrued, Eligible, Approved, Paid) and the monthly trend. </w:t>
      </w:r>
      <w:r>
        <w:rPr>
          <w:rFonts w:eastAsia="Segoe UI" w:cs="Segoe UI" w:ascii="Segoe UI" w:hAnsi="Segoe UI"/>
          <w:b/>
          <w:color w:val="101820"/>
          <w:sz w:val="21"/>
        </w:rPr>
        <w:t>Accounting</w:t>
      </w:r>
      <w:r>
        <w:rPr>
          <w:rFonts w:eastAsia="Segoe UI" w:cs="Segoe UI" w:ascii="Segoe UI" w:hAnsi="Segoe UI"/>
          <w:color w:val="101820"/>
          <w:sz w:val="21"/>
        </w:rPr>
        <w:t xml:space="preserve"> and </w:t>
      </w:r>
      <w:r>
        <w:rPr>
          <w:rFonts w:eastAsia="Segoe UI" w:cs="Segoe UI" w:ascii="Segoe UI" w:hAnsi="Segoe UI"/>
          <w:b/>
          <w:color w:val="101820"/>
          <w:sz w:val="21"/>
        </w:rPr>
        <w:t>Management</w:t>
      </w:r>
      <w:r>
        <w:rPr>
          <w:rFonts w:eastAsia="Segoe UI" w:cs="Segoe UI" w:ascii="Segoe UI" w:hAnsi="Segoe UI"/>
          <w:color w:val="101820"/>
          <w:sz w:val="21"/>
        </w:rPr>
        <w:t xml:space="preserve"> switch the view.</w:t>
      </w:r>
    </w:p>
    <w:p>
      <w:pPr>
        <w:pStyle w:val="Normal"/>
        <w:spacing w:lineRule="auto" w:line="276" w:before="0" w:after="120"/>
        <w:rPr/>
      </w:pPr>
      <w:r>
        <w:rPr>
          <w:rFonts w:eastAsia="Segoe UI" w:cs="Segoe UI" w:ascii="Segoe UI" w:hAnsi="Segoe UI"/>
          <w:color w:val="101820"/>
          <w:sz w:val="21"/>
        </w:rPr>
        <w:t>Reports &gt; Operational Reports &gt; Production opens the Production Register; All Reports lists every report the role may run (Production Register, Claims Position, Renewal Retention, Remittance Summary, Broker Commission Statement, Premium by Product / Month / Insurer, New Business vs Renewals, Claims Ageing, Lead Conversion Funnel, Placement Pipeline, Market Response, Co-insurance Register, SOA / Premium Receivable, Receivables Ageing, Incentive Results). The chapter Reports, dashboards, schedules and notifications explains how to run them.</w:t>
      </w:r>
    </w:p>
    <w:p>
      <w:pPr>
        <w:pStyle w:val="Heading2"/>
        <w:rPr/>
      </w:pPr>
      <w:bookmarkStart w:id="53" w:name="__RefHeading___Toc107361_4049217194"/>
      <w:bookmarkEnd w:id="53"/>
      <w:r>
        <w:rPr>
          <w:rFonts w:eastAsia="Segoe UI" w:cs="Segoe UI"/>
          <w:b/>
          <w:color w:val="0F4761"/>
          <w:sz w:val="26"/>
        </w:rPr>
        <w:t>7.14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other than the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 the Processing Team is notified.</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above the role's limit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Authority Matrix; ask a role with a higher limit.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recorded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Verified by Accounting, which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account executive gives no approvals.</w:t>
      </w:r>
      <w:r>
        <w:br w:type="page"/>
      </w:r>
    </w:p>
    <w:p>
      <w:pPr>
        <w:pStyle w:val="Heading1"/>
        <w:rPr/>
      </w:pPr>
      <w:bookmarkStart w:id="54" w:name="__RefHeading___Toc107363_4049217194"/>
      <w:bookmarkEnd w:id="54"/>
      <w:r>
        <w:rPr>
          <w:rFonts w:eastAsia="Segoe UI" w:cs="Segoe UI" w:ascii="Segoe UI" w:hAnsi="Segoe UI"/>
          <w:b/>
          <w:color w:val="0F4761"/>
          <w:sz w:val="32"/>
        </w:rPr>
        <w:t>8.  Processing Team</w:t>
      </w:r>
    </w:p>
    <w:p>
      <w:pPr>
        <w:pStyle w:val="Heading2"/>
        <w:rPr/>
      </w:pPr>
      <w:bookmarkStart w:id="55" w:name="__RefHeading___Toc107365_4049217194"/>
      <w:bookmarkEnd w:id="55"/>
      <w:r>
        <w:rPr>
          <w:rFonts w:eastAsia="Segoe UI" w:cs="Segoe UI"/>
          <w:b/>
          <w:color w:val="0F4761"/>
          <w:sz w:val="26"/>
        </w:rPr>
        <w:t>8.1  Role summary</w:t>
      </w:r>
    </w:p>
    <w:p>
      <w:pPr>
        <w:pStyle w:val="Normal"/>
        <w:spacing w:lineRule="auto" w:line="276" w:before="0" w:after="120"/>
        <w:rPr/>
      </w:pPr>
      <w:r>
        <w:rPr>
          <w:rFonts w:eastAsia="Segoe UI" w:cs="Segoe UI" w:ascii="Segoe UI" w:hAnsi="Segoe UI"/>
          <w:color w:val="101820"/>
          <w:sz w:val="21"/>
        </w:rPr>
        <w:t>The Processing Team (role Processing Team (Placement &amp; Policy Processing)) works the market side of the business. It sends requests for quotation to insurers, records their offers and declines, compares them and chooses the security, prepares Quotation Slips, sends placement slips (firm orders) and records the insurers' confirmations, issues and checks policies, records policies the insurer issued, completes endorsements with the insurer's document, approves renewal terms, maintains the product templates and the motor tariff, and works the reinsurance screens.</w:t>
      </w:r>
    </w:p>
    <w:p>
      <w:pPr>
        <w:pStyle w:val="Normal"/>
        <w:jc w:val="center"/>
        <w:rPr/>
      </w:pPr>
      <w:r>
        <w:rPr/>
        <w:drawing>
          <wp:inline distT="0" distB="0" distL="0" distR="0">
            <wp:extent cx="5760085" cy="4469130"/>
            <wp:effectExtent l="0" t="0" r="0" b="0"/>
            <wp:docPr id="59" name="Picture 21212882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121288239" descr=""/>
                    <pic:cNvPicPr>
                      <a:picLocks noChangeAspect="1" noChangeArrowheads="1"/>
                    </pic:cNvPicPr>
                  </pic:nvPicPr>
                  <pic:blipFill>
                    <a:blip r:embed="rId5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Processing Dashboard (Processing Workbench)</w:t>
      </w:r>
    </w:p>
    <w:p>
      <w:pPr>
        <w:pStyle w:val="Heading2"/>
        <w:rPr/>
      </w:pPr>
      <w:bookmarkStart w:id="56" w:name="__RefHeading___Toc107367_4049217194"/>
      <w:bookmarkEnd w:id="56"/>
      <w:r>
        <w:rPr>
          <w:rFonts w:eastAsia="Segoe UI" w:cs="Segoe UI"/>
          <w:b/>
          <w:color w:val="0F4761"/>
          <w:sz w:val="26"/>
        </w:rPr>
        <w:t>8.2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Request for Quotation (Broker Slip), Quotations, Placement Slips); Clients; Policy; Claims; Renewals (all items);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 Cession Tracking, Claims Recovery, Reconciliation, Analytics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 Coverage Builder, Rating Engine, Acceptance Rules, Document Manager, Market Mapping, Risk Mapping, Product Analytics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Processing Team reads prospects but does not create them, and has no Quick Quote: Quick Quote creates prospects and quotations, which is Sales and Operations work.</w:t>
      </w:r>
    </w:p>
    <w:p>
      <w:pPr>
        <w:pStyle w:val="Heading2"/>
        <w:rPr/>
      </w:pPr>
      <w:bookmarkStart w:id="57" w:name="__RefHeading___Toc107369_4049217194"/>
      <w:bookmarkEnd w:id="57"/>
      <w:r>
        <w:rPr>
          <w:rFonts w:eastAsia="Segoe UI" w:cs="Segoe UI"/>
          <w:b/>
          <w:color w:val="0F4761"/>
          <w:sz w:val="26"/>
        </w:rPr>
        <w:t>8.3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32"/>
        <w:gridCol w:w="4044"/>
        <w:gridCol w:w="3538"/>
      </w:tblGrid>
      <w:tr>
        <w:trPr>
          <w:tblHeader w:val="true"/>
        </w:trPr>
        <w:tc>
          <w:tcPr>
            <w:tcW w:w="14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5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submissions and open tasks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requests for quotation; record offers and declines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offers and prepare Quotation Slips or Placement Slips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&gt; Compare offers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placement slips, record confirmations, issue policies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endorsements with the insurer's document</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&gt; endorsement</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renewal terms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Renewals &gt; Negotiations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policy the insurer issued</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Slips &gt; </w:t>
            </w:r>
            <w:r>
              <w:rPr>
                <w:rFonts w:eastAsia="Segoe UI" w:cs="Segoe UI" w:ascii="Segoe UI" w:hAnsi="Segoe UI"/>
                <w:b/>
                <w:color w:val="101820"/>
                <w:kern w:val="0"/>
                <w:sz w:val="18"/>
                <w:szCs w:val="24"/>
                <w:lang w:val="en-US" w:eastAsia="ja-JP" w:bidi="ar-SA"/>
              </w:rPr>
              <w:t>Record Issued Policy</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and bordereaux</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Cession Tracking</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rates change</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Maintain the motor tariff and product templates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bl>
    <w:p>
      <w:pPr>
        <w:pStyle w:val="Normal"/>
        <w:spacing w:before="0" w:after="80"/>
        <w:rPr/>
      </w:pPr>
      <w:r>
        <w:rPr/>
      </w:r>
    </w:p>
    <w:p>
      <w:pPr>
        <w:pStyle w:val="Heading2"/>
        <w:rPr/>
      </w:pPr>
      <w:bookmarkStart w:id="58" w:name="__RefHeading___Toc107371_4049217194"/>
      <w:bookmarkEnd w:id="58"/>
      <w:r>
        <w:rPr>
          <w:rFonts w:eastAsia="Segoe UI" w:cs="Segoe UI"/>
          <w:b/>
          <w:color w:val="0F4761"/>
          <w:sz w:val="26"/>
        </w:rPr>
        <w:t>8.4  Processing Dashboard</w:t>
      </w:r>
    </w:p>
    <w:p>
      <w:pPr>
        <w:pStyle w:val="Normal"/>
        <w:spacing w:lineRule="auto" w:line="276" w:before="0" w:after="120"/>
        <w:rPr/>
      </w:pPr>
      <w:r>
        <w:rPr>
          <w:rFonts w:eastAsia="Segoe UI" w:cs="Segoe UI" w:ascii="Segoe UI" w:hAnsi="Segoe UI"/>
          <w:color w:val="101820"/>
          <w:sz w:val="21"/>
        </w:rPr>
        <w:t xml:space="preserve">Choose Dashboard &gt; Processing Dashboard. The </w:t>
      </w:r>
      <w:r>
        <w:rPr>
          <w:rFonts w:eastAsia="Segoe UI" w:cs="Segoe UI" w:ascii="Segoe UI" w:hAnsi="Segoe UI"/>
          <w:b/>
          <w:color w:val="101820"/>
          <w:sz w:val="21"/>
        </w:rPr>
        <w:t>PROCESSING WORKBENCH</w:t>
      </w:r>
      <w:r>
        <w:rPr>
          <w:rFonts w:eastAsia="Segoe UI" w:cs="Segoe UI" w:ascii="Segoe UI" w:hAnsi="Segoe UI"/>
          <w:color w:val="101820"/>
          <w:sz w:val="21"/>
        </w:rPr>
        <w:t xml:space="preserve"> shows, for the period chosen at the top (for example </w:t>
      </w:r>
      <w:r>
        <w:rPr>
          <w:rFonts w:eastAsia="Segoe UI" w:cs="Segoe UI" w:ascii="Segoe UI" w:hAnsi="Segoe UI"/>
          <w:b/>
          <w:color w:val="101820"/>
          <w:sz w:val="21"/>
        </w:rPr>
        <w:t>This Week</w:t>
      </w:r>
      <w:r>
        <w:rPr>
          <w:rFonts w:eastAsia="Segoe UI" w:cs="Segoe UI" w:ascii="Segoe UI" w:hAnsi="Segoe UI"/>
          <w:color w:val="101820"/>
          <w:sz w:val="21"/>
        </w:rPr>
        <w:t xml:space="preserve">): </w:t>
      </w:r>
      <w:r>
        <w:rPr>
          <w:rFonts w:eastAsia="Segoe UI" w:cs="Segoe UI" w:ascii="Segoe UI" w:hAnsi="Segoe UI"/>
          <w:b/>
          <w:color w:val="101820"/>
          <w:sz w:val="21"/>
        </w:rPr>
        <w:t>NEWLY RECEIVED SUBMISSIONS</w:t>
      </w:r>
      <w:r>
        <w:rPr>
          <w:rFonts w:eastAsia="Segoe UI" w:cs="Segoe UI" w:ascii="Segoe UI" w:hAnsi="Segoe UI"/>
          <w:color w:val="101820"/>
          <w:sz w:val="21"/>
        </w:rPr>
        <w:t xml:space="preserve"> and </w:t>
      </w:r>
      <w:r>
        <w:rPr>
          <w:rFonts w:eastAsia="Segoe UI" w:cs="Segoe UI" w:ascii="Segoe UI" w:hAnsi="Segoe UI"/>
          <w:b/>
          <w:color w:val="101820"/>
          <w:sz w:val="21"/>
        </w:rPr>
        <w:t>OLDER SUBMISSIONS</w:t>
      </w:r>
      <w:r>
        <w:rPr>
          <w:rFonts w:eastAsia="Segoe UI" w:cs="Segoe UI" w:ascii="Segoe UI" w:hAnsi="Segoe UI"/>
          <w:color w:val="101820"/>
          <w:sz w:val="21"/>
        </w:rPr>
        <w:t xml:space="preserve"> (quotations waiting for action), </w:t>
      </w:r>
      <w:r>
        <w:rPr>
          <w:rFonts w:eastAsia="Segoe UI" w:cs="Segoe UI" w:ascii="Segoe UI" w:hAnsi="Segoe UI"/>
          <w:b/>
          <w:color w:val="101820"/>
          <w:sz w:val="21"/>
        </w:rPr>
        <w:t>AVG. CYCLE TIME</w:t>
      </w:r>
      <w:r>
        <w:rPr>
          <w:rFonts w:eastAsia="Segoe UI" w:cs="Segoe UI" w:ascii="Segoe UI" w:hAnsi="Segoe UI"/>
          <w:color w:val="101820"/>
          <w:sz w:val="21"/>
        </w:rPr>
        <w:t xml:space="preserve">, </w:t>
      </w:r>
      <w:r>
        <w:rPr>
          <w:rFonts w:eastAsia="Segoe UI" w:cs="Segoe UI" w:ascii="Segoe UI" w:hAnsi="Segoe UI"/>
          <w:b/>
          <w:color w:val="101820"/>
          <w:sz w:val="21"/>
        </w:rPr>
        <w:t>OPEN ALERTS</w:t>
      </w:r>
      <w:r>
        <w:rPr>
          <w:rFonts w:eastAsia="Segoe UI" w:cs="Segoe UI" w:ascii="Segoe UI" w:hAnsi="Segoe UI"/>
          <w:color w:val="101820"/>
          <w:sz w:val="21"/>
        </w:rPr>
        <w:t xml:space="preserve"> (Duplicate Submission Detected, Missing TIV and Proposed Dates, Missing LOB, Type or Broker), </w:t>
      </w:r>
      <w:r>
        <w:rPr>
          <w:rFonts w:eastAsia="Segoe UI" w:cs="Segoe UI" w:ascii="Segoe UI" w:hAnsi="Segoe UI"/>
          <w:b/>
          <w:color w:val="101820"/>
          <w:sz w:val="21"/>
        </w:rPr>
        <w:t>WORKLOAD METRICS</w:t>
      </w:r>
      <w:r>
        <w:rPr>
          <w:rFonts w:eastAsia="Segoe UI" w:cs="Segoe UI" w:ascii="Segoe UI" w:hAnsi="Segoe UI"/>
          <w:color w:val="101820"/>
          <w:sz w:val="21"/>
        </w:rPr>
        <w:t xml:space="preserve">, the </w:t>
      </w:r>
      <w:r>
        <w:rPr>
          <w:rFonts w:eastAsia="Segoe UI" w:cs="Segoe UI" w:ascii="Segoe UI" w:hAnsi="Segoe UI"/>
          <w:b/>
          <w:color w:val="101820"/>
          <w:sz w:val="21"/>
        </w:rPr>
        <w:t>SUBMISSIONS LIST</w:t>
      </w:r>
      <w:r>
        <w:rPr>
          <w:rFonts w:eastAsia="Segoe UI" w:cs="Segoe UI" w:ascii="Segoe UI" w:hAnsi="Segoe UI"/>
          <w:color w:val="101820"/>
          <w:sz w:val="21"/>
        </w:rPr>
        <w:t xml:space="preserve"> (case ID, proposed insured, account executive, face amount, product type, risk score, next requirement due, priority and status) and </w:t>
      </w:r>
      <w:r>
        <w:rPr>
          <w:rFonts w:eastAsia="Segoe UI" w:cs="Segoe UI" w:ascii="Segoe UI" w:hAnsi="Segoe UI"/>
          <w:b/>
          <w:color w:val="101820"/>
          <w:sz w:val="21"/>
        </w:rPr>
        <w:t>Open Tasks</w:t>
      </w:r>
      <w:r>
        <w:rPr>
          <w:rFonts w:eastAsia="Segoe UI" w:cs="Segoe UI" w:ascii="Segoe UI" w:hAnsi="Segoe UI"/>
          <w:color w:val="101820"/>
          <w:sz w:val="21"/>
        </w:rPr>
        <w:t xml:space="preserve">. </w:t>
      </w:r>
      <w:r>
        <w:rPr>
          <w:rFonts w:eastAsia="Segoe UI" w:cs="Segoe UI" w:ascii="Segoe UI" w:hAnsi="Segoe UI"/>
          <w:b/>
          <w:color w:val="101820"/>
          <w:sz w:val="21"/>
        </w:rPr>
        <w:t>New Submission</w:t>
      </w:r>
      <w:r>
        <w:rPr>
          <w:rFonts w:eastAsia="Segoe UI" w:cs="Segoe UI" w:ascii="Segoe UI" w:hAnsi="Segoe UI"/>
          <w:color w:val="101820"/>
          <w:sz w:val="21"/>
        </w:rPr>
        <w:t xml:space="preserve"> starts a quotation.</w:t>
      </w:r>
    </w:p>
    <w:p>
      <w:pPr>
        <w:pStyle w:val="Heading2"/>
        <w:rPr/>
      </w:pPr>
      <w:bookmarkStart w:id="59" w:name="__RefHeading___Toc107373_4049217194"/>
      <w:bookmarkEnd w:id="59"/>
      <w:r>
        <w:rPr>
          <w:rFonts w:eastAsia="Segoe UI" w:cs="Segoe UI"/>
          <w:b/>
          <w:color w:val="0F4761"/>
          <w:sz w:val="26"/>
        </w:rPr>
        <w:t>8.5  Requests for quotation (broker slips)</w:t>
      </w:r>
    </w:p>
    <w:p>
      <w:pPr>
        <w:pStyle w:val="Normal"/>
        <w:jc w:val="center"/>
        <w:rPr/>
      </w:pPr>
      <w:r>
        <w:rPr/>
        <w:drawing>
          <wp:inline distT="0" distB="0" distL="0" distR="0">
            <wp:extent cx="5760085" cy="4469130"/>
            <wp:effectExtent l="0" t="0" r="0" b="0"/>
            <wp:docPr id="60" name="Picture 2121288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21288240" descr=""/>
                    <pic:cNvPicPr>
                      <a:picLocks noChangeAspect="1" noChangeArrowheads="1"/>
                    </pic:cNvPicPr>
                  </pic:nvPicPr>
                  <pic:blipFill>
                    <a:blip r:embed="rId5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Request for Quotation (Broker Slip)</w:t>
      </w:r>
    </w:p>
    <w:p>
      <w:pPr>
        <w:pStyle w:val="Normal"/>
        <w:spacing w:lineRule="auto" w:line="276" w:before="0" w:after="120"/>
        <w:rPr/>
      </w:pPr>
      <w:r>
        <w:rPr>
          <w:rFonts w:eastAsia="Segoe UI" w:cs="Segoe UI" w:ascii="Segoe UI" w:hAnsi="Segoe UI"/>
          <w:color w:val="101820"/>
          <w:sz w:val="21"/>
        </w:rPr>
        <w:t>Choose Operations &gt; Sales &amp; Marketing &gt; Request for Quotation (Broker Slip). The cards count the requests by status (</w:t>
      </w:r>
      <w:r>
        <w:rPr>
          <w:rFonts w:eastAsia="Segoe UI" w:cs="Segoe UI" w:ascii="Segoe UI" w:hAnsi="Segoe UI"/>
          <w:b/>
          <w:color w:val="101820"/>
          <w:sz w:val="21"/>
        </w:rPr>
        <w:t>SUBMITTED</w:t>
      </w:r>
      <w:r>
        <w:rPr>
          <w:rFonts w:eastAsia="Segoe UI" w:cs="Segoe UI" w:ascii="Segoe UI" w:hAnsi="Segoe UI"/>
          <w:color w:val="101820"/>
          <w:sz w:val="21"/>
        </w:rPr>
        <w:t xml:space="preserve">, </w:t>
      </w:r>
      <w:r>
        <w:rPr>
          <w:rFonts w:eastAsia="Segoe UI" w:cs="Segoe UI" w:ascii="Segoe UI" w:hAnsi="Segoe UI"/>
          <w:b/>
          <w:color w:val="101820"/>
          <w:sz w:val="21"/>
        </w:rPr>
        <w:t>RESPONSES IN</w:t>
      </w:r>
      <w:r>
        <w:rPr>
          <w:rFonts w:eastAsia="Segoe UI" w:cs="Segoe UI" w:ascii="Segoe UI" w:hAnsi="Segoe UI"/>
          <w:color w:val="101820"/>
          <w:sz w:val="21"/>
        </w:rPr>
        <w:t xml:space="preserve">,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CLOSED</w:t>
      </w:r>
      <w:r>
        <w:rPr>
          <w:rFonts w:eastAsia="Segoe UI" w:cs="Segoe UI" w:ascii="Segoe UI" w:hAnsi="Segoe UI"/>
          <w:color w:val="101820"/>
          <w:sz w:val="21"/>
        </w:rPr>
        <w:t xml:space="preserve">); select a card to filter. Each row shows </w:t>
      </w:r>
      <w:r>
        <w:rPr>
          <w:rFonts w:eastAsia="Segoe UI" w:cs="Segoe UI" w:ascii="Segoe UI" w:hAnsi="Segoe UI"/>
          <w:b/>
          <w:color w:val="101820"/>
          <w:sz w:val="21"/>
        </w:rPr>
        <w:t>Slip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Offers / approached</w:t>
      </w:r>
      <w:r>
        <w:rPr>
          <w:rFonts w:eastAsia="Segoe UI" w:cs="Segoe UI" w:ascii="Segoe UI" w:hAnsi="Segoe UI"/>
          <w:color w:val="101820"/>
          <w:sz w:val="21"/>
        </w:rPr>
        <w:t xml:space="preserve"> (with the number declined), </w:t>
      </w:r>
      <w:r>
        <w:rPr>
          <w:rFonts w:eastAsia="Segoe UI" w:cs="Segoe UI" w:ascii="Segoe UI" w:hAnsi="Segoe UI"/>
          <w:b/>
          <w:color w:val="101820"/>
          <w:sz w:val="21"/>
        </w:rPr>
        <w:t>Best offer (gross)</w:t>
      </w:r>
      <w:r>
        <w:rPr>
          <w:rFonts w:eastAsia="Segoe UI" w:cs="Segoe UI" w:ascii="Segoe UI" w:hAnsi="Segoe UI"/>
          <w:color w:val="101820"/>
          <w:sz w:val="21"/>
        </w:rPr>
        <w:t xml:space="preserve">, </w:t>
      </w:r>
      <w:r>
        <w:rPr>
          <w:rFonts w:eastAsia="Segoe UI" w:cs="Segoe UI" w:ascii="Segoe UI" w:hAnsi="Segoe UI"/>
          <w:b/>
          <w:color w:val="101820"/>
          <w:sz w:val="21"/>
        </w:rPr>
        <w:t>Response due</w:t>
      </w:r>
      <w:r>
        <w:rPr>
          <w:rFonts w:eastAsia="Segoe UI" w:cs="Segoe UI" w:ascii="Segoe UI" w:hAnsi="Segoe UI"/>
          <w:color w:val="101820"/>
          <w:sz w:val="21"/>
        </w:rPr>
        <w:t xml:space="preserve">, </w:t>
      </w:r>
      <w:r>
        <w:rPr>
          <w:rFonts w:eastAsia="Segoe UI" w:cs="Segoe UI" w:ascii="Segoe UI" w:hAnsi="Segoe UI"/>
          <w:b/>
          <w:color w:val="101820"/>
          <w:sz w:val="21"/>
        </w:rPr>
        <w:t>Age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Quotation Slip</w:t>
      </w:r>
      <w:r>
        <w:rPr>
          <w:rFonts w:eastAsia="Segoe UI" w:cs="Segoe UI" w:ascii="Segoe UI" w:hAnsi="Segoe UI"/>
          <w:color w:val="101820"/>
          <w:sz w:val="21"/>
        </w:rPr>
        <w:t xml:space="preserve"> made from it. Select a row to open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yet sent to the market.</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insurers; waiting for their answers.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Responses in</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one insurer has answered.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Turned into a Quotation Slip or Placement Slip, or closed as not taken up.</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Heading3"/>
        <w:rPr/>
      </w:pPr>
      <w:r>
        <w:rPr>
          <w:rFonts w:eastAsia="Segoe UI" w:cs="Segoe UI"/>
          <w:b/>
          <w:color w:val="0F4761"/>
          <w:sz w:val="23"/>
        </w:rPr>
        <w:t>8.5.1  Create a request for quotation</w:t>
      </w:r>
    </w:p>
    <w:p>
      <w:pPr>
        <w:pStyle w:val="Normal"/>
        <w:jc w:val="center"/>
        <w:rPr/>
      </w:pPr>
      <w:r>
        <w:rPr/>
        <w:drawing>
          <wp:inline distT="0" distB="0" distL="0" distR="0">
            <wp:extent cx="5760085" cy="5318125"/>
            <wp:effectExtent l="0" t="0" r="0" b="0"/>
            <wp:docPr id="61" name="Picture 21212882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121288241" descr=""/>
                    <pic:cNvPicPr>
                      <a:picLocks noChangeAspect="1" noChangeArrowheads="1"/>
                    </pic:cNvPicPr>
                  </pic:nvPicPr>
                  <pic:blipFill>
                    <a:blip r:embed="rId57"/>
                    <a:stretch>
                      <a:fillRect/>
                    </a:stretch>
                  </pic:blipFill>
                  <pic:spPr bwMode="auto">
                    <a:xfrm>
                      <a:off x="0" y="0"/>
                      <a:ext cx="5760085" cy="5318125"/>
                    </a:xfrm>
                    <a:prstGeom prst="rect">
                      <a:avLst/>
                    </a:prstGeom>
                  </pic:spPr>
                </pic:pic>
              </a:graphicData>
            </a:graphic>
          </wp:inline>
        </w:drawing>
      </w:r>
    </w:p>
    <w:p>
      <w:pPr>
        <w:pStyle w:val="Normal"/>
        <w:jc w:val="center"/>
        <w:rPr/>
      </w:pPr>
      <w:r>
        <w:rPr>
          <w:rFonts w:eastAsia="Segoe UI" w:cs="Segoe UI" w:ascii="Segoe UI" w:hAnsi="Segoe UI"/>
          <w:i/>
          <w:color w:val="555F6D"/>
          <w:sz w:val="18"/>
        </w:rPr>
        <w:t>New Request for Quotation (Broker Slip)</w:t>
      </w:r>
    </w:p>
    <w:p>
      <w:pPr>
        <w:pStyle w:val="Normal"/>
        <w:numPr>
          <w:ilvl w:val="0"/>
          <w:numId w:val="14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Request for Quotation</w:t>
      </w:r>
      <w:r>
        <w:rPr>
          <w:rFonts w:eastAsia="Segoe UI" w:cs="Segoe UI" w:ascii="Segoe UI" w:hAnsi="Segoe UI"/>
          <w:color w:val="101820"/>
          <w:sz w:val="21"/>
        </w:rPr>
        <w:t>.</w:t>
      </w:r>
    </w:p>
    <w:p>
      <w:pPr>
        <w:pStyle w:val="Normal"/>
        <w:numPr>
          <w:ilvl w:val="0"/>
          <w:numId w:val="14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Customer and risk</w:t>
      </w:r>
      <w:r>
        <w:rPr>
          <w:rFonts w:eastAsia="Segoe UI" w:cs="Segoe UI" w:ascii="Segoe UI" w:hAnsi="Segoe UI"/>
          <w:color w:val="101820"/>
          <w:sz w:val="21"/>
        </w:rPr>
        <w:t xml:space="preserve">, choose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Client</w:t>
      </w:r>
      <w:r>
        <w:rPr>
          <w:rFonts w:eastAsia="Segoe UI" w:cs="Segoe UI" w:ascii="Segoe UI" w:hAnsi="Segoe UI"/>
          <w:color w:val="101820"/>
          <w:sz w:val="21"/>
        </w:rPr>
        <w:t xml:space="preserve"> (an existing client), </w:t>
      </w:r>
      <w:r>
        <w:rPr>
          <w:rFonts w:eastAsia="Segoe UI" w:cs="Segoe UI" w:ascii="Segoe UI" w:hAnsi="Segoe UI"/>
          <w:b/>
          <w:color w:val="101820"/>
          <w:sz w:val="21"/>
        </w:rPr>
        <w:t>Prospect</w:t>
      </w:r>
      <w:r>
        <w:rPr>
          <w:rFonts w:eastAsia="Segoe UI" w:cs="Segoe UI" w:ascii="Segoe UI" w:hAnsi="Segoe UI"/>
          <w:color w:val="101820"/>
          <w:sz w:val="21"/>
        </w:rPr>
        <w:t xml:space="preserve"> or </w:t>
      </w:r>
      <w:r>
        <w:rPr>
          <w:rFonts w:eastAsia="Segoe UI" w:cs="Segoe UI" w:ascii="Segoe UI" w:hAnsi="Segoe UI"/>
          <w:b/>
          <w:color w:val="101820"/>
          <w:sz w:val="21"/>
        </w:rPr>
        <w:t>New prospect</w:t>
      </w:r>
      <w:r>
        <w:rPr>
          <w:rFonts w:eastAsia="Segoe UI" w:cs="Segoe UI" w:ascii="Segoe UI" w:hAnsi="Segoe UI"/>
          <w:color w:val="101820"/>
          <w:sz w:val="21"/>
        </w:rPr>
        <w:t xml:space="preserve">, and search for the record. Choose the </w:t>
      </w:r>
      <w:r>
        <w:rPr>
          <w:rFonts w:eastAsia="Segoe UI" w:cs="Segoe UI" w:ascii="Segoe UI" w:hAnsi="Segoe UI"/>
          <w:b/>
          <w:color w:val="101820"/>
          <w:sz w:val="21"/>
        </w:rPr>
        <w:t>Product</w:t>
      </w:r>
      <w:r>
        <w:rPr>
          <w:rFonts w:eastAsia="Segoe UI" w:cs="Segoe UI" w:ascii="Segoe UI" w:hAnsi="Segoe UI"/>
          <w:color w:val="101820"/>
          <w:sz w:val="21"/>
        </w:rPr>
        <w:t xml:space="preserve"> (tick </w:t>
      </w:r>
      <w:r>
        <w:rPr>
          <w:rFonts w:eastAsia="Segoe UI" w:cs="Segoe UI" w:ascii="Segoe UI" w:hAnsi="Segoe UI"/>
          <w:b/>
          <w:color w:val="101820"/>
          <w:sz w:val="21"/>
        </w:rPr>
        <w:t>Include package products</w:t>
      </w:r>
      <w:r>
        <w:rPr>
          <w:rFonts w:eastAsia="Segoe UI" w:cs="Segoe UI" w:ascii="Segoe UI" w:hAnsi="Segoe UI"/>
          <w:color w:val="101820"/>
          <w:sz w:val="21"/>
        </w:rPr>
        <w:t xml:space="preserve"> to list package products as well). </w:t>
      </w:r>
      <w:r>
        <w:rPr>
          <w:rFonts w:eastAsia="Segoe UI" w:cs="Segoe UI" w:ascii="Segoe UI" w:hAnsi="Segoe UI"/>
          <w:b/>
          <w:color w:val="101820"/>
          <w:sz w:val="21"/>
        </w:rPr>
        <w:t>Insured</w:t>
      </w:r>
      <w:r>
        <w:rPr>
          <w:rFonts w:eastAsia="Segoe UI" w:cs="Segoe UI" w:ascii="Segoe UI" w:hAnsi="Segoe UI"/>
          <w:color w:val="101820"/>
          <w:sz w:val="21"/>
        </w:rPr>
        <w:t xml:space="preserve"> fills in; change it if the slip is for another named insured.</w:t>
      </w:r>
    </w:p>
    <w:p>
      <w:pPr>
        <w:pStyle w:val="Normal"/>
        <w:numPr>
          <w:ilvl w:val="0"/>
          <w:numId w:val="145"/>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Inception</w:t>
      </w:r>
      <w:r>
        <w:rPr>
          <w:rFonts w:eastAsia="Segoe UI" w:cs="Segoe UI" w:ascii="Segoe UI" w:hAnsi="Segoe UI"/>
          <w:color w:val="101820"/>
          <w:sz w:val="21"/>
        </w:rPr>
        <w:t xml:space="preserve"> and </w:t>
      </w:r>
      <w:r>
        <w:rPr>
          <w:rFonts w:eastAsia="Segoe UI" w:cs="Segoe UI" w:ascii="Segoe UI" w:hAnsi="Segoe UI"/>
          <w:b/>
          <w:color w:val="101820"/>
          <w:sz w:val="21"/>
        </w:rPr>
        <w:t>Expiry</w:t>
      </w:r>
      <w:r>
        <w:rPr>
          <w:rFonts w:eastAsia="Segoe UI" w:cs="Segoe UI" w:ascii="Segoe UI" w:hAnsi="Segoe UI"/>
          <w:color w:val="101820"/>
          <w:sz w:val="21"/>
        </w:rPr>
        <w:t xml:space="preserve">. Leave </w:t>
      </w:r>
      <w:r>
        <w:rPr>
          <w:rFonts w:eastAsia="Segoe UI" w:cs="Segoe UI" w:ascii="Segoe UI" w:hAnsi="Segoe UI"/>
          <w:b/>
          <w:color w:val="101820"/>
          <w:sz w:val="21"/>
        </w:rPr>
        <w:t>Response due</w:t>
      </w:r>
      <w:r>
        <w:rPr>
          <w:rFonts w:eastAsia="Segoe UI" w:cs="Segoe UI" w:ascii="Segoe UI" w:hAnsi="Segoe UI"/>
          <w:color w:val="101820"/>
          <w:sz w:val="21"/>
        </w:rPr>
        <w:t xml:space="preserve"> empty to use the default of the settings, or set the date by which insurers must answer.</w:t>
      </w:r>
    </w:p>
    <w:p>
      <w:pPr>
        <w:pStyle w:val="Normal"/>
        <w:numPr>
          <w:ilvl w:val="0"/>
          <w:numId w:val="14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Risk details</w:t>
      </w:r>
      <w:r>
        <w:rPr>
          <w:rFonts w:eastAsia="Segoe UI" w:cs="Segoe UI" w:ascii="Segoe UI" w:hAnsi="Segoe UI"/>
          <w:color w:val="101820"/>
          <w:sz w:val="21"/>
        </w:rPr>
        <w:t>, add each detail of the risk as an item and a value (location, occupancy, construction, protection; for marine the cargo, voyage and conveyance) with the plus sign.</w:t>
      </w:r>
    </w:p>
    <w:p>
      <w:pPr>
        <w:pStyle w:val="Normal"/>
        <w:numPr>
          <w:ilvl w:val="0"/>
          <w:numId w:val="14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Requested covers</w:t>
      </w:r>
      <w:r>
        <w:rPr>
          <w:rFonts w:eastAsia="Segoe UI" w:cs="Segoe UI" w:ascii="Segoe UI" w:hAnsi="Segoe UI"/>
          <w:color w:val="101820"/>
          <w:sz w:val="21"/>
        </w:rPr>
        <w:t xml:space="preserve">, select </w:t>
      </w:r>
      <w:r>
        <w:rPr>
          <w:rFonts w:eastAsia="Segoe UI" w:cs="Segoe UI" w:ascii="Segoe UI" w:hAnsi="Segoe UI"/>
          <w:b/>
          <w:color w:val="101820"/>
          <w:sz w:val="21"/>
        </w:rPr>
        <w:t>Add cover</w:t>
      </w:r>
      <w:r>
        <w:rPr>
          <w:rFonts w:eastAsia="Segoe UI" w:cs="Segoe UI" w:ascii="Segoe UI" w:hAnsi="Segoe UI"/>
          <w:color w:val="101820"/>
          <w:sz w:val="21"/>
        </w:rPr>
        <w:t xml:space="preserve"> for each cover with its </w:t>
      </w:r>
      <w:r>
        <w:rPr>
          <w:rFonts w:eastAsia="Segoe UI" w:cs="Segoe UI" w:ascii="Segoe UI" w:hAnsi="Segoe UI"/>
          <w:b/>
          <w:color w:val="101820"/>
          <w:sz w:val="21"/>
        </w:rPr>
        <w:t>Sum insured</w:t>
      </w:r>
      <w:r>
        <w:rPr>
          <w:rFonts w:eastAsia="Segoe UI" w:cs="Segoe UI" w:ascii="Segoe UI" w:hAnsi="Segoe UI"/>
          <w:color w:val="101820"/>
          <w:sz w:val="21"/>
        </w:rPr>
        <w:t xml:space="preserve"> and </w:t>
      </w:r>
      <w:r>
        <w:rPr>
          <w:rFonts w:eastAsia="Segoe UI" w:cs="Segoe UI" w:ascii="Segoe UI" w:hAnsi="Segoe UI"/>
          <w:b/>
          <w:color w:val="101820"/>
          <w:sz w:val="21"/>
        </w:rPr>
        <w:t>Deductible</w:t>
      </w:r>
      <w:r>
        <w:rPr>
          <w:rFonts w:eastAsia="Segoe UI" w:cs="Segoe UI" w:ascii="Segoe UI" w:hAnsi="Segoe UI"/>
          <w:color w:val="101820"/>
          <w:sz w:val="21"/>
        </w:rPr>
        <w:t>. The covers offered are those of the product.</w:t>
      </w:r>
    </w:p>
    <w:p>
      <w:pPr>
        <w:pStyle w:val="Normal"/>
        <w:numPr>
          <w:ilvl w:val="0"/>
          <w:numId w:val="148"/>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Market</w:t>
      </w:r>
      <w:r>
        <w:rPr>
          <w:rFonts w:eastAsia="Segoe UI" w:cs="Segoe UI" w:ascii="Segoe UI" w:hAnsi="Segoe UI"/>
          <w:color w:val="101820"/>
          <w:sz w:val="21"/>
        </w:rPr>
        <w:t xml:space="preserve">, choose the </w:t>
      </w:r>
      <w:r>
        <w:rPr>
          <w:rFonts w:eastAsia="Segoe UI" w:cs="Segoe UI" w:ascii="Segoe UI" w:hAnsi="Segoe UI"/>
          <w:b/>
          <w:color w:val="101820"/>
          <w:sz w:val="21"/>
        </w:rPr>
        <w:t>Insurers to approach</w:t>
      </w:r>
      <w:r>
        <w:rPr>
          <w:rFonts w:eastAsia="Segoe UI" w:cs="Segoe UI" w:ascii="Segoe UI" w:hAnsi="Segoe UI"/>
          <w:color w:val="101820"/>
          <w:sz w:val="21"/>
        </w:rPr>
        <w:t xml:space="preserve"> (required).</w:t>
      </w:r>
    </w:p>
    <w:p>
      <w:pPr>
        <w:pStyle w:val="Normal"/>
        <w:numPr>
          <w:ilvl w:val="0"/>
          <w:numId w:val="149"/>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w:t>
      </w:r>
      <w:r>
        <w:rPr>
          <w:rFonts w:eastAsia="Segoe UI" w:cs="Segoe UI" w:ascii="Segoe UI" w:hAnsi="Segoe UI"/>
          <w:color w:val="101820"/>
          <w:sz w:val="21"/>
        </w:rPr>
        <w:t xml:space="preserve"> for the insurers, for example the claims history or the incumbent's renewal terms.</w:t>
      </w:r>
    </w:p>
    <w:p>
      <w:pPr>
        <w:pStyle w:val="Normal"/>
        <w:numPr>
          <w:ilvl w:val="0"/>
          <w:numId w:val="1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draft</w:t>
      </w:r>
      <w:r>
        <w:rPr>
          <w:rFonts w:eastAsia="Segoe UI" w:cs="Segoe UI" w:ascii="Segoe UI" w:hAnsi="Segoe UI"/>
          <w:color w:val="101820"/>
          <w:sz w:val="21"/>
        </w:rPr>
        <w:t xml:space="preserve"> to keep working, or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leaves without saving.</w:t>
      </w:r>
    </w:p>
    <w:p>
      <w:pPr>
        <w:pStyle w:val="Normal"/>
        <w:spacing w:lineRule="auto" w:line="276" w:before="0" w:after="120"/>
        <w:rPr/>
      </w:pPr>
      <w:r>
        <w:rPr>
          <w:rFonts w:eastAsia="Segoe UI" w:cs="Segoe UI" w:ascii="Segoe UI" w:hAnsi="Segoe UI"/>
          <w:color w:val="101820"/>
          <w:sz w:val="21"/>
        </w:rPr>
        <w:t xml:space="preserve">When you submit, the system numbers the slip (BS-YYYY-NNNNN), creates one offer record per insurer with status Pending and queues a request-for-quotation e-mail to each insurer. </w:t>
      </w:r>
      <w:r>
        <w:rPr>
          <w:rFonts w:eastAsia="Segoe UI" w:cs="Segoe UI" w:ascii="Segoe UI" w:hAnsi="Segoe UI"/>
          <w:b/>
          <w:color w:val="101820"/>
          <w:sz w:val="21"/>
        </w:rPr>
        <w:t>Slip PDF</w:t>
      </w:r>
      <w:r>
        <w:rPr>
          <w:rFonts w:eastAsia="Segoe UI" w:cs="Segoe UI" w:ascii="Segoe UI" w:hAnsi="Segoe UI"/>
          <w:color w:val="101820"/>
          <w:sz w:val="21"/>
        </w:rPr>
        <w:t xml:space="preserve"> prints the slip for the whole market; the PDF icon on an insurer's row prints the slip addressed to that insurer.</w:t>
      </w:r>
    </w:p>
    <w:p>
      <w:pPr>
        <w:pStyle w:val="Heading3"/>
        <w:rPr/>
      </w:pPr>
      <w:r>
        <w:rPr>
          <w:rFonts w:eastAsia="Segoe UI" w:cs="Segoe UI"/>
          <w:b/>
          <w:color w:val="0F4761"/>
          <w:sz w:val="23"/>
        </w:rPr>
        <w:t>8.5.2  Record the insurers' answers</w:t>
      </w:r>
    </w:p>
    <w:p>
      <w:pPr>
        <w:pStyle w:val="Normal"/>
        <w:jc w:val="center"/>
        <w:rPr/>
      </w:pPr>
      <w:r>
        <w:rPr/>
        <w:drawing>
          <wp:inline distT="0" distB="0" distL="0" distR="0">
            <wp:extent cx="5760085" cy="4140835"/>
            <wp:effectExtent l="0" t="0" r="0" b="0"/>
            <wp:docPr id="62" name="Picture 21212882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121288242" descr=""/>
                    <pic:cNvPicPr>
                      <a:picLocks noChangeAspect="1" noChangeArrowheads="1"/>
                    </pic:cNvPicPr>
                  </pic:nvPicPr>
                  <pic:blipFill>
                    <a:blip r:embed="rId58"/>
                    <a:stretch>
                      <a:fillRect/>
                    </a:stretch>
                  </pic:blipFill>
                  <pic:spPr bwMode="auto">
                    <a:xfrm>
                      <a:off x="0" y="0"/>
                      <a:ext cx="5760085" cy="4140835"/>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BS-2026-00047, tab Market responses</w:t>
      </w:r>
    </w:p>
    <w:p>
      <w:pPr>
        <w:pStyle w:val="Normal"/>
        <w:spacing w:lineRule="auto" w:line="276" w:before="0" w:after="120"/>
        <w:rPr/>
      </w:pPr>
      <w:r>
        <w:rPr>
          <w:rFonts w:eastAsia="Segoe UI" w:cs="Segoe UI" w:ascii="Segoe UI" w:hAnsi="Segoe UI"/>
          <w:color w:val="101820"/>
          <w:sz w:val="21"/>
        </w:rPr>
        <w:t xml:space="preserve">The request shows its placement journey, the customer, product, sum insured, period, submission and response dates, the best offer and the creator, and three tabs: </w:t>
      </w:r>
      <w:r>
        <w:rPr>
          <w:rFonts w:eastAsia="Segoe UI" w:cs="Segoe UI" w:ascii="Segoe UI" w:hAnsi="Segoe UI"/>
          <w:b/>
          <w:color w:val="101820"/>
          <w:sz w:val="21"/>
        </w:rPr>
        <w:t>Market responses</w:t>
      </w:r>
      <w:r>
        <w:rPr>
          <w:rFonts w:eastAsia="Segoe UI" w:cs="Segoe UI" w:ascii="Segoe UI" w:hAnsi="Segoe UI"/>
          <w:color w:val="101820"/>
          <w:sz w:val="21"/>
        </w:rPr>
        <w:t xml:space="preserve">, </w:t>
      </w:r>
      <w:r>
        <w:rPr>
          <w:rFonts w:eastAsia="Segoe UI" w:cs="Segoe UI" w:ascii="Segoe UI" w:hAnsi="Segoe UI"/>
          <w:b/>
          <w:color w:val="101820"/>
          <w:sz w:val="21"/>
        </w:rPr>
        <w:t>Compare offers</w:t>
      </w:r>
      <w:r>
        <w:rPr>
          <w:rFonts w:eastAsia="Segoe UI" w:cs="Segoe UI" w:ascii="Segoe UI" w:hAnsi="Segoe UI"/>
          <w:color w:val="101820"/>
          <w:sz w:val="21"/>
        </w:rPr>
        <w:t xml:space="preserve">, </w:t>
      </w:r>
      <w:r>
        <w:rPr>
          <w:rFonts w:eastAsia="Segoe UI" w:cs="Segoe UI" w:ascii="Segoe UI" w:hAnsi="Segoe UI"/>
          <w:b/>
          <w:color w:val="101820"/>
          <w:sz w:val="21"/>
        </w:rPr>
        <w:t>Risk and covers</w:t>
      </w:r>
      <w:r>
        <w:rPr>
          <w:rFonts w:eastAsia="Segoe UI" w:cs="Segoe UI" w:ascii="Segoe UI" w:hAnsi="Segoe UI"/>
          <w:color w:val="101820"/>
          <w:sz w:val="21"/>
        </w:rPr>
        <w:t>.</w:t>
      </w:r>
    </w:p>
    <w:p>
      <w:pPr>
        <w:pStyle w:val="Normal"/>
        <w:numPr>
          <w:ilvl w:val="0"/>
          <w:numId w:val="151"/>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Market responses</w:t>
      </w:r>
      <w:r>
        <w:rPr>
          <w:rFonts w:eastAsia="Segoe UI" w:cs="Segoe UI" w:ascii="Segoe UI" w:hAnsi="Segoe UI"/>
          <w:color w:val="101820"/>
          <w:sz w:val="21"/>
        </w:rPr>
        <w:t xml:space="preserve">. Each insurer is listed with </w:t>
      </w:r>
      <w:r>
        <w:rPr>
          <w:rFonts w:eastAsia="Segoe UI" w:cs="Segoe UI" w:ascii="Segoe UI" w:hAnsi="Segoe UI"/>
          <w:b/>
          <w:color w:val="101820"/>
          <w:sz w:val="21"/>
        </w:rPr>
        <w:t>Status</w:t>
      </w:r>
      <w:r>
        <w:rPr>
          <w:rFonts w:eastAsia="Segoe UI" w:cs="Segoe UI" w:ascii="Segoe UI" w:hAnsi="Segoe UI"/>
          <w:color w:val="101820"/>
          <w:sz w:val="21"/>
        </w:rPr>
        <w:t xml:space="preserve"> (Pending, Offered, Declined),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Rate</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Line</w:t>
      </w:r>
      <w:r>
        <w:rPr>
          <w:rFonts w:eastAsia="Segoe UI" w:cs="Segoe UI" w:ascii="Segoe UI" w:hAnsi="Segoe UI"/>
          <w:color w:val="101820"/>
          <w:sz w:val="21"/>
        </w:rPr>
        <w:t xml:space="preserve"> offered and deductibles.</w:t>
      </w:r>
    </w:p>
    <w:p>
      <w:pPr>
        <w:pStyle w:val="Normal"/>
        <w:numPr>
          <w:ilvl w:val="0"/>
          <w:numId w:val="152"/>
        </w:numPr>
        <w:spacing w:before="0" w:after="60"/>
        <w:rPr/>
      </w:pPr>
      <w:r>
        <w:rPr>
          <w:rFonts w:eastAsia="Segoe UI" w:cs="Segoe UI" w:ascii="Segoe UI" w:hAnsi="Segoe UI"/>
          <w:color w:val="101820"/>
          <w:sz w:val="21"/>
        </w:rPr>
        <w:t xml:space="preserve">On the insurer's row, select </w:t>
      </w:r>
      <w:r>
        <w:rPr>
          <w:rFonts w:eastAsia="Segoe UI" w:cs="Segoe UI" w:ascii="Segoe UI" w:hAnsi="Segoe UI"/>
          <w:b/>
          <w:color w:val="101820"/>
          <w:sz w:val="21"/>
        </w:rPr>
        <w:t>Record response</w:t>
      </w:r>
      <w:r>
        <w:rPr>
          <w:rFonts w:eastAsia="Segoe UI" w:cs="Segoe UI" w:ascii="Segoe UI" w:hAnsi="Segoe UI"/>
          <w:color w:val="101820"/>
          <w:sz w:val="21"/>
        </w:rPr>
        <w:t xml:space="preserve"> (or </w:t>
      </w:r>
      <w:r>
        <w:rPr>
          <w:rFonts w:eastAsia="Segoe UI" w:cs="Segoe UI" w:ascii="Segoe UI" w:hAnsi="Segoe UI"/>
          <w:b/>
          <w:color w:val="101820"/>
          <w:sz w:val="21"/>
        </w:rPr>
        <w:t>Edit</w:t>
      </w:r>
      <w:r>
        <w:rPr>
          <w:rFonts w:eastAsia="Segoe UI" w:cs="Segoe UI" w:ascii="Segoe UI" w:hAnsi="Segoe UI"/>
          <w:color w:val="101820"/>
          <w:sz w:val="21"/>
        </w:rPr>
        <w:t xml:space="preserve"> to change an answer already recorded).</w:t>
      </w:r>
    </w:p>
    <w:p>
      <w:pPr>
        <w:pStyle w:val="Normal"/>
        <w:numPr>
          <w:ilvl w:val="0"/>
          <w:numId w:val="153"/>
        </w:numPr>
        <w:spacing w:before="0" w:after="60"/>
        <w:rPr/>
      </w:pPr>
      <w:r>
        <w:rPr>
          <w:rFonts w:eastAsia="Segoe UI" w:cs="Segoe UI" w:ascii="Segoe UI" w:hAnsi="Segoe UI"/>
          <w:color w:val="101820"/>
          <w:sz w:val="21"/>
        </w:rPr>
        <w:t xml:space="preserve">For an offer, enter the </w:t>
      </w:r>
      <w:r>
        <w:rPr>
          <w:rFonts w:eastAsia="Segoe UI" w:cs="Segoe UI" w:ascii="Segoe UI" w:hAnsi="Segoe UI"/>
          <w:b/>
          <w:color w:val="101820"/>
          <w:sz w:val="21"/>
        </w:rPr>
        <w:t>Net premium (100%)</w:t>
      </w:r>
      <w:r>
        <w:rPr>
          <w:rFonts w:eastAsia="Segoe UI" w:cs="Segoe UI" w:ascii="Segoe UI" w:hAnsi="Segoe UI"/>
          <w:color w:val="101820"/>
          <w:sz w:val="21"/>
        </w:rPr>
        <w:t xml:space="preserve">, the </w:t>
      </w:r>
      <w:r>
        <w:rPr>
          <w:rFonts w:eastAsia="Segoe UI" w:cs="Segoe UI" w:ascii="Segoe UI" w:hAnsi="Segoe UI"/>
          <w:b/>
          <w:color w:val="101820"/>
          <w:sz w:val="21"/>
        </w:rPr>
        <w:t>Rate</w:t>
      </w:r>
      <w:r>
        <w:rPr>
          <w:rFonts w:eastAsia="Segoe UI" w:cs="Segoe UI" w:ascii="Segoe UI" w:hAnsi="Segoe UI"/>
          <w:color w:val="101820"/>
          <w:sz w:val="21"/>
        </w:rPr>
        <w:t xml:space="preserve"> if the insurer quoted one (otherwise </w:t>
      </w:r>
      <w:r>
        <w:rPr>
          <w:rFonts w:eastAsia="Segoe UI" w:cs="Segoe UI" w:ascii="Segoe UI" w:hAnsi="Segoe UI"/>
          <w:b/>
          <w:color w:val="101820"/>
          <w:sz w:val="21"/>
        </w:rPr>
        <w:t>Derived</w:t>
      </w:r>
      <w:r>
        <w:rPr>
          <w:rFonts w:eastAsia="Segoe UI" w:cs="Segoe UI" w:ascii="Segoe UI" w:hAnsi="Segoe UI"/>
          <w:color w:val="101820"/>
          <w:sz w:val="21"/>
        </w:rPr>
        <w:t xml:space="preserve">), the </w:t>
      </w:r>
      <w:r>
        <w:rPr>
          <w:rFonts w:eastAsia="Segoe UI" w:cs="Segoe UI" w:ascii="Segoe UI" w:hAnsi="Segoe UI"/>
          <w:b/>
          <w:color w:val="101820"/>
          <w:sz w:val="21"/>
        </w:rPr>
        <w:t>Line offered</w:t>
      </w:r>
      <w:r>
        <w:rPr>
          <w:rFonts w:eastAsia="Segoe UI" w:cs="Segoe UI" w:ascii="Segoe UI" w:hAnsi="Segoe UI"/>
          <w:color w:val="101820"/>
          <w:sz w:val="21"/>
        </w:rPr>
        <w:t xml:space="preserve"> (the share the insurer will write), </w:t>
      </w:r>
      <w:r>
        <w:rPr>
          <w:rFonts w:eastAsia="Segoe UI" w:cs="Segoe UI" w:ascii="Segoe UI" w:hAnsi="Segoe UI"/>
          <w:b/>
          <w:color w:val="101820"/>
          <w:sz w:val="21"/>
        </w:rPr>
        <w:t>Taxes</w:t>
      </w:r>
      <w:r>
        <w:rPr>
          <w:rFonts w:eastAsia="Segoe UI" w:cs="Segoe UI" w:ascii="Segoe UI" w:hAnsi="Segoe UI"/>
          <w:color w:val="101820"/>
          <w:sz w:val="21"/>
        </w:rPr>
        <w:t xml:space="preserve"> and </w:t>
      </w:r>
      <w:r>
        <w:rPr>
          <w:rFonts w:eastAsia="Segoe UI" w:cs="Segoe UI" w:ascii="Segoe UI" w:hAnsi="Segoe UI"/>
          <w:b/>
          <w:color w:val="101820"/>
          <w:sz w:val="21"/>
        </w:rPr>
        <w:t>Gross premium</w:t>
      </w:r>
      <w:r>
        <w:rPr>
          <w:rFonts w:eastAsia="Segoe UI" w:cs="Segoe UI" w:ascii="Segoe UI" w:hAnsi="Segoe UI"/>
          <w:color w:val="101820"/>
          <w:sz w:val="21"/>
        </w:rPr>
        <w:t xml:space="preserve"> if the insurer stated them (otherwise </w:t>
      </w:r>
      <w:r>
        <w:rPr>
          <w:rFonts w:eastAsia="Segoe UI" w:cs="Segoe UI" w:ascii="Segoe UI" w:hAnsi="Segoe UI"/>
          <w:b/>
          <w:color w:val="101820"/>
          <w:sz w:val="21"/>
        </w:rPr>
        <w:t>Computed</w:t>
      </w:r>
      <w:r>
        <w:rPr>
          <w:rFonts w:eastAsia="Segoe UI" w:cs="Segoe UI" w:ascii="Segoe UI" w:hAnsi="Segoe UI"/>
          <w:color w:val="101820"/>
          <w:sz w:val="21"/>
        </w:rPr>
        <w:t xml:space="preserve">), </w:t>
      </w:r>
      <w:r>
        <w:rPr>
          <w:rFonts w:eastAsia="Segoe UI" w:cs="Segoe UI" w:ascii="Segoe UI" w:hAnsi="Segoe UI"/>
          <w:b/>
          <w:color w:val="101820"/>
          <w:sz w:val="21"/>
        </w:rPr>
        <w:t>Valid until</w:t>
      </w:r>
      <w:r>
        <w:rPr>
          <w:rFonts w:eastAsia="Segoe UI" w:cs="Segoe UI" w:ascii="Segoe UI" w:hAnsi="Segoe UI"/>
          <w:color w:val="101820"/>
          <w:sz w:val="21"/>
        </w:rPr>
        <w:t xml:space="preserve">, </w:t>
      </w:r>
      <w:r>
        <w:rPr>
          <w:rFonts w:eastAsia="Segoe UI" w:cs="Segoe UI" w:ascii="Segoe UI" w:hAnsi="Segoe UI"/>
          <w:b/>
          <w:color w:val="101820"/>
          <w:sz w:val="21"/>
        </w:rPr>
        <w:t>Deductibles</w:t>
      </w:r>
      <w:r>
        <w:rPr>
          <w:rFonts w:eastAsia="Segoe UI" w:cs="Segoe UI" w:ascii="Segoe UI" w:hAnsi="Segoe UI"/>
          <w:color w:val="101820"/>
          <w:sz w:val="21"/>
        </w:rPr>
        <w:t xml:space="preserve">, </w:t>
      </w:r>
      <w:r>
        <w:rPr>
          <w:rFonts w:eastAsia="Segoe UI" w:cs="Segoe UI" w:ascii="Segoe UI" w:hAnsi="Segoe UI"/>
          <w:b/>
          <w:color w:val="101820"/>
          <w:sz w:val="21"/>
        </w:rPr>
        <w:t>Special terms and conditions</w:t>
      </w:r>
      <w:r>
        <w:rPr>
          <w:rFonts w:eastAsia="Segoe UI" w:cs="Segoe UI" w:ascii="Segoe UI" w:hAnsi="Segoe UI"/>
          <w:color w:val="101820"/>
          <w:sz w:val="21"/>
        </w:rPr>
        <w:t xml:space="preserve"> and the </w:t>
      </w:r>
      <w:r>
        <w:rPr>
          <w:rFonts w:eastAsia="Segoe UI" w:cs="Segoe UI" w:ascii="Segoe UI" w:hAnsi="Segoe UI"/>
          <w:b/>
          <w:color w:val="101820"/>
          <w:sz w:val="21"/>
        </w:rPr>
        <w:t>Insurer reference</w:t>
      </w:r>
      <w:r>
        <w:rPr>
          <w:rFonts w:eastAsia="Segoe UI" w:cs="Segoe UI" w:ascii="Segoe UI" w:hAnsi="Segoe UI"/>
          <w:color w:val="101820"/>
          <w:sz w:val="21"/>
        </w:rPr>
        <w:t xml:space="preserve">. Attach the insurer's letter with </w:t>
      </w:r>
      <w:r>
        <w:rPr>
          <w:rFonts w:eastAsia="Segoe UI" w:cs="Segoe UI" w:ascii="Segoe UI" w:hAnsi="Segoe UI"/>
          <w:b/>
          <w:color w:val="101820"/>
          <w:sz w:val="21"/>
        </w:rPr>
        <w:t>Attach the offer</w:t>
      </w:r>
      <w:r>
        <w:rPr>
          <w:rFonts w:eastAsia="Segoe UI" w:cs="Segoe UI" w:ascii="Segoe UI" w:hAnsi="Segoe UI"/>
          <w:color w:val="101820"/>
          <w:sz w:val="21"/>
        </w:rPr>
        <w:t>.</w:t>
      </w:r>
    </w:p>
    <w:p>
      <w:pPr>
        <w:pStyle w:val="Normal"/>
        <w:numPr>
          <w:ilvl w:val="0"/>
          <w:numId w:val="154"/>
        </w:numPr>
        <w:spacing w:before="0" w:after="60"/>
        <w:rPr/>
      </w:pPr>
      <w:r>
        <w:rPr>
          <w:rFonts w:eastAsia="Segoe UI" w:cs="Segoe UI" w:ascii="Segoe UI" w:hAnsi="Segoe UI"/>
          <w:color w:val="101820"/>
          <w:sz w:val="21"/>
        </w:rPr>
        <w:t xml:space="preserve">For a decline, select </w:t>
      </w:r>
      <w:r>
        <w:rPr>
          <w:rFonts w:eastAsia="Segoe UI" w:cs="Segoe UI" w:ascii="Segoe UI" w:hAnsi="Segoe UI"/>
          <w:b/>
          <w:color w:val="101820"/>
          <w:sz w:val="21"/>
        </w:rPr>
        <w:t>Record decline</w:t>
      </w:r>
      <w:r>
        <w:rPr>
          <w:rFonts w:eastAsia="Segoe UI" w:cs="Segoe UI" w:ascii="Segoe UI" w:hAnsi="Segoe UI"/>
          <w:color w:val="101820"/>
          <w:sz w:val="21"/>
        </w:rPr>
        <w:t xml:space="preserve"> and enter the </w:t>
      </w:r>
      <w:r>
        <w:rPr>
          <w:rFonts w:eastAsia="Segoe UI" w:cs="Segoe UI" w:ascii="Segoe UI" w:hAnsi="Segoe UI"/>
          <w:b/>
          <w:color w:val="101820"/>
          <w:sz w:val="21"/>
        </w:rPr>
        <w:t>Reason for declining</w:t>
      </w:r>
      <w:r>
        <w:rPr>
          <w:rFonts w:eastAsia="Segoe UI" w:cs="Segoe UI" w:ascii="Segoe UI" w:hAnsi="Segoe UI"/>
          <w:color w:val="101820"/>
          <w:sz w:val="21"/>
        </w:rPr>
        <w:t>.</w:t>
      </w:r>
    </w:p>
    <w:p>
      <w:pPr>
        <w:pStyle w:val="Normal"/>
        <w:numPr>
          <w:ilvl w:val="0"/>
          <w:numId w:val="15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reads Response of (insurer) recorded.</w:t>
      </w:r>
    </w:p>
    <w:p>
      <w:pPr>
        <w:pStyle w:val="Normal"/>
        <w:spacing w:lineRule="auto" w:line="276" w:before="0" w:after="120"/>
        <w:rPr/>
      </w:pPr>
      <w:r>
        <w:rPr>
          <w:rFonts w:eastAsia="Segoe UI" w:cs="Segoe UI" w:ascii="Segoe UI" w:hAnsi="Segoe UI"/>
          <w:color w:val="101820"/>
          <w:sz w:val="21"/>
        </w:rPr>
        <w:t xml:space="preserve">The request becomes </w:t>
      </w:r>
      <w:r>
        <w:rPr>
          <w:rFonts w:eastAsia="Segoe UI" w:cs="Segoe UI" w:ascii="Segoe UI" w:hAnsi="Segoe UI"/>
          <w:b/>
          <w:color w:val="101820"/>
          <w:sz w:val="21"/>
        </w:rPr>
        <w:t>Responses in</w:t>
      </w:r>
      <w:r>
        <w:rPr>
          <w:rFonts w:eastAsia="Segoe UI" w:cs="Segoe UI" w:ascii="Segoe UI" w:hAnsi="Segoe UI"/>
          <w:color w:val="101820"/>
          <w:sz w:val="21"/>
        </w:rPr>
        <w:t xml:space="preserve"> with the first answer. </w:t>
      </w:r>
      <w:r>
        <w:rPr>
          <w:rFonts w:eastAsia="Segoe UI" w:cs="Segoe UI" w:ascii="Segoe UI" w:hAnsi="Segoe UI"/>
          <w:b/>
          <w:color w:val="101820"/>
          <w:sz w:val="21"/>
        </w:rPr>
        <w:t>Add insurer</w:t>
      </w:r>
      <w:r>
        <w:rPr>
          <w:rFonts w:eastAsia="Segoe UI" w:cs="Segoe UI" w:ascii="Segoe UI" w:hAnsi="Segoe UI"/>
          <w:color w:val="101820"/>
          <w:sz w:val="21"/>
        </w:rPr>
        <w:t xml:space="preserve"> approaches another insurer on an open request; that insurer receives its own request.</w:t>
      </w:r>
    </w:p>
    <w:p>
      <w:pPr>
        <w:pStyle w:val="Heading3"/>
        <w:rPr/>
      </w:pPr>
      <w:r>
        <w:rPr>
          <w:rFonts w:eastAsia="Segoe UI" w:cs="Segoe UI"/>
          <w:b/>
          <w:color w:val="0F4761"/>
          <w:sz w:val="23"/>
        </w:rPr>
        <w:t>8.5.3  Compare the offers and choose the security</w:t>
      </w:r>
    </w:p>
    <w:p>
      <w:pPr>
        <w:pStyle w:val="Normal"/>
        <w:jc w:val="center"/>
        <w:rPr/>
      </w:pPr>
      <w:r>
        <w:rPr/>
        <w:drawing>
          <wp:inline distT="0" distB="0" distL="0" distR="0">
            <wp:extent cx="5760085" cy="4116070"/>
            <wp:effectExtent l="0" t="0" r="0" b="0"/>
            <wp:docPr id="63" name="Picture 21212882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121288243" descr=""/>
                    <pic:cNvPicPr>
                      <a:picLocks noChangeAspect="1" noChangeArrowheads="1"/>
                    </pic:cNvPicPr>
                  </pic:nvPicPr>
                  <pic:blipFill>
                    <a:blip r:embed="rId59"/>
                    <a:stretch>
                      <a:fillRect/>
                    </a:stretch>
                  </pic:blipFill>
                  <pic:spPr bwMode="auto">
                    <a:xfrm>
                      <a:off x="0" y="0"/>
                      <a:ext cx="5760085" cy="4116070"/>
                    </a:xfrm>
                    <a:prstGeom prst="rect">
                      <a:avLst/>
                    </a:prstGeom>
                  </pic:spPr>
                </pic:pic>
              </a:graphicData>
            </a:graphic>
          </wp:inline>
        </w:drawing>
      </w:r>
    </w:p>
    <w:p>
      <w:pPr>
        <w:pStyle w:val="Normal"/>
        <w:jc w:val="center"/>
        <w:rPr/>
      </w:pPr>
      <w:r>
        <w:rPr>
          <w:rFonts w:eastAsia="Segoe UI" w:cs="Segoe UI" w:ascii="Segoe UI" w:hAnsi="Segoe UI"/>
          <w:i/>
          <w:color w:val="555F6D"/>
          <w:sz w:val="18"/>
        </w:rPr>
        <w:t>Compare offers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Compare offers</w:t>
      </w:r>
      <w:r>
        <w:rPr>
          <w:rFonts w:eastAsia="Segoe UI" w:cs="Segoe UI" w:ascii="Segoe UI" w:hAnsi="Segoe UI"/>
          <w:color w:val="101820"/>
          <w:sz w:val="21"/>
        </w:rPr>
        <w:t xml:space="preserve"> ranks the offers by gross premium and marks the cheapest </w:t>
      </w:r>
      <w:r>
        <w:rPr>
          <w:rFonts w:eastAsia="Segoe UI" w:cs="Segoe UI" w:ascii="Segoe UI" w:hAnsi="Segoe UI"/>
          <w:b/>
          <w:color w:val="101820"/>
          <w:sz w:val="21"/>
        </w:rPr>
        <w:t>Best</w:t>
      </w:r>
      <w:r>
        <w:rPr>
          <w:rFonts w:eastAsia="Segoe UI" w:cs="Segoe UI" w:ascii="Segoe UI" w:hAnsi="Segoe UI"/>
          <w:color w:val="101820"/>
          <w:sz w:val="21"/>
        </w:rPr>
        <w:t>. For each offer it shows the difference to the best (</w:t>
      </w:r>
      <w:r>
        <w:rPr>
          <w:rFonts w:eastAsia="Segoe UI" w:cs="Segoe UI" w:ascii="Segoe UI" w:hAnsi="Segoe UI"/>
          <w:b/>
          <w:color w:val="101820"/>
          <w:sz w:val="21"/>
        </w:rPr>
        <w:t>vs best</w:t>
      </w:r>
      <w:r>
        <w:rPr>
          <w:rFonts w:eastAsia="Segoe UI" w:cs="Segoe UI" w:ascii="Segoe UI" w:hAnsi="Segoe UI"/>
          <w:color w:val="101820"/>
          <w:sz w:val="21"/>
        </w:rPr>
        <w:t xml:space="preserve">), the rate and deductibles. The summary line counts the offers, declines and pending insurers and the </w:t>
      </w:r>
      <w:r>
        <w:rPr>
          <w:rFonts w:eastAsia="Segoe UI" w:cs="Segoe UI" w:ascii="Segoe UI" w:hAnsi="Segoe UI"/>
          <w:b/>
          <w:color w:val="101820"/>
          <w:sz w:val="21"/>
        </w:rPr>
        <w:t>Market capacity (lines offered)</w:t>
      </w:r>
      <w:r>
        <w:rPr>
          <w:rFonts w:eastAsia="Segoe UI" w:cs="Segoe UI" w:ascii="Segoe UI" w:hAnsi="Segoe UI"/>
          <w:color w:val="101820"/>
          <w:sz w:val="21"/>
        </w:rPr>
        <w:t>.</w:t>
      </w:r>
    </w:p>
    <w:p>
      <w:pPr>
        <w:pStyle w:val="Normal"/>
        <w:numPr>
          <w:ilvl w:val="0"/>
          <w:numId w:val="156"/>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Select</w:t>
      </w:r>
      <w:r>
        <w:rPr>
          <w:rFonts w:eastAsia="Segoe UI" w:cs="Segoe UI" w:ascii="Segoe UI" w:hAnsi="Segoe UI"/>
          <w:color w:val="101820"/>
          <w:sz w:val="21"/>
        </w:rPr>
        <w:t xml:space="preserve"> on each offer to place. One offer at 100% is a single-insurer placement; several offers make a co-insurance led by the insurer you choose, and the premium follows the lead's terms.</w:t>
      </w:r>
    </w:p>
    <w:p>
      <w:pPr>
        <w:pStyle w:val="Normal"/>
        <w:numPr>
          <w:ilvl w:val="0"/>
          <w:numId w:val="15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Lead</w:t>
      </w:r>
      <w:r>
        <w:rPr>
          <w:rFonts w:eastAsia="Segoe UI" w:cs="Segoe UI" w:ascii="Segoe UI" w:hAnsi="Segoe UI"/>
          <w:color w:val="101820"/>
          <w:sz w:val="21"/>
        </w:rPr>
        <w:t xml:space="preserve"> with the radio button.</w:t>
      </w:r>
    </w:p>
    <w:p>
      <w:pPr>
        <w:pStyle w:val="Normal"/>
        <w:numPr>
          <w:ilvl w:val="0"/>
          <w:numId w:val="158"/>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Share taken</w:t>
      </w:r>
      <w:r>
        <w:rPr>
          <w:rFonts w:eastAsia="Segoe UI" w:cs="Segoe UI" w:ascii="Segoe UI" w:hAnsi="Segoe UI"/>
          <w:color w:val="101820"/>
          <w:sz w:val="21"/>
        </w:rPr>
        <w:t xml:space="preserve"> of each selected offer. </w:t>
      </w:r>
      <w:r>
        <w:rPr>
          <w:rFonts w:eastAsia="Segoe UI" w:cs="Segoe UI" w:ascii="Segoe UI" w:hAnsi="Segoe UI"/>
          <w:b/>
          <w:color w:val="101820"/>
          <w:sz w:val="21"/>
        </w:rPr>
        <w:t>Selected shares total</w:t>
      </w:r>
      <w:r>
        <w:rPr>
          <w:rFonts w:eastAsia="Segoe UI" w:cs="Segoe UI" w:ascii="Segoe UI" w:hAnsi="Segoe UI"/>
          <w:color w:val="101820"/>
          <w:sz w:val="21"/>
        </w:rPr>
        <w:t xml:space="preserve"> must be exactly 100%.</w:t>
      </w:r>
    </w:p>
    <w:p>
      <w:pPr>
        <w:pStyle w:val="Normal"/>
        <w:numPr>
          <w:ilvl w:val="0"/>
          <w:numId w:val="15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 Quotation Slip</w:t>
      </w:r>
      <w:r>
        <w:rPr>
          <w:rFonts w:eastAsia="Segoe UI" w:cs="Segoe UI" w:ascii="Segoe UI" w:hAnsi="Segoe UI"/>
          <w:color w:val="101820"/>
          <w:sz w:val="21"/>
        </w:rPr>
        <w:t xml:space="preserve"> when the client must see and accept the terms first, or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to send the firm order straight away. The buttons offered follow the placement journey of the line.</w:t>
      </w:r>
    </w:p>
    <w:p>
      <w:pPr>
        <w:pStyle w:val="Normal"/>
        <w:spacing w:lineRule="auto" w:line="276" w:before="0" w:after="120"/>
        <w:rPr/>
      </w:pPr>
      <w:r>
        <w:rPr>
          <w:rFonts w:eastAsia="Segoe UI" w:cs="Segoe UI" w:ascii="Segoe UI" w:hAnsi="Segoe UI"/>
          <w:color w:val="101820"/>
          <w:sz w:val="21"/>
        </w:rPr>
        <w:t xml:space="preserve">The request is then Closed and its progress bar links to the next records. </w:t>
      </w:r>
      <w:r>
        <w:rPr>
          <w:rFonts w:eastAsia="Segoe UI" w:cs="Segoe UI" w:ascii="Segoe UI" w:hAnsi="Segoe UI"/>
          <w:b/>
          <w:color w:val="101820"/>
          <w:sz w:val="21"/>
        </w:rPr>
        <w:t>Risk and covers</w:t>
      </w:r>
      <w:r>
        <w:rPr>
          <w:rFonts w:eastAsia="Segoe UI" w:cs="Segoe UI" w:ascii="Segoe UI" w:hAnsi="Segoe UI"/>
          <w:color w:val="101820"/>
          <w:sz w:val="21"/>
        </w:rPr>
        <w:t xml:space="preserve"> repeats the risk details and covers. To stop a request, select </w:t>
      </w:r>
      <w:r>
        <w:rPr>
          <w:rFonts w:eastAsia="Segoe UI" w:cs="Segoe UI" w:ascii="Segoe UI" w:hAnsi="Segoe UI"/>
          <w:b/>
          <w:color w:val="101820"/>
          <w:sz w:val="21"/>
        </w:rPr>
        <w:t>Cancel / close</w:t>
      </w:r>
      <w:r>
        <w:rPr>
          <w:rFonts w:eastAsia="Segoe UI" w:cs="Segoe UI" w:ascii="Segoe UI" w:hAnsi="Segoe UI"/>
          <w:color w:val="101820"/>
          <w:sz w:val="21"/>
        </w:rPr>
        <w:t xml:space="preserve"> and choose </w:t>
      </w:r>
      <w:r>
        <w:rPr>
          <w:rFonts w:eastAsia="Segoe UI" w:cs="Segoe UI" w:ascii="Segoe UI" w:hAnsi="Segoe UI"/>
          <w:b/>
          <w:color w:val="101820"/>
          <w:sz w:val="21"/>
        </w:rPr>
        <w:t>Cancel slip</w:t>
      </w:r>
      <w:r>
        <w:rPr>
          <w:rFonts w:eastAsia="Segoe UI" w:cs="Segoe UI" w:ascii="Segoe UI" w:hAnsi="Segoe UI"/>
          <w:color w:val="101820"/>
          <w:sz w:val="21"/>
        </w:rPr>
        <w:t xml:space="preserve"> (withdrawn) or </w:t>
      </w:r>
      <w:r>
        <w:rPr>
          <w:rFonts w:eastAsia="Segoe UI" w:cs="Segoe UI" w:ascii="Segoe UI" w:hAnsi="Segoe UI"/>
          <w:b/>
          <w:color w:val="101820"/>
          <w:sz w:val="21"/>
        </w:rPr>
        <w:t>Close (not taken up)</w:t>
      </w:r>
      <w:r>
        <w:rPr>
          <w:rFonts w:eastAsia="Segoe UI" w:cs="Segoe UI" w:ascii="Segoe UI" w:hAnsi="Segoe UI"/>
          <w:color w:val="101820"/>
          <w:sz w:val="21"/>
        </w:rPr>
        <w:t xml:space="preserve"> with the reason.</w:t>
      </w:r>
    </w:p>
    <w:p>
      <w:pPr>
        <w:pStyle w:val="Normal"/>
        <w:jc w:val="center"/>
        <w:rPr/>
      </w:pPr>
      <w:r>
        <w:rPr/>
        <w:drawing>
          <wp:inline distT="0" distB="0" distL="0" distR="0">
            <wp:extent cx="5760085" cy="3898265"/>
            <wp:effectExtent l="0" t="0" r="0" b="0"/>
            <wp:docPr id="64" name="Picture 21212882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121288244" descr=""/>
                    <pic:cNvPicPr>
                      <a:picLocks noChangeAspect="1" noChangeArrowheads="1"/>
                    </pic:cNvPicPr>
                  </pic:nvPicPr>
                  <pic:blipFill>
                    <a:blip r:embed="rId60"/>
                    <a:stretch>
                      <a:fillRect/>
                    </a:stretch>
                  </pic:blipFill>
                  <pic:spPr bwMode="auto">
                    <a:xfrm>
                      <a:off x="0" y="0"/>
                      <a:ext cx="5760085" cy="3898265"/>
                    </a:xfrm>
                    <a:prstGeom prst="rect">
                      <a:avLst/>
                    </a:prstGeom>
                  </pic:spPr>
                </pic:pic>
              </a:graphicData>
            </a:graphic>
          </wp:inline>
        </w:drawing>
      </w:r>
    </w:p>
    <w:p>
      <w:pPr>
        <w:pStyle w:val="Normal"/>
        <w:jc w:val="center"/>
        <w:rPr/>
      </w:pPr>
      <w:r>
        <w:rPr>
          <w:rFonts w:eastAsia="Segoe UI" w:cs="Segoe UI" w:ascii="Segoe UI" w:hAnsi="Segoe UI"/>
          <w:i/>
          <w:color w:val="555F6D"/>
          <w:sz w:val="18"/>
        </w:rPr>
        <w:t>Risk and covers</w:t>
      </w:r>
    </w:p>
    <w:p>
      <w:pPr>
        <w:pStyle w:val="Heading2"/>
        <w:rPr/>
      </w:pPr>
      <w:bookmarkStart w:id="60" w:name="__RefHeading___Toc107375_4049217194"/>
      <w:bookmarkEnd w:id="60"/>
      <w:r>
        <w:rPr>
          <w:rFonts w:eastAsia="Segoe UI" w:cs="Segoe UI"/>
          <w:b/>
          <w:color w:val="0F4761"/>
          <w:sz w:val="26"/>
        </w:rPr>
        <w:t>8.6  Quotation Slips</w:t>
      </w:r>
    </w:p>
    <w:p>
      <w:pPr>
        <w:pStyle w:val="Normal"/>
        <w:spacing w:lineRule="auto" w:line="276" w:before="0" w:after="120"/>
        <w:rPr/>
      </w:pPr>
      <w:r>
        <w:rPr>
          <w:rFonts w:eastAsia="Segoe UI" w:cs="Segoe UI" w:ascii="Segoe UI" w:hAnsi="Segoe UI"/>
          <w:color w:val="101820"/>
          <w:sz w:val="21"/>
        </w:rPr>
        <w:t xml:space="preserve">A Quotation Slip prepared from a request is a quotation (QT-YYYY-NNNNN) with the chosen insurer or insurers and their shares. It opens on Quotations like any other quotation, shows its placement journey and follows the statuses and the customer response described in the Sales &amp; Marketing chapter. The account executive sends it to the client; when the client accepts,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it.</w:t>
      </w:r>
    </w:p>
    <w:p>
      <w:pPr>
        <w:pStyle w:val="Normal"/>
        <w:jc w:val="center"/>
        <w:rPr/>
      </w:pPr>
      <w:r>
        <w:rPr/>
        <w:drawing>
          <wp:inline distT="0" distB="0" distL="0" distR="0">
            <wp:extent cx="5760085" cy="6455410"/>
            <wp:effectExtent l="0" t="0" r="0" b="0"/>
            <wp:docPr id="65" name="Picture 21212882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21288245" descr=""/>
                    <pic:cNvPicPr>
                      <a:picLocks noChangeAspect="1" noChangeArrowheads="1"/>
                    </pic:cNvPicPr>
                  </pic:nvPicPr>
                  <pic:blipFill>
                    <a:blip r:embed="rId61"/>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Quotation Slip converted to a policy, with its placement journey</w:t>
      </w:r>
    </w:p>
    <w:p>
      <w:pPr>
        <w:pStyle w:val="Heading2"/>
        <w:rPr/>
      </w:pPr>
      <w:bookmarkStart w:id="61" w:name="__RefHeading___Toc107377_4049217194"/>
      <w:bookmarkEnd w:id="61"/>
      <w:r>
        <w:rPr>
          <w:rFonts w:eastAsia="Segoe UI" w:cs="Segoe UI"/>
          <w:b/>
          <w:color w:val="0F4761"/>
          <w:sz w:val="26"/>
        </w:rPr>
        <w:t>8.7  Placement Slips</w:t>
      </w:r>
    </w:p>
    <w:p>
      <w:pPr>
        <w:pStyle w:val="Normal"/>
        <w:jc w:val="center"/>
        <w:rPr/>
      </w:pPr>
      <w:r>
        <w:rPr/>
        <w:drawing>
          <wp:inline distT="0" distB="0" distL="0" distR="0">
            <wp:extent cx="5760085" cy="4469130"/>
            <wp:effectExtent l="0" t="0" r="0" b="0"/>
            <wp:docPr id="66" name="Picture 2121288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121288246" descr=""/>
                    <pic:cNvPicPr>
                      <a:picLocks noChangeAspect="1" noChangeArrowheads="1"/>
                    </pic:cNvPicPr>
                  </pic:nvPicPr>
                  <pic:blipFill>
                    <a:blip r:embed="rId6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Placement Slips</w:t>
      </w:r>
    </w:p>
    <w:p>
      <w:pPr>
        <w:pStyle w:val="Normal"/>
        <w:spacing w:lineRule="auto" w:line="276" w:before="0" w:after="120"/>
        <w:rPr/>
      </w:pPr>
      <w:r>
        <w:rPr>
          <w:rFonts w:eastAsia="Segoe UI" w:cs="Segoe UI" w:ascii="Segoe UI" w:hAnsi="Segoe UI"/>
          <w:color w:val="101820"/>
          <w:sz w:val="21"/>
        </w:rPr>
        <w:t xml:space="preserve">Choose Operations &gt; Sales &amp; Marketing &gt; Placement Slips. The cards count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BOUND</w:t>
      </w:r>
      <w:r>
        <w:rPr>
          <w:rFonts w:eastAsia="Segoe UI" w:cs="Segoe UI" w:ascii="Segoe UI" w:hAnsi="Segoe UI"/>
          <w:color w:val="101820"/>
          <w:sz w:val="21"/>
        </w:rPr>
        <w:t xml:space="preserve"> and </w:t>
      </w:r>
      <w:r>
        <w:rPr>
          <w:rFonts w:eastAsia="Segoe UI" w:cs="Segoe UI" w:ascii="Segoe UI" w:hAnsi="Segoe UI"/>
          <w:b/>
          <w:color w:val="101820"/>
          <w:sz w:val="21"/>
        </w:rPr>
        <w:t>POLICY ISSUED</w:t>
      </w:r>
      <w:r>
        <w:rPr>
          <w:rFonts w:eastAsia="Segoe UI" w:cs="Segoe UI" w:ascii="Segoe UI" w:hAnsi="Segoe UI"/>
          <w:color w:val="101820"/>
          <w:sz w:val="21"/>
        </w:rPr>
        <w:t xml:space="preserve">; the filters choose a status and a source. Each row shows </w:t>
      </w:r>
      <w:r>
        <w:rPr>
          <w:rFonts w:eastAsia="Segoe UI" w:cs="Segoe UI" w:ascii="Segoe UI" w:hAnsi="Segoe UI"/>
          <w:b/>
          <w:color w:val="101820"/>
          <w:sz w:val="21"/>
        </w:rPr>
        <w:t>Placement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Lead insurer</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Confirmed</w:t>
      </w:r>
      <w:r>
        <w:rPr>
          <w:rFonts w:eastAsia="Segoe UI" w:cs="Segoe UI" w:ascii="Segoe UI" w:hAnsi="Segoe UI"/>
          <w:color w:val="101820"/>
          <w:sz w:val="21"/>
        </w:rPr>
        <w:t xml:space="preserve"> (insurers confirmed / participants), </w:t>
      </w:r>
      <w:r>
        <w:rPr>
          <w:rFonts w:eastAsia="Segoe UI" w:cs="Segoe UI" w:ascii="Segoe UI" w:hAnsi="Segoe UI"/>
          <w:b/>
          <w:color w:val="101820"/>
          <w:sz w:val="21"/>
        </w:rPr>
        <w:t>Source</w:t>
      </w:r>
      <w:r>
        <w:rPr>
          <w:rFonts w:eastAsia="Segoe UI" w:cs="Segoe UI" w:ascii="Segoe UI" w:hAnsi="Segoe UI"/>
          <w:color w:val="101820"/>
          <w:sz w:val="21"/>
        </w:rPr>
        <w:t xml:space="preserve"> (From quotation slip, From broker slip, Direct placement or Recorded policy),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Policy</w:t>
      </w:r>
      <w:r>
        <w:rPr>
          <w:rFonts w:eastAsia="Segoe UI" w:cs="Segoe UI" w:ascii="Segoe UI" w:hAnsi="Segoe UI"/>
          <w:color w:val="101820"/>
          <w:sz w:val="21"/>
        </w:rPr>
        <w:t xml:space="preserve"> issued.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not yet sent; participants can still be changed.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insurer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was e-mailed to each participant.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participant has confirmed; the policy can be issued.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participant declined its line: edit the participants or cancel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has been issued from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placement slip comes from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on a request, from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an accepted quotation, or from </w:t>
      </w:r>
      <w:r>
        <w:rPr>
          <w:rFonts w:eastAsia="Segoe UI" w:cs="Segoe UI" w:ascii="Segoe UI" w:hAnsi="Segoe UI"/>
          <w:b/>
          <w:color w:val="101820"/>
          <w:sz w:val="21"/>
        </w:rPr>
        <w:t>New direct placement</w:t>
      </w:r>
      <w:r>
        <w:rPr>
          <w:rFonts w:eastAsia="Segoe UI" w:cs="Segoe UI" w:ascii="Segoe UI" w:hAnsi="Segoe UI"/>
          <w:color w:val="101820"/>
          <w:sz w:val="21"/>
        </w:rPr>
        <w:t xml:space="preserve"> when the client instructs placement with named insurers and no quotation slip is needed.</w:t>
      </w:r>
    </w:p>
    <w:p>
      <w:pPr>
        <w:pStyle w:val="Heading3"/>
        <w:rPr/>
      </w:pPr>
      <w:r>
        <w:rPr>
          <w:rFonts w:eastAsia="Segoe UI" w:cs="Segoe UI"/>
          <w:b/>
          <w:color w:val="0F4761"/>
          <w:sz w:val="23"/>
        </w:rPr>
        <w:t>8.7.1  Create a direct placement</w:t>
      </w:r>
    </w:p>
    <w:p>
      <w:pPr>
        <w:pStyle w:val="Normal"/>
        <w:jc w:val="center"/>
        <w:rPr/>
      </w:pPr>
      <w:r>
        <w:rPr/>
        <w:drawing>
          <wp:inline distT="0" distB="0" distL="0" distR="0">
            <wp:extent cx="5760085" cy="5129530"/>
            <wp:effectExtent l="0" t="0" r="0" b="0"/>
            <wp:docPr id="67" name="Picture 21212882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121288247" descr=""/>
                    <pic:cNvPicPr>
                      <a:picLocks noChangeAspect="1" noChangeArrowheads="1"/>
                    </pic:cNvPicPr>
                  </pic:nvPicPr>
                  <pic:blipFill>
                    <a:blip r:embed="rId63"/>
                    <a:stretch>
                      <a:fillRect/>
                    </a:stretch>
                  </pic:blipFill>
                  <pic:spPr bwMode="auto">
                    <a:xfrm>
                      <a:off x="0" y="0"/>
                      <a:ext cx="5760085" cy="51295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Placement</w:t>
      </w:r>
    </w:p>
    <w:p>
      <w:pPr>
        <w:pStyle w:val="Normal"/>
        <w:numPr>
          <w:ilvl w:val="0"/>
          <w:numId w:val="16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direct placement</w:t>
      </w:r>
      <w:r>
        <w:rPr>
          <w:rFonts w:eastAsia="Segoe UI" w:cs="Segoe UI" w:ascii="Segoe UI" w:hAnsi="Segoe UI"/>
          <w:color w:val="101820"/>
          <w:sz w:val="21"/>
        </w:rPr>
        <w:t>.</w:t>
      </w:r>
    </w:p>
    <w:p>
      <w:pPr>
        <w:pStyle w:val="Normal"/>
        <w:numPr>
          <w:ilvl w:val="0"/>
          <w:numId w:val="161"/>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Client, Prospect or New insured;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Risk details</w:t>
      </w:r>
      <w:r>
        <w:rPr>
          <w:rFonts w:eastAsia="Segoe UI" w:cs="Segoe UI" w:ascii="Segoe UI" w:hAnsi="Segoe UI"/>
          <w:color w:val="101820"/>
          <w:sz w:val="21"/>
        </w:rPr>
        <w:t>).</w:t>
      </w:r>
    </w:p>
    <w:p>
      <w:pPr>
        <w:pStyle w:val="Normal"/>
        <w:numPr>
          <w:ilvl w:val="0"/>
          <w:numId w:val="16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Period and premium</w:t>
      </w:r>
      <w:r>
        <w:rPr>
          <w:rFonts w:eastAsia="Segoe UI" w:cs="Segoe UI" w:ascii="Segoe UI" w:hAnsi="Segoe UI"/>
          <w:color w:val="101820"/>
          <w:sz w:val="21"/>
        </w:rPr>
        <w:t xml:space="preserve">, enter </w:t>
      </w:r>
      <w:r>
        <w:rPr>
          <w:rFonts w:eastAsia="Segoe UI" w:cs="Segoe UI" w:ascii="Segoe UI" w:hAnsi="Segoe UI"/>
          <w:b/>
          <w:color w:val="101820"/>
          <w:sz w:val="21"/>
        </w:rPr>
        <w:t>Inception</w:t>
      </w:r>
      <w:r>
        <w:rPr>
          <w:rFonts w:eastAsia="Segoe UI" w:cs="Segoe UI" w:ascii="Segoe UI" w:hAnsi="Segoe UI"/>
          <w:color w:val="101820"/>
          <w:sz w:val="21"/>
        </w:rPr>
        <w:t xml:space="preserve"> (required),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(required), </w:t>
      </w:r>
      <w:r>
        <w:rPr>
          <w:rFonts w:eastAsia="Segoe UI" w:cs="Segoe UI" w:ascii="Segoe UI" w:hAnsi="Segoe UI"/>
          <w:b/>
          <w:color w:val="101820"/>
          <w:sz w:val="21"/>
        </w:rPr>
        <w:t>Commission rate</w:t>
      </w:r>
      <w:r>
        <w:rPr>
          <w:rFonts w:eastAsia="Segoe UI" w:cs="Segoe UI" w:ascii="Segoe UI" w:hAnsi="Segoe UI"/>
          <w:color w:val="101820"/>
          <w:sz w:val="21"/>
        </w:rPr>
        <w:t xml:space="preserve"> (empty: the insurer's default) and </w:t>
      </w:r>
      <w:r>
        <w:rPr>
          <w:rFonts w:eastAsia="Segoe UI" w:cs="Segoe UI" w:ascii="Segoe UI" w:hAnsi="Segoe UI"/>
          <w:b/>
          <w:color w:val="101820"/>
          <w:sz w:val="21"/>
        </w:rPr>
        <w:t>Billing mode</w:t>
      </w:r>
      <w:r>
        <w:rPr>
          <w:rFonts w:eastAsia="Segoe UI" w:cs="Segoe UI" w:ascii="Segoe UI" w:hAnsi="Segoe UI"/>
          <w:color w:val="101820"/>
          <w:sz w:val="21"/>
        </w:rPr>
        <w:t xml:space="preserve"> (empty: System default),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16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choose each insurer with </w:t>
      </w:r>
      <w:r>
        <w:rPr>
          <w:rFonts w:eastAsia="Segoe UI" w:cs="Segoe UI" w:ascii="Segoe UI" w:hAnsi="Segoe UI"/>
          <w:b/>
          <w:color w:val="101820"/>
          <w:sz w:val="21"/>
        </w:rPr>
        <w:t>Add insurer</w:t>
      </w:r>
      <w:r>
        <w:rPr>
          <w:rFonts w:eastAsia="Segoe UI" w:cs="Segoe UI" w:ascii="Segoe UI" w:hAnsi="Segoe UI"/>
          <w:color w:val="101820"/>
          <w:sz w:val="21"/>
        </w:rPr>
        <w:t xml:space="preserve">, enter its </w:t>
      </w:r>
      <w:r>
        <w:rPr>
          <w:rFonts w:eastAsia="Segoe UI" w:cs="Segoe UI" w:ascii="Segoe UI" w:hAnsi="Segoe UI"/>
          <w:b/>
          <w:color w:val="101820"/>
          <w:sz w:val="21"/>
        </w:rPr>
        <w:t>Share</w:t>
      </w:r>
      <w:r>
        <w:rPr>
          <w:rFonts w:eastAsia="Segoe UI" w:cs="Segoe UI" w:ascii="Segoe UI" w:hAnsi="Segoe UI"/>
          <w:color w:val="101820"/>
          <w:sz w:val="21"/>
        </w:rPr>
        <w:t xml:space="preserve"> and tick </w:t>
      </w:r>
      <w:r>
        <w:rPr>
          <w:rFonts w:eastAsia="Segoe UI" w:cs="Segoe UI" w:ascii="Segoe UI" w:hAnsi="Segoe UI"/>
          <w:b/>
          <w:color w:val="101820"/>
          <w:sz w:val="21"/>
        </w:rPr>
        <w:t>Lead</w:t>
      </w:r>
      <w:r>
        <w:rPr>
          <w:rFonts w:eastAsia="Segoe UI" w:cs="Segoe UI" w:ascii="Segoe UI" w:hAnsi="Segoe UI"/>
          <w:color w:val="101820"/>
          <w:sz w:val="21"/>
        </w:rPr>
        <w:t xml:space="preserve"> for one of them. The line under the table says whether the shares total 100% and whether the placement is a co-insurance or a single insurer.</w:t>
      </w:r>
    </w:p>
    <w:p>
      <w:pPr>
        <w:pStyle w:val="Normal"/>
        <w:numPr>
          <w:ilvl w:val="0"/>
          <w:numId w:val="16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Placement Slip</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rules: at least one insurer; an insurer can take part only once; every share above 0%; exactly one lead; shares total exactly 100%.</w:t>
      </w:r>
    </w:p>
    <w:p>
      <w:pPr>
        <w:pStyle w:val="Heading3"/>
        <w:rPr/>
      </w:pPr>
      <w:r>
        <w:rPr>
          <w:rFonts w:eastAsia="Segoe UI" w:cs="Segoe UI"/>
          <w:b/>
          <w:color w:val="0F4761"/>
          <w:sz w:val="23"/>
        </w:rPr>
        <w:t>8.7.2  Send the firm order and record confirmations</w:t>
      </w:r>
    </w:p>
    <w:p>
      <w:pPr>
        <w:pStyle w:val="Normal"/>
        <w:jc w:val="center"/>
        <w:rPr/>
      </w:pPr>
      <w:r>
        <w:rPr/>
        <w:drawing>
          <wp:inline distT="0" distB="0" distL="0" distR="0">
            <wp:extent cx="5760085" cy="3932555"/>
            <wp:effectExtent l="0" t="0" r="0" b="0"/>
            <wp:docPr id="68" name="Picture 21212882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2121288248" descr=""/>
                    <pic:cNvPicPr>
                      <a:picLocks noChangeAspect="1" noChangeArrowheads="1"/>
                    </pic:cNvPicPr>
                  </pic:nvPicPr>
                  <pic:blipFill>
                    <a:blip r:embed="rId64"/>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Placement Slip PS-2026-00023 with its security, premium and summary</w:t>
      </w:r>
    </w:p>
    <w:p>
      <w:pPr>
        <w:pStyle w:val="Normal"/>
        <w:numPr>
          <w:ilvl w:val="0"/>
          <w:numId w:val="165"/>
        </w:numPr>
        <w:spacing w:before="0" w:after="60"/>
        <w:rPr/>
      </w:pPr>
      <w:r>
        <w:rPr>
          <w:rFonts w:eastAsia="Segoe UI" w:cs="Segoe UI" w:ascii="Segoe UI" w:hAnsi="Segoe UI"/>
          <w:color w:val="101820"/>
          <w:sz w:val="21"/>
        </w:rPr>
        <w:t xml:space="preserve">Open the placement slip.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lists each insurer with role (Lead or Co-insurer), </w:t>
      </w:r>
      <w:r>
        <w:rPr>
          <w:rFonts w:eastAsia="Segoe UI" w:cs="Segoe UI" w:ascii="Segoe UI" w:hAnsi="Segoe UI"/>
          <w:b/>
          <w:color w:val="101820"/>
          <w:sz w:val="21"/>
        </w:rPr>
        <w:t>Share</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w:t>
      </w:r>
      <w:r>
        <w:rPr>
          <w:rFonts w:eastAsia="Segoe UI" w:cs="Segoe UI" w:ascii="Segoe UI" w:hAnsi="Segoe UI"/>
          <w:color w:val="101820"/>
          <w:sz w:val="21"/>
        </w:rPr>
        <w:t xml:space="preserve">,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Policy / certificate no.</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Below are the </w:t>
      </w:r>
      <w:r>
        <w:rPr>
          <w:rFonts w:eastAsia="Segoe UI" w:cs="Segoe UI" w:ascii="Segoe UI" w:hAnsi="Segoe UI"/>
          <w:b/>
          <w:color w:val="101820"/>
          <w:sz w:val="21"/>
        </w:rPr>
        <w:t>Premium</w:t>
      </w:r>
      <w:r>
        <w:rPr>
          <w:rFonts w:eastAsia="Segoe UI" w:cs="Segoe UI" w:ascii="Segoe UI" w:hAnsi="Segoe UI"/>
          <w:color w:val="101820"/>
          <w:sz w:val="21"/>
        </w:rPr>
        <w:t xml:space="preserve"> breakdown (sum insured, net premium, VAT, documentary stamp tax, local government tax, gross premium, commission), the </w:t>
      </w:r>
      <w:r>
        <w:rPr>
          <w:rFonts w:eastAsia="Segoe UI" w:cs="Segoe UI" w:ascii="Segoe UI" w:hAnsi="Segoe UI"/>
          <w:b/>
          <w:color w:val="101820"/>
          <w:sz w:val="21"/>
        </w:rPr>
        <w:t>Summary</w:t>
      </w:r>
      <w:r>
        <w:rPr>
          <w:rFonts w:eastAsia="Segoe UI" w:cs="Segoe UI" w:ascii="Segoe UI" w:hAnsi="Segoe UI"/>
          <w:color w:val="101820"/>
          <w:sz w:val="21"/>
        </w:rPr>
        <w:t xml:space="preserve"> and the </w:t>
      </w:r>
      <w:r>
        <w:rPr>
          <w:rFonts w:eastAsia="Segoe UI" w:cs="Segoe UI" w:ascii="Segoe UI" w:hAnsi="Segoe UI"/>
          <w:b/>
          <w:color w:val="101820"/>
          <w:sz w:val="21"/>
        </w:rPr>
        <w:t>Risk</w:t>
      </w:r>
      <w:r>
        <w:rPr>
          <w:rFonts w:eastAsia="Segoe UI" w:cs="Segoe UI" w:ascii="Segoe UI" w:hAnsi="Segoe UI"/>
          <w:color w:val="101820"/>
          <w:sz w:val="21"/>
        </w:rPr>
        <w:t>.</w:t>
      </w:r>
    </w:p>
    <w:p>
      <w:pPr>
        <w:pStyle w:val="Normal"/>
        <w:numPr>
          <w:ilvl w:val="0"/>
          <w:numId w:val="16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to insurer(s)</w:t>
      </w:r>
      <w:r>
        <w:rPr>
          <w:rFonts w:eastAsia="Segoe UI" w:cs="Segoe UI" w:ascii="Segoe UI" w:hAnsi="Segoe UI"/>
          <w:color w:val="101820"/>
          <w:sz w:val="21"/>
        </w:rPr>
        <w:t xml:space="preserve">. Each participant receives a placing slip showing its own share; the status becomes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Resend to insurers</w:t>
      </w:r>
      <w:r>
        <w:rPr>
          <w:rFonts w:eastAsia="Segoe UI" w:cs="Segoe UI" w:ascii="Segoe UI" w:hAnsi="Segoe UI"/>
          <w:color w:val="101820"/>
          <w:sz w:val="21"/>
        </w:rPr>
        <w:t xml:space="preserve"> sends it again.</w:t>
      </w:r>
    </w:p>
    <w:p>
      <w:pPr>
        <w:pStyle w:val="Normal"/>
        <w:numPr>
          <w:ilvl w:val="0"/>
          <w:numId w:val="167"/>
        </w:numPr>
        <w:spacing w:before="0" w:after="60"/>
        <w:rPr/>
      </w:pPr>
      <w:r>
        <w:rPr>
          <w:rFonts w:eastAsia="Segoe UI" w:cs="Segoe UI" w:ascii="Segoe UI" w:hAnsi="Segoe UI"/>
          <w:color w:val="101820"/>
          <w:sz w:val="21"/>
        </w:rPr>
        <w:t xml:space="preserve">When an insurer confirms, select </w:t>
      </w:r>
      <w:r>
        <w:rPr>
          <w:rFonts w:eastAsia="Segoe UI" w:cs="Segoe UI" w:ascii="Segoe UI" w:hAnsi="Segoe UI"/>
          <w:b/>
          <w:color w:val="101820"/>
          <w:sz w:val="21"/>
        </w:rPr>
        <w:t>Confirm</w:t>
      </w:r>
      <w:r>
        <w:rPr>
          <w:rFonts w:eastAsia="Segoe UI" w:cs="Segoe UI" w:ascii="Segoe UI" w:hAnsi="Segoe UI"/>
          <w:color w:val="101820"/>
          <w:sz w:val="21"/>
        </w:rPr>
        <w:t xml:space="preserve"> on its row, enter the </w:t>
      </w:r>
      <w:r>
        <w:rPr>
          <w:rFonts w:eastAsia="Segoe UI" w:cs="Segoe UI" w:ascii="Segoe UI" w:hAnsi="Segoe UI"/>
          <w:b/>
          <w:color w:val="101820"/>
          <w:sz w:val="21"/>
        </w:rPr>
        <w:t>Insurer policy / certificate number</w:t>
      </w:r>
      <w:r>
        <w:rPr>
          <w:rFonts w:eastAsia="Segoe UI" w:cs="Segoe UI" w:ascii="Segoe UI" w:hAnsi="Segoe UI"/>
          <w:color w:val="101820"/>
          <w:sz w:val="21"/>
        </w:rPr>
        <w:t xml:space="preserve"> and save. The row becomes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168"/>
        </w:numPr>
        <w:spacing w:before="0" w:after="60"/>
        <w:rPr/>
      </w:pPr>
      <w:r>
        <w:rPr>
          <w:rFonts w:eastAsia="Segoe UI" w:cs="Segoe UI" w:ascii="Segoe UI" w:hAnsi="Segoe UI"/>
          <w:color w:val="101820"/>
          <w:sz w:val="21"/>
        </w:rPr>
        <w:t xml:space="preserve">When an insurer declines its line, select </w:t>
      </w:r>
      <w:r>
        <w:rPr>
          <w:rFonts w:eastAsia="Segoe UI" w:cs="Segoe UI" w:ascii="Segoe UI" w:hAnsi="Segoe UI"/>
          <w:b/>
          <w:color w:val="101820"/>
          <w:sz w:val="21"/>
        </w:rPr>
        <w:t>Declined</w:t>
      </w:r>
      <w:r>
        <w:rPr>
          <w:rFonts w:eastAsia="Segoe UI" w:cs="Segoe UI" w:ascii="Segoe UI" w:hAnsi="Segoe UI"/>
          <w:color w:val="101820"/>
          <w:sz w:val="21"/>
        </w:rPr>
        <w:t xml:space="preserve"> on its row and record the reason. Then use </w:t>
      </w:r>
      <w:r>
        <w:rPr>
          <w:rFonts w:eastAsia="Segoe UI" w:cs="Segoe UI" w:ascii="Segoe UI" w:hAnsi="Segoe UI"/>
          <w:b/>
          <w:color w:val="101820"/>
          <w:sz w:val="21"/>
        </w:rPr>
        <w:t>Edit participants</w:t>
      </w:r>
      <w:r>
        <w:rPr>
          <w:rFonts w:eastAsia="Segoe UI" w:cs="Segoe UI" w:ascii="Segoe UI" w:hAnsi="Segoe UI"/>
          <w:color w:val="101820"/>
          <w:sz w:val="21"/>
        </w:rPr>
        <w:t xml:space="preserve"> to replace the insurer or change the shares so that they total 100% again.</w:t>
      </w:r>
    </w:p>
    <w:p>
      <w:pPr>
        <w:pStyle w:val="Normal"/>
        <w:spacing w:lineRule="auto" w:line="276" w:before="0" w:after="120"/>
        <w:rPr/>
      </w:pPr>
      <w:r>
        <w:rPr>
          <w:rFonts w:eastAsia="Segoe UI" w:cs="Segoe UI" w:ascii="Segoe UI" w:hAnsi="Segoe UI"/>
          <w:color w:val="101820"/>
          <w:sz w:val="21"/>
        </w:rPr>
        <w:t xml:space="preserve">When every participant has confirmed, the slip becomes </w:t>
      </w:r>
      <w:r>
        <w:rPr>
          <w:rFonts w:eastAsia="Segoe UI" w:cs="Segoe UI" w:ascii="Segoe UI" w:hAnsi="Segoe UI"/>
          <w:b/>
          <w:color w:val="101820"/>
          <w:sz w:val="21"/>
        </w:rPr>
        <w:t>Bound</w:t>
      </w:r>
      <w:r>
        <w:rPr>
          <w:rFonts w:eastAsia="Segoe UI" w:cs="Segoe UI" w:ascii="Segoe UI" w:hAnsi="Segoe UI"/>
          <w:color w:val="101820"/>
          <w:sz w:val="21"/>
        </w:rPr>
        <w:t xml:space="preserve"> and the progress bar ticks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Slip PDF</w:t>
      </w:r>
      <w:r>
        <w:rPr>
          <w:rFonts w:eastAsia="Segoe UI" w:cs="Segoe UI" w:ascii="Segoe UI" w:hAnsi="Segoe UI"/>
          <w:color w:val="101820"/>
          <w:sz w:val="21"/>
        </w:rPr>
        <w:t xml:space="preserve"> prints the placing slip; the PDF icon on a participant's row prints the placement slip for that insurer's share.</w:t>
      </w:r>
    </w:p>
    <w:p>
      <w:pPr>
        <w:pStyle w:val="Heading3"/>
        <w:rPr/>
      </w:pPr>
      <w:r>
        <w:rPr>
          <w:rFonts w:eastAsia="Segoe UI" w:cs="Segoe UI"/>
          <w:b/>
          <w:color w:val="0F4761"/>
          <w:sz w:val="23"/>
        </w:rPr>
        <w:t>8.7.3  Issue the policy</w:t>
      </w:r>
    </w:p>
    <w:p>
      <w:pPr>
        <w:pStyle w:val="Normal"/>
        <w:spacing w:lineRule="auto" w:line="276" w:before="0" w:after="120"/>
        <w:rPr/>
      </w:pPr>
      <w:r>
        <w:rPr>
          <w:rFonts w:eastAsia="Segoe UI" w:cs="Segoe UI" w:ascii="Segoe UI" w:hAnsi="Segoe UI"/>
          <w:color w:val="101820"/>
          <w:sz w:val="21"/>
        </w:rPr>
        <w:t xml:space="preserve">On a bound placement slip, select </w:t>
      </w:r>
      <w:r>
        <w:rPr>
          <w:rFonts w:eastAsia="Segoe UI" w:cs="Segoe UI" w:ascii="Segoe UI" w:hAnsi="Segoe UI"/>
          <w:b/>
          <w:color w:val="101820"/>
          <w:sz w:val="21"/>
        </w:rPr>
        <w:t>Issue Policy</w:t>
      </w:r>
      <w:r>
        <w:rPr>
          <w:rFonts w:eastAsia="Segoe UI" w:cs="Segoe UI" w:ascii="Segoe UI" w:hAnsi="Segoe UI"/>
          <w:color w:val="101820"/>
          <w:sz w:val="21"/>
        </w:rPr>
        <w:t xml:space="preserve">. Check the identifiers the system fills in from the client, the quotation and earlier policies,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(blank: numbered by the system) and confirm. The system:</w:t>
      </w:r>
    </w:p>
    <w:p>
      <w:pPr>
        <w:pStyle w:val="Normal"/>
        <w:numPr>
          <w:ilvl w:val="0"/>
          <w:numId w:val="1"/>
        </w:numPr>
        <w:spacing w:before="0" w:after="60"/>
        <w:rPr/>
      </w:pPr>
      <w:r>
        <w:rPr>
          <w:rFonts w:eastAsia="Segoe UI" w:cs="Segoe UI" w:ascii="Segoe UI" w:hAnsi="Segoe UI"/>
          <w:color w:val="101820"/>
          <w:sz w:val="21"/>
        </w:rPr>
        <w:t>issues the policy and copies the participants, shares and insurer references to it;</w:t>
      </w:r>
    </w:p>
    <w:p>
      <w:pPr>
        <w:pStyle w:val="Normal"/>
        <w:numPr>
          <w:ilvl w:val="0"/>
          <w:numId w:val="1"/>
        </w:numPr>
        <w:spacing w:before="0" w:after="60"/>
        <w:rPr/>
      </w:pPr>
      <w:r>
        <w:rPr>
          <w:rFonts w:eastAsia="Segoe UI" w:cs="Segoe UI" w:ascii="Segoe UI" w:hAnsi="Segoe UI"/>
          <w:color w:val="101820"/>
          <w:sz w:val="21"/>
        </w:rPr>
        <w:t>creates the client from the prospect if the insured is not yet a client;</w:t>
      </w:r>
    </w:p>
    <w:p>
      <w:pPr>
        <w:pStyle w:val="Normal"/>
        <w:numPr>
          <w:ilvl w:val="0"/>
          <w:numId w:val="1"/>
        </w:numPr>
        <w:spacing w:before="0" w:after="60"/>
        <w:rPr/>
      </w:pPr>
      <w:r>
        <w:rPr>
          <w:rFonts w:eastAsia="Segoe UI" w:cs="Segoe UI" w:ascii="Segoe UI" w:hAnsi="Segoe UI"/>
          <w:color w:val="101820"/>
          <w:sz w:val="21"/>
        </w:rPr>
        <w:t>raises the premium bill to the client (broker billed) or books the commission due from the insurers (direct bill);</w:t>
      </w:r>
    </w:p>
    <w:p>
      <w:pPr>
        <w:pStyle w:val="Normal"/>
        <w:numPr>
          <w:ilvl w:val="0"/>
          <w:numId w:val="1"/>
        </w:numPr>
        <w:spacing w:before="0" w:after="60"/>
        <w:rPr/>
      </w:pPr>
      <w:r>
        <w:rPr>
          <w:rFonts w:eastAsia="Segoe UI" w:cs="Segoe UI" w:ascii="Segoe UI" w:hAnsi="Segoe UI"/>
          <w:color w:val="101820"/>
          <w:sz w:val="21"/>
        </w:rPr>
        <w:t>posts the journal with each insurer's payable and commission on its own line;</w:t>
      </w:r>
    </w:p>
    <w:p>
      <w:pPr>
        <w:pStyle w:val="Normal"/>
        <w:numPr>
          <w:ilvl w:val="0"/>
          <w:numId w:val="1"/>
        </w:numPr>
        <w:spacing w:before="0" w:after="60"/>
        <w:rPr/>
      </w:pPr>
      <w:r>
        <w:rPr>
          <w:rFonts w:eastAsia="Segoe UI" w:cs="Segoe UI" w:ascii="Segoe UI" w:hAnsi="Segoe UI"/>
          <w:color w:val="101820"/>
          <w:sz w:val="21"/>
        </w:rPr>
        <w:t xml:space="preserve">sets the slip to </w:t>
      </w:r>
      <w:r>
        <w:rPr>
          <w:rFonts w:eastAsia="Segoe UI" w:cs="Segoe UI" w:ascii="Segoe UI" w:hAnsi="Segoe UI"/>
          <w:b/>
          <w:color w:val="101820"/>
          <w:sz w:val="21"/>
        </w:rPr>
        <w:t>Policy issued</w:t>
      </w:r>
      <w:r>
        <w:rPr>
          <w:rFonts w:eastAsia="Segoe UI" w:cs="Segoe UI" w:ascii="Segoe UI" w:hAnsi="Segoe UI"/>
          <w:color w:val="101820"/>
          <w:sz w:val="21"/>
        </w:rPr>
        <w:t xml:space="preserve"> and links the policy. The message reads Policy (number) issued.</w:t>
      </w:r>
    </w:p>
    <w:p>
      <w:pPr>
        <w:pStyle w:val="Normal"/>
        <w:spacing w:lineRule="auto" w:line="276" w:before="0" w:after="120"/>
        <w:rPr/>
      </w:pPr>
      <w:r>
        <w:rPr>
          <w:rFonts w:eastAsia="Segoe UI" w:cs="Segoe UI" w:ascii="Segoe UI" w:hAnsi="Segoe UI"/>
          <w:color w:val="101820"/>
          <w:sz w:val="21"/>
        </w:rPr>
        <w:t>A user without policy issuing rights sees that all insurers confirmed and that a user with policy issuance rights can now issue the policy. A line that requires a placement slip refuses issue from the quotation with the message This line requires a Placement Slip before the policy is issued.</w:t>
      </w:r>
    </w:p>
    <w:p>
      <w:pPr>
        <w:pStyle w:val="Heading2"/>
        <w:rPr/>
      </w:pPr>
      <w:bookmarkStart w:id="62" w:name="__RefHeading___Toc107379_4049217194"/>
      <w:bookmarkEnd w:id="62"/>
      <w:r>
        <w:rPr>
          <w:rFonts w:eastAsia="Segoe UI" w:cs="Segoe UI"/>
          <w:b/>
          <w:color w:val="0F4761"/>
          <w:sz w:val="26"/>
        </w:rPr>
        <w:t>8.8  Record Issued Policy</w:t>
      </w:r>
    </w:p>
    <w:p>
      <w:pPr>
        <w:pStyle w:val="Normal"/>
        <w:spacing w:lineRule="auto" w:line="276" w:before="0" w:after="120"/>
        <w:rPr/>
      </w:pPr>
      <w:r>
        <w:rPr>
          <w:rFonts w:eastAsia="Segoe UI" w:cs="Segoe UI" w:ascii="Segoe UI" w:hAnsi="Segoe UI"/>
          <w:color w:val="101820"/>
          <w:sz w:val="21"/>
        </w:rPr>
        <w:t xml:space="preserve">Use </w:t>
      </w:r>
      <w:r>
        <w:rPr>
          <w:rFonts w:eastAsia="Segoe UI" w:cs="Segoe UI" w:ascii="Segoe UI" w:hAnsi="Segoe UI"/>
          <w:b/>
          <w:color w:val="101820"/>
          <w:sz w:val="21"/>
        </w:rPr>
        <w:t>Record Issued Policy</w:t>
      </w:r>
      <w:r>
        <w:rPr>
          <w:rFonts w:eastAsia="Segoe UI" w:cs="Segoe UI" w:ascii="Segoe UI" w:hAnsi="Segoe UI"/>
          <w:color w:val="101820"/>
          <w:sz w:val="21"/>
        </w:rPr>
        <w:t xml:space="preserve"> when the insurer has already issued the policy, for example a renewal the insurer processed itself or a policy placed before the account came to BrokerVerse. The policy, the bill and the commission are created in one step.</w:t>
      </w:r>
    </w:p>
    <w:p>
      <w:pPr>
        <w:pStyle w:val="Normal"/>
        <w:jc w:val="center"/>
        <w:rPr/>
      </w:pPr>
      <w:r>
        <w:rPr/>
        <w:drawing>
          <wp:inline distT="0" distB="0" distL="0" distR="0">
            <wp:extent cx="5760085" cy="5665470"/>
            <wp:effectExtent l="0" t="0" r="0" b="0"/>
            <wp:docPr id="69" name="Picture 21212882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121288249" descr=""/>
                    <pic:cNvPicPr>
                      <a:picLocks noChangeAspect="1" noChangeArrowheads="1"/>
                    </pic:cNvPicPr>
                  </pic:nvPicPr>
                  <pic:blipFill>
                    <a:blip r:embed="rId65"/>
                    <a:stretch>
                      <a:fillRect/>
                    </a:stretch>
                  </pic:blipFill>
                  <pic:spPr bwMode="auto">
                    <a:xfrm>
                      <a:off x="0" y="0"/>
                      <a:ext cx="5760085" cy="56654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Issued Policy</w:t>
      </w:r>
    </w:p>
    <w:p>
      <w:pPr>
        <w:pStyle w:val="Normal"/>
        <w:numPr>
          <w:ilvl w:val="0"/>
          <w:numId w:val="169"/>
        </w:numPr>
        <w:spacing w:before="0" w:after="60"/>
        <w:rPr/>
      </w:pPr>
      <w:r>
        <w:rPr>
          <w:rFonts w:eastAsia="Segoe UI" w:cs="Segoe UI" w:ascii="Segoe UI" w:hAnsi="Segoe UI"/>
          <w:color w:val="101820"/>
          <w:sz w:val="21"/>
        </w:rPr>
        <w:t xml:space="preserve">Choose Placement Slips and select </w:t>
      </w:r>
      <w:r>
        <w:rPr>
          <w:rFonts w:eastAsia="Segoe UI" w:cs="Segoe UI" w:ascii="Segoe UI" w:hAnsi="Segoe UI"/>
          <w:b/>
          <w:color w:val="101820"/>
          <w:sz w:val="21"/>
        </w:rPr>
        <w:t>Record Issued Policy</w:t>
      </w:r>
      <w:r>
        <w:rPr>
          <w:rFonts w:eastAsia="Segoe UI" w:cs="Segoe UI" w:ascii="Segoe UI" w:hAnsi="Segoe UI"/>
          <w:color w:val="101820"/>
          <w:sz w:val="21"/>
        </w:rPr>
        <w:t>.</w:t>
      </w:r>
    </w:p>
    <w:p>
      <w:pPr>
        <w:pStyle w:val="Normal"/>
        <w:numPr>
          <w:ilvl w:val="0"/>
          <w:numId w:val="170"/>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w:t>
      </w:r>
    </w:p>
    <w:p>
      <w:pPr>
        <w:pStyle w:val="Normal"/>
        <w:numPr>
          <w:ilvl w:val="0"/>
          <w:numId w:val="17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Policy, period and premium</w:t>
      </w:r>
      <w:r>
        <w:rPr>
          <w:rFonts w:eastAsia="Segoe UI" w:cs="Segoe UI" w:ascii="Segoe UI" w:hAnsi="Segoe UI"/>
          <w:color w:val="101820"/>
          <w:sz w:val="21"/>
        </w:rPr>
        <w:t xml:space="preserve">, enter the </w:t>
      </w:r>
      <w:r>
        <w:rPr>
          <w:rFonts w:eastAsia="Segoe UI" w:cs="Segoe UI" w:ascii="Segoe UI" w:hAnsi="Segoe UI"/>
          <w:b/>
          <w:color w:val="101820"/>
          <w:sz w:val="21"/>
        </w:rPr>
        <w:t>Insurer policy number</w:t>
      </w:r>
      <w:r>
        <w:rPr>
          <w:rFonts w:eastAsia="Segoe UI" w:cs="Segoe UI" w:ascii="Segoe UI" w:hAnsi="Segoe UI"/>
          <w:color w:val="101820"/>
          <w:sz w:val="21"/>
        </w:rPr>
        <w:t xml:space="preserve"> (blank: numbered by the system), </w:t>
      </w:r>
      <w:r>
        <w:rPr>
          <w:rFonts w:eastAsia="Segoe UI" w:cs="Segoe UI" w:ascii="Segoe UI" w:hAnsi="Segoe UI"/>
          <w:b/>
          <w:color w:val="101820"/>
          <w:sz w:val="21"/>
        </w:rPr>
        <w:t>Issued date</w:t>
      </w:r>
      <w:r>
        <w:rPr>
          <w:rFonts w:eastAsia="Segoe UI" w:cs="Segoe UI" w:ascii="Segoe UI" w:hAnsi="Segoe UI"/>
          <w:color w:val="101820"/>
          <w:sz w:val="21"/>
        </w:rPr>
        <w:t xml:space="preserve">, </w:t>
      </w:r>
      <w:r>
        <w:rPr>
          <w:rFonts w:eastAsia="Segoe UI" w:cs="Segoe UI" w:ascii="Segoe UI" w:hAnsi="Segoe UI"/>
          <w:b/>
          <w:color w:val="101820"/>
          <w:sz w:val="21"/>
        </w:rPr>
        <w:t>Inception</w:t>
      </w:r>
      <w:r>
        <w:rPr>
          <w:rFonts w:eastAsia="Segoe UI" w:cs="Segoe UI" w:ascii="Segoe UI" w:hAnsi="Segoe UI"/>
          <w:color w:val="101820"/>
          <w:sz w:val="21"/>
        </w:rPr>
        <w:t xml:space="preserve">,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Commission rate</w:t>
      </w:r>
      <w:r>
        <w:rPr>
          <w:rFonts w:eastAsia="Segoe UI" w:cs="Segoe UI" w:ascii="Segoe UI" w:hAnsi="Segoe UI"/>
          <w:color w:val="101820"/>
          <w:sz w:val="21"/>
        </w:rPr>
        <w:t xml:space="preserve">, </w:t>
      </w:r>
      <w:r>
        <w:rPr>
          <w:rFonts w:eastAsia="Segoe UI" w:cs="Segoe UI" w:ascii="Segoe UI" w:hAnsi="Segoe UI"/>
          <w:b/>
          <w:color w:val="101820"/>
          <w:sz w:val="21"/>
        </w:rPr>
        <w:t>Billing mode</w:t>
      </w:r>
      <w:r>
        <w:rPr>
          <w:rFonts w:eastAsia="Segoe UI" w:cs="Segoe UI" w:ascii="Segoe UI" w:hAnsi="Segoe UI"/>
          <w:color w:val="101820"/>
          <w:sz w:val="21"/>
        </w:rPr>
        <w:t xml:space="preserve">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17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add each participant with its share and its own </w:t>
      </w:r>
      <w:r>
        <w:rPr>
          <w:rFonts w:eastAsia="Segoe UI" w:cs="Segoe UI" w:ascii="Segoe UI" w:hAnsi="Segoe UI"/>
          <w:b/>
          <w:color w:val="101820"/>
          <w:sz w:val="21"/>
        </w:rPr>
        <w:t>Policy / certificate no.</w:t>
      </w:r>
      <w:r>
        <w:rPr>
          <w:rFonts w:eastAsia="Segoe UI" w:cs="Segoe UI" w:ascii="Segoe UI" w:hAnsi="Segoe UI"/>
          <w:color w:val="101820"/>
          <w:sz w:val="21"/>
        </w:rPr>
        <w:t>.</w:t>
      </w:r>
    </w:p>
    <w:p>
      <w:pPr>
        <w:pStyle w:val="Normal"/>
        <w:numPr>
          <w:ilvl w:val="0"/>
          <w:numId w:val="1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line whose journey does not allow a direct policy entry refuses it; place those risks through a placement slip.</w:t>
      </w:r>
    </w:p>
    <w:p>
      <w:pPr>
        <w:pStyle w:val="Heading2"/>
        <w:rPr/>
      </w:pPr>
      <w:bookmarkStart w:id="63" w:name="__RefHeading___Toc107381_4049217194"/>
      <w:bookmarkEnd w:id="63"/>
      <w:r>
        <w:rPr>
          <w:rFonts w:eastAsia="Segoe UI" w:cs="Segoe UI"/>
          <w:b/>
          <w:color w:val="0F4761"/>
          <w:sz w:val="26"/>
        </w:rPr>
        <w:t>8.9  Co-insured policies and premium accounting entries</w:t>
      </w:r>
    </w:p>
    <w:p>
      <w:pPr>
        <w:pStyle w:val="Normal"/>
        <w:jc w:val="center"/>
        <w:rPr/>
      </w:pPr>
      <w:r>
        <w:rPr/>
        <w:drawing>
          <wp:inline distT="0" distB="0" distL="0" distR="0">
            <wp:extent cx="5760085" cy="3634740"/>
            <wp:effectExtent l="0" t="0" r="0" b="0"/>
            <wp:docPr id="70" name="Picture 21212882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121288250" descr=""/>
                    <pic:cNvPicPr>
                      <a:picLocks noChangeAspect="1" noChangeArrowheads="1"/>
                    </pic:cNvPicPr>
                  </pic:nvPicPr>
                  <pic:blipFill>
                    <a:blip r:embed="rId66"/>
                    <a:stretch>
                      <a:fillRect/>
                    </a:stretch>
                  </pic:blipFill>
                  <pic:spPr bwMode="auto">
                    <a:xfrm>
                      <a:off x="0" y="0"/>
                      <a:ext cx="5760085" cy="3634740"/>
                    </a:xfrm>
                    <a:prstGeom prst="rect">
                      <a:avLst/>
                    </a:prstGeom>
                  </pic:spPr>
                </pic:pic>
              </a:graphicData>
            </a:graphic>
          </wp:inline>
        </w:drawing>
      </w:r>
    </w:p>
    <w:p>
      <w:pPr>
        <w:pStyle w:val="Normal"/>
        <w:jc w:val="center"/>
        <w:rPr/>
      </w:pPr>
      <w:r>
        <w:rPr>
          <w:rFonts w:eastAsia="Segoe UI" w:cs="Segoe UI" w:ascii="Segoe UI" w:hAnsi="Segoe UI"/>
          <w:i/>
          <w:color w:val="555F6D"/>
          <w:sz w:val="18"/>
        </w:rPr>
        <w:t>Policy POL-2026-00052: a co-insured fire policy</w:t>
      </w:r>
    </w:p>
    <w:p>
      <w:pPr>
        <w:pStyle w:val="Normal"/>
        <w:spacing w:lineRule="auto" w:line="276" w:before="0" w:after="120"/>
        <w:rPr/>
      </w:pPr>
      <w:r>
        <w:rPr>
          <w:rFonts w:eastAsia="Segoe UI" w:cs="Segoe UI" w:ascii="Segoe UI" w:hAnsi="Segoe UI"/>
          <w:color w:val="101820"/>
          <w:sz w:val="21"/>
        </w:rPr>
        <w:t xml:space="preserve">A co-insured policy lists its participants with role, share, sum insured, premium, taxes, gross premium, commission and policy or certificate number. Amounts are split by share; the rounding remainder goes to the lead. The same split is used for the bill journal, the remittance to each insurer, claim recoveries and the reports.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(Documents &amp; Billing on the policy) lists every journal line of the policy with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Document Date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Main Account</w:t>
      </w:r>
      <w:r>
        <w:rPr>
          <w:rFonts w:eastAsia="Segoe UI" w:cs="Segoe UI" w:ascii="Segoe UI" w:hAnsi="Segoe UI"/>
          <w:color w:val="101820"/>
          <w:sz w:val="21"/>
        </w:rPr>
        <w:t xml:space="preserve">, </w:t>
      </w:r>
      <w:r>
        <w:rPr>
          <w:rFonts w:eastAsia="Segoe UI" w:cs="Segoe UI" w:ascii="Segoe UI" w:hAnsi="Segoe UI"/>
          <w:b/>
          <w:color w:val="101820"/>
          <w:sz w:val="21"/>
        </w:rPr>
        <w:t>Dr/Cr</w:t>
      </w:r>
      <w:r>
        <w:rPr>
          <w:rFonts w:eastAsia="Segoe UI" w:cs="Segoe UI" w:ascii="Segoe UI" w:hAnsi="Segoe UI"/>
          <w:color w:val="101820"/>
          <w:sz w:val="21"/>
        </w:rPr>
        <w:t xml:space="preserve"> and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Filter by Entry Type</w:t>
      </w:r>
      <w:r>
        <w:rPr>
          <w:rFonts w:eastAsia="Segoe UI" w:cs="Segoe UI" w:ascii="Segoe UI" w:hAnsi="Segoe UI"/>
          <w:color w:val="101820"/>
          <w:sz w:val="21"/>
        </w:rPr>
        <w:t xml:space="preserve"> narrows the list.</w:t>
      </w:r>
    </w:p>
    <w:p>
      <w:pPr>
        <w:pStyle w:val="Normal"/>
        <w:jc w:val="center"/>
        <w:rPr/>
      </w:pPr>
      <w:r>
        <w:rPr/>
        <w:drawing>
          <wp:inline distT="0" distB="0" distL="0" distR="0">
            <wp:extent cx="5760085" cy="4469130"/>
            <wp:effectExtent l="0" t="0" r="0" b="0"/>
            <wp:docPr id="71" name="Picture 21212882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2121288251" descr=""/>
                    <pic:cNvPicPr>
                      <a:picLocks noChangeAspect="1" noChangeArrowheads="1"/>
                    </pic:cNvPicPr>
                  </pic:nvPicPr>
                  <pic:blipFill>
                    <a:blip r:embed="rId6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Accounting Entries of a co-insured policy</w:t>
      </w:r>
    </w:p>
    <w:p>
      <w:pPr>
        <w:pStyle w:val="Heading2"/>
        <w:rPr/>
      </w:pPr>
      <w:bookmarkStart w:id="64" w:name="__RefHeading___Toc107383_4049217194"/>
      <w:bookmarkEnd w:id="64"/>
      <w:r>
        <w:rPr>
          <w:rFonts w:eastAsia="Segoe UI" w:cs="Segoe UI"/>
          <w:b/>
          <w:color w:val="0F4761"/>
          <w:sz w:val="26"/>
        </w:rPr>
        <w:t>8.10  Complete an endorsement</w:t>
      </w:r>
    </w:p>
    <w:p>
      <w:pPr>
        <w:pStyle w:val="Normal"/>
        <w:spacing w:lineRule="auto" w:line="276" w:before="0" w:after="120"/>
        <w:rPr/>
      </w:pPr>
      <w:r>
        <w:rPr>
          <w:rFonts w:eastAsia="Segoe UI" w:cs="Segoe UI" w:ascii="Segoe UI" w:hAnsi="Segoe UI"/>
          <w:color w:val="101820"/>
          <w:sz w:val="21"/>
        </w:rPr>
        <w:t>Operations raises the endorsement request and sends it to the insurer (Operations chapter). When the insurer has issued its endorsement:</w:t>
      </w:r>
    </w:p>
    <w:p>
      <w:pPr>
        <w:pStyle w:val="Normal"/>
        <w:numPr>
          <w:ilvl w:val="0"/>
          <w:numId w:val="174"/>
        </w:numPr>
        <w:spacing w:before="0" w:after="60"/>
        <w:rPr/>
      </w:pPr>
      <w:r>
        <w:rPr>
          <w:rFonts w:eastAsia="Segoe UI" w:cs="Segoe UI" w:ascii="Segoe UI" w:hAnsi="Segoe UI"/>
          <w:color w:val="101820"/>
          <w:sz w:val="21"/>
        </w:rPr>
        <w:t xml:space="preserve">Open the endorsement (from the notification, the policy's endorsements, or the client's </w:t>
      </w:r>
      <w:r>
        <w:rPr>
          <w:rFonts w:eastAsia="Segoe UI" w:cs="Segoe UI" w:ascii="Segoe UI" w:hAnsi="Segoe UI"/>
          <w:b/>
          <w:color w:val="101820"/>
          <w:sz w:val="21"/>
        </w:rPr>
        <w:t>Endorsement</w:t>
      </w:r>
      <w:r>
        <w:rPr>
          <w:rFonts w:eastAsia="Segoe UI" w:cs="Segoe UI" w:ascii="Segoe UI" w:hAnsi="Segoe UI"/>
          <w:color w:val="101820"/>
          <w:sz w:val="21"/>
        </w:rPr>
        <w:t xml:space="preserve"> tab). It shows </w:t>
      </w:r>
      <w:r>
        <w:rPr>
          <w:rFonts w:eastAsia="Segoe UI" w:cs="Segoe UI" w:ascii="Segoe UI" w:hAnsi="Segoe UI"/>
          <w:b/>
          <w:color w:val="101820"/>
          <w:sz w:val="21"/>
        </w:rPr>
        <w:t>Waiting for Update</w:t>
      </w:r>
      <w:r>
        <w:rPr>
          <w:rFonts w:eastAsia="Segoe UI" w:cs="Segoe UI" w:ascii="Segoe UI" w:hAnsi="Segoe UI"/>
          <w:color w:val="101820"/>
          <w:sz w:val="21"/>
        </w:rPr>
        <w:t>.</w:t>
      </w:r>
    </w:p>
    <w:p>
      <w:pPr>
        <w:pStyle w:val="Normal"/>
        <w:numPr>
          <w:ilvl w:val="0"/>
          <w:numId w:val="17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Proceed</w:t>
      </w:r>
      <w:r>
        <w:rPr>
          <w:rFonts w:eastAsia="Segoe UI" w:cs="Segoe UI" w:ascii="Segoe UI" w:hAnsi="Segoe UI"/>
          <w:color w:val="101820"/>
          <w:sz w:val="21"/>
        </w:rPr>
        <w:t>, upload the insurer's endorsement document with the endorsement number and dates, and complete it.</w:t>
      </w:r>
    </w:p>
    <w:p>
      <w:pPr>
        <w:pStyle w:val="Normal"/>
        <w:numPr>
          <w:ilvl w:val="0"/>
          <w:numId w:val="176"/>
        </w:numPr>
        <w:spacing w:before="0" w:after="60"/>
        <w:rPr/>
      </w:pPr>
      <w:r>
        <w:rPr>
          <w:rFonts w:eastAsia="Segoe UI" w:cs="Segoe UI" w:ascii="Segoe UI" w:hAnsi="Segoe UI"/>
          <w:color w:val="101820"/>
          <w:sz w:val="21"/>
        </w:rPr>
        <w:t>The system applies the change to the policy and the client, bills additional premium or credits return premium, and notifies the policy owner.</w:t>
      </w:r>
    </w:p>
    <w:p>
      <w:pPr>
        <w:pStyle w:val="Heading2"/>
        <w:rPr/>
      </w:pPr>
      <w:bookmarkStart w:id="65" w:name="__RefHeading___Toc107385_4049217194"/>
      <w:bookmarkEnd w:id="65"/>
      <w:r>
        <w:rPr>
          <w:rFonts w:eastAsia="Segoe UI" w:cs="Segoe UI"/>
          <w:b/>
          <w:color w:val="0F4761"/>
          <w:sz w:val="26"/>
        </w:rPr>
        <w:t>8.11  Approve renewal terms</w:t>
      </w:r>
    </w:p>
    <w:p>
      <w:pPr>
        <w:pStyle w:val="Normal"/>
        <w:spacing w:lineRule="auto" w:line="276" w:before="0" w:after="120"/>
        <w:rPr/>
      </w:pPr>
      <w:r>
        <w:rPr>
          <w:rFonts w:eastAsia="Segoe UI" w:cs="Segoe UI" w:ascii="Segoe UI" w:hAnsi="Segoe UI"/>
          <w:color w:val="101820"/>
          <w:sz w:val="21"/>
        </w:rPr>
        <w:t xml:space="preserve">Renewal terms submitted from Renewals &gt; Negotiations with </w:t>
      </w:r>
      <w:r>
        <w:rPr>
          <w:rFonts w:eastAsia="Segoe UI" w:cs="Segoe UI" w:ascii="Segoe UI" w:hAnsi="Segoe UI"/>
          <w:b/>
          <w:color w:val="101820"/>
          <w:sz w:val="21"/>
        </w:rPr>
        <w:t>Request approval</w:t>
      </w:r>
      <w:r>
        <w:rPr>
          <w:rFonts w:eastAsia="Segoe UI" w:cs="Segoe UI" w:ascii="Segoe UI" w:hAnsi="Segoe UI"/>
          <w:color w:val="101820"/>
          <w:sz w:val="21"/>
        </w:rPr>
        <w:t xml:space="preserve"> come to the Processing Team (</w:t>
      </w:r>
      <w:r>
        <w:rPr>
          <w:rFonts w:eastAsia="Consolas" w:cs="Consolas" w:ascii="Consolas" w:hAnsi="Consolas"/>
          <w:color w:val="101820"/>
          <w:sz w:val="19"/>
        </w:rPr>
        <w:t>renewals.approver_roles</w:t>
      </w:r>
      <w:r>
        <w:rPr>
          <w:rFonts w:eastAsia="Segoe UI" w:cs="Segoe UI" w:ascii="Segoe UI" w:hAnsi="Segoe UI"/>
          <w:color w:val="101820"/>
          <w:sz w:val="21"/>
        </w:rPr>
        <w:t xml:space="preserve">, </w:t>
      </w:r>
      <w:r>
        <w:rPr>
          <w:rFonts w:eastAsia="Consolas" w:cs="Consolas" w:ascii="Consolas" w:hAnsi="Consolas"/>
          <w:color w:val="101820"/>
          <w:sz w:val="19"/>
        </w:rPr>
        <w:t>renewals.maker_checker</w:t>
      </w:r>
      <w:r>
        <w:rPr>
          <w:rFonts w:eastAsia="Segoe UI" w:cs="Segoe UI" w:ascii="Segoe UI" w:hAnsi="Segoe UI"/>
          <w:color w:val="101820"/>
          <w:sz w:val="21"/>
        </w:rPr>
        <w:t>). Open the notification or the negotiation, check the renewal premium, the change against the expiring premium and the loadings or discounts, and approve or return the terms. The maker cannot approve his or her own terms.</w:t>
      </w:r>
    </w:p>
    <w:p>
      <w:pPr>
        <w:pStyle w:val="Heading2"/>
        <w:rPr/>
      </w:pPr>
      <w:bookmarkStart w:id="66" w:name="__RefHeading___Toc107387_4049217194"/>
      <w:bookmarkEnd w:id="66"/>
      <w:r>
        <w:rPr>
          <w:rFonts w:eastAsia="Segoe UI" w:cs="Segoe UI"/>
          <w:b/>
          <w:color w:val="0F4761"/>
          <w:sz w:val="26"/>
        </w:rPr>
        <w:t>8.12  Product Configurator</w:t>
      </w:r>
    </w:p>
    <w:p>
      <w:pPr>
        <w:pStyle w:val="Normal"/>
        <w:jc w:val="center"/>
        <w:rPr/>
      </w:pPr>
      <w:r>
        <w:rPr/>
        <w:drawing>
          <wp:inline distT="0" distB="0" distL="0" distR="0">
            <wp:extent cx="5760085" cy="4469130"/>
            <wp:effectExtent l="0" t="0" r="0" b="0"/>
            <wp:docPr id="72" name="Picture 21212882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2121288252" descr=""/>
                    <pic:cNvPicPr>
                      <a:picLocks noChangeAspect="1" noChangeArrowheads="1"/>
                    </pic:cNvPicPr>
                  </pic:nvPicPr>
                  <pic:blipFill>
                    <a:blip r:embed="rId6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active products, total premium, average loss ratio and commission; </w:t>
            </w:r>
            <w:r>
              <w:rPr>
                <w:rFonts w:eastAsia="Segoe UI" w:cs="Segoe UI" w:ascii="Segoe UI" w:hAnsi="Segoe UI"/>
                <w:b/>
                <w:color w:val="101820"/>
                <w:kern w:val="0"/>
                <w:sz w:val="18"/>
                <w:szCs w:val="24"/>
                <w:lang w:val="en-US" w:eastAsia="ja-JP" w:bidi="ar-SA"/>
              </w:rPr>
              <w:t>Create New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w:t>
            </w:r>
            <w:r>
              <w:rPr>
                <w:rFonts w:eastAsia="Segoe UI" w:cs="Segoe UI" w:ascii="Segoe UI" w:hAnsi="Segoe UI"/>
                <w:b/>
                <w:color w:val="101820"/>
                <w:kern w:val="0"/>
                <w:sz w:val="18"/>
                <w:szCs w:val="24"/>
                <w:lang w:val="en-US" w:eastAsia="ja-JP" w:bidi="ar-SA"/>
              </w:rPr>
              <w:t>Create Template</w:t>
            </w:r>
            <w:r>
              <w:rPr>
                <w:rFonts w:eastAsia="Segoe UI" w:cs="Segoe UI" w:ascii="Segoe UI" w:hAnsi="Segoe UI"/>
                <w:color w:val="101820"/>
                <w:kern w:val="0"/>
                <w:sz w:val="18"/>
                <w:szCs w:val="24"/>
                <w:lang w:val="en-US" w:eastAsia="ja-JP" w:bidi="ar-SA"/>
              </w:rPr>
              <w:t>), version and edit product templates. Template statuses are Draft, Active, Retired; only active templates are used by the quotation screens.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covers: code, name, mandatory or optional, deductible and premium impact (</w:t>
            </w:r>
            <w:r>
              <w:rPr>
                <w:rFonts w:eastAsia="Segoe UI" w:cs="Segoe UI" w:ascii="Segoe UI" w:hAnsi="Segoe UI"/>
                <w:b/>
                <w:color w:val="101820"/>
                <w:kern w:val="0"/>
                <w:sz w:val="18"/>
                <w:szCs w:val="24"/>
                <w:lang w:val="en-US" w:eastAsia="ja-JP" w:bidi="ar-SA"/>
              </w:rPr>
              <w:t>Add Coverage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rating factors (vehicle age, driver age, no claim bonus, vehicle use, region and others) with their rules, and test them with the </w:t>
            </w:r>
            <w:r>
              <w:rPr>
                <w:rFonts w:eastAsia="Segoe UI" w:cs="Segoe UI" w:ascii="Segoe UI" w:hAnsi="Segoe UI"/>
                <w:b/>
                <w:color w:val="101820"/>
                <w:kern w:val="0"/>
                <w:sz w:val="18"/>
                <w:szCs w:val="24"/>
                <w:lang w:val="en-US" w:eastAsia="ja-JP" w:bidi="ar-SA"/>
              </w:rPr>
              <w:t>Test Calculator</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insurers' underwriting guidelines as acceptance, validation and loading rules (</w:t>
            </w:r>
            <w:r>
              <w:rPr>
                <w:rFonts w:eastAsia="Segoe UI" w:cs="Segoe UI" w:ascii="Segoe UI" w:hAnsi="Segoe UI"/>
                <w:b/>
                <w:color w:val="101820"/>
                <w:kern w:val="0"/>
                <w:sz w:val="18"/>
                <w:szCs w:val="24"/>
                <w:lang w:val="en-US" w:eastAsia="ja-JP" w:bidi="ar-SA"/>
              </w:rPr>
              <w:t>Add Rule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document templates per stage, for example the motor policy schedule and the CTPL certificate (</w:t>
            </w:r>
            <w:r>
              <w:rPr>
                <w:rFonts w:eastAsia="Segoe UI" w:cs="Segoe UI" w:ascii="Segoe UI" w:hAnsi="Segoe UI"/>
                <w:b/>
                <w:color w:val="101820"/>
                <w:kern w:val="0"/>
                <w:sz w:val="18"/>
                <w:szCs w:val="24"/>
                <w:lang w:val="en-US" w:eastAsia="ja-JP" w:bidi="ar-SA"/>
              </w:rPr>
              <w:t>Upload Template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 products to insurers with the insurer's code, commission, override and target (</w:t>
            </w:r>
            <w:r>
              <w:rPr>
                <w:rFonts w:eastAsia="Segoe UI" w:cs="Segoe UI" w:ascii="Segoe UI" w:hAnsi="Segoe UI"/>
                <w:b/>
                <w:color w:val="101820"/>
                <w:kern w:val="0"/>
                <w:sz w:val="18"/>
                <w:szCs w:val="24"/>
                <w:lang w:val="en-US" w:eastAsia="ja-JP" w:bidi="ar-SA"/>
              </w:rPr>
              <w:t>Map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Industrial All Risks is defined by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maintain the motor tariff, open the motor template with the pencil on Product Templates and its CTPL and Auto PA tab: for each vehicle class check the name, code, default seats and the CTPL amounts for 1 and 3 years; set the Auto Passenger PA rate and the limits per person offered; save the template. The quotation screens use the new values at once. The tax rates come from Master &gt; Configuration and are shown read-only in the template.</w:t>
      </w:r>
    </w:p>
    <w:p>
      <w:pPr>
        <w:pStyle w:val="Heading2"/>
        <w:rPr/>
      </w:pPr>
      <w:bookmarkStart w:id="67" w:name="__RefHeading___Toc107389_4049217194"/>
      <w:bookmarkEnd w:id="67"/>
      <w:r>
        <w:rPr>
          <w:rFonts w:eastAsia="Segoe UI" w:cs="Segoe UI"/>
          <w:b/>
          <w:color w:val="0F4761"/>
          <w:sz w:val="26"/>
        </w:rPr>
        <w:t>8.13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active treaties with type, line, utilisation, premium ceded and claims recovered, total and available capacity and the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the policies ceded per treaty with cession %, ceded premium, commission and status;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amount recoverable from reinsurers on a claim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our figures with a reinsurer's statement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variances above 1% (</w:t>
            </w:r>
            <w:r>
              <w:rPr>
                <w:rFonts w:eastAsia="Consolas" w:cs="Consolas" w:ascii="Consolas" w:hAnsi="Consolas"/>
                <w:color w:val="101820"/>
                <w:kern w:val="0"/>
                <w:sz w:val="16"/>
                <w:szCs w:val="24"/>
                <w:lang w:val="en-US" w:eastAsia="ja-JP" w:bidi="ar-SA"/>
              </w:rPr>
              <w:t>reinsurance.reconciliation_tolerance_percent</w:t>
            </w:r>
            <w:r>
              <w:rPr>
                <w:rFonts w:eastAsia="Segoe UI" w:cs="Segoe UI" w:ascii="Segoe UI" w:hAnsi="Segoe UI"/>
                <w:color w:val="101820"/>
                <w:kern w:val="0"/>
                <w:sz w:val="18"/>
                <w:szCs w:val="24"/>
                <w:lang w:val="en-US" w:eastAsia="ja-JP" w:bidi="ar-SA"/>
              </w:rPr>
              <w:t xml:space="preserve">) need review;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utilisation, loss ratio trend, retention against the target retention (65%), recovery performance and catastrophe exposure.</w:t>
            </w:r>
          </w:p>
        </w:tc>
      </w:tr>
    </w:tbl>
    <w:p>
      <w:pPr>
        <w:pStyle w:val="Normal"/>
        <w:spacing w:before="0" w:after="80"/>
        <w:rPr/>
      </w:pPr>
      <w:r>
        <w:rPr/>
      </w:r>
    </w:p>
    <w:p>
      <w:pPr>
        <w:pStyle w:val="Normal"/>
        <w:jc w:val="center"/>
        <w:rPr/>
      </w:pPr>
      <w:r>
        <w:rPr/>
        <w:drawing>
          <wp:inline distT="0" distB="0" distL="0" distR="0">
            <wp:extent cx="5760085" cy="4469130"/>
            <wp:effectExtent l="0" t="0" r="0" b="0"/>
            <wp:docPr id="73" name="Picture 21212882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2121288253" descr=""/>
                    <pic:cNvPicPr>
                      <a:picLocks noChangeAspect="1" noChangeArrowheads="1"/>
                    </pic:cNvPicPr>
                  </pic:nvPicPr>
                  <pic:blipFill>
                    <a:blip r:embed="rId6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Cession Tracking</w:t>
      </w:r>
    </w:p>
    <w:p>
      <w:pPr>
        <w:pStyle w:val="Normal"/>
        <w:spacing w:lineRule="auto" w:line="276" w:before="0" w:after="120"/>
        <w:rPr/>
      </w:pPr>
      <w:r>
        <w:rPr>
          <w:rFonts w:eastAsia="Segoe UI" w:cs="Segoe UI" w:ascii="Segoe UI" w:hAnsi="Segoe UI"/>
          <w:color w:val="101820"/>
          <w:sz w:val="21"/>
        </w:rPr>
        <w:t>A confirmed cession and a settled recovery are posted through their posting rules. The Reinsurance Cession Register report lists the cessions of a period.</w:t>
      </w:r>
    </w:p>
    <w:p>
      <w:pPr>
        <w:pStyle w:val="Heading2"/>
        <w:rPr/>
      </w:pPr>
      <w:bookmarkStart w:id="68" w:name="__RefHeading___Toc107391_4049217194"/>
      <w:bookmarkEnd w:id="68"/>
      <w:r>
        <w:rPr>
          <w:rFonts w:eastAsia="Segoe UI" w:cs="Segoe UI"/>
          <w:b/>
          <w:color w:val="0F4761"/>
          <w:sz w:val="26"/>
        </w:rPr>
        <w:t>8.14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of Operations and Sales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the Processing Team.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for approval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is notified and may approve quotations it did not create.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confirmations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the Processing Team; the policy is issued only when all participants have confirmed.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a second user.</w:t>
            </w:r>
          </w:p>
        </w:tc>
      </w:tr>
    </w:tbl>
    <w:p>
      <w:pPr>
        <w:pStyle w:val="Heading1"/>
        <w:rPr/>
      </w:pPr>
      <w:r>
        <w:br w:type="page"/>
      </w:r>
      <w:bookmarkStart w:id="69" w:name="__RefHeading___Toc107393_4049217194"/>
      <w:bookmarkEnd w:id="69"/>
      <w:r>
        <w:rPr>
          <w:rFonts w:eastAsia="Segoe UI" w:cs="Segoe UI" w:ascii="Segoe UI" w:hAnsi="Segoe UI"/>
          <w:b/>
          <w:color w:val="0F4761"/>
          <w:sz w:val="32"/>
        </w:rPr>
        <w:t>9.  Operations (client servicing)</w:t>
      </w:r>
    </w:p>
    <w:p>
      <w:pPr>
        <w:pStyle w:val="Heading2"/>
        <w:rPr/>
      </w:pPr>
      <w:bookmarkStart w:id="70" w:name="__RefHeading___Toc107395_4049217194"/>
      <w:bookmarkEnd w:id="70"/>
      <w:r>
        <w:rPr>
          <w:rFonts w:eastAsia="Segoe UI" w:cs="Segoe UI"/>
          <w:b/>
          <w:color w:val="0F4761"/>
          <w:sz w:val="26"/>
        </w:rPr>
        <w:t>9.1  Role summary</w:t>
      </w:r>
    </w:p>
    <w:p>
      <w:pPr>
        <w:pStyle w:val="Normal"/>
        <w:spacing w:lineRule="auto" w:line="276" w:before="0" w:after="120"/>
        <w:rPr/>
      </w:pPr>
      <w:r>
        <w:rPr>
          <w:rFonts w:eastAsia="Segoe UI" w:cs="Segoe UI" w:ascii="Segoe UI" w:hAnsi="Segoe UI"/>
          <w:color w:val="101820"/>
          <w:sz w:val="21"/>
        </w:rPr>
        <w:t>Operations (role Operations (Client Servicing)) looks after the clients once they are on the books: client records, endorsement requests, recording the client's payment, the daily open items, renewals and the documents sent to clients. Operations can also record prospects and quote package products in the same way as Sales &amp; Marketing.</w:t>
      </w:r>
    </w:p>
    <w:p>
      <w:pPr>
        <w:pStyle w:val="Normal"/>
        <w:jc w:val="center"/>
        <w:rPr/>
      </w:pPr>
      <w:r>
        <w:rPr/>
        <w:drawing>
          <wp:inline distT="0" distB="0" distL="0" distR="0">
            <wp:extent cx="5760085" cy="3252470"/>
            <wp:effectExtent l="0" t="0" r="0" b="0"/>
            <wp:docPr id="74" name="Picture 21212882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2121288254" descr=""/>
                    <pic:cNvPicPr>
                      <a:picLocks noChangeAspect="1" noChangeArrowheads="1"/>
                    </pic:cNvPicPr>
                  </pic:nvPicPr>
                  <pic:blipFill>
                    <a:blip r:embed="rId70"/>
                    <a:stretch>
                      <a:fillRect/>
                    </a:stretch>
                  </pic:blipFill>
                  <pic:spPr bwMode="auto">
                    <a:xfrm>
                      <a:off x="0" y="0"/>
                      <a:ext cx="5760085" cy="325247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Open Items</w:t>
      </w:r>
    </w:p>
    <w:p>
      <w:pPr>
        <w:pStyle w:val="Heading2"/>
        <w:rPr/>
      </w:pPr>
      <w:bookmarkStart w:id="71" w:name="__RefHeading___Toc107397_4049217194"/>
      <w:bookmarkEnd w:id="71"/>
      <w:r>
        <w:rPr>
          <w:rFonts w:eastAsia="Segoe UI" w:cs="Segoe UI"/>
          <w:b/>
          <w:color w:val="0F4761"/>
          <w:sz w:val="26"/>
        </w:rPr>
        <w:t>9.2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Heading2"/>
        <w:rPr/>
      </w:pPr>
      <w:bookmarkStart w:id="72" w:name="__RefHeading___Toc107399_4049217194"/>
      <w:bookmarkEnd w:id="72"/>
      <w:r>
        <w:rPr>
          <w:rFonts w:eastAsia="Segoe UI" w:cs="Segoe UI"/>
          <w:b/>
          <w:color w:val="0F4761"/>
          <w:sz w:val="26"/>
        </w:rPr>
        <w:t>9.3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3"/>
        <w:gridCol w:w="406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expiring policies, pending payments, pending quotations and renewal requests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client requests: policy details, documents, changes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endorsement requests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client payments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renewal queue and record contacts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notices; at-risk and lapsed policies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 At-Risk Policies, Lapse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renewal performance</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 Performance</w:t>
            </w:r>
          </w:p>
        </w:tc>
      </w:tr>
    </w:tbl>
    <w:p>
      <w:pPr>
        <w:pStyle w:val="Normal"/>
        <w:spacing w:before="0" w:after="80"/>
        <w:rPr/>
      </w:pPr>
      <w:r>
        <w:rPr/>
      </w:r>
    </w:p>
    <w:p>
      <w:pPr>
        <w:pStyle w:val="Heading2"/>
        <w:rPr/>
      </w:pPr>
      <w:bookmarkStart w:id="73" w:name="__RefHeading___Toc107401_4049217194"/>
      <w:bookmarkEnd w:id="73"/>
      <w:r>
        <w:rPr>
          <w:rFonts w:eastAsia="Segoe UI" w:cs="Segoe UI"/>
          <w:b/>
          <w:color w:val="0F4761"/>
          <w:sz w:val="26"/>
        </w:rPr>
        <w:t>9.4  Home and Open Items</w:t>
      </w:r>
    </w:p>
    <w:p>
      <w:pPr>
        <w:pStyle w:val="Normal"/>
        <w:spacing w:lineRule="auto" w:line="276" w:before="0" w:after="120"/>
        <w:rPr/>
      </w:pPr>
      <w:r>
        <w:rPr>
          <w:rFonts w:eastAsia="Segoe UI" w:cs="Segoe UI" w:ascii="Segoe UI" w:hAnsi="Segoe UI"/>
          <w:b/>
          <w:color w:val="101820"/>
          <w:sz w:val="21"/>
        </w:rPr>
        <w:t>Home</w:t>
      </w:r>
      <w:r>
        <w:rPr>
          <w:rFonts w:eastAsia="Segoe UI" w:cs="Segoe UI" w:ascii="Segoe UI" w:hAnsi="Segoe UI"/>
          <w:color w:val="101820"/>
          <w:sz w:val="21"/>
        </w:rPr>
        <w:t xml:space="preserve"> (Operations &gt; Home), titled Dashboard, shows </w:t>
      </w:r>
      <w:r>
        <w:rPr>
          <w:rFonts w:eastAsia="Segoe UI" w:cs="Segoe UI" w:ascii="Segoe UI" w:hAnsi="Segoe UI"/>
          <w:b/>
          <w:color w:val="101820"/>
          <w:sz w:val="21"/>
        </w:rPr>
        <w:t>Create Quote</w:t>
      </w:r>
      <w:r>
        <w:rPr>
          <w:rFonts w:eastAsia="Segoe UI" w:cs="Segoe UI" w:ascii="Segoe UI" w:hAnsi="Segoe UI"/>
          <w:color w:val="101820"/>
          <w:sz w:val="21"/>
        </w:rPr>
        <w:t xml:space="preserve">, the counts of prospects, clients and policies sold with </w:t>
      </w:r>
      <w:r>
        <w:rPr>
          <w:rFonts w:eastAsia="Segoe UI" w:cs="Segoe UI" w:ascii="Segoe UI" w:hAnsi="Segoe UI"/>
          <w:b/>
          <w:color w:val="101820"/>
          <w:sz w:val="21"/>
        </w:rPr>
        <w:t>See More</w:t>
      </w:r>
      <w:r>
        <w:rPr>
          <w:rFonts w:eastAsia="Segoe UI" w:cs="Segoe UI" w:ascii="Segoe UI" w:hAnsi="Segoe UI"/>
          <w:color w:val="101820"/>
          <w:sz w:val="21"/>
        </w:rPr>
        <w:t>, the commission chart, upcoming events from the activity monitor, and earned commission, collected premium, receivables and gross premium of the user's own book.</w:t>
      </w:r>
    </w:p>
    <w:p>
      <w:pPr>
        <w:pStyle w:val="Normal"/>
        <w:spacing w:lineRule="auto" w:line="276" w:before="0" w:after="120"/>
        <w:rPr/>
      </w:pPr>
      <w:r>
        <w:rPr>
          <w:rFonts w:eastAsia="Segoe UI" w:cs="Segoe UI" w:ascii="Segoe UI" w:hAnsi="Segoe UI"/>
          <w:b/>
          <w:color w:val="101820"/>
          <w:sz w:val="21"/>
        </w:rPr>
        <w:t>Open Items</w:t>
      </w:r>
      <w:r>
        <w:rPr>
          <w:rFonts w:eastAsia="Segoe UI" w:cs="Segoe UI" w:ascii="Segoe UI" w:hAnsi="Segoe UI"/>
          <w:color w:val="101820"/>
          <w:sz w:val="21"/>
        </w:rPr>
        <w:t xml:space="preserve"> (Operations &gt; Open Items) is the daily worklist. Four boxes show a count and the first records: </w:t>
      </w:r>
      <w:r>
        <w:rPr>
          <w:rFonts w:eastAsia="Segoe UI" w:cs="Segoe UI" w:ascii="Segoe UI" w:hAnsi="Segoe UI"/>
          <w:b/>
          <w:color w:val="101820"/>
          <w:sz w:val="21"/>
        </w:rPr>
        <w:t>Expiring Policy</w:t>
      </w:r>
      <w:r>
        <w:rPr>
          <w:rFonts w:eastAsia="Segoe UI" w:cs="Segoe UI" w:ascii="Segoe UI" w:hAnsi="Segoe UI"/>
          <w:color w:val="101820"/>
          <w:sz w:val="21"/>
        </w:rPr>
        <w:t xml:space="preserve">, </w:t>
      </w:r>
      <w:r>
        <w:rPr>
          <w:rFonts w:eastAsia="Segoe UI" w:cs="Segoe UI" w:ascii="Segoe UI" w:hAnsi="Segoe UI"/>
          <w:b/>
          <w:color w:val="101820"/>
          <w:sz w:val="21"/>
        </w:rPr>
        <w:t>Quote Pending</w:t>
      </w:r>
      <w:r>
        <w:rPr>
          <w:rFonts w:eastAsia="Segoe UI" w:cs="Segoe UI" w:ascii="Segoe UI" w:hAnsi="Segoe UI"/>
          <w:color w:val="101820"/>
          <w:sz w:val="21"/>
        </w:rPr>
        <w:t xml:space="preserve">, </w:t>
      </w:r>
      <w:r>
        <w:rPr>
          <w:rFonts w:eastAsia="Segoe UI" w:cs="Segoe UI" w:ascii="Segoe UI" w:hAnsi="Segoe UI"/>
          <w:b/>
          <w:color w:val="101820"/>
          <w:sz w:val="21"/>
        </w:rPr>
        <w:t>Pending Payments</w:t>
      </w:r>
      <w:r>
        <w:rPr>
          <w:rFonts w:eastAsia="Segoe UI" w:cs="Segoe UI" w:ascii="Segoe UI" w:hAnsi="Segoe UI"/>
          <w:color w:val="101820"/>
          <w:sz w:val="21"/>
        </w:rPr>
        <w:t xml:space="preserve"> and </w:t>
      </w:r>
      <w:r>
        <w:rPr>
          <w:rFonts w:eastAsia="Segoe UI" w:cs="Segoe UI" w:ascii="Segoe UI" w:hAnsi="Segoe UI"/>
          <w:b/>
          <w:color w:val="101820"/>
          <w:sz w:val="21"/>
        </w:rPr>
        <w:t>Renewal Request</w:t>
      </w:r>
      <w:r>
        <w:rPr>
          <w:rFonts w:eastAsia="Segoe UI" w:cs="Segoe UI" w:ascii="Segoe UI" w:hAnsi="Segoe UI"/>
          <w:color w:val="101820"/>
          <w:sz w:val="21"/>
        </w:rPr>
        <w:t xml:space="preserve">. Select </w:t>
      </w:r>
      <w:r>
        <w:rPr>
          <w:rFonts w:eastAsia="Segoe UI" w:cs="Segoe UI" w:ascii="Segoe UI" w:hAnsi="Segoe UI"/>
          <w:b/>
          <w:color w:val="101820"/>
          <w:sz w:val="21"/>
        </w:rPr>
        <w:t>See More</w:t>
      </w:r>
      <w:r>
        <w:rPr>
          <w:rFonts w:eastAsia="Segoe UI" w:cs="Segoe UI" w:ascii="Segoe UI" w:hAnsi="Segoe UI"/>
          <w:color w:val="101820"/>
          <w:sz w:val="21"/>
        </w:rPr>
        <w:t xml:space="preserve"> to open the full list of a box, and a record to open it.</w:t>
      </w:r>
    </w:p>
    <w:p>
      <w:pPr>
        <w:pStyle w:val="Heading2"/>
        <w:rPr/>
      </w:pPr>
      <w:bookmarkStart w:id="74" w:name="__RefHeading___Toc107403_4049217194"/>
      <w:bookmarkEnd w:id="74"/>
      <w:r>
        <w:rPr>
          <w:rFonts w:eastAsia="Segoe UI" w:cs="Segoe UI"/>
          <w:b/>
          <w:color w:val="0F4761"/>
          <w:sz w:val="26"/>
        </w:rPr>
        <w:t>9.5  Clients</w:t>
      </w:r>
    </w:p>
    <w:p>
      <w:pPr>
        <w:pStyle w:val="Normal"/>
        <w:jc w:val="center"/>
        <w:rPr/>
      </w:pPr>
      <w:r>
        <w:rPr/>
        <w:drawing>
          <wp:inline distT="0" distB="0" distL="0" distR="0">
            <wp:extent cx="5760085" cy="4309745"/>
            <wp:effectExtent l="0" t="0" r="0" b="0"/>
            <wp:docPr id="75" name="Picture 21212882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121288255" descr=""/>
                    <pic:cNvPicPr>
                      <a:picLocks noChangeAspect="1" noChangeArrowheads="1"/>
                    </pic:cNvPicPr>
                  </pic:nvPicPr>
                  <pic:blipFill>
                    <a:blip r:embed="rId71"/>
                    <a:stretch>
                      <a:fillRect/>
                    </a:stretch>
                  </pic:blipFill>
                  <pic:spPr bwMode="auto">
                    <a:xfrm>
                      <a:off x="0" y="0"/>
                      <a:ext cx="5760085" cy="43097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Clients</w:t>
      </w:r>
    </w:p>
    <w:p>
      <w:pPr>
        <w:pStyle w:val="Normal"/>
        <w:spacing w:lineRule="auto" w:line="276" w:before="0" w:after="120"/>
        <w:rPr/>
      </w:pPr>
      <w:r>
        <w:rPr>
          <w:rFonts w:eastAsia="Segoe UI" w:cs="Segoe UI" w:ascii="Segoe UI" w:hAnsi="Segoe UI"/>
          <w:color w:val="101820"/>
          <w:sz w:val="21"/>
        </w:rPr>
        <w:t>A client is a person or company that holds or has held a policy. BrokerVerse creates the client, with its client code CL-YYYY-NNNNN, when the first policy is issued.</w:t>
      </w:r>
    </w:p>
    <w:p>
      <w:pPr>
        <w:pStyle w:val="Normal"/>
        <w:numPr>
          <w:ilvl w:val="0"/>
          <w:numId w:val="177"/>
        </w:numPr>
        <w:spacing w:before="0" w:after="60"/>
        <w:rPr/>
      </w:pPr>
      <w:r>
        <w:rPr>
          <w:rFonts w:eastAsia="Segoe UI" w:cs="Segoe UI" w:ascii="Segoe UI" w:hAnsi="Segoe UI"/>
          <w:color w:val="101820"/>
          <w:sz w:val="21"/>
        </w:rPr>
        <w:t>Choose Operations &gt; Clients.</w:t>
      </w:r>
    </w:p>
    <w:p>
      <w:pPr>
        <w:pStyle w:val="Normal"/>
        <w:numPr>
          <w:ilvl w:val="0"/>
          <w:numId w:val="178"/>
        </w:numPr>
        <w:spacing w:before="0" w:after="60"/>
        <w:rPr/>
      </w:pPr>
      <w:r>
        <w:rPr>
          <w:rFonts w:eastAsia="Segoe UI" w:cs="Segoe UI" w:ascii="Segoe UI" w:hAnsi="Segoe UI"/>
          <w:color w:val="101820"/>
          <w:sz w:val="21"/>
        </w:rPr>
        <w:t>Use the tabs or the search box to find the client. The list shows the name and client code, type, number of policies and latest policy status.</w:t>
      </w:r>
    </w:p>
    <w:p>
      <w:pPr>
        <w:pStyle w:val="Normal"/>
        <w:numPr>
          <w:ilvl w:val="0"/>
          <w:numId w:val="179"/>
        </w:numPr>
        <w:spacing w:before="0" w:after="60"/>
        <w:rPr/>
      </w:pPr>
      <w:r>
        <w:rPr>
          <w:rFonts w:eastAsia="Segoe UI" w:cs="Segoe UI" w:ascii="Segoe UI" w:hAnsi="Segoe UI"/>
          <w:color w:val="101820"/>
          <w:sz w:val="21"/>
        </w:rPr>
        <w:t>Select the arrow at the end of the row to open the client.</w:t>
      </w:r>
    </w:p>
    <w:p>
      <w:pPr>
        <w:pStyle w:val="Normal"/>
        <w:jc w:val="center"/>
        <w:rPr/>
      </w:pPr>
      <w:r>
        <w:rPr/>
        <w:drawing>
          <wp:inline distT="0" distB="0" distL="0" distR="0">
            <wp:extent cx="5760085" cy="4469130"/>
            <wp:effectExtent l="0" t="0" r="0" b="0"/>
            <wp:docPr id="76" name="Picture 21212882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121288256" descr=""/>
                    <pic:cNvPicPr>
                      <a:picLocks noChangeAspect="1" noChangeArrowheads="1"/>
                    </pic:cNvPicPr>
                  </pic:nvPicPr>
                  <pic:blipFill>
                    <a:blip r:embed="rId7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client 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 and do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client's policies with gross premium, dates, product and payment status; open a policy from </w:t>
            </w:r>
            <w:r>
              <w:rPr>
                <w:rFonts w:eastAsia="Segoe UI" w:cs="Segoe UI" w:ascii="Segoe UI" w:hAnsi="Segoe UI"/>
                <w:b/>
                <w:color w:val="101820"/>
                <w:kern w:val="0"/>
                <w:sz w:val="18"/>
                <w:szCs w:val="24"/>
                <w:lang w:val="en-US" w:eastAsia="ja-JP" w:bidi="ar-SA"/>
              </w:rPr>
              <w:t>Actions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Claim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claims with status.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Renewal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due and quoted.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Endorsement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endorsements with number, type, policy, status and payment.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Data 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Consent per purpose (Processing, Marketing, Sharing with insurers) with channel, evidence and notice version; </w:t>
            </w:r>
            <w:r>
              <w:rPr>
                <w:rFonts w:eastAsia="Segoe UI" w:cs="Segoe UI" w:ascii="Segoe UI" w:hAnsi="Segoe UI"/>
                <w:b/>
                <w:color w:val="101820"/>
                <w:kern w:val="0"/>
                <w:sz w:val="18"/>
                <w:szCs w:val="24"/>
                <w:lang w:val="en-US" w:eastAsia="ja-JP" w:bidi="ar-SA"/>
              </w:rPr>
              <w:t>Record consent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Withdraw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Show history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correct the name, address or contact details of a client with an issued policy, raise a Personal Details Change endorsement, so the change is recorded against the policy and sent to the insurer.</w:t>
      </w:r>
    </w:p>
    <w:p>
      <w:pPr>
        <w:pStyle w:val="Heading2"/>
        <w:rPr/>
      </w:pPr>
      <w:bookmarkStart w:id="75" w:name="__RefHeading___Toc107405_4049217194"/>
      <w:bookmarkEnd w:id="75"/>
      <w:r>
        <w:rPr>
          <w:rFonts w:eastAsia="Segoe UI" w:cs="Segoe UI"/>
          <w:b/>
          <w:color w:val="0F4761"/>
          <w:sz w:val="26"/>
        </w:rPr>
        <w:t>9.6  Raise an endorsement request</w:t>
      </w:r>
    </w:p>
    <w:p>
      <w:pPr>
        <w:pStyle w:val="Normal"/>
        <w:spacing w:lineRule="auto" w:line="276" w:before="0" w:after="120"/>
        <w:rPr/>
      </w:pPr>
      <w:r>
        <w:rPr>
          <w:rFonts w:eastAsia="Segoe UI" w:cs="Segoe UI" w:ascii="Segoe UI" w:hAnsi="Segoe UI"/>
          <w:color w:val="101820"/>
          <w:sz w:val="21"/>
        </w:rPr>
        <w:t>An endorsement changes an issued policy: the client's details, the vehicle, the cover, the period, or cancels the policy. BrokerVerse records it with its number END-YYYY-NNNNN, sends it to the insurer and bills additional premium or credits return premium. A change of cover is priced again with the configured rates.</w:t>
      </w:r>
    </w:p>
    <w:p>
      <w:pPr>
        <w:pStyle w:val="Normal"/>
        <w:numPr>
          <w:ilvl w:val="0"/>
          <w:numId w:val="180"/>
        </w:numPr>
        <w:spacing w:before="0" w:after="60"/>
        <w:rPr/>
      </w:pPr>
      <w:r>
        <w:rPr>
          <w:rFonts w:eastAsia="Segoe UI" w:cs="Segoe UI" w:ascii="Segoe UI" w:hAnsi="Segoe UI"/>
          <w:color w:val="101820"/>
          <w:sz w:val="21"/>
        </w:rPr>
        <w:t xml:space="preserve">Choose Operations &gt; Policy (or open the client and the </w:t>
      </w:r>
      <w:r>
        <w:rPr>
          <w:rFonts w:eastAsia="Segoe UI" w:cs="Segoe UI" w:ascii="Segoe UI" w:hAnsi="Segoe UI"/>
          <w:b/>
          <w:color w:val="101820"/>
          <w:sz w:val="21"/>
        </w:rPr>
        <w:t>Policy</w:t>
      </w:r>
      <w:r>
        <w:rPr>
          <w:rFonts w:eastAsia="Segoe UI" w:cs="Segoe UI" w:ascii="Segoe UI" w:hAnsi="Segoe UI"/>
          <w:color w:val="101820"/>
          <w:sz w:val="21"/>
        </w:rPr>
        <w:t xml:space="preserve"> tab) and find the policy.</w:t>
      </w:r>
    </w:p>
    <w:p>
      <w:pPr>
        <w:pStyle w:val="Normal"/>
        <w:numPr>
          <w:ilvl w:val="0"/>
          <w:numId w:val="181"/>
        </w:numPr>
        <w:spacing w:before="0" w:after="60"/>
        <w:rPr/>
      </w:pPr>
      <w:r>
        <w:rPr>
          <w:rFonts w:eastAsia="Segoe UI" w:cs="Segoe UI" w:ascii="Segoe UI" w:hAnsi="Segoe UI"/>
          <w:color w:val="101820"/>
          <w:sz w:val="21"/>
        </w:rPr>
        <w:t xml:space="preserve">On the row,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Endorsement</w:t>
      </w:r>
      <w:r>
        <w:rPr>
          <w:rFonts w:eastAsia="Segoe UI" w:cs="Segoe UI" w:ascii="Segoe UI" w:hAnsi="Segoe UI"/>
          <w:color w:val="101820"/>
          <w:sz w:val="21"/>
        </w:rPr>
        <w:t>. The action is greyed out while the premium is Pending or Reviewing, and is not offered for expired, lapsed, cancelled or renewed policies.</w:t>
      </w:r>
    </w:p>
    <w:p>
      <w:pPr>
        <w:pStyle w:val="Normal"/>
        <w:numPr>
          <w:ilvl w:val="0"/>
          <w:numId w:val="182"/>
        </w:numPr>
        <w:spacing w:before="0" w:after="60"/>
        <w:rPr/>
      </w:pPr>
      <w:r>
        <w:rPr>
          <w:rFonts w:eastAsia="Segoe UI" w:cs="Segoe UI" w:ascii="Segoe UI" w:hAnsi="Segoe UI"/>
          <w:color w:val="101820"/>
          <w:sz w:val="21"/>
        </w:rPr>
        <w:t xml:space="preserve">Tick one or more endorsement types and select </w:t>
      </w:r>
      <w:r>
        <w:rPr>
          <w:rFonts w:eastAsia="Segoe UI" w:cs="Segoe UI" w:ascii="Segoe UI" w:hAnsi="Segoe UI"/>
          <w:b/>
          <w:color w:val="101820"/>
          <w:sz w:val="21"/>
        </w:rPr>
        <w:t>Proceed</w:t>
      </w:r>
      <w:r>
        <w:rPr>
          <w:rFonts w:eastAsia="Segoe UI" w:cs="Segoe UI" w:ascii="Segoe UI" w:hAnsi="Segoe UI"/>
          <w:color w:val="101820"/>
          <w:sz w:val="21"/>
        </w:rPr>
        <w:t>.</w:t>
      </w:r>
    </w:p>
    <w:p>
      <w:pPr>
        <w:pStyle w:val="Normal"/>
        <w:numPr>
          <w:ilvl w:val="0"/>
          <w:numId w:val="183"/>
        </w:numPr>
        <w:spacing w:before="0" w:after="60"/>
        <w:rPr/>
      </w:pPr>
      <w:r>
        <w:rPr>
          <w:rFonts w:eastAsia="Segoe UI" w:cs="Segoe UI" w:ascii="Segoe UI" w:hAnsi="Segoe UI"/>
          <w:color w:val="101820"/>
          <w:sz w:val="21"/>
        </w:rPr>
        <w:t xml:space="preserve">Enter the changes on the </w:t>
      </w:r>
      <w:r>
        <w:rPr>
          <w:rFonts w:eastAsia="Segoe UI" w:cs="Segoe UI" w:ascii="Segoe UI" w:hAnsi="Segoe UI"/>
          <w:b/>
          <w:color w:val="101820"/>
          <w:sz w:val="21"/>
        </w:rPr>
        <w:t>Endorsement Request</w:t>
      </w:r>
      <w:r>
        <w:rPr>
          <w:rFonts w:eastAsia="Segoe UI" w:cs="Segoe UI" w:ascii="Segoe UI" w:hAnsi="Segoe UI"/>
          <w:color w:val="101820"/>
          <w:sz w:val="21"/>
        </w:rPr>
        <w:t xml:space="preserve"> page.</w:t>
      </w:r>
    </w:p>
    <w:p>
      <w:pPr>
        <w:pStyle w:val="Normal"/>
        <w:numPr>
          <w:ilvl w:val="0"/>
          <w:numId w:val="18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&amp; Next</w:t>
      </w:r>
      <w:r>
        <w:rPr>
          <w:rFonts w:eastAsia="Segoe UI" w:cs="Segoe UI" w:ascii="Segoe UI" w:hAnsi="Segoe UI"/>
          <w:color w:val="101820"/>
          <w:sz w:val="21"/>
        </w:rPr>
        <w:t>, check the summary and send it to the insurance company.</w:t>
      </w:r>
    </w:p>
    <w:p>
      <w:pPr>
        <w:pStyle w:val="Normal"/>
        <w:jc w:val="center"/>
        <w:rPr/>
      </w:pPr>
      <w:r>
        <w:rPr/>
        <w:drawing>
          <wp:inline distT="0" distB="0" distL="0" distR="0">
            <wp:extent cx="5760085" cy="2047240"/>
            <wp:effectExtent l="0" t="0" r="0" b="0"/>
            <wp:docPr id="77" name="Picture 21212882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2121288257" descr=""/>
                    <pic:cNvPicPr>
                      <a:picLocks noChangeAspect="1" noChangeArrowheads="1"/>
                    </pic:cNvPicPr>
                  </pic:nvPicPr>
                  <pic:blipFill>
                    <a:blip r:embed="rId73"/>
                    <a:stretch>
                      <a:fillRect/>
                    </a:stretch>
                  </pic:blipFill>
                  <pic:spPr bwMode="auto">
                    <a:xfrm>
                      <a:off x="0" y="0"/>
                      <a:ext cx="5760085" cy="2047240"/>
                    </a:xfrm>
                    <a:prstGeom prst="rect">
                      <a:avLst/>
                    </a:prstGeom>
                  </pic:spPr>
                </pic:pic>
              </a:graphicData>
            </a:graphic>
          </wp:inline>
        </w:drawing>
      </w:r>
    </w:p>
    <w:p>
      <w:pPr>
        <w:pStyle w:val="Normal"/>
        <w:jc w:val="center"/>
        <w:rPr/>
      </w:pPr>
      <w:r>
        <w:rPr>
          <w:rFonts w:eastAsia="Segoe UI" w:cs="Segoe UI" w:ascii="Segoe UI" w:hAnsi="Segoe UI"/>
          <w:i/>
          <w:color w:val="555F6D"/>
          <w:sz w:val="18"/>
        </w:rPr>
        <w:t>Choose the endorsement type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4"/>
        <w:gridCol w:w="3526"/>
        <w:gridCol w:w="3763"/>
      </w:tblGrid>
      <w:tr>
        <w:trPr>
          <w:tblHeader w:val="true"/>
        </w:trPr>
        <w:tc>
          <w:tcPr>
            <w:tcW w:w="1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35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type</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can change</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Personal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last name, preferred name, contact number and address.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Motor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details and identifiers.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Coverage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damage sum insured and rate, acts of nature, bodily injury, property damage, Auto Passenger PA. The premium is recalculated.</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 Extend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Policy Cancel</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period; cancellation.</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and Allied Perils</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Regular / premium change; policy cancellation</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cover or premium; full, partial, pro-rata or pro-rata partial cancellation.</w:t>
            </w:r>
          </w:p>
        </w:tc>
      </w:tr>
    </w:tbl>
    <w:p>
      <w:pPr>
        <w:pStyle w:val="Normal"/>
        <w:spacing w:before="0" w:after="80"/>
        <w:rPr/>
      </w:pPr>
      <w:r>
        <w:rPr/>
      </w:r>
    </w:p>
    <w:p>
      <w:pPr>
        <w:pStyle w:val="Normal"/>
        <w:jc w:val="center"/>
        <w:rPr/>
      </w:pPr>
      <w:r>
        <w:rPr/>
        <w:drawing>
          <wp:inline distT="0" distB="0" distL="0" distR="0">
            <wp:extent cx="5760085" cy="4175760"/>
            <wp:effectExtent l="0" t="0" r="0" b="0"/>
            <wp:docPr id="78" name="Picture 21212882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121288258" descr=""/>
                    <pic:cNvPicPr>
                      <a:picLocks noChangeAspect="1" noChangeArrowheads="1"/>
                    </pic:cNvPicPr>
                  </pic:nvPicPr>
                  <pic:blipFill>
                    <a:blip r:embed="rId74"/>
                    <a:stretch>
                      <a:fillRect/>
                    </a:stretch>
                  </pic:blipFill>
                  <pic:spPr bwMode="auto">
                    <a:xfrm>
                      <a:off x="0" y="0"/>
                      <a:ext cx="5760085" cy="4175760"/>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Personal Details Change</w:t>
      </w:r>
    </w:p>
    <w:p>
      <w:pPr>
        <w:pStyle w:val="Normal"/>
        <w:spacing w:lineRule="auto" w:line="276" w:before="0" w:after="120"/>
        <w:rPr/>
      </w:pPr>
      <w:r>
        <w:rPr>
          <w:rFonts w:eastAsia="Segoe UI" w:cs="Segoe UI" w:ascii="Segoe UI" w:hAnsi="Segoe UI"/>
          <w:color w:val="101820"/>
          <w:sz w:val="21"/>
        </w:rPr>
        <w:t>For a personal details change the form opens with the client's current details. The contact number must be a valid Philippine mobile number and the ZIP code must have 4 digits. The client record is updated when the endorsement is completed.</w:t>
      </w:r>
    </w:p>
    <w:p>
      <w:pPr>
        <w:pStyle w:val="Normal"/>
        <w:jc w:val="center"/>
        <w:rPr/>
      </w:pPr>
      <w:r>
        <w:rPr/>
        <w:drawing>
          <wp:inline distT="0" distB="0" distL="0" distR="0">
            <wp:extent cx="5760085" cy="6951345"/>
            <wp:effectExtent l="0" t="0" r="0" b="0"/>
            <wp:docPr id="79" name="Picture 21212882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121288259" descr=""/>
                    <pic:cNvPicPr>
                      <a:picLocks noChangeAspect="1" noChangeArrowheads="1"/>
                    </pic:cNvPicPr>
                  </pic:nvPicPr>
                  <pic:blipFill>
                    <a:blip r:embed="rId75"/>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Coverage change, priced again</w:t>
      </w:r>
    </w:p>
    <w:p>
      <w:pPr>
        <w:pStyle w:val="Normal"/>
        <w:spacing w:lineRule="auto" w:line="276" w:before="0" w:after="120"/>
        <w:rPr/>
      </w:pPr>
      <w:r>
        <w:rPr>
          <w:rFonts w:eastAsia="Segoe UI" w:cs="Segoe UI" w:ascii="Segoe UI" w:hAnsi="Segoe UI"/>
          <w:color w:val="101820"/>
          <w:sz w:val="21"/>
        </w:rPr>
        <w:t xml:space="preserve">For a coverage change, change the covers; the premium boxes recalculate the net premium, VAT, documentary stamp tax, local government tax, gross premium and </w:t>
      </w:r>
      <w:r>
        <w:rPr>
          <w:rFonts w:eastAsia="Segoe UI" w:cs="Segoe UI" w:ascii="Segoe UI" w:hAnsi="Segoe UI"/>
          <w:b/>
          <w:color w:val="101820"/>
          <w:sz w:val="21"/>
        </w:rPr>
        <w:t>Premium change</w:t>
      </w:r>
      <w:r>
        <w:rPr>
          <w:rFonts w:eastAsia="Segoe UI" w:cs="Segoe UI" w:ascii="Segoe UI" w:hAnsi="Segoe UI"/>
          <w:color w:val="101820"/>
          <w:sz w:val="21"/>
        </w:rPr>
        <w:t>. CTPL stays as issued (</w:t>
      </w:r>
      <w:r>
        <w:rPr>
          <w:rFonts w:eastAsia="Segoe UI" w:cs="Segoe UI" w:ascii="Segoe UI" w:hAnsi="Segoe UI"/>
          <w:b/>
          <w:color w:val="101820"/>
          <w:sz w:val="21"/>
        </w:rPr>
        <w:t>CTPL premium (as issued)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After sending, the endorsement waits for the insurer (</w:t>
      </w:r>
      <w:r>
        <w:rPr>
          <w:rFonts w:eastAsia="Segoe UI" w:cs="Segoe UI" w:ascii="Segoe UI" w:hAnsi="Segoe UI"/>
          <w:b/>
          <w:color w:val="101820"/>
          <w:sz w:val="21"/>
        </w:rPr>
        <w:t>Waiting for Update</w:t>
      </w:r>
      <w:r>
        <w:rPr>
          <w:rFonts w:eastAsia="Segoe UI" w:cs="Segoe UI" w:ascii="Segoe UI" w:hAnsi="Segoe UI"/>
          <w:color w:val="101820"/>
          <w:sz w:val="21"/>
        </w:rPr>
        <w:t>). The Processing Team completes it with the insurer's endorsement document (Processing Team chapter). Then the change is applied to the policy and the client, and:</w:t>
      </w:r>
    </w:p>
    <w:p>
      <w:pPr>
        <w:pStyle w:val="Normal"/>
        <w:numPr>
          <w:ilvl w:val="0"/>
          <w:numId w:val="1"/>
        </w:numPr>
        <w:spacing w:before="0" w:after="60"/>
        <w:rPr/>
      </w:pPr>
      <w:r>
        <w:rPr>
          <w:rFonts w:eastAsia="Segoe UI" w:cs="Segoe UI" w:ascii="Segoe UI" w:hAnsi="Segoe UI"/>
          <w:color w:val="101820"/>
          <w:sz w:val="21"/>
        </w:rPr>
        <w:t xml:space="preserve">additional premium is billed to the client (for a co-insured policy, split by share on the journal); the endorsement shows that additional premium is due, and the payment is recorded with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return premium is credited to the client; if the premium was already remitted, the refund due from each insurer is booked and netted on its next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7"/>
        <w:gridCol w:w="5666"/>
      </w:tblGrid>
      <w:tr>
        <w:trPr>
          <w:tblHeader w:val="true"/>
        </w:trPr>
        <w:tc>
          <w:tcPr>
            <w:tcW w:w="33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status</w:t>
            </w:r>
          </w:p>
        </w:tc>
        <w:tc>
          <w:tcPr>
            <w:tcW w:w="5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waiting for the insurer's endorsement.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to the policy.</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 Cancel, Cancelled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cancellation in progress or done.</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insurer.</w:t>
            </w:r>
          </w:p>
        </w:tc>
      </w:tr>
    </w:tbl>
    <w:p>
      <w:pPr>
        <w:pStyle w:val="Normal"/>
        <w:spacing w:before="0" w:after="80"/>
        <w:rPr/>
      </w:pPr>
      <w:r>
        <w:rPr/>
      </w:r>
    </w:p>
    <w:p>
      <w:pPr>
        <w:pStyle w:val="Heading2"/>
        <w:rPr/>
      </w:pPr>
      <w:bookmarkStart w:id="76" w:name="__RefHeading___Toc107407_4049217194"/>
      <w:bookmarkEnd w:id="76"/>
      <w:r>
        <w:rPr>
          <w:rFonts w:eastAsia="Segoe UI" w:cs="Segoe UI"/>
          <w:b/>
          <w:color w:val="0F4761"/>
          <w:sz w:val="26"/>
        </w:rPr>
        <w:t>9.7  Record the client's payment</w:t>
      </w:r>
    </w:p>
    <w:p>
      <w:pPr>
        <w:pStyle w:val="Normal"/>
        <w:spacing w:lineRule="auto" w:line="276" w:before="0" w:after="120"/>
        <w:rPr/>
      </w:pPr>
      <w:r>
        <w:rPr>
          <w:rFonts w:eastAsia="Segoe UI" w:cs="Segoe UI" w:ascii="Segoe UI" w:hAnsi="Segoe UI"/>
          <w:color w:val="101820"/>
          <w:sz w:val="21"/>
        </w:rPr>
        <w:t xml:space="preserve">Operations records payments exactly as described in the Sales &amp; Marketing chapter (Policy &gt; </w:t>
      </w:r>
      <w:r>
        <w:rPr>
          <w:rFonts w:eastAsia="Segoe UI" w:cs="Segoe UI" w:ascii="Segoe UI" w:hAnsi="Segoe UI"/>
          <w:b/>
          <w:color w:val="101820"/>
          <w:sz w:val="21"/>
        </w:rPr>
        <w:t>Proceed to Payment</w:t>
      </w:r>
      <w:r>
        <w:rPr>
          <w:rFonts w:eastAsia="Segoe UI" w:cs="Segoe UI" w:ascii="Segoe UI" w:hAnsi="Segoe UI"/>
          <w:color w:val="101820"/>
          <w:sz w:val="21"/>
        </w:rPr>
        <w:t xml:space="preserve"> &gt;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&gt; </w:t>
      </w:r>
      <w:r>
        <w:rPr>
          <w:rFonts w:eastAsia="Segoe UI" w:cs="Segoe UI" w:ascii="Segoe UI" w:hAnsi="Segoe UI"/>
          <w:b/>
          <w:color w:val="101820"/>
          <w:sz w:val="21"/>
        </w:rPr>
        <w:t>Record payment</w:t>
      </w:r>
      <w:r>
        <w:rPr>
          <w:rFonts w:eastAsia="Segoe UI" w:cs="Segoe UI" w:ascii="Segoe UI" w:hAnsi="Segoe UI"/>
          <w:color w:val="101820"/>
          <w:sz w:val="21"/>
        </w:rPr>
        <w:t>). Accounting verifies the payment and posts the official receipt.</w:t>
      </w:r>
    </w:p>
    <w:p>
      <w:pPr>
        <w:pStyle w:val="Heading2"/>
        <w:rPr/>
      </w:pPr>
      <w:bookmarkStart w:id="77" w:name="__RefHeading___Toc107409_4049217194"/>
      <w:bookmarkEnd w:id="77"/>
      <w:r>
        <w:rPr>
          <w:rFonts w:eastAsia="Segoe UI" w:cs="Segoe UI"/>
          <w:b/>
          <w:color w:val="0F4761"/>
          <w:sz w:val="26"/>
        </w:rPr>
        <w:t>9.8  Payments</w:t>
      </w:r>
    </w:p>
    <w:p>
      <w:pPr>
        <w:pStyle w:val="Normal"/>
        <w:jc w:val="center"/>
        <w:rPr/>
      </w:pPr>
      <w:r>
        <w:rPr/>
        <w:drawing>
          <wp:inline distT="0" distB="0" distL="0" distR="0">
            <wp:extent cx="5760085" cy="4469130"/>
            <wp:effectExtent l="0" t="0" r="0" b="0"/>
            <wp:docPr id="80" name="Picture 21212882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121288260" descr=""/>
                    <pic:cNvPicPr>
                      <a:picLocks noChangeAspect="1" noChangeArrowheads="1"/>
                    </pic:cNvPicPr>
                  </pic:nvPicPr>
                  <pic:blipFill>
                    <a:blip r:embed="rId7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Payments</w:t>
      </w:r>
    </w:p>
    <w:p>
      <w:pPr>
        <w:pStyle w:val="Normal"/>
        <w:spacing w:lineRule="auto" w:line="276" w:before="0" w:after="120"/>
        <w:rPr/>
      </w:pPr>
      <w:r>
        <w:rPr>
          <w:rFonts w:eastAsia="Segoe UI" w:cs="Segoe UI" w:ascii="Segoe UI" w:hAnsi="Segoe UI"/>
          <w:color w:val="101820"/>
          <w:sz w:val="21"/>
        </w:rPr>
        <w:t xml:space="preserve">Operations &gt; Payments shows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Collected Premium</w:t>
      </w:r>
      <w:r>
        <w:rPr>
          <w:rFonts w:eastAsia="Segoe UI" w:cs="Segoe UI" w:ascii="Segoe UI" w:hAnsi="Segoe UI"/>
          <w:color w:val="101820"/>
          <w:sz w:val="21"/>
        </w:rPr>
        <w:t xml:space="preserve">, </w:t>
      </w:r>
      <w:r>
        <w:rPr>
          <w:rFonts w:eastAsia="Segoe UI" w:cs="Segoe UI" w:ascii="Segoe UI" w:hAnsi="Segoe UI"/>
          <w:b/>
          <w:color w:val="101820"/>
          <w:sz w:val="21"/>
        </w:rPr>
        <w:t>Receivables</w:t>
      </w:r>
      <w:r>
        <w:rPr>
          <w:rFonts w:eastAsia="Segoe UI" w:cs="Segoe UI" w:ascii="Segoe UI" w:hAnsi="Segoe UI"/>
          <w:color w:val="101820"/>
          <w:sz w:val="21"/>
        </w:rPr>
        <w:t xml:space="preserve"> and </w:t>
      </w:r>
      <w:r>
        <w:rPr>
          <w:rFonts w:eastAsia="Segoe UI" w:cs="Segoe UI" w:ascii="Segoe UI" w:hAnsi="Segoe UI"/>
          <w:b/>
          <w:color w:val="101820"/>
          <w:sz w:val="21"/>
        </w:rPr>
        <w:t>Earned Commission</w:t>
      </w:r>
      <w:r>
        <w:rPr>
          <w:rFonts w:eastAsia="Segoe UI" w:cs="Segoe UI" w:ascii="Segoe UI" w:hAnsi="Segoe UI"/>
          <w:color w:val="101820"/>
          <w:sz w:val="21"/>
        </w:rPr>
        <w:t xml:space="preserve">, and the bills in the tabs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The </w:t>
      </w:r>
      <w:r>
        <w:rPr>
          <w:rFonts w:eastAsia="Segoe UI" w:cs="Segoe UI" w:ascii="Segoe UI" w:hAnsi="Segoe UI"/>
          <w:b/>
          <w:color w:val="101820"/>
          <w:sz w:val="21"/>
        </w:rPr>
        <w:t>Type</w:t>
      </w:r>
      <w:r>
        <w:rPr>
          <w:rFonts w:eastAsia="Segoe UI" w:cs="Segoe UI" w:ascii="Segoe UI" w:hAnsi="Segoe UI"/>
          <w:color w:val="101820"/>
          <w:sz w:val="21"/>
        </w:rPr>
        <w:t xml:space="preserve"> column says whether the bill is for a POLICY, a RENEWAL POLICY or an ENDORSEMENT. Receipts are posted by Accounting; this screen shows the result.</w:t>
      </w:r>
    </w:p>
    <w:p>
      <w:pPr>
        <w:pStyle w:val="Heading2"/>
        <w:rPr/>
      </w:pPr>
      <w:bookmarkStart w:id="78" w:name="__RefHeading___Toc107411_4049217194"/>
      <w:bookmarkEnd w:id="78"/>
      <w:r>
        <w:rPr>
          <w:rFonts w:eastAsia="Segoe UI" w:cs="Segoe UI"/>
          <w:b/>
          <w:color w:val="0F4761"/>
          <w:sz w:val="26"/>
        </w:rPr>
        <w:t>9.9  Renewals</w:t>
      </w:r>
    </w:p>
    <w:p>
      <w:pPr>
        <w:pStyle w:val="Normal"/>
        <w:spacing w:lineRule="auto" w:line="276" w:before="0" w:after="120"/>
        <w:rPr/>
      </w:pPr>
      <w:r>
        <w:rPr>
          <w:rFonts w:eastAsia="Segoe UI" w:cs="Segoe UI" w:ascii="Segoe UI" w:hAnsi="Segoe UI"/>
          <w:color w:val="101820"/>
          <w:sz w:val="21"/>
        </w:rPr>
        <w:t>BrokerVerse puts every policy into the renewal 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sends renewal notices 60, 30 and 15 days before (</w:t>
      </w:r>
      <w:r>
        <w:rPr>
          <w:rFonts w:eastAsia="Consolas" w:cs="Consolas" w:ascii="Consolas" w:hAnsi="Consolas"/>
          <w:color w:val="101820"/>
          <w:sz w:val="19"/>
        </w:rPr>
        <w:t>limits.renewal_notice_days</w:t>
      </w:r>
      <w:r>
        <w:rPr>
          <w:rFonts w:eastAsia="Segoe UI" w:cs="Segoe UI" w:ascii="Segoe UI" w:hAnsi="Segoe UI"/>
          <w:color w:val="101820"/>
          <w:sz w:val="21"/>
        </w:rPr>
        <w:t>), and turns the accepted renewal into the next policy term. A policy not renewed within 30 days after expiry lapses (</w:t>
      </w:r>
      <w:r>
        <w:rPr>
          <w:rFonts w:eastAsia="Consolas" w:cs="Consolas" w:ascii="Consolas" w:hAnsi="Consolas"/>
          <w:color w:val="101820"/>
          <w:sz w:val="19"/>
        </w:rPr>
        <w:t>renewals.grace_period_days</w:t>
      </w:r>
      <w:r>
        <w:rPr>
          <w:rFonts w:eastAsia="Segoe UI" w:cs="Segoe UI" w:ascii="Segoe UI" w:hAnsi="Segoe UI"/>
          <w:color w:val="101820"/>
          <w:sz w:val="21"/>
        </w:rPr>
        <w:t>); an expired policy can still be renewed as a lapsed renewal for 90 more days (</w:t>
      </w:r>
      <w:r>
        <w:rPr>
          <w:rFonts w:eastAsia="Consolas" w:cs="Consolas" w:ascii="Consolas" w:hAnsi="Consolas"/>
          <w:color w:val="101820"/>
          <w:sz w:val="19"/>
        </w:rPr>
        <w:t>renewals.lapsed_renewal_days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(Operations &gt; Renewals)</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expired and expiring policies with their renewal state, and start a renewal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Group many policies and send their notices and renewal quotes together (up to 500 policies,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policies due for renewal: days to expiry, premium, status, risk, sales person and contact attempts.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cycle time and recommended actions.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with a retention risk score and their risk level.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contacts with the client, request approval of renewal terms and send communications.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 policies, policies in the grace period and win-back campaigns.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the targets.</w:t>
            </w:r>
          </w:p>
        </w:tc>
      </w:tr>
    </w:tbl>
    <w:p>
      <w:pPr>
        <w:pStyle w:val="Normal"/>
        <w:spacing w:before="0" w:after="80"/>
        <w:rPr/>
      </w:pPr>
      <w:r>
        <w:rPr/>
      </w:r>
    </w:p>
    <w:p>
      <w:pPr>
        <w:pStyle w:val="Heading3"/>
        <w:rPr/>
      </w:pPr>
      <w:r>
        <w:rPr>
          <w:rFonts w:eastAsia="Segoe UI" w:cs="Segoe UI"/>
          <w:b/>
          <w:color w:val="0F4761"/>
          <w:sz w:val="23"/>
        </w:rPr>
        <w:t>9.9.1  Renew a policy</w:t>
      </w:r>
    </w:p>
    <w:p>
      <w:pPr>
        <w:pStyle w:val="Normal"/>
        <w:jc w:val="center"/>
        <w:rPr/>
      </w:pPr>
      <w:r>
        <w:rPr/>
        <w:drawing>
          <wp:inline distT="0" distB="0" distL="0" distR="0">
            <wp:extent cx="5760085" cy="4469130"/>
            <wp:effectExtent l="0" t="0" r="0" b="0"/>
            <wp:docPr id="81" name="Picture 21212882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121288261" descr=""/>
                    <pic:cNvPicPr>
                      <a:picLocks noChangeAspect="1" noChangeArrowheads="1"/>
                    </pic:cNvPicPr>
                  </pic:nvPicPr>
                  <pic:blipFill>
                    <a:blip r:embed="rId7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Policy</w:t>
      </w:r>
    </w:p>
    <w:p>
      <w:pPr>
        <w:pStyle w:val="Normal"/>
        <w:numPr>
          <w:ilvl w:val="0"/>
          <w:numId w:val="185"/>
        </w:numPr>
        <w:spacing w:before="0" w:after="60"/>
        <w:rPr/>
      </w:pPr>
      <w:r>
        <w:rPr>
          <w:rFonts w:eastAsia="Segoe UI" w:cs="Segoe UI" w:ascii="Segoe UI" w:hAnsi="Segoe UI"/>
          <w:color w:val="101820"/>
          <w:sz w:val="21"/>
        </w:rPr>
        <w:t xml:space="preserve">Choose Operations &gt; Renewals &gt; Renewal Policy. Filter by </w:t>
      </w:r>
      <w:r>
        <w:rPr>
          <w:rFonts w:eastAsia="Segoe UI" w:cs="Segoe UI" w:ascii="Segoe UI" w:hAnsi="Segoe UI"/>
          <w:b/>
          <w:color w:val="101820"/>
          <w:sz w:val="21"/>
        </w:rPr>
        <w:t>Expiry from</w:t>
      </w:r>
      <w:r>
        <w:rPr>
          <w:rFonts w:eastAsia="Segoe UI" w:cs="Segoe UI" w:ascii="Segoe UI" w:hAnsi="Segoe UI"/>
          <w:color w:val="101820"/>
          <w:sz w:val="21"/>
        </w:rPr>
        <w:t xml:space="preserve">, </w:t>
      </w:r>
      <w:r>
        <w:rPr>
          <w:rFonts w:eastAsia="Segoe UI" w:cs="Segoe UI" w:ascii="Segoe UI" w:hAnsi="Segoe UI"/>
          <w:b/>
          <w:color w:val="101820"/>
          <w:sz w:val="21"/>
        </w:rPr>
        <w:t>Expiry to</w:t>
      </w:r>
      <w:r>
        <w:rPr>
          <w:rFonts w:eastAsia="Segoe UI" w:cs="Segoe UI" w:ascii="Segoe UI" w:hAnsi="Segoe UI"/>
          <w:color w:val="101820"/>
          <w:sz w:val="21"/>
        </w:rPr>
        <w:t xml:space="preserve"> and </w:t>
      </w:r>
      <w:r>
        <w:rPr>
          <w:rFonts w:eastAsia="Segoe UI" w:cs="Segoe UI" w:ascii="Segoe UI" w:hAnsi="Segoe UI"/>
          <w:b/>
          <w:color w:val="101820"/>
          <w:sz w:val="21"/>
        </w:rPr>
        <w:t>Renewal state</w:t>
      </w:r>
      <w:r>
        <w:rPr>
          <w:rFonts w:eastAsia="Segoe UI" w:cs="Segoe UI" w:ascii="Segoe UI" w:hAnsi="Segoe UI"/>
          <w:color w:val="101820"/>
          <w:sz w:val="21"/>
        </w:rPr>
        <w:t xml:space="preserve">, or search. Each row shows the policy number, client, product, insurer, sales person, expiry, days since or to expiry, premium, payment and </w:t>
      </w:r>
      <w:r>
        <w:rPr>
          <w:rFonts w:eastAsia="Segoe UI" w:cs="Segoe UI" w:ascii="Segoe UI" w:hAnsi="Segoe UI"/>
          <w:b/>
          <w:color w:val="101820"/>
          <w:sz w:val="21"/>
        </w:rPr>
        <w:t>Renewal state</w:t>
      </w:r>
      <w:r>
        <w:rPr>
          <w:rFonts w:eastAsia="Segoe UI" w:cs="Segoe UI" w:ascii="Segoe UI" w:hAnsi="Segoe UI"/>
          <w:color w:val="101820"/>
          <w:sz w:val="21"/>
        </w:rPr>
        <w:t xml:space="preserve"> (for example Renewed or Lapsed, renewable).</w:t>
      </w:r>
    </w:p>
    <w:p>
      <w:pPr>
        <w:pStyle w:val="Normal"/>
        <w:numPr>
          <w:ilvl w:val="0"/>
          <w:numId w:val="18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Renew</w:t>
      </w:r>
      <w:r>
        <w:rPr>
          <w:rFonts w:eastAsia="Segoe UI" w:cs="Segoe UI" w:ascii="Segoe UI" w:hAnsi="Segoe UI"/>
          <w:color w:val="101820"/>
          <w:sz w:val="21"/>
        </w:rPr>
        <w:t xml:space="preserve"> on the policy (or </w:t>
      </w:r>
      <w:r>
        <w:rPr>
          <w:rFonts w:eastAsia="Segoe UI" w:cs="Segoe UI" w:ascii="Segoe UI" w:hAnsi="Segoe UI"/>
          <w:b/>
          <w:color w:val="101820"/>
          <w:sz w:val="21"/>
        </w:rPr>
        <w:t>Continue renewal</w:t>
      </w:r>
      <w:r>
        <w:rPr>
          <w:rFonts w:eastAsia="Segoe UI" w:cs="Segoe UI" w:ascii="Segoe UI" w:hAnsi="Segoe UI"/>
          <w:color w:val="101820"/>
          <w:sz w:val="21"/>
        </w:rPr>
        <w:t xml:space="preserve"> on a renewal already started). A renewed policy shows </w:t>
      </w:r>
      <w:r>
        <w:rPr>
          <w:rFonts w:eastAsia="Segoe UI" w:cs="Segoe UI" w:ascii="Segoe UI" w:hAnsi="Segoe UI"/>
          <w:b/>
          <w:color w:val="101820"/>
          <w:sz w:val="21"/>
        </w:rPr>
        <w:t>Open</w:t>
      </w:r>
      <w:r>
        <w:rPr>
          <w:rFonts w:eastAsia="Segoe UI" w:cs="Segoe UI" w:ascii="Segoe UI" w:hAnsi="Segoe UI"/>
          <w:color w:val="101820"/>
          <w:sz w:val="21"/>
        </w:rPr>
        <w:t xml:space="preserve"> with the number of the new term.</w:t>
      </w:r>
    </w:p>
    <w:p>
      <w:pPr>
        <w:pStyle w:val="Normal"/>
        <w:numPr>
          <w:ilvl w:val="0"/>
          <w:numId w:val="187"/>
        </w:numPr>
        <w:spacing w:before="0" w:after="60"/>
        <w:rPr/>
      </w:pPr>
      <w:r>
        <w:rPr>
          <w:rFonts w:eastAsia="Segoe UI" w:cs="Segoe UI" w:ascii="Segoe UI" w:hAnsi="Segoe UI"/>
          <w:color w:val="101820"/>
          <w:sz w:val="21"/>
        </w:rPr>
        <w:t>The renewal quotation opens with the covers of the expiring term, re-rated with the current base rates (</w:t>
      </w:r>
      <w:r>
        <w:rPr>
          <w:rFonts w:eastAsia="Consolas" w:cs="Consolas" w:ascii="Consolas" w:hAnsi="Consolas"/>
          <w:color w:val="101820"/>
          <w:sz w:val="19"/>
        </w:rPr>
        <w:t>renewals.rating_rates</w:t>
      </w:r>
      <w:r>
        <w:rPr>
          <w:rFonts w:eastAsia="Segoe UI" w:cs="Segoe UI" w:ascii="Segoe UI" w:hAnsi="Segoe UI"/>
          <w:color w:val="101820"/>
          <w:sz w:val="21"/>
        </w:rPr>
        <w:t>), a claims loading of 10% per claim in the expiring term up to 30%, and a loyalty discount of 2% per completed renewal up to 10%. Check the terms and continue.</w:t>
      </w:r>
    </w:p>
    <w:p>
      <w:pPr>
        <w:pStyle w:val="Normal"/>
        <w:numPr>
          <w:ilvl w:val="0"/>
          <w:numId w:val="188"/>
        </w:numPr>
        <w:spacing w:before="0" w:after="60"/>
        <w:rPr/>
      </w:pPr>
      <w:r>
        <w:rPr>
          <w:rFonts w:eastAsia="Segoe UI" w:cs="Segoe UI" w:ascii="Segoe UI" w:hAnsi="Segoe UI"/>
          <w:color w:val="101820"/>
          <w:sz w:val="21"/>
        </w:rPr>
        <w:t>Send it for customer approval as for any quotation. Renewal terms that need approval go to the Processing Team.</w:t>
      </w:r>
    </w:p>
    <w:p>
      <w:pPr>
        <w:pStyle w:val="Normal"/>
        <w:numPr>
          <w:ilvl w:val="0"/>
          <w:numId w:val="189"/>
        </w:numPr>
        <w:spacing w:before="0" w:after="60"/>
        <w:rPr/>
      </w:pPr>
      <w:r>
        <w:rPr>
          <w:rFonts w:eastAsia="Segoe UI" w:cs="Segoe UI" w:ascii="Segoe UI" w:hAnsi="Segoe UI"/>
          <w:color w:val="101820"/>
          <w:sz w:val="21"/>
        </w:rPr>
        <w:t xml:space="preserve">When the client accepts, issue the renewal. The system issues the new term, marks the old policy </w:t>
      </w:r>
      <w:r>
        <w:rPr>
          <w:rFonts w:eastAsia="Segoe UI" w:cs="Segoe UI" w:ascii="Segoe UI" w:hAnsi="Segoe UI"/>
          <w:b/>
          <w:color w:val="101820"/>
          <w:sz w:val="21"/>
        </w:rPr>
        <w:t>Renewed</w:t>
      </w:r>
      <w:r>
        <w:rPr>
          <w:rFonts w:eastAsia="Segoe UI" w:cs="Segoe UI" w:ascii="Segoe UI" w:hAnsi="Segoe UI"/>
          <w:color w:val="101820"/>
          <w:sz w:val="21"/>
        </w:rPr>
        <w:t>, bills the premium (</w:t>
      </w:r>
      <w:r>
        <w:rPr>
          <w:rFonts w:eastAsia="Consolas" w:cs="Consolas" w:ascii="Consolas" w:hAnsi="Consolas"/>
          <w:color w:val="101820"/>
          <w:sz w:val="19"/>
        </w:rPr>
        <w:t>renewals.create_receivable</w:t>
      </w:r>
      <w:r>
        <w:rPr>
          <w:rFonts w:eastAsia="Segoe UI" w:cs="Segoe UI" w:ascii="Segoe UI" w:hAnsi="Segoe UI"/>
          <w:color w:val="101820"/>
          <w:sz w:val="21"/>
        </w:rPr>
        <w:t>) and accrues the commission to the original referrer.</w:t>
      </w:r>
    </w:p>
    <w:p>
      <w:pPr>
        <w:pStyle w:val="Heading3"/>
        <w:rPr/>
      </w:pPr>
      <w:r>
        <w:rPr>
          <w:rFonts w:eastAsia="Segoe UI" w:cs="Segoe UI"/>
          <w:b/>
          <w:color w:val="0F4761"/>
          <w:sz w:val="23"/>
        </w:rPr>
        <w:t>9.9.2  Renewal Queue and At-Risk Policies</w:t>
      </w:r>
    </w:p>
    <w:p>
      <w:pPr>
        <w:pStyle w:val="Normal"/>
        <w:jc w:val="center"/>
        <w:rPr/>
      </w:pPr>
      <w:r>
        <w:rPr/>
        <w:drawing>
          <wp:inline distT="0" distB="0" distL="0" distR="0">
            <wp:extent cx="5760085" cy="4469130"/>
            <wp:effectExtent l="0" t="0" r="0" b="0"/>
            <wp:docPr id="82" name="Picture 21212882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121288262" descr=""/>
                    <pic:cNvPicPr>
                      <a:picLocks noChangeAspect="1" noChangeArrowheads="1"/>
                    </pic:cNvPicPr>
                  </pic:nvPicPr>
                  <pic:blipFill>
                    <a:blip r:embed="rId7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Queue</w:t>
      </w:r>
    </w:p>
    <w:p>
      <w:pPr>
        <w:pStyle w:val="Normal"/>
        <w:spacing w:lineRule="auto" w:line="276" w:before="0" w:after="120"/>
        <w:rPr/>
      </w:pPr>
      <w:r>
        <w:rPr>
          <w:rFonts w:eastAsia="Segoe UI" w:cs="Segoe UI" w:ascii="Segoe UI" w:hAnsi="Segoe UI"/>
          <w:color w:val="101820"/>
          <w:sz w:val="21"/>
        </w:rPr>
        <w:t xml:space="preserve">The queue filters by </w:t>
      </w:r>
      <w:r>
        <w:rPr>
          <w:rFonts w:eastAsia="Segoe UI" w:cs="Segoe UI" w:ascii="Segoe UI" w:hAnsi="Segoe UI"/>
          <w:b/>
          <w:color w:val="101820"/>
          <w:sz w:val="21"/>
        </w:rPr>
        <w:t>Policy/Insured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Risk Level</w:t>
      </w:r>
      <w:r>
        <w:rPr>
          <w:rFonts w:eastAsia="Segoe UI" w:cs="Segoe UI" w:ascii="Segoe UI" w:hAnsi="Segoe UI"/>
          <w:color w:val="101820"/>
          <w:sz w:val="21"/>
        </w:rPr>
        <w:t xml:space="preserve">, </w:t>
      </w:r>
      <w:r>
        <w:rPr>
          <w:rFonts w:eastAsia="Segoe UI" w:cs="Segoe UI" w:ascii="Segoe UI" w:hAnsi="Segoe UI"/>
          <w:b/>
          <w:color w:val="101820"/>
          <w:sz w:val="21"/>
        </w:rPr>
        <w:t>Sales person</w:t>
      </w:r>
      <w:r>
        <w:rPr>
          <w:rFonts w:eastAsia="Segoe UI" w:cs="Segoe UI" w:ascii="Segoe UI" w:hAnsi="Segoe UI"/>
          <w:color w:val="101820"/>
          <w:sz w:val="21"/>
        </w:rPr>
        <w:t xml:space="preserve"> and </w:t>
      </w:r>
      <w:r>
        <w:rPr>
          <w:rFonts w:eastAsia="Segoe UI" w:cs="Segoe UI" w:ascii="Segoe UI" w:hAnsi="Segoe UI"/>
          <w:b/>
          <w:color w:val="101820"/>
          <w:sz w:val="21"/>
        </w:rPr>
        <w:t>Expiry Date Range</w:t>
      </w:r>
      <w:r>
        <w:rPr>
          <w:rFonts w:eastAsia="Segoe UI" w:cs="Segoe UI" w:ascii="Segoe UI" w:hAnsi="Segoe UI"/>
          <w:color w:val="101820"/>
          <w:sz w:val="21"/>
        </w:rPr>
        <w:t xml:space="preserve">; the cards count </w:t>
      </w:r>
      <w:r>
        <w:rPr>
          <w:rFonts w:eastAsia="Segoe UI" w:cs="Segoe UI" w:ascii="Segoe UI" w:hAnsi="Segoe UI"/>
          <w:b/>
          <w:color w:val="101820"/>
          <w:sz w:val="21"/>
        </w:rPr>
        <w:t>Total Policies</w:t>
      </w:r>
      <w:r>
        <w:rPr>
          <w:rFonts w:eastAsia="Segoe UI" w:cs="Segoe UI" w:ascii="Segoe UI" w:hAnsi="Segoe UI"/>
          <w:color w:val="101820"/>
          <w:sz w:val="21"/>
        </w:rPr>
        <w:t xml:space="preserve">, </w:t>
      </w:r>
      <w:r>
        <w:rPr>
          <w:rFonts w:eastAsia="Segoe UI" w:cs="Segoe UI" w:ascii="Segoe UI" w:hAnsi="Segoe UI"/>
          <w:b/>
          <w:color w:val="101820"/>
          <w:sz w:val="21"/>
        </w:rPr>
        <w:t>Due Soon (30 days)</w:t>
      </w:r>
      <w:r>
        <w:rPr>
          <w:rFonts w:eastAsia="Segoe UI" w:cs="Segoe UI" w:ascii="Segoe UI" w:hAnsi="Segoe UI"/>
          <w:color w:val="101820"/>
          <w:sz w:val="21"/>
        </w:rPr>
        <w:t xml:space="preserve">, </w:t>
      </w:r>
      <w:r>
        <w:rPr>
          <w:rFonts w:eastAsia="Segoe UI" w:cs="Segoe UI" w:ascii="Segoe UI" w:hAnsi="Segoe UI"/>
          <w:b/>
          <w:color w:val="101820"/>
          <w:sz w:val="21"/>
        </w:rPr>
        <w:t>At Risk</w:t>
      </w:r>
      <w:r>
        <w:rPr>
          <w:rFonts w:eastAsia="Segoe UI" w:cs="Segoe UI" w:ascii="Segoe UI" w:hAnsi="Segoe UI"/>
          <w:color w:val="101820"/>
          <w:sz w:val="21"/>
        </w:rPr>
        <w:t xml:space="preserve"> and </w:t>
      </w:r>
      <w:r>
        <w:rPr>
          <w:rFonts w:eastAsia="Segoe UI" w:cs="Segoe UI" w:ascii="Segoe UI" w:hAnsi="Segoe UI"/>
          <w:b/>
          <w:color w:val="101820"/>
          <w:sz w:val="21"/>
        </w:rPr>
        <w:t>In Grace Period</w:t>
      </w:r>
      <w:r>
        <w:rPr>
          <w:rFonts w:eastAsia="Segoe UI" w:cs="Segoe UI" w:ascii="Segoe UI" w:hAnsi="Segoe UI"/>
          <w:color w:val="101820"/>
          <w:sz w:val="21"/>
        </w:rPr>
        <w:t xml:space="preserve">. The renewal statuses include Pending, First Notice Sent, Second Notice Sent, Final Notice Sent, Quote Sent, Approved, Renewed and Lapsed. </w:t>
      </w:r>
      <w:r>
        <w:rPr>
          <w:rFonts w:eastAsia="Segoe UI" w:cs="Segoe UI" w:ascii="Segoe UI" w:hAnsi="Segoe UI"/>
          <w:b/>
          <w:color w:val="101820"/>
          <w:sz w:val="21"/>
        </w:rPr>
        <w:t>Attempts</w:t>
      </w:r>
      <w:r>
        <w:rPr>
          <w:rFonts w:eastAsia="Segoe UI" w:cs="Segoe UI" w:ascii="Segoe UI" w:hAnsi="Segoe UI"/>
          <w:color w:val="101820"/>
          <w:sz w:val="21"/>
        </w:rPr>
        <w:t xml:space="preserve"> counts the notices sent out of three.</w:t>
      </w:r>
    </w:p>
    <w:p>
      <w:pPr>
        <w:pStyle w:val="Normal"/>
        <w:spacing w:lineRule="auto" w:line="276" w:before="0" w:after="120"/>
        <w:rPr/>
      </w:pPr>
      <w:r>
        <w:rPr>
          <w:rFonts w:eastAsia="Segoe UI" w:cs="Segoe UI" w:ascii="Segoe UI" w:hAnsi="Segoe UI"/>
          <w:color w:val="101820"/>
          <w:sz w:val="21"/>
        </w:rPr>
        <w:t xml:space="preserve">The risk score on </w:t>
      </w:r>
      <w:r>
        <w:rPr>
          <w:rFonts w:eastAsia="Segoe UI" w:cs="Segoe UI" w:ascii="Segoe UI" w:hAnsi="Segoe UI"/>
          <w:b/>
          <w:color w:val="101820"/>
          <w:sz w:val="21"/>
        </w:rPr>
        <w:t>At-Risk Policies</w:t>
      </w:r>
      <w:r>
        <w:rPr>
          <w:rFonts w:eastAsia="Segoe UI" w:cs="Segoe UI" w:ascii="Segoe UI" w:hAnsi="Segoe UI"/>
          <w:color w:val="101820"/>
          <w:sz w:val="21"/>
        </w:rPr>
        <w:t xml:space="preserve"> adds weights for claims in the term (25), unpaid premium (20), a premium increase above 10% (20), a first renewal (15), expiry within 15 days (10) and no contact within 30 days of expiry (10) (</w:t>
      </w:r>
      <w:r>
        <w:rPr>
          <w:rFonts w:eastAsia="Consolas" w:cs="Consolas" w:ascii="Consolas" w:hAnsi="Consolas"/>
          <w:color w:val="101820"/>
          <w:sz w:val="19"/>
        </w:rPr>
        <w:t>renewals.risk_weights</w:t>
      </w:r>
      <w:r>
        <w:rPr>
          <w:rFonts w:eastAsia="Segoe UI" w:cs="Segoe UI" w:ascii="Segoe UI" w:hAnsi="Segoe UI"/>
          <w:color w:val="101820"/>
          <w:sz w:val="21"/>
        </w:rPr>
        <w:t xml:space="preserve">, </w:t>
      </w:r>
      <w:r>
        <w:rPr>
          <w:rFonts w:eastAsia="Consolas" w:cs="Consolas" w:ascii="Consolas" w:hAnsi="Consolas"/>
          <w:color w:val="101820"/>
          <w:sz w:val="19"/>
        </w:rPr>
        <w:t>renewals.risk_thresholds</w:t>
      </w:r>
      <w:r>
        <w:rPr>
          <w:rFonts w:eastAsia="Segoe UI" w:cs="Segoe UI" w:ascii="Segoe UI" w:hAnsi="Segoe UI"/>
          <w:color w:val="101820"/>
          <w:sz w:val="21"/>
        </w:rPr>
        <w:t>). The levels start at 30 (Medium), 55 (High) and 75 (Critical).</w:t>
      </w:r>
    </w:p>
    <w:p>
      <w:pPr>
        <w:pStyle w:val="Heading3"/>
        <w:rPr/>
      </w:pPr>
      <w:r>
        <w:rPr>
          <w:rFonts w:eastAsia="Segoe UI" w:cs="Segoe UI"/>
          <w:b/>
          <w:color w:val="0F4761"/>
          <w:sz w:val="23"/>
        </w:rPr>
        <w:t>9.9.3  Negotiations</w:t>
      </w:r>
    </w:p>
    <w:p>
      <w:pPr>
        <w:pStyle w:val="Normal"/>
        <w:jc w:val="center"/>
        <w:rPr/>
      </w:pPr>
      <w:r>
        <w:rPr/>
        <w:drawing>
          <wp:inline distT="0" distB="0" distL="0" distR="0">
            <wp:extent cx="5760085" cy="4469130"/>
            <wp:effectExtent l="0" t="0" r="0" b="0"/>
            <wp:docPr id="83" name="Picture 21212882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121288263" descr=""/>
                    <pic:cNvPicPr>
                      <a:picLocks noChangeAspect="1" noChangeArrowheads="1"/>
                    </pic:cNvPicPr>
                  </pic:nvPicPr>
                  <pic:blipFill>
                    <a:blip r:embed="rId7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Negotiations</w:t>
      </w:r>
    </w:p>
    <w:p>
      <w:pPr>
        <w:pStyle w:val="Normal"/>
        <w:spacing w:lineRule="auto" w:line="276" w:before="0" w:after="120"/>
        <w:rPr/>
      </w:pPr>
      <w:r>
        <w:rPr>
          <w:rFonts w:eastAsia="Segoe UI" w:cs="Segoe UI" w:ascii="Segoe UI" w:hAnsi="Segoe UI"/>
          <w:color w:val="101820"/>
          <w:sz w:val="21"/>
        </w:rPr>
        <w:t xml:space="preserve">Select a policy under </w:t>
      </w:r>
      <w:r>
        <w:rPr>
          <w:rFonts w:eastAsia="Segoe UI" w:cs="Segoe UI" w:ascii="Segoe UI" w:hAnsi="Segoe UI"/>
          <w:b/>
          <w:color w:val="101820"/>
          <w:sz w:val="21"/>
        </w:rPr>
        <w:t>Active Negotiations</w:t>
      </w:r>
      <w:r>
        <w:rPr>
          <w:rFonts w:eastAsia="Segoe UI" w:cs="Segoe UI" w:ascii="Segoe UI" w:hAnsi="Segoe UI"/>
          <w:color w:val="101820"/>
          <w:sz w:val="21"/>
        </w:rPr>
        <w:t xml:space="preserve"> to see its </w:t>
      </w:r>
      <w:r>
        <w:rPr>
          <w:rFonts w:eastAsia="Segoe UI" w:cs="Segoe UI" w:ascii="Segoe UI" w:hAnsi="Segoe UI"/>
          <w:b/>
          <w:color w:val="101820"/>
          <w:sz w:val="21"/>
        </w:rPr>
        <w:t>Timeline</w:t>
      </w:r>
      <w:r>
        <w:rPr>
          <w:rFonts w:eastAsia="Segoe UI" w:cs="Segoe UI" w:ascii="Segoe UI" w:hAnsi="Segoe UI"/>
          <w:color w:val="101820"/>
          <w:sz w:val="21"/>
        </w:rPr>
        <w:t xml:space="preserve">, </w:t>
      </w:r>
      <w:r>
        <w:rPr>
          <w:rFonts w:eastAsia="Segoe UI" w:cs="Segoe UI" w:ascii="Segoe UI" w:hAnsi="Segoe UI"/>
          <w:b/>
          <w:color w:val="101820"/>
          <w:sz w:val="21"/>
        </w:rPr>
        <w:t>Details</w:t>
      </w:r>
      <w:r>
        <w:rPr>
          <w:rFonts w:eastAsia="Segoe UI" w:cs="Segoe UI" w:ascii="Segoe UI" w:hAnsi="Segoe UI"/>
          <w:color w:val="101820"/>
          <w:sz w:val="21"/>
        </w:rPr>
        <w:t xml:space="preserve"> and </w:t>
      </w:r>
      <w:r>
        <w:rPr>
          <w:rFonts w:eastAsia="Segoe UI" w:cs="Segoe UI" w:ascii="Segoe UI" w:hAnsi="Segoe UI"/>
          <w:b/>
          <w:color w:val="101820"/>
          <w:sz w:val="21"/>
        </w:rPr>
        <w:t>Communications</w:t>
      </w:r>
      <w:r>
        <w:rPr>
          <w:rFonts w:eastAsia="Segoe UI" w:cs="Segoe UI" w:ascii="Segoe UI" w:hAnsi="Segoe UI"/>
          <w:color w:val="101820"/>
          <w:sz w:val="21"/>
        </w:rPr>
        <w:t>. Then:</w:t>
      </w:r>
    </w:p>
    <w:p>
      <w:pPr>
        <w:pStyle w:val="Normal"/>
        <w:numPr>
          <w:ilvl w:val="0"/>
          <w:numId w:val="1"/>
        </w:numPr>
        <w:spacing w:before="0" w:after="60"/>
        <w:rPr/>
      </w:pPr>
      <w:r>
        <w:rPr>
          <w:rFonts w:eastAsia="Segoe UI" w:cs="Segoe UI" w:ascii="Segoe UI" w:hAnsi="Segoe UI"/>
          <w:b/>
          <w:color w:val="101820"/>
          <w:sz w:val="21"/>
        </w:rPr>
        <w:t>Add note</w:t>
      </w:r>
      <w:r>
        <w:rPr>
          <w:rFonts w:eastAsia="Segoe UI" w:cs="Segoe UI" w:ascii="Segoe UI" w:hAnsi="Segoe UI"/>
          <w:color w:val="101820"/>
          <w:sz w:val="21"/>
        </w:rPr>
        <w:t xml:space="preserve">: record a call, meeting or message. Choose </w:t>
      </w:r>
      <w:r>
        <w:rPr>
          <w:rFonts w:eastAsia="Segoe UI" w:cs="Segoe UI" w:ascii="Segoe UI" w:hAnsi="Segoe UI"/>
          <w:b/>
          <w:color w:val="101820"/>
          <w:sz w:val="21"/>
        </w:rPr>
        <w:t>Update Type</w:t>
      </w:r>
      <w:r>
        <w:rPr>
          <w:rFonts w:eastAsia="Segoe UI" w:cs="Segoe UI" w:ascii="Segoe UI" w:hAnsi="Segoe UI"/>
          <w:color w:val="101820"/>
          <w:sz w:val="21"/>
        </w:rPr>
        <w:t xml:space="preserve">, </w:t>
      </w:r>
      <w:r>
        <w:rPr>
          <w:rFonts w:eastAsia="Segoe UI" w:cs="Segoe UI" w:ascii="Segoe UI" w:hAnsi="Segoe UI"/>
          <w:b/>
          <w:color w:val="101820"/>
          <w:sz w:val="21"/>
        </w:rPr>
        <w:t>Communication Method</w:t>
      </w:r>
      <w:r>
        <w:rPr>
          <w:rFonts w:eastAsia="Segoe UI" w:cs="Segoe UI" w:ascii="Segoe UI" w:hAnsi="Segoe UI"/>
          <w:color w:val="101820"/>
          <w:sz w:val="21"/>
        </w:rPr>
        <w:t xml:space="preserve"> (for example Phone), enter the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Outcome</w:t>
      </w:r>
      <w:r>
        <w:rPr>
          <w:rFonts w:eastAsia="Segoe UI" w:cs="Segoe UI" w:ascii="Segoe UI" w:hAnsi="Segoe UI"/>
          <w:color w:val="101820"/>
          <w:sz w:val="21"/>
        </w:rPr>
        <w:t xml:space="preserve">, </w:t>
      </w:r>
      <w:r>
        <w:rPr>
          <w:rFonts w:eastAsia="Segoe UI" w:cs="Segoe UI" w:ascii="Segoe UI" w:hAnsi="Segoe UI"/>
          <w:b/>
          <w:color w:val="101820"/>
          <w:sz w:val="21"/>
        </w:rPr>
        <w:t>Next Action</w:t>
      </w:r>
      <w:r>
        <w:rPr>
          <w:rFonts w:eastAsia="Segoe UI" w:cs="Segoe UI" w:ascii="Segoe UI" w:hAnsi="Segoe UI"/>
          <w:color w:val="101820"/>
          <w:sz w:val="21"/>
        </w:rPr>
        <w:t xml:space="preserve"> and </w:t>
      </w:r>
      <w:r>
        <w:rPr>
          <w:rFonts w:eastAsia="Segoe UI" w:cs="Segoe UI" w:ascii="Segoe UI" w:hAnsi="Segoe UI"/>
          <w:b/>
          <w:color w:val="101820"/>
          <w:sz w:val="21"/>
        </w:rPr>
        <w:t>Follow-up Date</w:t>
      </w:r>
      <w:r>
        <w:rPr>
          <w:rFonts w:eastAsia="Segoe UI" w:cs="Segoe UI" w:ascii="Segoe UI" w:hAnsi="Segoe UI"/>
          <w:color w:val="101820"/>
          <w:sz w:val="21"/>
        </w:rPr>
        <w:t xml:space="preserve">, and select </w:t>
      </w:r>
      <w:r>
        <w:rPr>
          <w:rFonts w:eastAsia="Segoe UI" w:cs="Segoe UI" w:ascii="Segoe UI" w:hAnsi="Segoe UI"/>
          <w:b/>
          <w:color w:val="101820"/>
          <w:sz w:val="21"/>
        </w:rPr>
        <w:t>Save Update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Request approval</w:t>
      </w:r>
      <w:r>
        <w:rPr>
          <w:rFonts w:eastAsia="Segoe UI" w:cs="Segoe UI" w:ascii="Segoe UI" w:hAnsi="Segoe UI"/>
          <w:color w:val="101820"/>
          <w:sz w:val="21"/>
        </w:rPr>
        <w:t>: send the renewal terms to the Processing Team for approval.</w:t>
      </w:r>
    </w:p>
    <w:p>
      <w:pPr>
        <w:pStyle w:val="Normal"/>
        <w:numPr>
          <w:ilvl w:val="0"/>
          <w:numId w:val="1"/>
        </w:numPr>
        <w:spacing w:before="0" w:after="60"/>
        <w:rPr/>
      </w:pPr>
      <w:r>
        <w:rPr>
          <w:rFonts w:eastAsia="Segoe UI" w:cs="Segoe UI" w:ascii="Segoe UI" w:hAnsi="Segoe UI"/>
          <w:b/>
          <w:color w:val="101820"/>
          <w:sz w:val="21"/>
        </w:rPr>
        <w:t>Send Communication</w:t>
      </w:r>
      <w:r>
        <w:rPr>
          <w:rFonts w:eastAsia="Segoe UI" w:cs="Segoe UI" w:ascii="Segoe UI" w:hAnsi="Segoe UI"/>
          <w:color w:val="101820"/>
          <w:sz w:val="21"/>
        </w:rPr>
        <w:t>: write to the client. SMS, phone and letter are recorded only; e-mails are queued in the outbox.</w:t>
      </w:r>
    </w:p>
    <w:p>
      <w:pPr>
        <w:pStyle w:val="Normal"/>
        <w:jc w:val="center"/>
        <w:rPr/>
      </w:pPr>
      <w:r>
        <w:rPr/>
        <w:drawing>
          <wp:inline distT="0" distB="0" distL="0" distR="0">
            <wp:extent cx="5760085" cy="4712970"/>
            <wp:effectExtent l="0" t="0" r="0" b="0"/>
            <wp:docPr id="84" name="Picture 21212882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121288264" descr=""/>
                    <pic:cNvPicPr>
                      <a:picLocks noChangeAspect="1" noChangeArrowheads="1"/>
                    </pic:cNvPicPr>
                  </pic:nvPicPr>
                  <pic:blipFill>
                    <a:blip r:embed="rId8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Add Negotiation Update</w:t>
      </w:r>
    </w:p>
    <w:p>
      <w:pPr>
        <w:pStyle w:val="Heading3"/>
        <w:rPr/>
      </w:pPr>
      <w:r>
        <w:rPr>
          <w:rFonts w:eastAsia="Segoe UI" w:cs="Segoe UI"/>
          <w:b/>
          <w:color w:val="0F4761"/>
          <w:sz w:val="23"/>
        </w:rPr>
        <w:t>9.9.4  Renewal Batch, Lapse Management and the analytics</w:t>
      </w:r>
    </w:p>
    <w:p>
      <w:pPr>
        <w:pStyle w:val="Normal"/>
        <w:spacing w:lineRule="auto" w:line="276" w:before="0" w:after="120"/>
        <w:rPr/>
      </w:pPr>
      <w:r>
        <w:rPr>
          <w:rFonts w:eastAsia="Segoe UI" w:cs="Segoe UI" w:ascii="Segoe UI" w:hAnsi="Segoe UI"/>
          <w:b/>
          <w:color w:val="101820"/>
          <w:sz w:val="21"/>
        </w:rPr>
        <w:t>Renewal Batch</w:t>
      </w:r>
      <w:r>
        <w:rPr>
          <w:rFonts w:eastAsia="Segoe UI" w:cs="Segoe UI" w:ascii="Segoe UI" w:hAnsi="Segoe UI"/>
          <w:color w:val="101820"/>
          <w:sz w:val="21"/>
        </w:rPr>
        <w:t xml:space="preserve"> groups policies expiring in the next 30 days (</w:t>
      </w:r>
      <w:r>
        <w:rPr>
          <w:rFonts w:eastAsia="Consolas" w:cs="Consolas" w:ascii="Consolas" w:hAnsi="Consolas"/>
          <w:color w:val="101820"/>
          <w:sz w:val="19"/>
        </w:rPr>
        <w:t>renewals.batch_window_days</w:t>
      </w:r>
      <w:r>
        <w:rPr>
          <w:rFonts w:eastAsia="Segoe UI" w:cs="Segoe UI" w:ascii="Segoe UI" w:hAnsi="Segoe UI"/>
          <w:color w:val="101820"/>
          <w:sz w:val="21"/>
        </w:rPr>
        <w:t xml:space="preserve">). Select </w:t>
      </w:r>
      <w:r>
        <w:rPr>
          <w:rFonts w:eastAsia="Segoe UI" w:cs="Segoe UI" w:ascii="Segoe UI" w:hAnsi="Segoe UI"/>
          <w:b/>
          <w:color w:val="101820"/>
          <w:sz w:val="21"/>
        </w:rPr>
        <w:t>Create Batch</w:t>
      </w:r>
      <w:r>
        <w:rPr>
          <w:rFonts w:eastAsia="Segoe UI" w:cs="Segoe UI" w:ascii="Segoe UI" w:hAnsi="Segoe UI"/>
          <w:color w:val="101820"/>
          <w:sz w:val="21"/>
        </w:rPr>
        <w:t xml:space="preserve">, choose the policies and send the notices or renewal quotes; the Renewal notice queue job works the batch in the background and </w:t>
      </w:r>
      <w:r>
        <w:rPr>
          <w:rFonts w:eastAsia="Segoe UI" w:cs="Segoe UI" w:ascii="Segoe UI" w:hAnsi="Segoe UI"/>
          <w:b/>
          <w:color w:val="101820"/>
          <w:sz w:val="21"/>
        </w:rPr>
        <w:t>Refresh</w:t>
      </w:r>
      <w:r>
        <w:rPr>
          <w:rFonts w:eastAsia="Segoe UI" w:cs="Segoe UI" w:ascii="Segoe UI" w:hAnsi="Segoe UI"/>
          <w:color w:val="101820"/>
          <w:sz w:val="21"/>
        </w:rPr>
        <w:t xml:space="preserve"> shows the progress.</w:t>
      </w:r>
    </w:p>
    <w:p>
      <w:pPr>
        <w:pStyle w:val="Normal"/>
        <w:spacing w:lineRule="auto" w:line="276" w:before="0" w:after="120"/>
        <w:rPr/>
      </w:pPr>
      <w:r>
        <w:rPr>
          <w:rFonts w:eastAsia="Segoe UI" w:cs="Segoe UI" w:ascii="Segoe UI" w:hAnsi="Segoe UI"/>
          <w:b/>
          <w:color w:val="101820"/>
          <w:sz w:val="21"/>
        </w:rPr>
        <w:t>Lapse Management</w:t>
      </w:r>
      <w:r>
        <w:rPr>
          <w:rFonts w:eastAsia="Segoe UI" w:cs="Segoe UI" w:ascii="Segoe UI" w:hAnsi="Segoe UI"/>
          <w:color w:val="101820"/>
          <w:sz w:val="21"/>
        </w:rPr>
        <w:t xml:space="preserve"> lists lapsed policies and policies in the grace period with days lapsed, premium lost, reason and win-back status. </w:t>
      </w:r>
      <w:r>
        <w:rPr>
          <w:rFonts w:eastAsia="Segoe UI" w:cs="Segoe UI" w:ascii="Segoe UI" w:hAnsi="Segoe UI"/>
          <w:b/>
          <w:color w:val="101820"/>
          <w:sz w:val="21"/>
        </w:rPr>
        <w:t>Create Campaign</w:t>
      </w:r>
      <w:r>
        <w:rPr>
          <w:rFonts w:eastAsia="Segoe UI" w:cs="Segoe UI" w:ascii="Segoe UI" w:hAnsi="Segoe UI"/>
          <w:color w:val="101820"/>
          <w:sz w:val="21"/>
        </w:rPr>
        <w:t xml:space="preserve"> sets up a win-back campaign: </w:t>
      </w:r>
      <w:r>
        <w:rPr>
          <w:rFonts w:eastAsia="Segoe UI" w:cs="Segoe UI" w:ascii="Segoe UI" w:hAnsi="Segoe UI"/>
          <w:b/>
          <w:color w:val="101820"/>
          <w:sz w:val="21"/>
        </w:rPr>
        <w:t>Campaign Name</w:t>
      </w:r>
      <w:r>
        <w:rPr>
          <w:rFonts w:eastAsia="Segoe UI" w:cs="Segoe UI" w:ascii="Segoe UI" w:hAnsi="Segoe UI"/>
          <w:color w:val="101820"/>
          <w:sz w:val="21"/>
        </w:rPr>
        <w:t xml:space="preserve">, </w:t>
      </w:r>
      <w:r>
        <w:rPr>
          <w:rFonts w:eastAsia="Segoe UI" w:cs="Segoe UI" w:ascii="Segoe UI" w:hAnsi="Segoe UI"/>
          <w:b/>
          <w:color w:val="101820"/>
          <w:sz w:val="21"/>
        </w:rPr>
        <w:t>Target Segment</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Discount (%)</w:t>
      </w:r>
      <w:r>
        <w:rPr>
          <w:rFonts w:eastAsia="Segoe UI" w:cs="Segoe UI" w:ascii="Segoe UI" w:hAnsi="Segoe UI"/>
          <w:color w:val="101820"/>
          <w:sz w:val="21"/>
        </w:rPr>
        <w:t xml:space="preserve">, </w:t>
      </w:r>
      <w:r>
        <w:rPr>
          <w:rFonts w:eastAsia="Segoe UI" w:cs="Segoe UI" w:ascii="Segoe UI" w:hAnsi="Segoe UI"/>
          <w:b/>
          <w:color w:val="101820"/>
          <w:sz w:val="21"/>
        </w:rPr>
        <w:t>Budget</w:t>
      </w:r>
      <w:r>
        <w:rPr>
          <w:rFonts w:eastAsia="Segoe UI" w:cs="Segoe UI" w:ascii="Segoe UI" w:hAnsi="Segoe UI"/>
          <w:color w:val="101820"/>
          <w:sz w:val="21"/>
        </w:rPr>
        <w:t xml:space="preserve"> and the </w:t>
      </w:r>
      <w:r>
        <w:rPr>
          <w:rFonts w:eastAsia="Segoe UI" w:cs="Segoe UI" w:ascii="Segoe UI" w:hAnsi="Segoe UI"/>
          <w:b/>
          <w:color w:val="101820"/>
          <w:sz w:val="21"/>
        </w:rPr>
        <w:t>Campaign Benefits</w:t>
      </w:r>
      <w:r>
        <w:rPr>
          <w:rFonts w:eastAsia="Segoe UI" w:cs="Segoe UI" w:ascii="Segoe UI" w:hAnsi="Segoe UI"/>
          <w:color w:val="101820"/>
          <w:sz w:val="21"/>
        </w:rPr>
        <w:t xml:space="preserve"> offered.</w:t>
      </w:r>
    </w:p>
    <w:p>
      <w:pPr>
        <w:pStyle w:val="Normal"/>
        <w:spacing w:lineRule="auto" w:line="276" w:before="0" w:after="120"/>
        <w:rPr/>
      </w:pPr>
      <w:r>
        <w:rPr>
          <w:rFonts w:eastAsia="Segoe UI" w:cs="Segoe UI" w:ascii="Segoe UI" w:hAnsi="Segoe UI"/>
          <w:b/>
          <w:color w:val="101820"/>
          <w:sz w:val="21"/>
        </w:rPr>
        <w:t>Retention Analytics</w:t>
      </w:r>
      <w:r>
        <w:rPr>
          <w:rFonts w:eastAsia="Segoe UI" w:cs="Segoe UI" w:ascii="Segoe UI" w:hAnsi="Segoe UI"/>
          <w:color w:val="101820"/>
          <w:sz w:val="21"/>
        </w:rPr>
        <w:t xml:space="preserve"> and </w:t>
      </w:r>
      <w:r>
        <w:rPr>
          <w:rFonts w:eastAsia="Segoe UI" w:cs="Segoe UI" w:ascii="Segoe UI" w:hAnsi="Segoe UI"/>
          <w:b/>
          <w:color w:val="101820"/>
          <w:sz w:val="21"/>
        </w:rPr>
        <w:t>Performance</w:t>
      </w:r>
      <w:r>
        <w:rPr>
          <w:rFonts w:eastAsia="Segoe UI" w:cs="Segoe UI" w:ascii="Segoe UI" w:hAnsi="Segoe UI"/>
          <w:color w:val="101820"/>
          <w:sz w:val="21"/>
        </w:rPr>
        <w:t xml:space="preserve"> show the renewal rate, premium retention and cycle time for the period, product line and sales person chosen, against the targets (renewal rate 85%, premium retention 90%, cycle time 15 days), with recommended actions.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figures.</w:t>
      </w:r>
    </w:p>
    <w:p>
      <w:pPr>
        <w:pStyle w:val="Normal"/>
        <w:jc w:val="center"/>
        <w:rPr/>
      </w:pPr>
      <w:r>
        <w:rPr/>
        <w:drawing>
          <wp:inline distT="0" distB="0" distL="0" distR="0">
            <wp:extent cx="5760085" cy="4469130"/>
            <wp:effectExtent l="0" t="0" r="0" b="0"/>
            <wp:docPr id="85" name="Picture 21212882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121288265" descr=""/>
                    <pic:cNvPicPr>
                      <a:picLocks noChangeAspect="1" noChangeArrowheads="1"/>
                    </pic:cNvPicPr>
                  </pic:nvPicPr>
                  <pic:blipFill>
                    <a:blip r:embed="rId8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Retention Analytics</w:t>
      </w:r>
    </w:p>
    <w:p>
      <w:pPr>
        <w:pStyle w:val="Heading2"/>
        <w:rPr/>
      </w:pPr>
      <w:bookmarkStart w:id="79" w:name="__RefHeading___Toc107413_4049217194"/>
      <w:bookmarkEnd w:id="79"/>
      <w:r>
        <w:rPr>
          <w:rFonts w:eastAsia="Segoe UI" w:cs="Segoe UI"/>
          <w:b/>
          <w:color w:val="0F4761"/>
          <w:sz w:val="26"/>
        </w:rPr>
        <w:t>9.10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completion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with the insurer's endorsement.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recorded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verifies them and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gives no approvals.</w:t>
      </w:r>
      <w:r>
        <w:br w:type="page"/>
      </w:r>
    </w:p>
    <w:p>
      <w:pPr>
        <w:pStyle w:val="Heading1"/>
        <w:rPr/>
      </w:pPr>
      <w:bookmarkStart w:id="80" w:name="__RefHeading___Toc107415_4049217194"/>
      <w:bookmarkEnd w:id="80"/>
      <w:r>
        <w:rPr>
          <w:rFonts w:eastAsia="Segoe UI" w:cs="Segoe UI" w:ascii="Segoe UI" w:hAnsi="Segoe UI"/>
          <w:b/>
          <w:color w:val="0F4761"/>
          <w:sz w:val="32"/>
        </w:rPr>
        <w:t>10.  Claims</w:t>
      </w:r>
    </w:p>
    <w:p>
      <w:pPr>
        <w:pStyle w:val="Heading2"/>
        <w:rPr/>
      </w:pPr>
      <w:bookmarkStart w:id="81" w:name="__RefHeading___Toc107417_4049217194"/>
      <w:bookmarkEnd w:id="81"/>
      <w:r>
        <w:rPr>
          <w:rFonts w:eastAsia="Segoe UI" w:cs="Segoe UI"/>
          <w:b/>
          <w:color w:val="0F4761"/>
          <w:sz w:val="26"/>
        </w:rPr>
        <w:t>10.1  Role summary</w:t>
      </w:r>
    </w:p>
    <w:p>
      <w:pPr>
        <w:pStyle w:val="Normal"/>
        <w:spacing w:lineRule="auto" w:line="276" w:before="0" w:after="120"/>
        <w:rPr/>
      </w:pPr>
      <w:r>
        <w:rPr>
          <w:rFonts w:eastAsia="Segoe UI" w:cs="Segoe UI" w:ascii="Segoe UI" w:hAnsi="Segoe UI"/>
          <w:color w:val="101820"/>
          <w:sz w:val="21"/>
        </w:rPr>
        <w:t>The Claims team registers losses under the policies, sends the Preliminary Loss Advice to the insurer, follows the insurer and the adjuster, records the assessment and the settlement and, as a second user, approves the settlements entered by colleagues. Claims also registers reinsurance recoveries on claims.</w:t>
      </w:r>
    </w:p>
    <w:p>
      <w:pPr>
        <w:pStyle w:val="Normal"/>
        <w:jc w:val="center"/>
        <w:rPr/>
      </w:pPr>
      <w:r>
        <w:rPr/>
        <w:drawing>
          <wp:inline distT="0" distB="0" distL="0" distR="0">
            <wp:extent cx="5760085" cy="4469130"/>
            <wp:effectExtent l="0" t="0" r="0" b="0"/>
            <wp:docPr id="86" name="Picture 21212882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21288266" descr=""/>
                    <pic:cNvPicPr>
                      <a:picLocks noChangeAspect="1" noChangeArrowheads="1"/>
                    </pic:cNvPicPr>
                  </pic:nvPicPr>
                  <pic:blipFill>
                    <a:blip r:embed="rId8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p>
      <w:pPr>
        <w:pStyle w:val="Heading2"/>
        <w:rPr/>
      </w:pPr>
      <w:bookmarkStart w:id="82" w:name="__RefHeading___Toc107419_4049217194"/>
      <w:bookmarkEnd w:id="82"/>
      <w:r>
        <w:rPr>
          <w:rFonts w:eastAsia="Segoe UI" w:cs="Segoe UI"/>
          <w:b/>
          <w:color w:val="0F4761"/>
          <w:sz w:val="26"/>
        </w:rPr>
        <w:t>10.2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05"/>
        <w:gridCol w:w="6708"/>
      </w:tblGrid>
      <w:tr>
        <w:trPr>
          <w:tblHeader w:val="true"/>
        </w:trPr>
        <w:tc>
          <w:tcPr>
            <w:tcW w:w="2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Clients, Policy, Claims</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Claims role lands on the Claims Dashboard.</w:t>
      </w:r>
    </w:p>
    <w:p>
      <w:pPr>
        <w:pStyle w:val="Heading2"/>
        <w:rPr/>
      </w:pPr>
      <w:bookmarkStart w:id="83" w:name="__RefHeading___Toc107421_4049217194"/>
      <w:bookmarkEnd w:id="83"/>
      <w:r>
        <w:rPr>
          <w:rFonts w:eastAsia="Segoe UI" w:cs="Segoe UI"/>
          <w:b/>
          <w:color w:val="0F4761"/>
          <w:sz w:val="26"/>
        </w:rPr>
        <w:t>10.3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new losses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open claims with the insurer and adjuster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settlements entered by another Claims user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claim in Pending Approval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Watch overdue claims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claims position and ageing</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 Reports &gt; All Reports &gt; Claims Ageing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reinsurance recoveries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Claims Recovery</w:t>
            </w:r>
          </w:p>
        </w:tc>
      </w:tr>
    </w:tbl>
    <w:p>
      <w:pPr>
        <w:pStyle w:val="Normal"/>
        <w:spacing w:before="0" w:after="80"/>
        <w:rPr/>
      </w:pPr>
      <w:r>
        <w:rPr/>
      </w:r>
    </w:p>
    <w:p>
      <w:pPr>
        <w:pStyle w:val="Heading2"/>
        <w:rPr/>
      </w:pPr>
      <w:bookmarkStart w:id="84" w:name="__RefHeading___Toc107423_4049217194"/>
      <w:bookmarkEnd w:id="84"/>
      <w:r>
        <w:rPr>
          <w:rFonts w:eastAsia="Segoe UI" w:cs="Segoe UI"/>
          <w:b/>
          <w:color w:val="0F4761"/>
          <w:sz w:val="26"/>
        </w:rPr>
        <w:t>10.4  Claims Dashboard</w:t>
      </w:r>
    </w:p>
    <w:p>
      <w:pPr>
        <w:pStyle w:val="Normal"/>
        <w:spacing w:lineRule="auto" w:line="276" w:before="0" w:after="120"/>
        <w:rPr/>
      </w:pPr>
      <w:r>
        <w:rPr>
          <w:rFonts w:eastAsia="Segoe UI" w:cs="Segoe UI" w:ascii="Segoe UI" w:hAnsi="Segoe UI"/>
          <w:color w:val="101820"/>
          <w:sz w:val="21"/>
        </w:rPr>
        <w:t xml:space="preserve">The dashboard shows </w:t>
      </w:r>
      <w:r>
        <w:rPr>
          <w:rFonts w:eastAsia="Segoe UI" w:cs="Segoe UI" w:ascii="Segoe UI" w:hAnsi="Segoe UI"/>
          <w:b/>
          <w:color w:val="101820"/>
          <w:sz w:val="21"/>
        </w:rPr>
        <w:t>Total Open Claims</w:t>
      </w:r>
      <w:r>
        <w:rPr>
          <w:rFonts w:eastAsia="Segoe UI" w:cs="Segoe UI" w:ascii="Segoe UI" w:hAnsi="Segoe UI"/>
          <w:color w:val="101820"/>
          <w:sz w:val="21"/>
        </w:rPr>
        <w:t xml:space="preserve">, </w:t>
      </w:r>
      <w:r>
        <w:rPr>
          <w:rFonts w:eastAsia="Segoe UI" w:cs="Segoe UI" w:ascii="Segoe UI" w:hAnsi="Segoe UI"/>
          <w:b/>
          <w:color w:val="101820"/>
          <w:sz w:val="21"/>
        </w:rPr>
        <w:t>Claims Overdue</w:t>
      </w:r>
      <w:r>
        <w:rPr>
          <w:rFonts w:eastAsia="Segoe UI" w:cs="Segoe UI" w:ascii="Segoe UI" w:hAnsi="Segoe UI"/>
          <w:color w:val="101820"/>
          <w:sz w:val="21"/>
        </w:rPr>
        <w:t xml:space="preserve"> (past the handling time of 20 days, </w:t>
      </w:r>
      <w:r>
        <w:rPr>
          <w:rFonts w:eastAsia="Consolas" w:cs="Consolas" w:ascii="Consolas" w:hAnsi="Consolas"/>
          <w:color w:val="101820"/>
          <w:sz w:val="19"/>
        </w:rPr>
        <w:t>claims.sla_days</w:t>
      </w:r>
      <w:r>
        <w:rPr>
          <w:rFonts w:eastAsia="Segoe UI" w:cs="Segoe UI" w:ascii="Segoe UI" w:hAnsi="Segoe UI"/>
          <w:color w:val="101820"/>
          <w:sz w:val="21"/>
        </w:rPr>
        <w:t xml:space="preserve">), </w:t>
      </w:r>
      <w:r>
        <w:rPr>
          <w:rFonts w:eastAsia="Segoe UI" w:cs="Segoe UI" w:ascii="Segoe UI" w:hAnsi="Segoe UI"/>
          <w:b/>
          <w:color w:val="101820"/>
          <w:sz w:val="21"/>
        </w:rPr>
        <w:t>Today's Claims</w:t>
      </w:r>
      <w:r>
        <w:rPr>
          <w:rFonts w:eastAsia="Segoe UI" w:cs="Segoe UI" w:ascii="Segoe UI" w:hAnsi="Segoe UI"/>
          <w:color w:val="101820"/>
          <w:sz w:val="21"/>
        </w:rPr>
        <w:t xml:space="preserve">, the line with the most claims and the claims by province, and the recent claims. Choose a date range and select </w:t>
      </w:r>
      <w:r>
        <w:rPr>
          <w:rFonts w:eastAsia="Segoe UI" w:cs="Segoe UI" w:ascii="Segoe UI" w:hAnsi="Segoe UI"/>
          <w:b/>
          <w:color w:val="101820"/>
          <w:sz w:val="21"/>
        </w:rPr>
        <w:t>Export Report</w:t>
      </w:r>
      <w:r>
        <w:rPr>
          <w:rFonts w:eastAsia="Segoe UI" w:cs="Segoe UI" w:ascii="Segoe UI" w:hAnsi="Segoe UI"/>
          <w:color w:val="101820"/>
          <w:sz w:val="21"/>
        </w:rPr>
        <w:t xml:space="preserve"> to download the claims data.</w:t>
      </w:r>
    </w:p>
    <w:p>
      <w:pPr>
        <w:pStyle w:val="Heading2"/>
        <w:rPr/>
      </w:pPr>
      <w:bookmarkStart w:id="85" w:name="__RefHeading___Toc107425_4049217194"/>
      <w:bookmarkEnd w:id="85"/>
      <w:r>
        <w:rPr>
          <w:rFonts w:eastAsia="Segoe UI" w:cs="Segoe UI"/>
          <w:b/>
          <w:color w:val="0F4761"/>
          <w:sz w:val="26"/>
        </w:rPr>
        <w:t>10.5  The claims list</w:t>
      </w:r>
    </w:p>
    <w:p>
      <w:pPr>
        <w:pStyle w:val="Normal"/>
        <w:jc w:val="center"/>
        <w:rPr/>
      </w:pPr>
      <w:r>
        <w:rPr/>
        <w:drawing>
          <wp:inline distT="0" distB="0" distL="0" distR="0">
            <wp:extent cx="5760085" cy="3877945"/>
            <wp:effectExtent l="0" t="0" r="0" b="0"/>
            <wp:docPr id="87" name="Picture 21212882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121288267" descr=""/>
                    <pic:cNvPicPr>
                      <a:picLocks noChangeAspect="1" noChangeArrowheads="1"/>
                    </pic:cNvPicPr>
                  </pic:nvPicPr>
                  <pic:blipFill>
                    <a:blip r:embed="rId83"/>
                    <a:stretch>
                      <a:fillRect/>
                    </a:stretch>
                  </pic:blipFill>
                  <pic:spPr bwMode="auto">
                    <a:xfrm>
                      <a:off x="0" y="0"/>
                      <a:ext cx="5760085" cy="38779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Claims</w:t>
      </w:r>
    </w:p>
    <w:p>
      <w:pPr>
        <w:pStyle w:val="Normal"/>
        <w:spacing w:lineRule="auto" w:line="276" w:before="0" w:after="120"/>
        <w:rPr/>
      </w:pPr>
      <w:r>
        <w:rPr>
          <w:rFonts w:eastAsia="Segoe UI" w:cs="Segoe UI" w:ascii="Segoe UI" w:hAnsi="Segoe UI"/>
          <w:color w:val="101820"/>
          <w:sz w:val="21"/>
        </w:rPr>
        <w:t xml:space="preserve">Choose Operations &gt; Claims. Each row shows </w:t>
      </w:r>
      <w:r>
        <w:rPr>
          <w:rFonts w:eastAsia="Segoe UI" w:cs="Segoe UI" w:ascii="Segoe UI" w:hAnsi="Segoe UI"/>
          <w:b/>
          <w:color w:val="101820"/>
          <w:sz w:val="21"/>
        </w:rPr>
        <w:t>Claim Number</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icons under </w:t>
      </w:r>
      <w:r>
        <w:rPr>
          <w:rFonts w:eastAsia="Segoe UI" w:cs="Segoe UI" w:ascii="Segoe UI" w:hAnsi="Segoe UI"/>
          <w:b/>
          <w:color w:val="101820"/>
          <w:sz w:val="21"/>
        </w:rPr>
        <w:t>Actions</w:t>
      </w:r>
      <w:r>
        <w:rPr>
          <w:rFonts w:eastAsia="Segoe UI" w:cs="Segoe UI" w:ascii="Segoe UI" w:hAnsi="Segoe UI"/>
          <w:color w:val="101820"/>
          <w:sz w:val="21"/>
        </w:rPr>
        <w:t xml:space="preserve"> open the claim details, the next step for the claim's status and the claim audit trail.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the Preliminary Loss Advice went to the 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review: adjuster report and assessment.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submitted; waiting for a second Claims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Settlement approved; settled at once when </w:t>
            </w:r>
            <w:r>
              <w:rPr>
                <w:rFonts w:eastAsia="Consolas" w:cs="Consolas" w:ascii="Consolas" w:hAnsi="Consolas"/>
                <w:color w:val="101820"/>
                <w:kern w:val="0"/>
                <w:sz w:val="16"/>
                <w:szCs w:val="24"/>
                <w:lang w:val="en-US" w:eastAsia="ja-JP" w:bidi="ar-SA"/>
              </w:rPr>
              <w:t>claims.auto_settle_on_approval</w:t>
            </w:r>
            <w:r>
              <w:rPr>
                <w:rFonts w:eastAsia="Segoe UI" w:cs="Segoe UI" w:ascii="Segoe UI" w:hAnsi="Segoe UI"/>
                <w:color w:val="101820"/>
                <w:kern w:val="0"/>
                <w:sz w:val="18"/>
                <w:szCs w:val="24"/>
                <w:lang w:val="en-US" w:eastAsia="ja-JP" w:bidi="ar-SA"/>
              </w:rPr>
              <w:t xml:space="preserve"> is 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released.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 the reason.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closed.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claim screen shows the claim journey at the top: </w:t>
      </w:r>
      <w:r>
        <w:rPr>
          <w:rFonts w:eastAsia="Segoe UI" w:cs="Segoe UI" w:ascii="Segoe UI" w:hAnsi="Segoe UI"/>
          <w:b/>
          <w:color w:val="101820"/>
          <w:sz w:val="21"/>
        </w:rPr>
        <w:t>Notification</w:t>
      </w:r>
      <w:r>
        <w:rPr>
          <w:rFonts w:eastAsia="Segoe UI" w:cs="Segoe UI" w:ascii="Segoe UI" w:hAnsi="Segoe UI"/>
          <w:color w:val="101820"/>
          <w:sz w:val="21"/>
        </w:rPr>
        <w:t xml:space="preserve">, </w:t>
      </w:r>
      <w:r>
        <w:rPr>
          <w:rFonts w:eastAsia="Segoe UI" w:cs="Segoe UI" w:ascii="Segoe UI" w:hAnsi="Segoe UI"/>
          <w:b/>
          <w:color w:val="101820"/>
          <w:sz w:val="21"/>
        </w:rPr>
        <w:t>Insurer advice</w:t>
      </w:r>
      <w:r>
        <w:rPr>
          <w:rFonts w:eastAsia="Segoe UI" w:cs="Segoe UI" w:ascii="Segoe UI" w:hAnsi="Segoe UI"/>
          <w:color w:val="101820"/>
          <w:sz w:val="21"/>
        </w:rPr>
        <w:t xml:space="preserve">, </w:t>
      </w:r>
      <w:r>
        <w:rPr>
          <w:rFonts w:eastAsia="Segoe UI" w:cs="Segoe UI" w:ascii="Segoe UI" w:hAnsi="Segoe UI"/>
          <w:b/>
          <w:color w:val="101820"/>
          <w:sz w:val="21"/>
        </w:rPr>
        <w:t>Review</w:t>
      </w:r>
      <w:r>
        <w:rPr>
          <w:rFonts w:eastAsia="Segoe UI" w:cs="Segoe UI" w:ascii="Segoe UI" w:hAnsi="Segoe UI"/>
          <w:color w:val="101820"/>
          <w:sz w:val="21"/>
        </w:rPr>
        <w:t xml:space="preserve">, </w:t>
      </w:r>
      <w:r>
        <w:rPr>
          <w:rFonts w:eastAsia="Segoe UI" w:cs="Segoe UI" w:ascii="Segoe UI" w:hAnsi="Segoe UI"/>
          <w:b/>
          <w:color w:val="101820"/>
          <w:sz w:val="21"/>
        </w:rPr>
        <w:t>Adjuster</w:t>
      </w:r>
      <w:r>
        <w:rPr>
          <w:rFonts w:eastAsia="Segoe UI" w:cs="Segoe UI" w:ascii="Segoe UI" w:hAnsi="Segoe UI"/>
          <w:color w:val="101820"/>
          <w:sz w:val="21"/>
        </w:rPr>
        <w:t xml:space="preserve">, </w:t>
      </w:r>
      <w:r>
        <w:rPr>
          <w:rFonts w:eastAsia="Segoe UI" w:cs="Segoe UI" w:ascii="Segoe UI" w:hAnsi="Segoe UI"/>
          <w:b/>
          <w:color w:val="101820"/>
          <w:sz w:val="21"/>
        </w:rPr>
        <w:t>Assessment</w:t>
      </w:r>
      <w:r>
        <w:rPr>
          <w:rFonts w:eastAsia="Segoe UI" w:cs="Segoe UI" w:ascii="Segoe UI" w:hAnsi="Segoe UI"/>
          <w:color w:val="101820"/>
          <w:sz w:val="21"/>
        </w:rPr>
        <w:t xml:space="preserve">, </w:t>
      </w:r>
      <w:r>
        <w:rPr>
          <w:rFonts w:eastAsia="Segoe UI" w:cs="Segoe UI" w:ascii="Segoe UI" w:hAnsi="Segoe UI"/>
          <w:b/>
          <w:color w:val="101820"/>
          <w:sz w:val="21"/>
        </w:rPr>
        <w:t>Settlement</w:t>
      </w:r>
      <w:r>
        <w:rPr>
          <w:rFonts w:eastAsia="Segoe UI" w:cs="Segoe UI" w:ascii="Segoe UI" w:hAnsi="Segoe UI"/>
          <w:color w:val="101820"/>
          <w:sz w:val="21"/>
        </w:rPr>
        <w:t xml:space="preserve">, </w:t>
      </w:r>
      <w:r>
        <w:rPr>
          <w:rFonts w:eastAsia="Segoe UI" w:cs="Segoe UI" w:ascii="Segoe UI" w:hAnsi="Segoe UI"/>
          <w:b/>
          <w:color w:val="101820"/>
          <w:sz w:val="21"/>
        </w:rPr>
        <w:t>Approval</w:t>
      </w:r>
      <w:r>
        <w:rPr>
          <w:rFonts w:eastAsia="Segoe UI" w:cs="Segoe UI" w:ascii="Segoe UI" w:hAnsi="Segoe UI"/>
          <w:color w:val="101820"/>
          <w:sz w:val="21"/>
        </w:rPr>
        <w:t xml:space="preserve">, </w:t>
      </w:r>
      <w:r>
        <w:rPr>
          <w:rFonts w:eastAsia="Segoe UI" w:cs="Segoe UI" w:ascii="Segoe UI" w:hAnsi="Segoe UI"/>
          <w:b/>
          <w:color w:val="101820"/>
          <w:sz w:val="21"/>
        </w:rPr>
        <w:t>Payment</w:t>
      </w:r>
      <w:r>
        <w:rPr>
          <w:rFonts w:eastAsia="Segoe UI" w:cs="Segoe UI" w:ascii="Segoe UI" w:hAnsi="Segoe UI"/>
          <w:color w:val="101820"/>
          <w:sz w:val="21"/>
        </w:rPr>
        <w:t>.</w:t>
      </w:r>
    </w:p>
    <w:p>
      <w:pPr>
        <w:pStyle w:val="Heading2"/>
        <w:rPr/>
      </w:pPr>
      <w:bookmarkStart w:id="86" w:name="__RefHeading___Toc107427_4049217194"/>
      <w:bookmarkEnd w:id="86"/>
      <w:r>
        <w:rPr>
          <w:rFonts w:eastAsia="Segoe UI" w:cs="Segoe UI"/>
          <w:b/>
          <w:color w:val="0F4761"/>
          <w:sz w:val="26"/>
        </w:rPr>
        <w:t>10.6  Register a claim</w:t>
      </w:r>
    </w:p>
    <w:p>
      <w:pPr>
        <w:pStyle w:val="Normal"/>
        <w:numPr>
          <w:ilvl w:val="0"/>
          <w:numId w:val="190"/>
        </w:numPr>
        <w:spacing w:before="0" w:after="60"/>
        <w:rPr/>
      </w:pPr>
      <w:r>
        <w:rPr>
          <w:rFonts w:eastAsia="Segoe UI" w:cs="Segoe UI" w:ascii="Segoe UI" w:hAnsi="Segoe UI"/>
          <w:color w:val="101820"/>
          <w:sz w:val="21"/>
        </w:rPr>
        <w:t xml:space="preserve">Choose Operations &gt; Policy, find the policy and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Claim</w:t>
      </w:r>
      <w:r>
        <w:rPr>
          <w:rFonts w:eastAsia="Segoe UI" w:cs="Segoe UI" w:ascii="Segoe UI" w:hAnsi="Segoe UI"/>
          <w:color w:val="101820"/>
          <w:sz w:val="21"/>
        </w:rPr>
        <w:t xml:space="preserve">. You can also select </w:t>
      </w:r>
      <w:r>
        <w:rPr>
          <w:rFonts w:eastAsia="Segoe UI" w:cs="Segoe UI" w:ascii="Segoe UI" w:hAnsi="Segoe UI"/>
          <w:b/>
          <w:color w:val="101820"/>
          <w:sz w:val="21"/>
        </w:rPr>
        <w:t>Claim</w:t>
      </w:r>
      <w:r>
        <w:rPr>
          <w:rFonts w:eastAsia="Segoe UI" w:cs="Segoe UI" w:ascii="Segoe UI" w:hAnsi="Segoe UI"/>
          <w:color w:val="101820"/>
          <w:sz w:val="21"/>
        </w:rPr>
        <w:t xml:space="preserve"> on the policy details page. The action is greyed out while the premium payment is Pending or Reviewing.</w:t>
      </w:r>
    </w:p>
    <w:p>
      <w:pPr>
        <w:pStyle w:val="Normal"/>
        <w:numPr>
          <w:ilvl w:val="0"/>
          <w:numId w:val="19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Holder Name</w:t>
      </w:r>
      <w:r>
        <w:rPr>
          <w:rFonts w:eastAsia="Segoe UI" w:cs="Segoe UI" w:ascii="Segoe UI" w:hAnsi="Segoe UI"/>
          <w:color w:val="101820"/>
          <w:sz w:val="21"/>
        </w:rPr>
        <w:t xml:space="preserve"> and the address, which fill in from the policy.</w:t>
      </w:r>
    </w:p>
    <w:p>
      <w:pPr>
        <w:pStyle w:val="Normal"/>
        <w:numPr>
          <w:ilvl w:val="0"/>
          <w:numId w:val="19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Incident Details</w:t>
      </w:r>
      <w:r>
        <w:rPr>
          <w:rFonts w:eastAsia="Segoe UI" w:cs="Segoe UI" w:ascii="Segoe UI" w:hAnsi="Segoe UI"/>
          <w:color w:val="101820"/>
          <w:sz w:val="21"/>
        </w:rPr>
        <w:t>, enter the fields below.</w:t>
      </w:r>
    </w:p>
    <w:p>
      <w:pPr>
        <w:pStyle w:val="Normal"/>
        <w:numPr>
          <w:ilvl w:val="0"/>
          <w:numId w:val="193"/>
        </w:numPr>
        <w:spacing w:before="0" w:after="60"/>
        <w:rPr/>
      </w:pPr>
      <w:r>
        <w:rPr>
          <w:rFonts w:eastAsia="Segoe UI" w:cs="Segoe UI" w:ascii="Segoe UI" w:hAnsi="Segoe UI"/>
          <w:color w:val="101820"/>
          <w:sz w:val="21"/>
        </w:rPr>
        <w:t xml:space="preserve">Enter the driver (motor) and </w:t>
      </w:r>
      <w:r>
        <w:rPr>
          <w:rFonts w:eastAsia="Segoe UI" w:cs="Segoe UI" w:ascii="Segoe UI" w:hAnsi="Segoe UI"/>
          <w:b/>
          <w:color w:val="101820"/>
          <w:sz w:val="21"/>
        </w:rPr>
        <w:t>Third Party Details (If Applicable)</w:t>
      </w:r>
      <w:r>
        <w:rPr>
          <w:rFonts w:eastAsia="Segoe UI" w:cs="Segoe UI" w:ascii="Segoe UI" w:hAnsi="Segoe UI"/>
          <w:color w:val="101820"/>
          <w:sz w:val="21"/>
        </w:rPr>
        <w:t>.</w:t>
      </w:r>
    </w:p>
    <w:p>
      <w:pPr>
        <w:pStyle w:val="Normal"/>
        <w:numPr>
          <w:ilvl w:val="0"/>
          <w:numId w:val="19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Next</w:t>
      </w:r>
      <w:r>
        <w:rPr>
          <w:rFonts w:eastAsia="Segoe UI" w:cs="Segoe UI" w:ascii="Segoe UI" w:hAnsi="Segoe UI"/>
          <w:color w:val="101820"/>
          <w:sz w:val="21"/>
        </w:rPr>
        <w:t>, attach the documents and send the claim.</w:t>
      </w:r>
    </w:p>
    <w:p>
      <w:pPr>
        <w:pStyle w:val="Normal"/>
        <w:jc w:val="center"/>
        <w:rPr/>
      </w:pPr>
      <w:r>
        <w:rPr/>
        <w:drawing>
          <wp:inline distT="0" distB="0" distL="0" distR="0">
            <wp:extent cx="5760085" cy="6951345"/>
            <wp:effectExtent l="0" t="0" r="0" b="0"/>
            <wp:docPr id="88" name="Picture 21212882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121288268" descr=""/>
                    <pic:cNvPicPr>
                      <a:picLocks noChangeAspect="1" noChangeArrowheads="1"/>
                    </pic:cNvPicPr>
                  </pic:nvPicPr>
                  <pic:blipFill>
                    <a:blip r:embed="rId84"/>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Claim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8"/>
        <w:gridCol w:w="1123"/>
        <w:gridCol w:w="3953"/>
      </w:tblGrid>
      <w:tr>
        <w:trPr>
          <w:tblHeader w:val="true"/>
        </w:trPr>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inside the policy period (</w:t>
            </w:r>
            <w:r>
              <w:rPr>
                <w:rFonts w:eastAsia="Consolas" w:cs="Consolas" w:ascii="Consolas" w:hAnsi="Consolas"/>
                <w:color w:val="101820"/>
                <w:kern w:val="0"/>
                <w:sz w:val="16"/>
                <w:szCs w:val="24"/>
                <w:lang w:val="en-US" w:eastAsia="ja-JP" w:bidi="ar-SA"/>
              </w:rPr>
              <w:t>claims.validate_loss_date</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Time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Address of Incident / Loss Location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loss happened.</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Type of Incident / Cause of Loss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causes of the line (</w:t>
            </w:r>
            <w:r>
              <w:rPr>
                <w:rFonts w:eastAsia="Consolas" w:cs="Consolas" w:ascii="Consolas" w:hAnsi="Consolas"/>
                <w:color w:val="101820"/>
                <w:kern w:val="0"/>
                <w:sz w:val="16"/>
                <w:szCs w:val="24"/>
                <w:lang w:val="en-US" w:eastAsia="ja-JP" w:bidi="ar-SA"/>
              </w:rPr>
              <w:t>claims.loss_causes</w:t>
            </w:r>
            <w:r>
              <w:rPr>
                <w:rFonts w:eastAsia="Segoe UI" w:cs="Segoe UI" w:ascii="Segoe UI" w:hAnsi="Segoe UI"/>
                <w:color w:val="101820"/>
                <w:kern w:val="0"/>
                <w:sz w:val="18"/>
                <w:szCs w:val="24"/>
                <w:lang w:val="en-US" w:eastAsia="ja-JP" w:bidi="ar-SA"/>
              </w:rPr>
              <w:t>), for example Collision, Theft / carnapping, Flood / typhoon for motor.</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Estimated Claim Amount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estimate, in pesos.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Claim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reference, when known.</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Driver's name</w:t>
            </w:r>
            <w:r>
              <w:rPr>
                <w:rFonts w:eastAsia="Segoe UI" w:cs="Segoe UI" w:ascii="Segoe UI" w:hAnsi="Segoe UI"/>
                <w:color w:val="101820"/>
                <w:kern w:val="0"/>
                <w:sz w:val="18"/>
                <w:szCs w:val="24"/>
                <w:lang w:val="en-US" w:eastAsia="ja-JP" w:bidi="ar-SA"/>
              </w:rPr>
              <w:t xml:space="preserve"> (motor)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Same as Policy Holder</w:t>
            </w:r>
            <w:r>
              <w:rPr>
                <w:rFonts w:eastAsia="Segoe UI" w:cs="Segoe UI" w:ascii="Segoe UI" w:hAnsi="Segoe UI"/>
                <w:color w:val="101820"/>
                <w:kern w:val="0"/>
                <w:sz w:val="18"/>
                <w:szCs w:val="24"/>
                <w:lang w:val="en-US" w:eastAsia="ja-JP" w:bidi="ar-SA"/>
              </w:rPr>
              <w:t xml:space="preserve"> copies the policy holder. The driver and vehicle sections apply to motor (</w:t>
            </w:r>
            <w:r>
              <w:rPr>
                <w:rFonts w:eastAsia="Consolas" w:cs="Consolas" w:ascii="Consolas" w:hAnsi="Consolas"/>
                <w:color w:val="101820"/>
                <w:kern w:val="0"/>
                <w:sz w:val="16"/>
                <w:szCs w:val="24"/>
                <w:lang w:val="en-US" w:eastAsia="ja-JP" w:bidi="ar-SA"/>
              </w:rPr>
              <w:t>claims.lob_fields</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Third party: </w:t>
            </w:r>
            <w:r>
              <w:rPr>
                <w:rFonts w:eastAsia="Segoe UI" w:cs="Segoe UI" w:ascii="Segoe UI" w:hAnsi="Segoe UI"/>
                <w:b/>
                <w:color w:val="101820"/>
                <w:kern w:val="0"/>
                <w:sz w:val="18"/>
                <w:szCs w:val="24"/>
                <w:lang w:val="en-US" w:eastAsia="ja-JP" w:bidi="ar-SA"/>
              </w:rPr>
              <w:t>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Contact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Plate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Unit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Shop</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Insurance Company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Police report, photos, estimates: PNG, JPEG or PDF, at most 2 MB each.</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 is refused when the date of loss is outside the policy period and while the policy premium is unpaid (</w:t>
      </w:r>
      <w:r>
        <w:rPr>
          <w:rFonts w:eastAsia="Consolas" w:cs="Consolas" w:ascii="Consolas" w:hAnsi="Consolas"/>
          <w:color w:val="101820"/>
          <w:sz w:val="19"/>
        </w:rPr>
        <w:t>claims.block_unpaid_premium</w:t>
      </w:r>
      <w:r>
        <w:rPr>
          <w:rFonts w:eastAsia="Segoe UI" w:cs="Segoe UI" w:ascii="Segoe UI" w:hAnsi="Segoe UI"/>
          <w:color w:val="101820"/>
          <w:sz w:val="21"/>
        </w:rPr>
        <w:t>). When it is saved, the system issues the claim number (CLM-YYYY-NNNNN), sets the status to Pending, e-mails the Preliminary Loss Advice to the insurer's e-mail (</w:t>
      </w:r>
      <w:r>
        <w:rPr>
          <w:rFonts w:eastAsia="Consolas" w:cs="Consolas" w:ascii="Consolas" w:hAnsi="Consolas"/>
          <w:color w:val="101820"/>
          <w:sz w:val="19"/>
        </w:rPr>
        <w:t>claims.pla_enabled</w:t>
      </w:r>
      <w:r>
        <w:rPr>
          <w:rFonts w:eastAsia="Segoe UI" w:cs="Segoe UI" w:ascii="Segoe UI" w:hAnsi="Segoe UI"/>
          <w:color w:val="101820"/>
          <w:sz w:val="21"/>
        </w:rPr>
        <w:t>) and notifies the Claims users and the policy owner. The due date is 20 days after reporting (</w:t>
      </w:r>
      <w:r>
        <w:rPr>
          <w:rFonts w:eastAsia="Consolas" w:cs="Consolas" w:ascii="Consolas" w:hAnsi="Consolas"/>
          <w:color w:val="101820"/>
          <w:sz w:val="19"/>
        </w:rPr>
        <w:t>claims.sla_days</w:t>
      </w:r>
      <w:r>
        <w:rPr>
          <w:rFonts w:eastAsia="Segoe UI" w:cs="Segoe UI" w:ascii="Segoe UI" w:hAnsi="Segoe UI"/>
          <w:color w:val="101820"/>
          <w:sz w:val="21"/>
        </w:rPr>
        <w:t>). For a co-insured policy the claim shows each insurer's share.</w:t>
      </w:r>
    </w:p>
    <w:p>
      <w:pPr>
        <w:pStyle w:val="Heading2"/>
        <w:rPr/>
      </w:pPr>
      <w:bookmarkStart w:id="87" w:name="__RefHeading___Toc107429_4049217194"/>
      <w:bookmarkEnd w:id="87"/>
      <w:r>
        <w:rPr>
          <w:rFonts w:eastAsia="Segoe UI" w:cs="Segoe UI"/>
          <w:b/>
          <w:color w:val="0F4761"/>
          <w:sz w:val="26"/>
        </w:rPr>
        <w:t>10.7  Adjuster report</w:t>
      </w:r>
    </w:p>
    <w:p>
      <w:pPr>
        <w:pStyle w:val="Normal"/>
        <w:jc w:val="center"/>
        <w:rPr/>
      </w:pPr>
      <w:r>
        <w:rPr/>
        <w:drawing>
          <wp:inline distT="0" distB="0" distL="0" distR="0">
            <wp:extent cx="5760085" cy="6455410"/>
            <wp:effectExtent l="0" t="0" r="0" b="0"/>
            <wp:docPr id="89" name="Picture 21212882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121288269" descr=""/>
                    <pic:cNvPicPr>
                      <a:picLocks noChangeAspect="1" noChangeArrowheads="1"/>
                    </pic:cNvPicPr>
                  </pic:nvPicPr>
                  <pic:blipFill>
                    <a:blip r:embed="rId85"/>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Adjuster report</w:t>
      </w:r>
    </w:p>
    <w:p>
      <w:pPr>
        <w:pStyle w:val="Normal"/>
        <w:spacing w:lineRule="auto" w:line="276" w:before="0" w:after="120"/>
        <w:rPr/>
      </w:pPr>
      <w:r>
        <w:rPr>
          <w:rFonts w:eastAsia="Segoe UI" w:cs="Segoe UI" w:ascii="Segoe UI" w:hAnsi="Segoe UI"/>
          <w:color w:val="101820"/>
          <w:sz w:val="21"/>
        </w:rPr>
        <w:t xml:space="preserve">When the insurer has assigned an adjuster, open the claim and continue to </w:t>
      </w:r>
      <w:r>
        <w:rPr>
          <w:rFonts w:eastAsia="Segoe UI" w:cs="Segoe UI" w:ascii="Segoe UI" w:hAnsi="Segoe UI"/>
          <w:b/>
          <w:color w:val="101820"/>
          <w:sz w:val="21"/>
        </w:rPr>
        <w:t>Adjuster</w:t>
      </w:r>
      <w:r>
        <w:rPr>
          <w:rFonts w:eastAsia="Segoe UI" w:cs="Segoe UI" w:ascii="Segoe UI" w:hAnsi="Segoe UI"/>
          <w:color w:val="101820"/>
          <w:sz w:val="21"/>
        </w:rPr>
        <w:t>:</w:t>
      </w:r>
    </w:p>
    <w:p>
      <w:pPr>
        <w:pStyle w:val="Normal"/>
        <w:numPr>
          <w:ilvl w:val="0"/>
          <w:numId w:val="19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Adjuster and loss details</w:t>
      </w:r>
      <w:r>
        <w:rPr>
          <w:rFonts w:eastAsia="Segoe UI" w:cs="Segoe UI" w:ascii="Segoe UI" w:hAnsi="Segoe UI"/>
          <w:color w:val="101820"/>
          <w:sz w:val="21"/>
        </w:rPr>
        <w:t xml:space="preserve">, enter </w:t>
      </w:r>
      <w:r>
        <w:rPr>
          <w:rFonts w:eastAsia="Segoe UI" w:cs="Segoe UI" w:ascii="Segoe UI" w:hAnsi="Segoe UI"/>
          <w:b/>
          <w:color w:val="101820"/>
          <w:sz w:val="21"/>
        </w:rPr>
        <w:t>Adjuster name</w:t>
      </w:r>
      <w:r>
        <w:rPr>
          <w:rFonts w:eastAsia="Segoe UI" w:cs="Segoe UI" w:ascii="Segoe UI" w:hAnsi="Segoe UI"/>
          <w:color w:val="101820"/>
          <w:sz w:val="21"/>
        </w:rPr>
        <w:t xml:space="preserve">, </w:t>
      </w:r>
      <w:r>
        <w:rPr>
          <w:rFonts w:eastAsia="Segoe UI" w:cs="Segoe UI" w:ascii="Segoe UI" w:hAnsi="Segoe UI"/>
          <w:b/>
          <w:color w:val="101820"/>
          <w:sz w:val="21"/>
        </w:rPr>
        <w:t>Insurer claim number</w:t>
      </w:r>
      <w:r>
        <w:rPr>
          <w:rFonts w:eastAsia="Segoe UI" w:cs="Segoe UI" w:ascii="Segoe UI" w:hAnsi="Segoe UI"/>
          <w:color w:val="101820"/>
          <w:sz w:val="21"/>
        </w:rPr>
        <w:t xml:space="preserve">, </w:t>
      </w:r>
      <w:r>
        <w:rPr>
          <w:rFonts w:eastAsia="Segoe UI" w:cs="Segoe UI" w:ascii="Segoe UI" w:hAnsi="Segoe UI"/>
          <w:b/>
          <w:color w:val="101820"/>
          <w:sz w:val="21"/>
        </w:rPr>
        <w:t>Date of loss</w:t>
      </w:r>
      <w:r>
        <w:rPr>
          <w:rFonts w:eastAsia="Segoe UI" w:cs="Segoe UI" w:ascii="Segoe UI" w:hAnsi="Segoe UI"/>
          <w:color w:val="101820"/>
          <w:sz w:val="21"/>
        </w:rPr>
        <w:t xml:space="preserve">, </w:t>
      </w:r>
      <w:r>
        <w:rPr>
          <w:rFonts w:eastAsia="Segoe UI" w:cs="Segoe UI" w:ascii="Segoe UI" w:hAnsi="Segoe UI"/>
          <w:b/>
          <w:color w:val="101820"/>
          <w:sz w:val="21"/>
        </w:rPr>
        <w:t>Date reported</w:t>
      </w:r>
      <w:r>
        <w:rPr>
          <w:rFonts w:eastAsia="Segoe UI" w:cs="Segoe UI" w:ascii="Segoe UI" w:hAnsi="Segoe UI"/>
          <w:color w:val="101820"/>
          <w:sz w:val="21"/>
        </w:rPr>
        <w:t xml:space="preserve"> and </w:t>
      </w:r>
      <w:r>
        <w:rPr>
          <w:rFonts w:eastAsia="Segoe UI" w:cs="Segoe UI" w:ascii="Segoe UI" w:hAnsi="Segoe UI"/>
          <w:b/>
          <w:color w:val="101820"/>
          <w:sz w:val="21"/>
        </w:rPr>
        <w:t>Place of accident</w:t>
      </w:r>
      <w:r>
        <w:rPr>
          <w:rFonts w:eastAsia="Segoe UI" w:cs="Segoe UI" w:ascii="Segoe UI" w:hAnsi="Segoe UI"/>
          <w:color w:val="101820"/>
          <w:sz w:val="21"/>
        </w:rPr>
        <w:t xml:space="preserve"> (required fields are marked).</w:t>
      </w:r>
    </w:p>
    <w:p>
      <w:pPr>
        <w:pStyle w:val="Normal"/>
        <w:numPr>
          <w:ilvl w:val="0"/>
          <w:numId w:val="196"/>
        </w:numPr>
        <w:spacing w:before="0" w:after="60"/>
        <w:rPr/>
      </w:pPr>
      <w:r>
        <w:rPr>
          <w:rFonts w:eastAsia="Segoe UI" w:cs="Segoe UI" w:ascii="Segoe UI" w:hAnsi="Segoe UI"/>
          <w:color w:val="101820"/>
          <w:sz w:val="21"/>
        </w:rPr>
        <w:t xml:space="preserve">For motor, enter the </w:t>
      </w:r>
      <w:r>
        <w:rPr>
          <w:rFonts w:eastAsia="Segoe UI" w:cs="Segoe UI" w:ascii="Segoe UI" w:hAnsi="Segoe UI"/>
          <w:b/>
          <w:color w:val="101820"/>
          <w:sz w:val="21"/>
        </w:rPr>
        <w:t>Driver at the time of loss</w:t>
      </w:r>
      <w:r>
        <w:rPr>
          <w:rFonts w:eastAsia="Segoe UI" w:cs="Segoe UI" w:ascii="Segoe UI" w:hAnsi="Segoe UI"/>
          <w:color w:val="101820"/>
          <w:sz w:val="21"/>
        </w:rPr>
        <w:t xml:space="preserve"> (</w:t>
      </w:r>
      <w:r>
        <w:rPr>
          <w:rFonts w:eastAsia="Segoe UI" w:cs="Segoe UI" w:ascii="Segoe UI" w:hAnsi="Segoe UI"/>
          <w:b/>
          <w:color w:val="101820"/>
          <w:sz w:val="21"/>
        </w:rPr>
        <w:t>Driver name</w:t>
      </w:r>
      <w:r>
        <w:rPr>
          <w:rFonts w:eastAsia="Segoe UI" w:cs="Segoe UI" w:ascii="Segoe UI" w:hAnsi="Segoe UI"/>
          <w:color w:val="101820"/>
          <w:sz w:val="21"/>
        </w:rPr>
        <w:t xml:space="preserve"> and address).</w:t>
      </w:r>
    </w:p>
    <w:p>
      <w:pPr>
        <w:pStyle w:val="Normal"/>
        <w:numPr>
          <w:ilvl w:val="0"/>
          <w:numId w:val="197"/>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Third party</w:t>
      </w:r>
      <w:r>
        <w:rPr>
          <w:rFonts w:eastAsia="Segoe UI" w:cs="Segoe UI" w:ascii="Segoe UI" w:hAnsi="Segoe UI"/>
          <w:color w:val="101820"/>
          <w:sz w:val="21"/>
        </w:rPr>
        <w:t xml:space="preserve"> if applicable: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Contact number</w:t>
      </w:r>
      <w:r>
        <w:rPr>
          <w:rFonts w:eastAsia="Segoe UI" w:cs="Segoe UI" w:ascii="Segoe UI" w:hAnsi="Segoe UI"/>
          <w:color w:val="101820"/>
          <w:sz w:val="21"/>
        </w:rPr>
        <w:t xml:space="preserve">, </w:t>
      </w:r>
      <w:r>
        <w:rPr>
          <w:rFonts w:eastAsia="Segoe UI" w:cs="Segoe UI" w:ascii="Segoe UI" w:hAnsi="Segoe UI"/>
          <w:b/>
          <w:color w:val="101820"/>
          <w:sz w:val="21"/>
        </w:rPr>
        <w:t>Plate number</w:t>
      </w:r>
      <w:r>
        <w:rPr>
          <w:rFonts w:eastAsia="Segoe UI" w:cs="Segoe UI" w:ascii="Segoe UI" w:hAnsi="Segoe UI"/>
          <w:color w:val="101820"/>
          <w:sz w:val="21"/>
        </w:rPr>
        <w:t xml:space="preserve">, </w:t>
      </w:r>
      <w:r>
        <w:rPr>
          <w:rFonts w:eastAsia="Segoe UI" w:cs="Segoe UI" w:ascii="Segoe UI" w:hAnsi="Segoe UI"/>
          <w:b/>
          <w:color w:val="101820"/>
          <w:sz w:val="21"/>
        </w:rPr>
        <w:t>Vehicle unit</w:t>
      </w:r>
      <w:r>
        <w:rPr>
          <w:rFonts w:eastAsia="Segoe UI" w:cs="Segoe UI" w:ascii="Segoe UI" w:hAnsi="Segoe UI"/>
          <w:color w:val="101820"/>
          <w:sz w:val="21"/>
        </w:rPr>
        <w:t xml:space="preserve">, </w:t>
      </w:r>
      <w:r>
        <w:rPr>
          <w:rFonts w:eastAsia="Segoe UI" w:cs="Segoe UI" w:ascii="Segoe UI" w:hAnsi="Segoe UI"/>
          <w:b/>
          <w:color w:val="101820"/>
          <w:sz w:val="21"/>
        </w:rPr>
        <w:t>Repair shop</w:t>
      </w:r>
      <w:r>
        <w:rPr>
          <w:rFonts w:eastAsia="Segoe UI" w:cs="Segoe UI" w:ascii="Segoe UI" w:hAnsi="Segoe UI"/>
          <w:color w:val="101820"/>
          <w:sz w:val="21"/>
        </w:rPr>
        <w:t xml:space="preserve">, </w:t>
      </w:r>
      <w:r>
        <w:rPr>
          <w:rFonts w:eastAsia="Segoe UI" w:cs="Segoe UI" w:ascii="Segoe UI" w:hAnsi="Segoe UI"/>
          <w:b/>
          <w:color w:val="101820"/>
          <w:sz w:val="21"/>
        </w:rPr>
        <w:t>Third party's insurer</w:t>
      </w:r>
      <w:r>
        <w:rPr>
          <w:rFonts w:eastAsia="Segoe UI" w:cs="Segoe UI" w:ascii="Segoe UI" w:hAnsi="Segoe UI"/>
          <w:color w:val="101820"/>
          <w:sz w:val="21"/>
        </w:rPr>
        <w:t>.</w:t>
      </w:r>
    </w:p>
    <w:p>
      <w:pPr>
        <w:pStyle w:val="Normal"/>
        <w:numPr>
          <w:ilvl w:val="0"/>
          <w:numId w:val="198"/>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Proof of loss documents</w:t>
      </w:r>
      <w:r>
        <w:rPr>
          <w:rFonts w:eastAsia="Segoe UI" w:cs="Segoe UI" w:ascii="Segoe UI" w:hAnsi="Segoe UI"/>
          <w:color w:val="101820"/>
          <w:sz w:val="21"/>
        </w:rPr>
        <w:t xml:space="preserve"> (optional; PNG, JPEG or PDF up to 2 MB). Documents already on file are listed.</w:t>
      </w:r>
    </w:p>
    <w:p>
      <w:pPr>
        <w:pStyle w:val="Normal"/>
        <w:numPr>
          <w:ilvl w:val="0"/>
          <w:numId w:val="19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and continue</w:t>
      </w:r>
      <w:r>
        <w:rPr>
          <w:rFonts w:eastAsia="Segoe UI" w:cs="Segoe UI" w:ascii="Segoe UI" w:hAnsi="Segoe UI"/>
          <w:color w:val="101820"/>
          <w:sz w:val="21"/>
        </w:rPr>
        <w:t>. The claim is Processing.</w:t>
      </w:r>
    </w:p>
    <w:p>
      <w:pPr>
        <w:pStyle w:val="Normal"/>
        <w:spacing w:lineRule="auto" w:line="276" w:before="0" w:after="120"/>
        <w:rPr/>
      </w:pPr>
      <w:r>
        <w:rPr>
          <w:rFonts w:eastAsia="Segoe UI" w:cs="Segoe UI" w:ascii="Segoe UI" w:hAnsi="Segoe UI"/>
          <w:color w:val="101820"/>
          <w:sz w:val="21"/>
        </w:rPr>
        <w:t>The date of loss cannot be in the future, and the reported date cannot be in the future or before the date of loss. The adjuster report can be changed only while the claim is Pending or Processing.</w:t>
      </w:r>
    </w:p>
    <w:p>
      <w:pPr>
        <w:pStyle w:val="Heading2"/>
        <w:rPr/>
      </w:pPr>
      <w:bookmarkStart w:id="88" w:name="__RefHeading___Toc107431_4049217194"/>
      <w:bookmarkEnd w:id="88"/>
      <w:r>
        <w:rPr>
          <w:rFonts w:eastAsia="Segoe UI" w:cs="Segoe UI"/>
          <w:b/>
          <w:color w:val="0F4761"/>
          <w:sz w:val="26"/>
        </w:rPr>
        <w:t>10.8  Assessment and settlement (maker)</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Assessment</w:t>
      </w:r>
      <w:r>
        <w:rPr>
          <w:rFonts w:eastAsia="Segoe UI" w:cs="Segoe UI" w:ascii="Segoe UI" w:hAnsi="Segoe UI"/>
          <w:color w:val="101820"/>
          <w:sz w:val="21"/>
        </w:rPr>
        <w:t xml:space="preserve">, check the </w:t>
      </w:r>
      <w:r>
        <w:rPr>
          <w:rFonts w:eastAsia="Segoe UI" w:cs="Segoe UI" w:ascii="Segoe UI" w:hAnsi="Segoe UI"/>
          <w:b/>
          <w:color w:val="101820"/>
          <w:sz w:val="21"/>
        </w:rPr>
        <w:t>Claim summary</w:t>
      </w:r>
      <w:r>
        <w:rPr>
          <w:rFonts w:eastAsia="Segoe UI" w:cs="Segoe UI" w:ascii="Segoe UI" w:hAnsi="Segoe UI"/>
          <w:color w:val="101820"/>
          <w:sz w:val="21"/>
        </w:rPr>
        <w:t xml:space="preserve"> (claim and policy numbers, insurer and its claim number, date of loss and reported, cause, adjuster, estimated amount) and choose </w:t>
      </w:r>
      <w:r>
        <w:rPr>
          <w:rFonts w:eastAsia="Segoe UI" w:cs="Segoe UI" w:ascii="Segoe UI" w:hAnsi="Segoe UI"/>
          <w:b/>
          <w:color w:val="101820"/>
          <w:sz w:val="21"/>
        </w:rPr>
        <w:t>Proceed to settlement</w:t>
      </w:r>
      <w:r>
        <w:rPr>
          <w:rFonts w:eastAsia="Segoe UI" w:cs="Segoe UI" w:ascii="Segoe UI" w:hAnsi="Segoe UI"/>
          <w:color w:val="101820"/>
          <w:sz w:val="21"/>
        </w:rPr>
        <w:t xml:space="preserve">, or </w:t>
      </w:r>
      <w:r>
        <w:rPr>
          <w:rFonts w:eastAsia="Segoe UI" w:cs="Segoe UI" w:ascii="Segoe UI" w:hAnsi="Segoe UI"/>
          <w:b/>
          <w:color w:val="101820"/>
          <w:sz w:val="21"/>
        </w:rPr>
        <w:t>Reject claim</w:t>
      </w:r>
      <w:r>
        <w:rPr>
          <w:rFonts w:eastAsia="Segoe UI" w:cs="Segoe UI" w:ascii="Segoe UI" w:hAnsi="Segoe UI"/>
          <w:color w:val="101820"/>
          <w:sz w:val="21"/>
        </w:rPr>
        <w:t xml:space="preserve"> with the </w:t>
      </w:r>
      <w:r>
        <w:rPr>
          <w:rFonts w:eastAsia="Segoe UI" w:cs="Segoe UI" w:ascii="Segoe UI" w:hAnsi="Segoe UI"/>
          <w:b/>
          <w:color w:val="101820"/>
          <w:sz w:val="21"/>
        </w:rPr>
        <w:t>Reason for rejection</w:t>
      </w:r>
      <w:r>
        <w:rPr>
          <w:rFonts w:eastAsia="Segoe UI" w:cs="Segoe UI" w:ascii="Segoe UI" w:hAnsi="Segoe UI"/>
          <w:color w:val="101820"/>
          <w:sz w:val="21"/>
        </w:rPr>
        <w:t>.</w:t>
      </w:r>
    </w:p>
    <w:p>
      <w:pPr>
        <w:pStyle w:val="Normal"/>
        <w:jc w:val="center"/>
        <w:rPr/>
      </w:pPr>
      <w:r>
        <w:rPr/>
        <w:drawing>
          <wp:inline distT="0" distB="0" distL="0" distR="0">
            <wp:extent cx="5760085" cy="3818255"/>
            <wp:effectExtent l="0" t="0" r="0" b="0"/>
            <wp:docPr id="90" name="Picture 21212882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121288270" descr=""/>
                    <pic:cNvPicPr>
                      <a:picLocks noChangeAspect="1" noChangeArrowheads="1"/>
                    </pic:cNvPicPr>
                  </pic:nvPicPr>
                  <pic:blipFill>
                    <a:blip r:embed="rId86"/>
                    <a:stretch>
                      <a:fillRect/>
                    </a:stretch>
                  </pic:blipFill>
                  <pic:spPr bwMode="auto">
                    <a:xfrm>
                      <a:off x="0" y="0"/>
                      <a:ext cx="5760085" cy="3818255"/>
                    </a:xfrm>
                    <a:prstGeom prst="rect">
                      <a:avLst/>
                    </a:prstGeom>
                  </pic:spPr>
                </pic:pic>
              </a:graphicData>
            </a:graphic>
          </wp:inline>
        </w:drawing>
      </w:r>
    </w:p>
    <w:p>
      <w:pPr>
        <w:pStyle w:val="Normal"/>
        <w:jc w:val="center"/>
        <w:rPr/>
      </w:pPr>
      <w:r>
        <w:rPr>
          <w:rFonts w:eastAsia="Segoe UI" w:cs="Segoe UI" w:ascii="Segoe UI" w:hAnsi="Segoe UI"/>
          <w:i/>
          <w:color w:val="555F6D"/>
          <w:sz w:val="18"/>
        </w:rPr>
        <w:t>Settlement</w:t>
      </w:r>
    </w:p>
    <w:p>
      <w:pPr>
        <w:pStyle w:val="Normal"/>
        <w:numPr>
          <w:ilvl w:val="0"/>
          <w:numId w:val="20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Settlement details</w:t>
      </w:r>
      <w:r>
        <w:rPr>
          <w:rFonts w:eastAsia="Segoe UI" w:cs="Segoe UI" w:ascii="Segoe UI" w:hAnsi="Segoe UI"/>
          <w:color w:val="101820"/>
          <w:sz w:val="21"/>
        </w:rPr>
        <w:t xml:space="preserve">, choose the </w:t>
      </w:r>
      <w:r>
        <w:rPr>
          <w:rFonts w:eastAsia="Segoe UI" w:cs="Segoe UI" w:ascii="Segoe UI" w:hAnsi="Segoe UI"/>
          <w:b/>
          <w:color w:val="101820"/>
          <w:sz w:val="21"/>
        </w:rPr>
        <w:t>Settlement type</w:t>
      </w:r>
      <w:r>
        <w:rPr>
          <w:rFonts w:eastAsia="Segoe UI" w:cs="Segoe UI" w:ascii="Segoe UI" w:hAnsi="Segoe UI"/>
          <w:color w:val="101820"/>
          <w:sz w:val="21"/>
        </w:rPr>
        <w:t xml:space="preserve"> (</w:t>
      </w:r>
      <w:r>
        <w:rPr>
          <w:rFonts w:eastAsia="Consolas" w:cs="Consolas" w:ascii="Consolas" w:hAnsi="Consolas"/>
          <w:color w:val="101820"/>
          <w:sz w:val="19"/>
        </w:rPr>
        <w:t>claims.settlement_types</w:t>
      </w:r>
      <w:r>
        <w:rPr>
          <w:rFonts w:eastAsia="Segoe UI" w:cs="Segoe UI" w:ascii="Segoe UI" w:hAnsi="Segoe UI"/>
          <w:color w:val="101820"/>
          <w:sz w:val="21"/>
        </w:rPr>
        <w:t>, for example a cheque or bank transfer to the claimant by the insurer, or payment through the broker).</w:t>
      </w:r>
    </w:p>
    <w:p>
      <w:pPr>
        <w:pStyle w:val="Normal"/>
        <w:numPr>
          <w:ilvl w:val="0"/>
          <w:numId w:val="201"/>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Settlement amount</w:t>
      </w:r>
      <w:r>
        <w:rPr>
          <w:rFonts w:eastAsia="Segoe UI" w:cs="Segoe UI" w:ascii="Segoe UI" w:hAnsi="Segoe UI"/>
          <w:color w:val="101820"/>
          <w:sz w:val="21"/>
        </w:rPr>
        <w:t xml:space="preserve"> (the estimated claim amount is shown for reference), the </w:t>
      </w:r>
      <w:r>
        <w:rPr>
          <w:rFonts w:eastAsia="Segoe UI" w:cs="Segoe UI" w:ascii="Segoe UI" w:hAnsi="Segoe UI"/>
          <w:b/>
          <w:color w:val="101820"/>
          <w:sz w:val="21"/>
        </w:rPr>
        <w:t>Issue date</w:t>
      </w:r>
      <w:r>
        <w:rPr>
          <w:rFonts w:eastAsia="Segoe UI" w:cs="Segoe UI" w:ascii="Segoe UI" w:hAnsi="Segoe UI"/>
          <w:color w:val="101820"/>
          <w:sz w:val="21"/>
        </w:rPr>
        <w:t xml:space="preserve"> and the </w:t>
      </w:r>
      <w:r>
        <w:rPr>
          <w:rFonts w:eastAsia="Segoe UI" w:cs="Segoe UI" w:ascii="Segoe UI" w:hAnsi="Segoe UI"/>
          <w:b/>
          <w:color w:val="101820"/>
          <w:sz w:val="21"/>
        </w:rPr>
        <w:t>Settlement date</w:t>
      </w:r>
      <w:r>
        <w:rPr>
          <w:rFonts w:eastAsia="Segoe UI" w:cs="Segoe UI" w:ascii="Segoe UI" w:hAnsi="Segoe UI"/>
          <w:color w:val="101820"/>
          <w:sz w:val="21"/>
        </w:rPr>
        <w:t>.</w:t>
      </w:r>
    </w:p>
    <w:p>
      <w:pPr>
        <w:pStyle w:val="Normal"/>
        <w:numPr>
          <w:ilvl w:val="0"/>
          <w:numId w:val="202"/>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Settlement documents</w:t>
      </w:r>
      <w:r>
        <w:rPr>
          <w:rFonts w:eastAsia="Segoe UI" w:cs="Segoe UI" w:ascii="Segoe UI" w:hAnsi="Segoe UI"/>
          <w:color w:val="101820"/>
          <w:sz w:val="21"/>
        </w:rPr>
        <w:t xml:space="preserve"> (optional; PNG, JPEG or PDF up to 2 MB).</w:t>
      </w:r>
    </w:p>
    <w:p>
      <w:pPr>
        <w:pStyle w:val="Normal"/>
        <w:numPr>
          <w:ilvl w:val="0"/>
          <w:numId w:val="20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Submit settlement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amount must be greater than zero and the settlement date cannot be before the issue date. The message reads Settlement submitted for approval; the claim goes to </w:t>
      </w:r>
      <w:r>
        <w:rPr>
          <w:rFonts w:eastAsia="Segoe UI" w:cs="Segoe UI" w:ascii="Segoe UI" w:hAnsi="Segoe UI"/>
          <w:b/>
          <w:color w:val="101820"/>
          <w:sz w:val="21"/>
        </w:rPr>
        <w:t>Pending Approval</w:t>
      </w:r>
      <w:r>
        <w:rPr>
          <w:rFonts w:eastAsia="Segoe UI" w:cs="Segoe UI" w:ascii="Segoe UI" w:hAnsi="Segoe UI"/>
          <w:color w:val="101820"/>
          <w:sz w:val="21"/>
        </w:rPr>
        <w:t xml:space="preserve"> and the other Claims users are notified. For a co-insured policy each insurer's share of the amount is shown.</w:t>
      </w:r>
    </w:p>
    <w:p>
      <w:pPr>
        <w:pStyle w:val="Heading2"/>
        <w:rPr/>
      </w:pPr>
      <w:bookmarkStart w:id="89" w:name="__RefHeading___Toc107433_4049217194"/>
      <w:bookmarkEnd w:id="89"/>
      <w:r>
        <w:rPr>
          <w:rFonts w:eastAsia="Segoe UI" w:cs="Segoe UI"/>
          <w:b/>
          <w:color w:val="0F4761"/>
          <w:sz w:val="26"/>
        </w:rPr>
        <w:t>10.9  Approve a settlement (checker)</w:t>
      </w:r>
    </w:p>
    <w:p>
      <w:pPr>
        <w:pStyle w:val="Normal"/>
        <w:numPr>
          <w:ilvl w:val="0"/>
          <w:numId w:val="204"/>
        </w:numPr>
        <w:spacing w:before="0" w:after="60"/>
        <w:rPr/>
      </w:pPr>
      <w:r>
        <w:rPr>
          <w:rFonts w:eastAsia="Segoe UI" w:cs="Segoe UI" w:ascii="Segoe UI" w:hAnsi="Segoe UI"/>
          <w:color w:val="101820"/>
          <w:sz w:val="21"/>
        </w:rPr>
        <w:t xml:space="preserve">Open the notification, or the claim in Pending Approval from Operations &gt; Claims. </w:t>
      </w:r>
      <w:r>
        <w:rPr>
          <w:rFonts w:eastAsia="Segoe UI" w:cs="Segoe UI" w:ascii="Segoe UI" w:hAnsi="Segoe UI"/>
          <w:b/>
          <w:color w:val="101820"/>
          <w:sz w:val="21"/>
        </w:rPr>
        <w:t>Settlement approval</w:t>
      </w:r>
      <w:r>
        <w:rPr>
          <w:rFonts w:eastAsia="Segoe UI" w:cs="Segoe UI" w:ascii="Segoe UI" w:hAnsi="Segoe UI"/>
          <w:color w:val="101820"/>
          <w:sz w:val="21"/>
        </w:rPr>
        <w:t xml:space="preserve"> says that the settlement was entered by another claims user.</w:t>
      </w:r>
    </w:p>
    <w:p>
      <w:pPr>
        <w:pStyle w:val="Normal"/>
        <w:numPr>
          <w:ilvl w:val="0"/>
          <w:numId w:val="205"/>
        </w:numPr>
        <w:spacing w:before="0" w:after="60"/>
        <w:rPr/>
      </w:pPr>
      <w:r>
        <w:rPr>
          <w:rFonts w:eastAsia="Segoe UI" w:cs="Segoe UI" w:ascii="Segoe UI" w:hAnsi="Segoe UI"/>
          <w:color w:val="101820"/>
          <w:sz w:val="21"/>
        </w:rPr>
        <w:t>Check the claim summary and the settlement.</w:t>
      </w:r>
    </w:p>
    <w:p>
      <w:pPr>
        <w:pStyle w:val="Normal"/>
        <w:numPr>
          <w:ilvl w:val="0"/>
          <w:numId w:val="20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settlement</w:t>
      </w:r>
      <w:r>
        <w:rPr>
          <w:rFonts w:eastAsia="Segoe UI" w:cs="Segoe UI" w:ascii="Segoe UI" w:hAnsi="Segoe UI"/>
          <w:color w:val="101820"/>
          <w:sz w:val="21"/>
        </w:rPr>
        <w:t xml:space="preserve"> to settle the claim, or </w:t>
      </w:r>
      <w:r>
        <w:rPr>
          <w:rFonts w:eastAsia="Segoe UI" w:cs="Segoe UI" w:ascii="Segoe UI" w:hAnsi="Segoe UI"/>
          <w:b/>
          <w:color w:val="101820"/>
          <w:sz w:val="21"/>
        </w:rPr>
        <w:t>Return for correction</w:t>
      </w:r>
      <w:r>
        <w:rPr>
          <w:rFonts w:eastAsia="Segoe UI" w:cs="Segoe UI" w:ascii="Segoe UI" w:hAnsi="Segoe UI"/>
          <w:color w:val="101820"/>
          <w:sz w:val="21"/>
        </w:rPr>
        <w:t xml:space="preserve"> to send it back to the maker.</w:t>
      </w:r>
    </w:p>
    <w:p>
      <w:pPr>
        <w:pStyle w:val="Normal"/>
        <w:spacing w:lineRule="auto" w:line="276" w:before="0" w:after="120"/>
        <w:rPr/>
      </w:pPr>
      <w:r>
        <w:rPr>
          <w:rFonts w:eastAsia="Segoe UI" w:cs="Segoe UI" w:ascii="Segoe UI" w:hAnsi="Segoe UI"/>
          <w:color w:val="101820"/>
          <w:sz w:val="21"/>
        </w:rPr>
        <w:t>The maker cannot approve his or her own settlement (</w:t>
      </w:r>
      <w:r>
        <w:rPr>
          <w:rFonts w:eastAsia="Consolas" w:cs="Consolas" w:ascii="Consolas" w:hAnsi="Consolas"/>
          <w:color w:val="101820"/>
          <w:sz w:val="19"/>
        </w:rPr>
        <w:t>claims.settlement_maker_checker</w:t>
      </w:r>
      <w:r>
        <w:rPr>
          <w:rFonts w:eastAsia="Segoe UI" w:cs="Segoe UI" w:ascii="Segoe UI" w:hAnsi="Segoe UI"/>
          <w:color w:val="101820"/>
          <w:sz w:val="21"/>
        </w:rPr>
        <w:t xml:space="preserve">). After approval the claim is </w:t>
      </w:r>
      <w:r>
        <w:rPr>
          <w:rFonts w:eastAsia="Segoe UI" w:cs="Segoe UI" w:ascii="Segoe UI" w:hAnsi="Segoe UI"/>
          <w:b/>
          <w:color w:val="101820"/>
          <w:sz w:val="21"/>
        </w:rPr>
        <w:t>Settled</w:t>
      </w:r>
      <w:r>
        <w:rPr>
          <w:rFonts w:eastAsia="Segoe UI" w:cs="Segoe UI" w:ascii="Segoe UI" w:hAnsi="Segoe UI"/>
          <w:color w:val="101820"/>
          <w:sz w:val="21"/>
        </w:rPr>
        <w:t>, the maker is notified and the dashboard and reports are updated.</w:t>
      </w:r>
    </w:p>
    <w:p>
      <w:pPr>
        <w:pStyle w:val="Normal"/>
        <w:spacing w:lineRule="auto" w:line="276" w:before="0" w:after="120"/>
        <w:rPr/>
      </w:pPr>
      <w:r>
        <w:rPr>
          <w:rFonts w:eastAsia="Segoe UI" w:cs="Segoe UI" w:ascii="Segoe UI" w:hAnsi="Segoe UI"/>
          <w:color w:val="101820"/>
          <w:sz w:val="21"/>
        </w:rPr>
        <w:t>When the settlement is paid through the broker, the insurer pays the broker and the broker pays the claimant. The system then books, at settlement, the amount recoverable from each insurer by its share against the amount payable to the claimant; the receipt of the insurer's funds and the payment to the claimant are recorded on the settled claim and posted through their posting rules (Claim funds received from insurer, Claim paid to claimant). Recording the funds needs the receipts permission and paying the claimant the disbursements permission, both held by Accounting; agree with Accounting who records them.</w:t>
      </w:r>
    </w:p>
    <w:p>
      <w:pPr>
        <w:pStyle w:val="Heading2"/>
        <w:rPr/>
      </w:pPr>
      <w:bookmarkStart w:id="90" w:name="__RefHeading___Toc107435_4049217194"/>
      <w:bookmarkEnd w:id="90"/>
      <w:r>
        <w:rPr>
          <w:rFonts w:eastAsia="Segoe UI" w:cs="Segoe UI"/>
          <w:b/>
          <w:color w:val="0F4761"/>
          <w:sz w:val="26"/>
        </w:rPr>
        <w:t>10.10  Claim details, documents and audit trail</w:t>
      </w:r>
    </w:p>
    <w:p>
      <w:pPr>
        <w:pStyle w:val="Normal"/>
        <w:jc w:val="center"/>
        <w:rPr/>
      </w:pPr>
      <w:r>
        <w:rPr/>
        <w:drawing>
          <wp:inline distT="0" distB="0" distL="0" distR="0">
            <wp:extent cx="5760085" cy="4469130"/>
            <wp:effectExtent l="0" t="0" r="0" b="0"/>
            <wp:docPr id="91" name="Picture 21212882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121288271" descr=""/>
                    <pic:cNvPicPr>
                      <a:picLocks noChangeAspect="1" noChangeArrowheads="1"/>
                    </pic:cNvPicPr>
                  </pic:nvPicPr>
                  <pic:blipFill>
                    <a:blip r:embed="rId8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Details</w:t>
      </w:r>
    </w:p>
    <w:p>
      <w:pPr>
        <w:pStyle w:val="Normal"/>
        <w:spacing w:lineRule="auto" w:line="276" w:before="0" w:after="120"/>
        <w:rPr/>
      </w:pPr>
      <w:r>
        <w:rPr>
          <w:rFonts w:eastAsia="Segoe UI" w:cs="Segoe UI" w:ascii="Segoe UI" w:hAnsi="Segoe UI"/>
          <w:b/>
          <w:color w:val="101820"/>
          <w:sz w:val="21"/>
        </w:rPr>
        <w:t>Claim Details</w:t>
      </w:r>
      <w:r>
        <w:rPr>
          <w:rFonts w:eastAsia="Segoe UI" w:cs="Segoe UI" w:ascii="Segoe UI" w:hAnsi="Segoe UI"/>
          <w:color w:val="101820"/>
          <w:sz w:val="21"/>
        </w:rPr>
        <w:t xml:space="preserve"> shows </w:t>
      </w:r>
      <w:r>
        <w:rPr>
          <w:rFonts w:eastAsia="Segoe UI" w:cs="Segoe UI" w:ascii="Segoe UI" w:hAnsi="Segoe UI"/>
          <w:b/>
          <w:color w:val="101820"/>
          <w:sz w:val="21"/>
        </w:rPr>
        <w:t>Claim Information</w:t>
      </w:r>
      <w:r>
        <w:rPr>
          <w:rFonts w:eastAsia="Segoe UI" w:cs="Segoe UI" w:ascii="Segoe UI" w:hAnsi="Segoe UI"/>
          <w:color w:val="101820"/>
          <w:sz w:val="21"/>
        </w:rPr>
        <w:t xml:space="preserve"> (numbers, line, type, priority, status, estimate), </w:t>
      </w:r>
      <w:r>
        <w:rPr>
          <w:rFonts w:eastAsia="Segoe UI" w:cs="Segoe UI" w:ascii="Segoe UI" w:hAnsi="Segoe UI"/>
          <w:b/>
          <w:color w:val="101820"/>
          <w:sz w:val="21"/>
        </w:rPr>
        <w:t>Incident Information</w:t>
      </w:r>
      <w:r>
        <w:rPr>
          <w:rFonts w:eastAsia="Segoe UI" w:cs="Segoe UI" w:ascii="Segoe UI" w:hAnsi="Segoe UI"/>
          <w:color w:val="101820"/>
          <w:sz w:val="21"/>
        </w:rPr>
        <w:t xml:space="preserve">, </w:t>
      </w:r>
      <w:r>
        <w:rPr>
          <w:rFonts w:eastAsia="Segoe UI" w:cs="Segoe UI" w:ascii="Segoe UI" w:hAnsi="Segoe UI"/>
          <w:b/>
          <w:color w:val="101820"/>
          <w:sz w:val="21"/>
        </w:rPr>
        <w:t>Driver Information</w:t>
      </w:r>
      <w:r>
        <w:rPr>
          <w:rFonts w:eastAsia="Segoe UI" w:cs="Segoe UI" w:ascii="Segoe UI" w:hAnsi="Segoe UI"/>
          <w:color w:val="101820"/>
          <w:sz w:val="21"/>
        </w:rPr>
        <w:t xml:space="preserve">, </w:t>
      </w:r>
      <w:r>
        <w:rPr>
          <w:rFonts w:eastAsia="Segoe UI" w:cs="Segoe UI" w:ascii="Segoe UI" w:hAnsi="Segoe UI"/>
          <w:b/>
          <w:color w:val="101820"/>
          <w:sz w:val="21"/>
        </w:rPr>
        <w:t>Policy Information</w:t>
      </w:r>
      <w:r>
        <w:rPr>
          <w:rFonts w:eastAsia="Segoe UI" w:cs="Segoe UI" w:ascii="Segoe UI" w:hAnsi="Segoe UI"/>
          <w:color w:val="101820"/>
          <w:sz w:val="21"/>
        </w:rPr>
        <w:t xml:space="preserve"> (with the client code, prospect and quotation numbers), </w:t>
      </w:r>
      <w:r>
        <w:rPr>
          <w:rFonts w:eastAsia="Segoe UI" w:cs="Segoe UI" w:ascii="Segoe UI" w:hAnsi="Segoe UI"/>
          <w:b/>
          <w:color w:val="101820"/>
          <w:sz w:val="21"/>
        </w:rPr>
        <w:t>Third Party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and updated by and when, the claim due date). The claim settlement page lists the documents the system produces on the company letterhead: </w:t>
      </w:r>
      <w:r>
        <w:rPr>
          <w:rFonts w:eastAsia="Segoe UI" w:cs="Segoe UI" w:ascii="Segoe UI" w:hAnsi="Segoe UI"/>
          <w:b/>
          <w:color w:val="101820"/>
          <w:sz w:val="21"/>
        </w:rPr>
        <w:t>Acknowledgment letter</w:t>
      </w:r>
      <w:r>
        <w:rPr>
          <w:rFonts w:eastAsia="Segoe UI" w:cs="Segoe UI" w:ascii="Segoe UI" w:hAnsi="Segoe UI"/>
          <w:color w:val="101820"/>
          <w:sz w:val="21"/>
        </w:rPr>
        <w:t xml:space="preserve">, </w:t>
      </w:r>
      <w:r>
        <w:rPr>
          <w:rFonts w:eastAsia="Segoe UI" w:cs="Segoe UI" w:ascii="Segoe UI" w:hAnsi="Segoe UI"/>
          <w:b/>
          <w:color w:val="101820"/>
          <w:sz w:val="21"/>
        </w:rPr>
        <w:t>Claims Discharge Voucher</w:t>
      </w:r>
      <w:r>
        <w:rPr>
          <w:rFonts w:eastAsia="Segoe UI" w:cs="Segoe UI" w:ascii="Segoe UI" w:hAnsi="Segoe UI"/>
          <w:color w:val="101820"/>
          <w:sz w:val="21"/>
        </w:rPr>
        <w:t xml:space="preserve">, </w:t>
      </w:r>
      <w:r>
        <w:rPr>
          <w:rFonts w:eastAsia="Segoe UI" w:cs="Segoe UI" w:ascii="Segoe UI" w:hAnsi="Segoe UI"/>
          <w:b/>
          <w:color w:val="101820"/>
          <w:sz w:val="21"/>
        </w:rPr>
        <w:t>Claims Data sheet</w:t>
      </w:r>
      <w:r>
        <w:rPr>
          <w:rFonts w:eastAsia="Segoe UI" w:cs="Segoe UI" w:ascii="Segoe UI" w:hAnsi="Segoe UI"/>
          <w:color w:val="101820"/>
          <w:sz w:val="21"/>
        </w:rPr>
        <w:t xml:space="preserve"> and </w:t>
      </w:r>
      <w:r>
        <w:rPr>
          <w:rFonts w:eastAsia="Segoe UI" w:cs="Segoe UI" w:ascii="Segoe UI" w:hAnsi="Segoe UI"/>
          <w:b/>
          <w:color w:val="101820"/>
          <w:sz w:val="21"/>
        </w:rPr>
        <w:t>FIR</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open each one. The claim audit trail lists every status change with user and time.</w:t>
      </w:r>
    </w:p>
    <w:p>
      <w:pPr>
        <w:pStyle w:val="Normal"/>
        <w:jc w:val="center"/>
        <w:rPr/>
      </w:pPr>
      <w:r>
        <w:rPr/>
        <w:drawing>
          <wp:inline distT="0" distB="0" distL="0" distR="0">
            <wp:extent cx="5760085" cy="4469130"/>
            <wp:effectExtent l="0" t="0" r="0" b="0"/>
            <wp:docPr id="92" name="Picture 21212882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121288272" descr=""/>
                    <pic:cNvPicPr>
                      <a:picLocks noChangeAspect="1" noChangeArrowheads="1"/>
                    </pic:cNvPicPr>
                  </pic:nvPicPr>
                  <pic:blipFill>
                    <a:blip r:embed="rId8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audit trail</w:t>
      </w:r>
    </w:p>
    <w:p>
      <w:pPr>
        <w:pStyle w:val="Heading2"/>
        <w:rPr/>
      </w:pPr>
      <w:bookmarkStart w:id="91" w:name="__RefHeading___Toc107437_4049217194"/>
      <w:bookmarkEnd w:id="91"/>
      <w:r>
        <w:rPr>
          <w:rFonts w:eastAsia="Segoe UI" w:cs="Segoe UI"/>
          <w:b/>
          <w:color w:val="0F4761"/>
          <w:sz w:val="26"/>
        </w:rPr>
        <w:t>10.11  Reinsurance recoveries</w:t>
      </w:r>
    </w:p>
    <w:p>
      <w:pPr>
        <w:pStyle w:val="Normal"/>
        <w:spacing w:lineRule="auto" w:line="276" w:before="0" w:after="120"/>
        <w:rPr/>
      </w:pPr>
      <w:r>
        <w:rPr>
          <w:rFonts w:eastAsia="Segoe UI" w:cs="Segoe UI" w:ascii="Segoe UI" w:hAnsi="Segoe UI"/>
          <w:color w:val="101820"/>
          <w:sz w:val="21"/>
        </w:rPr>
        <w:t xml:space="preserve">Reinsurance &gt; Claims Recovery lists the claims with an amount recoverable from reinsurers under the treaties: </w:t>
      </w:r>
      <w:r>
        <w:rPr>
          <w:rFonts w:eastAsia="Segoe UI" w:cs="Segoe UI" w:ascii="Segoe UI" w:hAnsi="Segoe UI"/>
          <w:b/>
          <w:color w:val="101820"/>
          <w:sz w:val="21"/>
        </w:rPr>
        <w:t>Total Claimed</w:t>
      </w:r>
      <w:r>
        <w:rPr>
          <w:rFonts w:eastAsia="Segoe UI" w:cs="Segoe UI" w:ascii="Segoe UI" w:hAnsi="Segoe UI"/>
          <w:color w:val="101820"/>
          <w:sz w:val="21"/>
        </w:rPr>
        <w:t xml:space="preserve">, </w:t>
      </w:r>
      <w:r>
        <w:rPr>
          <w:rFonts w:eastAsia="Segoe UI" w:cs="Segoe UI" w:ascii="Segoe UI" w:hAnsi="Segoe UI"/>
          <w:b/>
          <w:color w:val="101820"/>
          <w:sz w:val="21"/>
        </w:rPr>
        <w:t>Total Recovered</w:t>
      </w:r>
      <w:r>
        <w:rPr>
          <w:rFonts w:eastAsia="Segoe UI" w:cs="Segoe UI" w:ascii="Segoe UI" w:hAnsi="Segoe UI"/>
          <w:color w:val="101820"/>
          <w:sz w:val="21"/>
        </w:rPr>
        <w:t xml:space="preserve">, </w:t>
      </w:r>
      <w:r>
        <w:rPr>
          <w:rFonts w:eastAsia="Segoe UI" w:cs="Segoe UI" w:ascii="Segoe UI" w:hAnsi="Segoe UI"/>
          <w:b/>
          <w:color w:val="101820"/>
          <w:sz w:val="21"/>
        </w:rPr>
        <w:t>Recovery Rate</w:t>
      </w:r>
      <w:r>
        <w:rPr>
          <w:rFonts w:eastAsia="Segoe UI" w:cs="Segoe UI" w:ascii="Segoe UI" w:hAnsi="Segoe UI"/>
          <w:color w:val="101820"/>
          <w:sz w:val="21"/>
        </w:rPr>
        <w:t xml:space="preserve"> and </w:t>
      </w:r>
      <w:r>
        <w:rPr>
          <w:rFonts w:eastAsia="Segoe UI" w:cs="Segoe UI" w:ascii="Segoe UI" w:hAnsi="Segoe UI"/>
          <w:b/>
          <w:color w:val="101820"/>
          <w:sz w:val="21"/>
        </w:rPr>
        <w:t>Avg Recovery Time</w:t>
      </w:r>
      <w:r>
        <w:rPr>
          <w:rFonts w:eastAsia="Segoe UI" w:cs="Segoe UI" w:ascii="Segoe UI" w:hAnsi="Segoe UI"/>
          <w:color w:val="101820"/>
          <w:sz w:val="21"/>
        </w:rPr>
        <w:t xml:space="preserve">, and the tabs </w:t>
      </w:r>
      <w:r>
        <w:rPr>
          <w:rFonts w:eastAsia="Segoe UI" w:cs="Segoe UI" w:ascii="Segoe UI" w:hAnsi="Segoe UI"/>
          <w:b/>
          <w:color w:val="101820"/>
          <w:sz w:val="21"/>
        </w:rPr>
        <w:t>Pending Recoveries</w:t>
      </w:r>
      <w:r>
        <w:rPr>
          <w:rFonts w:eastAsia="Segoe UI" w:cs="Segoe UI" w:ascii="Segoe UI" w:hAnsi="Segoe UI"/>
          <w:color w:val="101820"/>
          <w:sz w:val="21"/>
        </w:rPr>
        <w:t xml:space="preserve"> and </w:t>
      </w:r>
      <w:r>
        <w:rPr>
          <w:rFonts w:eastAsia="Segoe UI" w:cs="Segoe UI" w:ascii="Segoe UI" w:hAnsi="Segoe UI"/>
          <w:b/>
          <w:color w:val="101820"/>
          <w:sz w:val="21"/>
        </w:rPr>
        <w:t>Recovered Claims</w:t>
      </w:r>
      <w:r>
        <w:rPr>
          <w:rFonts w:eastAsia="Segoe UI" w:cs="Segoe UI" w:ascii="Segoe UI" w:hAnsi="Segoe UI"/>
          <w:color w:val="101820"/>
          <w:sz w:val="21"/>
        </w:rPr>
        <w:t xml:space="preserve">. </w:t>
      </w:r>
      <w:r>
        <w:rPr>
          <w:rFonts w:eastAsia="Segoe UI" w:cs="Segoe UI" w:ascii="Segoe UI" w:hAnsi="Segoe UI"/>
          <w:b/>
          <w:color w:val="101820"/>
          <w:sz w:val="21"/>
        </w:rPr>
        <w:t>Register Recovery</w:t>
      </w:r>
      <w:r>
        <w:rPr>
          <w:rFonts w:eastAsia="Segoe UI" w:cs="Segoe UI" w:ascii="Segoe UI" w:hAnsi="Segoe UI"/>
          <w:color w:val="101820"/>
          <w:sz w:val="21"/>
        </w:rPr>
        <w:t xml:space="preserve"> records a recovery against a claim.</w:t>
      </w:r>
    </w:p>
    <w:p>
      <w:pPr>
        <w:pStyle w:val="Normal"/>
        <w:jc w:val="center"/>
        <w:rPr/>
      </w:pPr>
      <w:r>
        <w:rPr/>
        <w:drawing>
          <wp:inline distT="0" distB="0" distL="0" distR="0">
            <wp:extent cx="5760085" cy="4469130"/>
            <wp:effectExtent l="0" t="0" r="0" b="0"/>
            <wp:docPr id="93" name="Picture 21212882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121288273" descr=""/>
                    <pic:cNvPicPr>
                      <a:picLocks noChangeAspect="1" noChangeArrowheads="1"/>
                    </pic:cNvPicPr>
                  </pic:nvPicPr>
                  <pic:blipFill>
                    <a:blip r:embed="rId8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Claims Recovery</w:t>
      </w:r>
    </w:p>
    <w:p>
      <w:pPr>
        <w:pStyle w:val="Heading2"/>
        <w:rPr/>
      </w:pPr>
      <w:bookmarkStart w:id="92" w:name="__RefHeading___Toc107439_4049217194"/>
      <w:bookmarkEnd w:id="92"/>
      <w:r>
        <w:rPr>
          <w:rFonts w:eastAsia="Segoe UI" w:cs="Segoe UI"/>
          <w:b/>
          <w:color w:val="0F4761"/>
          <w:sz w:val="26"/>
        </w:rPr>
        <w:t>10.12  Approvals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Entered by one Claims user, approved by another.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 settlement through the broker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Segregation of Duties rule SOD-CLM-ACCT stops one person holding Claims and Accounting together.</w:t>
      </w:r>
      <w:r>
        <w:br w:type="page"/>
      </w:r>
    </w:p>
    <w:p>
      <w:pPr>
        <w:pStyle w:val="Heading1"/>
        <w:rPr/>
      </w:pPr>
      <w:bookmarkStart w:id="93" w:name="__RefHeading___Toc107441_4049217194"/>
      <w:bookmarkEnd w:id="93"/>
      <w:r>
        <w:rPr>
          <w:rFonts w:eastAsia="Segoe UI" w:cs="Segoe UI" w:ascii="Segoe UI" w:hAnsi="Segoe UI"/>
          <w:b/>
          <w:color w:val="0F4761"/>
          <w:sz w:val="32"/>
        </w:rPr>
        <w:t>11.  Accounting</w:t>
      </w:r>
    </w:p>
    <w:p>
      <w:pPr>
        <w:pStyle w:val="Heading2"/>
        <w:rPr/>
      </w:pPr>
      <w:bookmarkStart w:id="94" w:name="__RefHeading___Toc107443_4049217194"/>
      <w:bookmarkEnd w:id="94"/>
      <w:r>
        <w:rPr>
          <w:rFonts w:eastAsia="Segoe UI" w:cs="Segoe UI"/>
          <w:b/>
          <w:color w:val="0F4761"/>
          <w:sz w:val="26"/>
        </w:rPr>
        <w:t>11.1  Role summary</w:t>
      </w:r>
    </w:p>
    <w:p>
      <w:pPr>
        <w:pStyle w:val="Normal"/>
        <w:spacing w:lineRule="auto" w:line="276" w:before="0" w:after="120"/>
        <w:rPr/>
      </w:pPr>
      <w:r>
        <w:rPr>
          <w:rFonts w:eastAsia="Segoe UI" w:cs="Segoe UI" w:ascii="Segoe UI" w:hAnsi="Segoe UI"/>
          <w:color w:val="101820"/>
          <w:sz w:val="21"/>
        </w:rPr>
        <w:t>Accounting (role Accounting) runs the money side of the business: it verifies client payments and posts official receipts, follows collections and credit control, remits premium to insurers, bills direct-bill commission to insurers, pays commission and incentives, keeps petty cash, posts journal vouchers, matches open entries, reconciles the bank accounts and the insurer statements, prepares the month-end and year-end close and produces the BIR forms and returns. Most payments and journals need a second Accounting user (maker-checker); the close, the bank and insurer reconciliations and credit control decisions need the Accounting Manager.</w:t>
      </w:r>
    </w:p>
    <w:p>
      <w:pPr>
        <w:pStyle w:val="Normal"/>
        <w:jc w:val="center"/>
        <w:rPr/>
      </w:pPr>
      <w:r>
        <w:rPr/>
        <w:drawing>
          <wp:inline distT="0" distB="0" distL="0" distR="0">
            <wp:extent cx="5760085" cy="4245610"/>
            <wp:effectExtent l="0" t="0" r="0" b="0"/>
            <wp:docPr id="94" name="Picture 21212882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121288274" descr=""/>
                    <pic:cNvPicPr>
                      <a:picLocks noChangeAspect="1" noChangeArrowheads="1"/>
                    </pic:cNvPicPr>
                  </pic:nvPicPr>
                  <pic:blipFill>
                    <a:blip r:embed="rId90"/>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p>
      <w:pPr>
        <w:pStyle w:val="Heading2"/>
        <w:rPr/>
      </w:pPr>
      <w:bookmarkStart w:id="95" w:name="__RefHeading___Toc107445_4049217194"/>
      <w:bookmarkEnd w:id="95"/>
      <w:r>
        <w:rPr>
          <w:rFonts w:eastAsia="Segoe UI" w:cs="Segoe UI"/>
          <w:b/>
          <w:color w:val="0F4761"/>
          <w:sz w:val="26"/>
        </w:rPr>
        <w:t>11.2  Menus available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Payments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 Control (Instalment Plans, Premium Warranty Monitor, Client Credit Limits, Remittance Ageing); Disbursement; Remittance (Automated Processing, Tracking, Statements, Settlement, Reconciliation, Bulk Processing, Scheduling, Electronic Transfer, Approval Workflow, Exception Management, Agency Bill Processing, Direct Bill Processing, Adjustments, Notifications, History, Analytics); Journal Voucher; Correction JV; Reversal JV; Open Entry Matching; Open Entry Unmatching; Accounting Query; All Clients Accounting; Petty Cash (Initiate, Request, Disbursement, Receipts, Replenish); Bank Reconciliation (Reconciliation Workspace, Reconciliations, Reconciliation Statement Report, Outstanding Cheques, Deposits in Transit, Unmatched Bank Lines, Bank Book); Insurer Reconciliation (Insurer Statements); Tax (BIR Form 2307, VAT Summary, SAWT, QAP, SLSP Sales, SLSP Purchases); Period End (Period Management, Month-End Close, Year-End Close, Recurring Journals, Financial Statements); Incentive (My Programs, Calculations, Approvals, Statement)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Agents/Referrer Accounts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(Remittance, Broker Commission); Financial Reports (SOA/Premium Receivable, Collection Report, Payables, Journal, Trial Balance, Income Statement, Balance Sheet, Trial Balance Movement, General Ledger Detail, Aged Payables to Insurers, Month-End Close Status, Co-insurance Register, Due to Insurers by Co-insurer)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Premium Taxes &amp; LGU Rates, Payment Gateways, Taxation, Close Checklist, Bank Statement Formats, Bank Transaction Types, Insurer Statement Formats</w:t>
            </w:r>
          </w:p>
        </w:tc>
      </w:tr>
    </w:tbl>
    <w:p>
      <w:pPr>
        <w:pStyle w:val="Normal"/>
        <w:spacing w:before="0" w:after="80"/>
        <w:rPr/>
      </w:pPr>
      <w:r>
        <w:rPr/>
      </w:r>
    </w:p>
    <w:p>
      <w:pPr>
        <w:pStyle w:val="Heading2"/>
        <w:rPr/>
      </w:pPr>
      <w:bookmarkStart w:id="96" w:name="__RefHeading___Toc107447_4049217194"/>
      <w:bookmarkEnd w:id="96"/>
      <w:r>
        <w:rPr>
          <w:rFonts w:eastAsia="Segoe UI" w:cs="Segoe UI"/>
          <w:b/>
          <w:color w:val="0F4761"/>
          <w:sz w:val="26"/>
        </w:rPr>
        <w:t>11.3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0"/>
        <w:gridCol w:w="4083"/>
        <w:gridCol w:w="3231"/>
      </w:tblGrid>
      <w:tr>
        <w:trPr>
          <w:tblHeader w:val="true"/>
        </w:trPr>
        <w:tc>
          <w:tcPr>
            <w:tcW w:w="17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2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recorded payments and post official receipts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Accounts &gt; Receipts</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overdue premium; send reminders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Credit Control</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and remittances of colleagues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 collected premium to insurers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commission to referrers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direct-bill policies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&gt; Direct Bill Processing</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bank statements, match, prepare the reconciliation</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insurer statements and reconcile</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accruals, month-end close run</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QAP, SAWT, SLSP, BIR Form 2307</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programme period</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(prepare)</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Year-End Close</w:t>
            </w:r>
          </w:p>
        </w:tc>
      </w:tr>
    </w:tbl>
    <w:p>
      <w:pPr>
        <w:pStyle w:val="Normal"/>
        <w:spacing w:before="0" w:after="80"/>
        <w:rPr/>
      </w:pPr>
      <w:r>
        <w:rPr/>
      </w:r>
    </w:p>
    <w:p>
      <w:pPr>
        <w:pStyle w:val="Heading2"/>
        <w:rPr/>
      </w:pPr>
      <w:bookmarkStart w:id="97" w:name="__RefHeading___Toc107449_4049217194"/>
      <w:bookmarkEnd w:id="97"/>
      <w:r>
        <w:rPr>
          <w:rFonts w:eastAsia="Segoe UI" w:cs="Segoe UI"/>
          <w:b/>
          <w:color w:val="0F4761"/>
          <w:sz w:val="26"/>
        </w:rPr>
        <w:t>11.4  Verify payments and post official receipts</w:t>
      </w:r>
    </w:p>
    <w:p>
      <w:pPr>
        <w:pStyle w:val="Normal"/>
        <w:spacing w:lineRule="auto" w:line="276" w:before="0" w:after="120"/>
        <w:rPr/>
      </w:pPr>
      <w:r>
        <w:rPr>
          <w:rFonts w:eastAsia="Segoe UI" w:cs="Segoe UI" w:ascii="Segoe UI" w:hAnsi="Segoe UI"/>
          <w:color w:val="101820"/>
          <w:sz w:val="21"/>
        </w:rPr>
        <w:t>When Operations or Sales record a client payment, the policy payment status becomes Reviewing and Accounting receives the notification to verify it. Open the notification, check the payment against the bank statement and confirm it (the official receipt is posted) or reject it with a reason. Accounting users can also record a payment and issue the receipt directly from the policy.</w:t>
      </w:r>
    </w:p>
    <w:p>
      <w:pPr>
        <w:pStyle w:val="Heading3"/>
        <w:rPr/>
      </w:pPr>
      <w:r>
        <w:rPr>
          <w:rFonts w:eastAsia="Segoe UI" w:cs="Segoe UI"/>
          <w:b/>
          <w:color w:val="0F4761"/>
          <w:sz w:val="23"/>
        </w:rPr>
        <w:t>11.4.1  Post a receipt</w:t>
      </w:r>
    </w:p>
    <w:p>
      <w:pPr>
        <w:pStyle w:val="Normal"/>
        <w:jc w:val="center"/>
        <w:rPr/>
      </w:pPr>
      <w:r>
        <w:rPr/>
        <w:drawing>
          <wp:inline distT="0" distB="0" distL="0" distR="0">
            <wp:extent cx="5760085" cy="5958840"/>
            <wp:effectExtent l="0" t="0" r="0" b="0"/>
            <wp:docPr id="95" name="Picture 21212882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2121288275" descr=""/>
                    <pic:cNvPicPr>
                      <a:picLocks noChangeAspect="1" noChangeArrowheads="1"/>
                    </pic:cNvPicPr>
                  </pic:nvPicPr>
                  <pic:blipFill>
                    <a:blip r:embed="rId91"/>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Add Receipts</w:t>
      </w:r>
    </w:p>
    <w:p>
      <w:pPr>
        <w:pStyle w:val="Normal"/>
        <w:numPr>
          <w:ilvl w:val="0"/>
          <w:numId w:val="207"/>
        </w:numPr>
        <w:spacing w:before="0" w:after="60"/>
        <w:rPr/>
      </w:pPr>
      <w:r>
        <w:rPr>
          <w:rFonts w:eastAsia="Segoe UI" w:cs="Segoe UI" w:ascii="Segoe UI" w:hAnsi="Segoe UI"/>
          <w:color w:val="101820"/>
          <w:sz w:val="21"/>
        </w:rPr>
        <w:t xml:space="preserve">Choose Accounts &gt; Receipts and select </w:t>
      </w:r>
      <w:r>
        <w:rPr>
          <w:rFonts w:eastAsia="Segoe UI" w:cs="Segoe UI" w:ascii="Segoe UI" w:hAnsi="Segoe UI"/>
          <w:b/>
          <w:color w:val="101820"/>
          <w:sz w:val="21"/>
        </w:rPr>
        <w:t>Receipt</w:t>
      </w:r>
      <w:r>
        <w:rPr>
          <w:rFonts w:eastAsia="Segoe UI" w:cs="Segoe UI" w:ascii="Segoe UI" w:hAnsi="Segoe UI"/>
          <w:color w:val="101820"/>
          <w:sz w:val="21"/>
        </w:rPr>
        <w:t>.</w:t>
      </w:r>
    </w:p>
    <w:p>
      <w:pPr>
        <w:pStyle w:val="Normal"/>
        <w:numPr>
          <w:ilvl w:val="0"/>
          <w:numId w:val="208"/>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Receipt Date</w:t>
      </w:r>
      <w:r>
        <w:rPr>
          <w:rFonts w:eastAsia="Segoe UI" w:cs="Segoe UI" w:ascii="Segoe UI" w:hAnsi="Segoe UI"/>
          <w:color w:val="101820"/>
          <w:sz w:val="21"/>
        </w:rPr>
        <w:t xml:space="preserve"> and keep </w:t>
      </w:r>
      <w:r>
        <w:rPr>
          <w:rFonts w:eastAsia="Segoe UI" w:cs="Segoe UI" w:ascii="Segoe UI" w:hAnsi="Segoe UI"/>
          <w:b/>
          <w:color w:val="101820"/>
          <w:sz w:val="21"/>
        </w:rPr>
        <w:t>Receipt Type</w:t>
      </w:r>
      <w:r>
        <w:rPr>
          <w:rFonts w:eastAsia="Segoe UI" w:cs="Segoe UI" w:ascii="Segoe UI" w:hAnsi="Segoe UI"/>
          <w:color w:val="101820"/>
          <w:sz w:val="21"/>
        </w:rPr>
        <w:t xml:space="preserve"> Payment (Refund for money returned). </w:t>
      </w:r>
      <w:r>
        <w:rPr>
          <w:rFonts w:eastAsia="Segoe UI" w:cs="Segoe UI" w:ascii="Segoe UI" w:hAnsi="Segoe UI"/>
          <w:b/>
          <w:color w:val="101820"/>
          <w:sz w:val="21"/>
        </w:rPr>
        <w:t>Receipt Number</w:t>
      </w:r>
      <w:r>
        <w:rPr>
          <w:rFonts w:eastAsia="Segoe UI" w:cs="Segoe UI" w:ascii="Segoe UI" w:hAnsi="Segoe UI"/>
          <w:color w:val="101820"/>
          <w:sz w:val="21"/>
        </w:rPr>
        <w:t xml:space="preserve"> is issued on save.</w:t>
      </w:r>
    </w:p>
    <w:p>
      <w:pPr>
        <w:pStyle w:val="Normal"/>
        <w:numPr>
          <w:ilvl w:val="0"/>
          <w:numId w:val="209"/>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 Code</w:t>
      </w:r>
      <w:r>
        <w:rPr>
          <w:rFonts w:eastAsia="Segoe UI" w:cs="Segoe UI" w:ascii="Segoe UI" w:hAnsi="Segoe UI"/>
          <w:color w:val="101820"/>
          <w:sz w:val="21"/>
        </w:rPr>
        <w:t xml:space="preserve"> and, if used, the </w:t>
      </w:r>
      <w:r>
        <w:rPr>
          <w:rFonts w:eastAsia="Segoe UI" w:cs="Segoe UI" w:ascii="Segoe UI" w:hAnsi="Segoe UI"/>
          <w:b/>
          <w:color w:val="101820"/>
          <w:sz w:val="21"/>
        </w:rPr>
        <w:t>Department Code</w:t>
      </w:r>
      <w:r>
        <w:rPr>
          <w:rFonts w:eastAsia="Segoe UI" w:cs="Segoe UI" w:ascii="Segoe UI" w:hAnsi="Segoe UI"/>
          <w:color w:val="101820"/>
          <w:sz w:val="21"/>
        </w:rPr>
        <w:t>.</w:t>
      </w:r>
    </w:p>
    <w:p>
      <w:pPr>
        <w:pStyle w:val="Normal"/>
        <w:numPr>
          <w:ilvl w:val="0"/>
          <w:numId w:val="210"/>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Customer Code</w:t>
      </w:r>
      <w:r>
        <w:rPr>
          <w:rFonts w:eastAsia="Segoe UI" w:cs="Segoe UI" w:ascii="Segoe UI" w:hAnsi="Segoe UI"/>
          <w:color w:val="101820"/>
          <w:sz w:val="21"/>
        </w:rPr>
        <w:t xml:space="preserve">, choose the client; </w:t>
      </w:r>
      <w:r>
        <w:rPr>
          <w:rFonts w:eastAsia="Segoe UI" w:cs="Segoe UI" w:ascii="Segoe UI" w:hAnsi="Segoe UI"/>
          <w:b/>
          <w:color w:val="101820"/>
          <w:sz w:val="21"/>
        </w:rPr>
        <w:t>Customer Name</w:t>
      </w:r>
      <w:r>
        <w:rPr>
          <w:rFonts w:eastAsia="Segoe UI" w:cs="Segoe UI" w:ascii="Segoe UI" w:hAnsi="Segoe UI"/>
          <w:color w:val="101820"/>
          <w:sz w:val="21"/>
        </w:rPr>
        <w:t xml:space="preserve"> fills in. The list shows only clients with open bills.</w:t>
      </w:r>
    </w:p>
    <w:p>
      <w:pPr>
        <w:pStyle w:val="Normal"/>
        <w:numPr>
          <w:ilvl w:val="0"/>
          <w:numId w:val="211"/>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policy. </w:t>
      </w:r>
      <w:r>
        <w:rPr>
          <w:rFonts w:eastAsia="Segoe UI" w:cs="Segoe UI" w:ascii="Segoe UI" w:hAnsi="Segoe UI"/>
          <w:b/>
          <w:color w:val="101820"/>
          <w:sz w:val="21"/>
        </w:rPr>
        <w:t>Currency Code</w:t>
      </w:r>
      <w:r>
        <w:rPr>
          <w:rFonts w:eastAsia="Segoe UI" w:cs="Segoe UI" w:ascii="Segoe UI" w:hAnsi="Segoe UI"/>
          <w:color w:val="101820"/>
          <w:sz w:val="21"/>
        </w:rPr>
        <w:t xml:space="preserve"> is PHP; </w:t>
      </w:r>
      <w:r>
        <w:rPr>
          <w:rFonts w:eastAsia="Segoe UI" w:cs="Segoe UI" w:ascii="Segoe UI" w:hAnsi="Segoe UI"/>
          <w:b/>
          <w:color w:val="101820"/>
          <w:sz w:val="21"/>
        </w:rPr>
        <w:t>Transaction Code</w:t>
      </w:r>
      <w:r>
        <w:rPr>
          <w:rFonts w:eastAsia="Segoe UI" w:cs="Segoe UI" w:ascii="Segoe UI" w:hAnsi="Segoe UI"/>
          <w:color w:val="101820"/>
          <w:sz w:val="21"/>
        </w:rPr>
        <w:t xml:space="preserve"> is OR - Official Receipt.</w:t>
      </w:r>
    </w:p>
    <w:p>
      <w:pPr>
        <w:pStyle w:val="Normal"/>
        <w:numPr>
          <w:ilvl w:val="0"/>
          <w:numId w:val="21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Receipt Mode</w:t>
      </w:r>
      <w:r>
        <w:rPr>
          <w:rFonts w:eastAsia="Segoe UI" w:cs="Segoe UI" w:ascii="Segoe UI" w:hAnsi="Segoe UI"/>
          <w:color w:val="101820"/>
          <w:sz w:val="21"/>
        </w:rPr>
        <w:t xml:space="preserve"> (cash, cheque, transfer and the others) and enter its reference.</w:t>
      </w:r>
    </w:p>
    <w:p>
      <w:pPr>
        <w:pStyle w:val="Normal"/>
        <w:numPr>
          <w:ilvl w:val="0"/>
          <w:numId w:val="213"/>
        </w:numPr>
        <w:spacing w:before="0" w:after="60"/>
        <w:rPr/>
      </w:pPr>
      <w:r>
        <w:rPr>
          <w:rFonts w:eastAsia="Segoe UI" w:cs="Segoe UI" w:ascii="Segoe UI" w:hAnsi="Segoe UI"/>
          <w:color w:val="101820"/>
          <w:sz w:val="21"/>
        </w:rPr>
        <w:t>Select the open bill to pay and enter the amount received, or pay the full balance.</w:t>
      </w:r>
    </w:p>
    <w:p>
      <w:pPr>
        <w:pStyle w:val="Normal"/>
        <w:numPr>
          <w:ilvl w:val="0"/>
          <w:numId w:val="214"/>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 (Optional)</w:t>
      </w:r>
      <w:r>
        <w:rPr>
          <w:rFonts w:eastAsia="Segoe UI" w:cs="Segoe UI" w:ascii="Segoe UI" w:hAnsi="Segoe UI"/>
          <w:color w:val="101820"/>
          <w:sz w:val="21"/>
        </w:rPr>
        <w:t xml:space="preserve"> and 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receipt gets the next number of the official receipt series (OR-YYYY-NNNNN, with the receipt transaction RT-YYYY-NNNNN). The system posts Dr Cash in Bank (or the cash account of the receipt mode) / Cr Premiums Receivable, sets the bill to Partial or Paid, closes the collection item when fully paid, and makes the referrer's commission eligible once the premium is fully collected (</w:t>
      </w:r>
      <w:r>
        <w:rPr>
          <w:rFonts w:eastAsia="Consolas" w:cs="Consolas" w:ascii="Consolas" w:hAnsi="Consolas"/>
          <w:color w:val="101820"/>
          <w:sz w:val="19"/>
        </w:rPr>
        <w:t>commission.auto_eligible_on_full_payment</w:t>
      </w:r>
      <w:r>
        <w:rPr>
          <w:rFonts w:eastAsia="Segoe UI" w:cs="Segoe UI" w:ascii="Segoe UI" w:hAnsi="Segoe UI"/>
          <w:color w:val="101820"/>
          <w:sz w:val="21"/>
        </w:rPr>
        <w:t>). The amount cannot exceed the bill balance. You return to the receipts list with the new receipt highlighted.</w:t>
      </w:r>
    </w:p>
    <w:p>
      <w:pPr>
        <w:pStyle w:val="Normal"/>
        <w:spacing w:lineRule="auto" w:line="276" w:before="0" w:after="120"/>
        <w:rPr/>
      </w:pPr>
      <w:r>
        <w:rPr>
          <w:rFonts w:eastAsia="Segoe UI" w:cs="Segoe UI" w:ascii="Segoe UI" w:hAnsi="Segoe UI"/>
          <w:color w:val="101820"/>
          <w:sz w:val="21"/>
        </w:rPr>
        <w:t xml:space="preserve">The list shows </w:t>
      </w:r>
      <w:r>
        <w:rPr>
          <w:rFonts w:eastAsia="Segoe UI" w:cs="Segoe UI" w:ascii="Segoe UI" w:hAnsi="Segoe UI"/>
          <w:b/>
          <w:color w:val="101820"/>
          <w:sz w:val="21"/>
        </w:rPr>
        <w:t>Receipt Number</w:t>
      </w:r>
      <w:r>
        <w:rPr>
          <w:rFonts w:eastAsia="Segoe UI" w:cs="Segoe UI" w:ascii="Segoe UI" w:hAnsi="Segoe UI"/>
          <w:color w:val="101820"/>
          <w:sz w:val="21"/>
        </w:rPr>
        <w:t xml:space="preserve">,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Customer Code</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UnPaid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Payments</w:t>
      </w:r>
      <w:r>
        <w:rPr>
          <w:rFonts w:eastAsia="Segoe UI" w:cs="Segoe UI" w:ascii="Segoe UI" w:hAnsi="Segoe UI"/>
          <w:color w:val="101820"/>
          <w:sz w:val="21"/>
        </w:rPr>
        <w:t xml:space="preserve">. </w:t>
      </w:r>
      <w:r>
        <w:rPr>
          <w:rFonts w:eastAsia="Segoe UI" w:cs="Segoe UI" w:ascii="Segoe UI" w:hAnsi="Segoe UI"/>
          <w:b/>
          <w:color w:val="101820"/>
          <w:sz w:val="21"/>
        </w:rPr>
        <w:t>Bulk Print</w:t>
      </w:r>
      <w:r>
        <w:rPr>
          <w:rFonts w:eastAsia="Segoe UI" w:cs="Segoe UI" w:ascii="Segoe UI" w:hAnsi="Segoe UI"/>
          <w:color w:val="101820"/>
          <w:sz w:val="21"/>
        </w:rPr>
        <w:t xml:space="preserve"> prints receipts for a customer and date range on the company letterhead; </w:t>
      </w:r>
      <w:r>
        <w:rPr>
          <w:rFonts w:eastAsia="Segoe UI" w:cs="Segoe UI" w:ascii="Segoe UI" w:hAnsi="Segoe UI"/>
          <w:b/>
          <w:color w:val="101820"/>
          <w:sz w:val="21"/>
        </w:rPr>
        <w:t>Bulk Upload</w:t>
      </w:r>
      <w:r>
        <w:rPr>
          <w:rFonts w:eastAsia="Segoe UI" w:cs="Segoe UI" w:ascii="Segoe UI" w:hAnsi="Segoe UI"/>
          <w:color w:val="101820"/>
          <w:sz w:val="21"/>
        </w:rPr>
        <w:t xml:space="preserve"> posts many receipts from a template (at most 1,000 rows,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E-mail receipt</w:t>
      </w:r>
      <w:r>
        <w:rPr>
          <w:rFonts w:eastAsia="Segoe UI" w:cs="Segoe UI" w:ascii="Segoe UI" w:hAnsi="Segoe UI"/>
          <w:color w:val="101820"/>
          <w:sz w:val="21"/>
        </w:rPr>
        <w:t xml:space="preserve"> on the receipt view sends the official receipt to the client with its PDF attached. The side panel offers </w:t>
      </w:r>
      <w:r>
        <w:rPr>
          <w:rFonts w:eastAsia="Segoe UI" w:cs="Segoe UI" w:ascii="Segoe UI" w:hAnsi="Segoe UI"/>
          <w:b/>
          <w:color w:val="101820"/>
          <w:sz w:val="21"/>
        </w:rPr>
        <w:t>To</w:t>
      </w:r>
      <w:r>
        <w:rPr>
          <w:rFonts w:eastAsia="Segoe UI" w:cs="Segoe UI" w:ascii="Segoe UI" w:hAnsi="Segoe UI"/>
          <w:color w:val="101820"/>
          <w:sz w:val="21"/>
        </w:rPr>
        <w:t xml:space="preserve"> (the client's e-mail address by default), </w:t>
      </w:r>
      <w:r>
        <w:rPr>
          <w:rFonts w:eastAsia="Segoe UI" w:cs="Segoe UI" w:ascii="Segoe UI" w:hAnsi="Segoe UI"/>
          <w:b/>
          <w:color w:val="101820"/>
          <w:sz w:val="21"/>
        </w:rPr>
        <w:t>Cc</w:t>
      </w:r>
      <w:r>
        <w:rPr>
          <w:rFonts w:eastAsia="Segoe UI" w:cs="Segoe UI" w:ascii="Segoe UI" w:hAnsi="Segoe UI"/>
          <w:color w:val="101820"/>
          <w:sz w:val="21"/>
        </w:rPr>
        <w:t xml:space="preserve"> and a note; the message is queued in Master &gt; E-mail Outbox. With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switched on, every recorded receipt is e-mailed automatically.</w:t>
      </w:r>
    </w:p>
    <w:p>
      <w:pPr>
        <w:pStyle w:val="Heading2"/>
        <w:rPr/>
      </w:pPr>
      <w:bookmarkStart w:id="98" w:name="__RefHeading___Toc107451_4049217194"/>
      <w:bookmarkEnd w:id="98"/>
      <w:r>
        <w:rPr>
          <w:rFonts w:eastAsia="Segoe UI" w:cs="Segoe UI"/>
          <w:b/>
          <w:color w:val="0F4761"/>
          <w:sz w:val="26"/>
        </w:rPr>
        <w:t>11.5  Collections</w:t>
      </w:r>
    </w:p>
    <w:p>
      <w:pPr>
        <w:pStyle w:val="Normal"/>
        <w:jc w:val="center"/>
        <w:rPr/>
      </w:pPr>
      <w:r>
        <w:rPr/>
        <w:drawing>
          <wp:inline distT="0" distB="0" distL="0" distR="0">
            <wp:extent cx="5760085" cy="4469130"/>
            <wp:effectExtent l="0" t="0" r="0" b="0"/>
            <wp:docPr id="96" name="Picture 21212882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2121288276" descr=""/>
                    <pic:cNvPicPr>
                      <a:picLocks noChangeAspect="1" noChangeArrowheads="1"/>
                    </pic:cNvPicPr>
                  </pic:nvPicPr>
                  <pic:blipFill>
                    <a:blip r:embed="rId9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Collections</w:t>
      </w:r>
    </w:p>
    <w:p>
      <w:pPr>
        <w:pStyle w:val="Normal"/>
        <w:spacing w:lineRule="auto" w:line="276" w:before="0" w:after="120"/>
        <w:rPr/>
      </w:pPr>
      <w:r>
        <w:rPr>
          <w:rFonts w:eastAsia="Segoe UI" w:cs="Segoe UI" w:ascii="Segoe UI" w:hAnsi="Segoe UI"/>
          <w:color w:val="101820"/>
          <w:sz w:val="21"/>
        </w:rPr>
        <w:t xml:space="preserve">Accounts &gt; Collections lists every open premium with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No.</w:t>
      </w:r>
      <w:r>
        <w:rPr>
          <w:rFonts w:eastAsia="Segoe UI" w:cs="Segoe UI" w:ascii="Segoe UI" w:hAnsi="Segoe UI"/>
          <w:color w:val="101820"/>
          <w:sz w:val="21"/>
        </w:rPr>
        <w:t xml:space="preserve">, </w:t>
      </w:r>
      <w:r>
        <w:rPr>
          <w:rFonts w:eastAsia="Segoe UI" w:cs="Segoe UI" w:ascii="Segoe UI" w:hAnsi="Segoe UI"/>
          <w:b/>
          <w:color w:val="101820"/>
          <w:sz w:val="21"/>
        </w:rPr>
        <w:t>Outstanding</w:t>
      </w:r>
      <w:r>
        <w:rPr>
          <w:rFonts w:eastAsia="Segoe UI" w:cs="Segoe UI" w:ascii="Segoe UI" w:hAnsi="Segoe UI"/>
          <w:color w:val="101820"/>
          <w:sz w:val="21"/>
        </w:rPr>
        <w:t xml:space="preserve"> spread over the ageing buckets (</w:t>
      </w:r>
      <w:r>
        <w:rPr>
          <w:rFonts w:eastAsia="Segoe UI" w:cs="Segoe UI" w:ascii="Segoe UI" w:hAnsi="Segoe UI"/>
          <w:b/>
          <w:color w:val="101820"/>
          <w:sz w:val="21"/>
        </w:rPr>
        <w:t>Current</w:t>
      </w:r>
      <w:r>
        <w:rPr>
          <w:rFonts w:eastAsia="Segoe UI" w:cs="Segoe UI" w:ascii="Segoe UI" w:hAnsi="Segoe UI"/>
          <w:color w:val="101820"/>
          <w:sz w:val="21"/>
        </w:rPr>
        <w:t xml:space="preserve">, </w:t>
      </w:r>
      <w:r>
        <w:rPr>
          <w:rFonts w:eastAsia="Segoe UI" w:cs="Segoe UI" w:ascii="Segoe UI" w:hAnsi="Segoe UI"/>
          <w:b/>
          <w:color w:val="101820"/>
          <w:sz w:val="21"/>
        </w:rPr>
        <w:t>1-30 Days</w:t>
      </w:r>
      <w:r>
        <w:rPr>
          <w:rFonts w:eastAsia="Segoe UI" w:cs="Segoe UI" w:ascii="Segoe UI" w:hAnsi="Segoe UI"/>
          <w:color w:val="101820"/>
          <w:sz w:val="21"/>
        </w:rPr>
        <w:t xml:space="preserve">, </w:t>
      </w:r>
      <w:r>
        <w:rPr>
          <w:rFonts w:eastAsia="Segoe UI" w:cs="Segoe UI" w:ascii="Segoe UI" w:hAnsi="Segoe UI"/>
          <w:b/>
          <w:color w:val="101820"/>
          <w:sz w:val="21"/>
        </w:rPr>
        <w:t>31-60 Days</w:t>
      </w:r>
      <w:r>
        <w:rPr>
          <w:rFonts w:eastAsia="Segoe UI" w:cs="Segoe UI" w:ascii="Segoe UI" w:hAnsi="Segoe UI"/>
          <w:color w:val="101820"/>
          <w:sz w:val="21"/>
        </w:rPr>
        <w:t xml:space="preserve">, </w:t>
      </w:r>
      <w:r>
        <w:rPr>
          <w:rFonts w:eastAsia="Segoe UI" w:cs="Segoe UI" w:ascii="Segoe UI" w:hAnsi="Segoe UI"/>
          <w:b/>
          <w:color w:val="101820"/>
          <w:sz w:val="21"/>
        </w:rPr>
        <w:t>61-90 Days</w:t>
      </w:r>
      <w:r>
        <w:rPr>
          <w:rFonts w:eastAsia="Segoe UI" w:cs="Segoe UI" w:ascii="Segoe UI" w:hAnsi="Segoe UI"/>
          <w:color w:val="101820"/>
          <w:sz w:val="21"/>
        </w:rPr>
        <w:t xml:space="preserve">, </w:t>
      </w:r>
      <w:r>
        <w:rPr>
          <w:rFonts w:eastAsia="Segoe UI" w:cs="Segoe UI" w:ascii="Segoe UI" w:hAnsi="Segoe UI"/>
          <w:b/>
          <w:color w:val="101820"/>
          <w:sz w:val="21"/>
        </w:rPr>
        <w:t>Over 90 Days</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(Pending, Committed, Overdue), </w:t>
      </w:r>
      <w:r>
        <w:rPr>
          <w:rFonts w:eastAsia="Segoe UI" w:cs="Segoe UI" w:ascii="Segoe UI" w:hAnsi="Segoe UI"/>
          <w:b/>
          <w:color w:val="101820"/>
          <w:sz w:val="21"/>
        </w:rPr>
        <w:t>Days Overdue</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 Filter by status and overdue level.</w:t>
      </w:r>
    </w:p>
    <w:p>
      <w:pPr>
        <w:pStyle w:val="Normal"/>
        <w:numPr>
          <w:ilvl w:val="0"/>
          <w:numId w:val="1"/>
        </w:numPr>
        <w:spacing w:before="0" w:after="60"/>
        <w:rPr/>
      </w:pPr>
      <w:r>
        <w:rPr>
          <w:rFonts w:eastAsia="Segoe UI" w:cs="Segoe UI" w:ascii="Segoe UI" w:hAnsi="Segoe UI"/>
          <w:color w:val="101820"/>
          <w:sz w:val="21"/>
        </w:rPr>
        <w:t xml:space="preserve">The due date follows the insurer's premium payment warranty,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 days).</w:t>
      </w:r>
    </w:p>
    <w:p>
      <w:pPr>
        <w:pStyle w:val="Normal"/>
        <w:numPr>
          <w:ilvl w:val="0"/>
          <w:numId w:val="1"/>
        </w:numPr>
        <w:spacing w:before="0" w:after="60"/>
        <w:rPr/>
      </w:pPr>
      <w:r>
        <w:rPr>
          <w:rFonts w:eastAsia="Segoe UI" w:cs="Segoe UI" w:ascii="Segoe UI" w:hAnsi="Segoe UI"/>
          <w:color w:val="101820"/>
          <w:sz w:val="21"/>
        </w:rPr>
        <w:t>Reminders are e-mailed to clients 7 days before the due date and then at most every 7 days by the Collection reminders job at 08:00 (</w:t>
      </w:r>
      <w:r>
        <w:rPr>
          <w:rFonts w:eastAsia="Consolas" w:cs="Consolas" w:ascii="Consolas" w:hAnsi="Consolas"/>
          <w:color w:val="101820"/>
          <w:sz w:val="19"/>
        </w:rPr>
        <w:t>collections.reminder_days_before</w:t>
      </w:r>
      <w:r>
        <w:rPr>
          <w:rFonts w:eastAsia="Segoe UI" w:cs="Segoe UI" w:ascii="Segoe UI" w:hAnsi="Segoe UI"/>
          <w:color w:val="101820"/>
          <w:sz w:val="21"/>
        </w:rPr>
        <w:t xml:space="preserve">, </w:t>
      </w:r>
      <w:r>
        <w:rPr>
          <w:rFonts w:eastAsia="Consolas" w:cs="Consolas" w:ascii="Consolas" w:hAnsi="Consolas"/>
          <w:color w:val="101820"/>
          <w:sz w:val="19"/>
        </w:rPr>
        <w:t>collections.reminder_repeat_days</w:t>
      </w:r>
      <w:r>
        <w:rPr>
          <w:rFonts w:eastAsia="Segoe UI" w:cs="Segoe UI" w:ascii="Segoe UI" w:hAnsi="Segoe UI"/>
          <w:color w:val="101820"/>
          <w:sz w:val="21"/>
        </w:rPr>
        <w:t xml:space="preserve">). </w:t>
      </w:r>
      <w:r>
        <w:rPr>
          <w:rFonts w:eastAsia="Segoe UI" w:cs="Segoe UI" w:ascii="Segoe UI" w:hAnsi="Segoe UI"/>
          <w:b/>
          <w:color w:val="101820"/>
          <w:sz w:val="21"/>
        </w:rPr>
        <w:t>Send Payment Reminders Now</w:t>
      </w:r>
      <w:r>
        <w:rPr>
          <w:rFonts w:eastAsia="Segoe UI" w:cs="Segoe UI" w:ascii="Segoe UI" w:hAnsi="Segoe UI"/>
          <w:color w:val="101820"/>
          <w:sz w:val="21"/>
        </w:rPr>
        <w:t xml:space="preserve"> sends them at once.</w:t>
      </w:r>
    </w:p>
    <w:p>
      <w:pPr>
        <w:pStyle w:val="Normal"/>
        <w:numPr>
          <w:ilvl w:val="0"/>
          <w:numId w:val="1"/>
        </w:numPr>
        <w:spacing w:before="0" w:after="60"/>
        <w:rPr/>
      </w:pPr>
      <w:r>
        <w:rPr>
          <w:rFonts w:eastAsia="Segoe UI" w:cs="Segoe UI" w:ascii="Segoe UI" w:hAnsi="Segoe UI"/>
          <w:color w:val="101820"/>
          <w:sz w:val="21"/>
        </w:rPr>
        <w:t>The aging report (Collections &gt; Aging Report) shows the total outstanding per bucket, a chart and the detail by client.</w:t>
      </w:r>
    </w:p>
    <w:p>
      <w:pPr>
        <w:pStyle w:val="Normal"/>
        <w:numPr>
          <w:ilvl w:val="0"/>
          <w:numId w:val="1"/>
        </w:numPr>
        <w:spacing w:before="0" w:after="60"/>
        <w:rPr/>
      </w:pPr>
      <w:r>
        <w:rPr>
          <w:rFonts w:eastAsia="Segoe UI" w:cs="Segoe UI" w:ascii="Segoe UI" w:hAnsi="Segoe UI"/>
          <w:b/>
          <w:color w:val="101820"/>
          <w:sz w:val="21"/>
        </w:rPr>
        <w:t>E-mail invoice</w:t>
      </w:r>
      <w:r>
        <w:rPr>
          <w:rFonts w:eastAsia="Segoe UI" w:cs="Segoe UI" w:ascii="Segoe UI" w:hAnsi="Segoe UI"/>
          <w:color w:val="101820"/>
          <w:sz w:val="21"/>
        </w:rPr>
        <w:t xml:space="preserve"> on a collection item sends the premium invoice / statement of account of the bill to the client with its PDF attached (To, Cc and a note). With </w:t>
      </w:r>
      <w:r>
        <w:rPr>
          <w:rFonts w:eastAsia="Consolas" w:cs="Consolas" w:ascii="Consolas" w:hAnsi="Consolas"/>
          <w:color w:val="101820"/>
          <w:sz w:val="19"/>
        </w:rPr>
        <w:t>billing.email_on_issue</w:t>
      </w:r>
      <w:r>
        <w:rPr>
          <w:rFonts w:eastAsia="Segoe UI" w:cs="Segoe UI" w:ascii="Segoe UI" w:hAnsi="Segoe UI"/>
          <w:color w:val="101820"/>
          <w:sz w:val="21"/>
        </w:rPr>
        <w:t xml:space="preserve"> switched on, a bill is e-mailed automatically when it is issued from a policy, endorsement or renewal.</w:t>
      </w:r>
    </w:p>
    <w:p>
      <w:pPr>
        <w:pStyle w:val="Normal"/>
        <w:jc w:val="center"/>
        <w:rPr/>
      </w:pPr>
      <w:r>
        <w:rPr/>
        <w:drawing>
          <wp:inline distT="0" distB="0" distL="0" distR="0">
            <wp:extent cx="5760085" cy="4469130"/>
            <wp:effectExtent l="0" t="0" r="0" b="0"/>
            <wp:docPr id="97" name="Picture 21212882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121288277" descr=""/>
                    <pic:cNvPicPr>
                      <a:picLocks noChangeAspect="1" noChangeArrowheads="1"/>
                    </pic:cNvPicPr>
                  </pic:nvPicPr>
                  <pic:blipFill>
                    <a:blip r:embed="rId9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Collections aging report</w:t>
      </w:r>
    </w:p>
    <w:p>
      <w:pPr>
        <w:pStyle w:val="Heading3"/>
        <w:rPr/>
      </w:pPr>
      <w:r>
        <w:rPr>
          <w:rFonts w:eastAsia="Segoe UI" w:cs="Segoe UI"/>
          <w:b/>
          <w:color w:val="0F4761"/>
          <w:sz w:val="23"/>
        </w:rPr>
        <w:t>11.5.1  Import open items at go-live</w:t>
      </w:r>
    </w:p>
    <w:p>
      <w:pPr>
        <w:pStyle w:val="Normal"/>
        <w:spacing w:lineRule="auto" w:line="276" w:before="0" w:after="120"/>
        <w:rPr/>
      </w:pPr>
      <w:r>
        <w:rPr>
          <w:rFonts w:eastAsia="Segoe UI" w:cs="Segoe UI" w:ascii="Segoe UI" w:hAnsi="Segoe UI"/>
          <w:b/>
          <w:color w:val="101820"/>
          <w:sz w:val="21"/>
        </w:rPr>
        <w:t>Import open items</w:t>
      </w:r>
      <w:r>
        <w:rPr>
          <w:rFonts w:eastAsia="Segoe UI" w:cs="Segoe UI" w:ascii="Segoe UI" w:hAnsi="Segoe UI"/>
          <w:color w:val="101820"/>
          <w:sz w:val="21"/>
        </w:rPr>
        <w:t xml:space="preserve"> loads the unpaid premium bills of the old system against policies already in BrokerVerse. 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fill in the Data sheet and delete the sample rows, enter the </w:t>
      </w:r>
      <w:r>
        <w:rPr>
          <w:rFonts w:eastAsia="Segoe UI" w:cs="Segoe UI" w:ascii="Segoe UI" w:hAnsi="Segoe UI"/>
          <w:b/>
          <w:color w:val="101820"/>
          <w:sz w:val="21"/>
        </w:rPr>
        <w:t>Go-live date (first day of live transactions)</w:t>
      </w:r>
      <w:r>
        <w:rPr>
          <w:rFonts w:eastAsia="Segoe UI" w:cs="Segoe UI" w:ascii="Segoe UI" w:hAnsi="Segoe UI"/>
          <w:color w:val="101820"/>
          <w:sz w:val="21"/>
        </w:rPr>
        <w:t xml:space="preserve">, choose the file (.xlsx or .csv) and select </w:t>
      </w:r>
      <w:r>
        <w:rPr>
          <w:rFonts w:eastAsia="Segoe UI" w:cs="Segoe UI" w:ascii="Segoe UI" w:hAnsi="Segoe UI"/>
          <w:b/>
          <w:color w:val="101820"/>
          <w:sz w:val="21"/>
        </w:rPr>
        <w:t>Upload</w:t>
      </w:r>
      <w:r>
        <w:rPr>
          <w:rFonts w:eastAsia="Segoe UI" w:cs="Segoe UI" w:ascii="Segoe UI" w:hAnsi="Segoe UI"/>
          <w:color w:val="101820"/>
          <w:sz w:val="21"/>
        </w:rPr>
        <w:t>. No journal is posted: the GL opening balance carries these amounts. Rows already loaded for the same go-live date are skipped.</w:t>
      </w:r>
    </w:p>
    <w:p>
      <w:pPr>
        <w:pStyle w:val="Normal"/>
        <w:jc w:val="center"/>
        <w:rPr/>
      </w:pPr>
      <w:r>
        <w:rPr/>
        <w:drawing>
          <wp:inline distT="0" distB="0" distL="0" distR="0">
            <wp:extent cx="5760085" cy="2497455"/>
            <wp:effectExtent l="0" t="0" r="0" b="0"/>
            <wp:docPr id="98" name="Picture 21212882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2121288278" descr=""/>
                    <pic:cNvPicPr>
                      <a:picLocks noChangeAspect="1" noChangeArrowheads="1"/>
                    </pic:cNvPicPr>
                  </pic:nvPicPr>
                  <pic:blipFill>
                    <a:blip r:embed="rId94"/>
                    <a:stretch>
                      <a:fillRect/>
                    </a:stretch>
                  </pic:blipFill>
                  <pic:spPr bwMode="auto">
                    <a:xfrm>
                      <a:off x="0" y="0"/>
                      <a:ext cx="5760085" cy="2497455"/>
                    </a:xfrm>
                    <a:prstGeom prst="rect">
                      <a:avLst/>
                    </a:prstGeom>
                  </pic:spPr>
                </pic:pic>
              </a:graphicData>
            </a:graphic>
          </wp:inline>
        </w:drawing>
      </w:r>
    </w:p>
    <w:p>
      <w:pPr>
        <w:pStyle w:val="Normal"/>
        <w:jc w:val="center"/>
        <w:rPr/>
      </w:pPr>
      <w:r>
        <w:rPr>
          <w:rFonts w:eastAsia="Segoe UI" w:cs="Segoe UI" w:ascii="Segoe UI" w:hAnsi="Segoe UI"/>
          <w:i/>
          <w:color w:val="555F6D"/>
          <w:sz w:val="18"/>
        </w:rPr>
        <w:t>Import open items (go-live)</w:t>
      </w:r>
    </w:p>
    <w:p>
      <w:pPr>
        <w:pStyle w:val="Heading2"/>
        <w:rPr/>
      </w:pPr>
      <w:bookmarkStart w:id="99" w:name="__RefHeading___Toc107453_4049217194"/>
      <w:bookmarkEnd w:id="99"/>
      <w:r>
        <w:rPr>
          <w:rFonts w:eastAsia="Segoe UI" w:cs="Segoe UI"/>
          <w:b/>
          <w:color w:val="0F4761"/>
          <w:sz w:val="26"/>
        </w:rPr>
        <w:t>11.6  Credit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Credit Control)</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payment schedule of a broker-billed bill: generate it from the terms (4 instalments proposed, up to 12; monthly, quarterly or semi-annual), then adjust dates and amounts. Payments are applied to the instalments in order and the bill is due on its first unpaid instalment. The list shows outstanding instalments by ageing; </w:t>
            </w:r>
            <w:r>
              <w:rPr>
                <w:rFonts w:eastAsia="Segoe UI" w:cs="Segoe UI" w:ascii="Segoe UI" w:hAnsi="Segoe UI"/>
                <w:b/>
                <w:color w:val="101820"/>
                <w:kern w:val="0"/>
                <w:sz w:val="18"/>
                <w:szCs w:val="24"/>
                <w:lang w:val="en-US" w:eastAsia="ja-JP" w:bidi="ar-SA"/>
              </w:rPr>
              <w:t>Overdue only</w:t>
            </w:r>
            <w:r>
              <w:rPr>
                <w:rFonts w:eastAsia="Segoe UI" w:cs="Segoe UI" w:ascii="Segoe UI" w:hAnsi="Segoe UI"/>
                <w:color w:val="101820"/>
                <w:kern w:val="0"/>
                <w:sz w:val="18"/>
                <w:szCs w:val="24"/>
                <w:lang w:val="en-US" w:eastAsia="ja-JP" w:bidi="ar-SA"/>
              </w:rPr>
              <w:t xml:space="preserve"> narrows 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Broker-billed policies whose premium is unpaid past, or within 7 days of, the insurer's premium payment warranty: </w:t>
            </w:r>
            <w:r>
              <w:rPr>
                <w:rFonts w:eastAsia="Segoe UI" w:cs="Segoe UI" w:ascii="Segoe UI" w:hAnsi="Segoe UI"/>
                <w:b/>
                <w:color w:val="101820"/>
                <w:kern w:val="0"/>
                <w:sz w:val="18"/>
                <w:szCs w:val="24"/>
                <w:lang w:val="en-US" w:eastAsia="ja-JP" w:bidi="ar-SA"/>
              </w:rPr>
              <w:t>Warranty breached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At risk</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Extensions to approve</w:t>
            </w:r>
            <w:r>
              <w:rPr>
                <w:rFonts w:eastAsia="Segoe UI" w:cs="Segoe UI" w:ascii="Segoe UI" w:hAnsi="Segoe UI"/>
                <w:color w:val="101820"/>
                <w:kern w:val="0"/>
                <w:sz w:val="18"/>
                <w:szCs w:val="24"/>
                <w:lang w:val="en-US" w:eastAsia="ja-JP" w:bidi="ar-SA"/>
              </w:rPr>
              <w:t>. Remind the client, request an extension (up to 90 days after inception, approved by the Accounting Manager) or ask Operations to cancel the policy for non-payment. Nothing is cancelled automatically.</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Credit Limits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credit limit of each client against its open broker-billed premium, with the available amount. A policy that takes a client over its limit is still issued; Accounting is warned and acknowledges it here (</w:t>
            </w:r>
            <w:r>
              <w:rPr>
                <w:rFonts w:eastAsia="Segoe UI" w:cs="Segoe UI" w:ascii="Segoe UI" w:hAnsi="Segoe UI"/>
                <w:b/>
                <w:color w:val="101820"/>
                <w:kern w:val="0"/>
                <w:sz w:val="18"/>
                <w:szCs w:val="24"/>
                <w:lang w:val="en-US" w:eastAsia="ja-JP" w:bidi="ar-SA"/>
              </w:rPr>
              <w:t>Issued over the limit</w:t>
            </w:r>
            <w:r>
              <w:rPr>
                <w:rFonts w:eastAsia="Segoe UI" w:cs="Segoe UI" w:ascii="Segoe UI" w:hAnsi="Segoe UI"/>
                <w:color w:val="101820"/>
                <w:kern w:val="0"/>
                <w:sz w:val="18"/>
                <w:szCs w:val="24"/>
                <w:lang w:val="en-US" w:eastAsia="ja-JP" w:bidi="ar-SA"/>
              </w:rPr>
              <w:t>). Limits are set by the Accounting Manager.</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Ageing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Premium collected and not yet remitted, per insurer, aged on the insurer's remittance terms from the collection date. The amount due is net of the commission and its VAT, plus the EWT on the commission.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downloads it.</w:t>
            </w:r>
          </w:p>
        </w:tc>
      </w:tr>
    </w:tbl>
    <w:p>
      <w:pPr>
        <w:pStyle w:val="Normal"/>
        <w:spacing w:before="0" w:after="80"/>
        <w:rPr/>
      </w:pPr>
      <w:r>
        <w:rPr/>
      </w:r>
    </w:p>
    <w:p>
      <w:pPr>
        <w:pStyle w:val="Normal"/>
        <w:jc w:val="center"/>
        <w:rPr/>
      </w:pPr>
      <w:r>
        <w:rPr/>
        <w:drawing>
          <wp:inline distT="0" distB="0" distL="0" distR="0">
            <wp:extent cx="5760085" cy="4469130"/>
            <wp:effectExtent l="0" t="0" r="0" b="0"/>
            <wp:docPr id="99" name="Picture 21212882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2121288279" descr=""/>
                    <pic:cNvPicPr>
                      <a:picLocks noChangeAspect="1" noChangeArrowheads="1"/>
                    </pic:cNvPicPr>
                  </pic:nvPicPr>
                  <pic:blipFill>
                    <a:blip r:embed="rId9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Credit Control &gt; Premium Warranty Monitor</w:t>
      </w:r>
    </w:p>
    <w:p>
      <w:pPr>
        <w:pStyle w:val="Heading2"/>
        <w:rPr/>
      </w:pPr>
      <w:bookmarkStart w:id="100" w:name="__RefHeading___Toc107455_4049217194"/>
      <w:bookmarkEnd w:id="100"/>
      <w:r>
        <w:rPr>
          <w:rFonts w:eastAsia="Segoe UI" w:cs="Segoe UI"/>
          <w:b/>
          <w:color w:val="0F4761"/>
          <w:sz w:val="26"/>
        </w:rPr>
        <w:t>11.7  Disbursement: payment vouchers and cheques</w:t>
      </w:r>
    </w:p>
    <w:p>
      <w:pPr>
        <w:pStyle w:val="Normal"/>
        <w:jc w:val="center"/>
        <w:rPr/>
      </w:pPr>
      <w:r>
        <w:rPr/>
        <w:drawing>
          <wp:inline distT="0" distB="0" distL="0" distR="0">
            <wp:extent cx="5760085" cy="4469130"/>
            <wp:effectExtent l="0" t="0" r="0" b="0"/>
            <wp:docPr id="100" name="Picture 21212882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121288280" descr=""/>
                    <pic:cNvPicPr>
                      <a:picLocks noChangeAspect="1" noChangeArrowheads="1"/>
                    </pic:cNvPicPr>
                  </pic:nvPicPr>
                  <pic:blipFill>
                    <a:blip r:embed="rId9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Disbursement</w:t>
      </w:r>
    </w:p>
    <w:p>
      <w:pPr>
        <w:pStyle w:val="Normal"/>
        <w:spacing w:lineRule="auto" w:line="276" w:before="0" w:after="120"/>
        <w:rPr/>
      </w:pPr>
      <w:r>
        <w:rPr>
          <w:rFonts w:eastAsia="Segoe UI" w:cs="Segoe UI" w:ascii="Segoe UI" w:hAnsi="Segoe UI"/>
          <w:color w:val="101820"/>
          <w:sz w:val="21"/>
        </w:rPr>
        <w:t>A payment voucher (PV-YYYY-NNNNN, with the disbursement transaction DT-YYYY-NNNNN) pays an insurer, an agent or referrer, a client or a supplier.</w:t>
      </w:r>
    </w:p>
    <w:p>
      <w:pPr>
        <w:pStyle w:val="Normal"/>
        <w:numPr>
          <w:ilvl w:val="0"/>
          <w:numId w:val="215"/>
        </w:numPr>
        <w:spacing w:before="0" w:after="60"/>
        <w:rPr/>
      </w:pPr>
      <w:r>
        <w:rPr>
          <w:rFonts w:eastAsia="Segoe UI" w:cs="Segoe UI" w:ascii="Segoe UI" w:hAnsi="Segoe UI"/>
          <w:color w:val="101820"/>
          <w:sz w:val="21"/>
        </w:rPr>
        <w:t xml:space="preserve">Choose Accounts &gt; Disbursement and select </w:t>
      </w:r>
      <w:r>
        <w:rPr>
          <w:rFonts w:eastAsia="Segoe UI" w:cs="Segoe UI" w:ascii="Segoe UI" w:hAnsi="Segoe UI"/>
          <w:b/>
          <w:color w:val="101820"/>
          <w:sz w:val="21"/>
        </w:rPr>
        <w:t>Create</w:t>
      </w:r>
      <w:r>
        <w:rPr>
          <w:rFonts w:eastAsia="Segoe UI" w:cs="Segoe UI" w:ascii="Segoe UI" w:hAnsi="Segoe UI"/>
          <w:color w:val="101820"/>
          <w:sz w:val="21"/>
        </w:rPr>
        <w:t>.</w:t>
      </w:r>
    </w:p>
    <w:p>
      <w:pPr>
        <w:pStyle w:val="Normal"/>
        <w:numPr>
          <w:ilvl w:val="0"/>
          <w:numId w:val="216"/>
        </w:numPr>
        <w:spacing w:before="0" w:after="60"/>
        <w:rPr/>
      </w:pPr>
      <w:r>
        <w:rPr>
          <w:rFonts w:eastAsia="Segoe UI" w:cs="Segoe UI" w:ascii="Segoe UI" w:hAnsi="Segoe UI"/>
          <w:color w:val="101820"/>
          <w:sz w:val="21"/>
        </w:rPr>
        <w:t xml:space="preserve">Fill in the header: </w:t>
      </w:r>
      <w:r>
        <w:rPr>
          <w:rFonts w:eastAsia="Segoe UI" w:cs="Segoe UI" w:ascii="Segoe UI" w:hAnsi="Segoe UI"/>
          <w:b/>
          <w:color w:val="101820"/>
          <w:sz w:val="21"/>
        </w:rPr>
        <w:t>Disbursement Date</w:t>
      </w:r>
      <w:r>
        <w:rPr>
          <w:rFonts w:eastAsia="Segoe UI" w:cs="Segoe UI" w:ascii="Segoe UI" w:hAnsi="Segoe UI"/>
          <w:color w:val="101820"/>
          <w:sz w:val="21"/>
        </w:rPr>
        <w:t xml:space="preserve">, </w:t>
      </w:r>
      <w:r>
        <w:rPr>
          <w:rFonts w:eastAsia="Segoe UI" w:cs="Segoe UI" w:ascii="Segoe UI" w:hAnsi="Segoe UI"/>
          <w:b/>
          <w:color w:val="101820"/>
          <w:sz w:val="21"/>
        </w:rPr>
        <w:t>Department Code</w:t>
      </w:r>
      <w:r>
        <w:rPr>
          <w:rFonts w:eastAsia="Segoe UI" w:cs="Segoe UI" w:ascii="Segoe UI" w:hAnsi="Segoe UI"/>
          <w:color w:val="101820"/>
          <w:sz w:val="21"/>
        </w:rPr>
        <w:t xml:space="preserve">, </w:t>
      </w:r>
      <w:r>
        <w:rPr>
          <w:rFonts w:eastAsia="Segoe UI" w:cs="Segoe UI" w:ascii="Segoe UI" w:hAnsi="Segoe UI"/>
          <w:b/>
          <w:color w:val="101820"/>
          <w:sz w:val="21"/>
        </w:rPr>
        <w:t>Branch Code</w:t>
      </w:r>
      <w:r>
        <w:rPr>
          <w:rFonts w:eastAsia="Segoe UI" w:cs="Segoe UI" w:ascii="Segoe UI" w:hAnsi="Segoe UI"/>
          <w:color w:val="101820"/>
          <w:sz w:val="21"/>
        </w:rPr>
        <w:t xml:space="preserve">, </w:t>
      </w:r>
      <w:r>
        <w:rPr>
          <w:rFonts w:eastAsia="Segoe UI" w:cs="Segoe UI" w:ascii="Segoe UI" w:hAnsi="Segoe UI"/>
          <w:b/>
          <w:color w:val="101820"/>
          <w:sz w:val="21"/>
        </w:rPr>
        <w:t>Payee Type</w:t>
      </w:r>
      <w:r>
        <w:rPr>
          <w:rFonts w:eastAsia="Segoe UI" w:cs="Segoe UI" w:ascii="Segoe UI" w:hAnsi="Segoe UI"/>
          <w:color w:val="101820"/>
          <w:sz w:val="21"/>
        </w:rPr>
        <w:t xml:space="preserve"> (Customer, Insurer, Agent/Referrer or Supplier), </w:t>
      </w:r>
      <w:r>
        <w:rPr>
          <w:rFonts w:eastAsia="Segoe UI" w:cs="Segoe UI" w:ascii="Segoe UI" w:hAnsi="Segoe UI"/>
          <w:b/>
          <w:color w:val="101820"/>
          <w:sz w:val="21"/>
        </w:rPr>
        <w:t>Criteria</w:t>
      </w:r>
      <w:r>
        <w:rPr>
          <w:rFonts w:eastAsia="Segoe UI" w:cs="Segoe UI" w:ascii="Segoe UI" w:hAnsi="Segoe UI"/>
          <w:color w:val="101820"/>
          <w:sz w:val="21"/>
        </w:rPr>
        <w:t xml:space="preserve"> (Specific or Payall), </w:t>
      </w:r>
      <w:r>
        <w:rPr>
          <w:rFonts w:eastAsia="Segoe UI" w:cs="Segoe UI" w:ascii="Segoe UI" w:hAnsi="Segoe UI"/>
          <w:b/>
          <w:color w:val="101820"/>
          <w:sz w:val="21"/>
        </w:rPr>
        <w:t>Customer Code</w:t>
      </w:r>
      <w:r>
        <w:rPr>
          <w:rFonts w:eastAsia="Segoe UI" w:cs="Segoe UI" w:ascii="Segoe UI" w:hAnsi="Segoe UI"/>
          <w:color w:val="101820"/>
          <w:sz w:val="21"/>
        </w:rPr>
        <w:t xml:space="preserve"> and </w:t>
      </w:r>
      <w:r>
        <w:rPr>
          <w:rFonts w:eastAsia="Segoe UI" w:cs="Segoe UI" w:ascii="Segoe UI" w:hAnsi="Segoe UI"/>
          <w:b/>
          <w:color w:val="101820"/>
          <w:sz w:val="21"/>
        </w:rPr>
        <w:t>Customer Name</w:t>
      </w:r>
      <w:r>
        <w:rPr>
          <w:rFonts w:eastAsia="Segoe UI" w:cs="Segoe UI" w:ascii="Segoe UI" w:hAnsi="Segoe UI"/>
          <w:color w:val="101820"/>
          <w:sz w:val="21"/>
        </w:rPr>
        <w:t xml:space="preserve"> of the payee, </w:t>
      </w:r>
      <w:r>
        <w:rPr>
          <w:rFonts w:eastAsia="Segoe UI" w:cs="Segoe UI" w:ascii="Segoe UI" w:hAnsi="Segoe UI"/>
          <w:b/>
          <w:color w:val="101820"/>
          <w:sz w:val="21"/>
        </w:rPr>
        <w:t>Policy Number (Optional)</w:t>
      </w:r>
      <w:r>
        <w:rPr>
          <w:rFonts w:eastAsia="Segoe UI" w:cs="Segoe UI" w:ascii="Segoe UI" w:hAnsi="Segoe UI"/>
          <w:color w:val="101820"/>
          <w:sz w:val="21"/>
        </w:rPr>
        <w:t xml:space="preserve">, </w:t>
      </w:r>
      <w:r>
        <w:rPr>
          <w:rFonts w:eastAsia="Segoe UI" w:cs="Segoe UI" w:ascii="Segoe UI" w:hAnsi="Segoe UI"/>
          <w:b/>
          <w:color w:val="101820"/>
          <w:sz w:val="21"/>
        </w:rPr>
        <w:t>Transaction Type</w:t>
      </w:r>
      <w:r>
        <w:rPr>
          <w:rFonts w:eastAsia="Segoe UI" w:cs="Segoe UI" w:ascii="Segoe UI" w:hAnsi="Segoe UI"/>
          <w:color w:val="101820"/>
          <w:sz w:val="21"/>
        </w:rPr>
        <w:t xml:space="preserve">, </w:t>
      </w:r>
      <w:r>
        <w:rPr>
          <w:rFonts w:eastAsia="Segoe UI" w:cs="Segoe UI" w:ascii="Segoe UI" w:hAnsi="Segoe UI"/>
          <w:b/>
          <w:color w:val="101820"/>
          <w:sz w:val="21"/>
        </w:rPr>
        <w:t>Payment Description</w:t>
      </w:r>
      <w:r>
        <w:rPr>
          <w:rFonts w:eastAsia="Segoe UI" w:cs="Segoe UI" w:ascii="Segoe UI" w:hAnsi="Segoe UI"/>
          <w:color w:val="101820"/>
          <w:sz w:val="21"/>
        </w:rPr>
        <w:t xml:space="preserve">, </w:t>
      </w:r>
      <w:r>
        <w:rPr>
          <w:rFonts w:eastAsia="Segoe UI" w:cs="Segoe UI" w:ascii="Segoe UI" w:hAnsi="Segoe UI"/>
          <w:b/>
          <w:color w:val="101820"/>
          <w:sz w:val="21"/>
        </w:rPr>
        <w:t>Payment Currency</w:t>
      </w:r>
      <w:r>
        <w:rPr>
          <w:rFonts w:eastAsia="Segoe UI" w:cs="Segoe UI" w:ascii="Segoe UI" w:hAnsi="Segoe UI"/>
          <w:color w:val="101820"/>
          <w:sz w:val="21"/>
        </w:rPr>
        <w:t xml:space="preserve"> and </w:t>
      </w:r>
      <w:r>
        <w:rPr>
          <w:rFonts w:eastAsia="Segoe UI" w:cs="Segoe UI" w:ascii="Segoe UI" w:hAnsi="Segoe UI"/>
          <w:b/>
          <w:color w:val="101820"/>
          <w:sz w:val="21"/>
        </w:rPr>
        <w:t>Payment Notes (Optional)</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17"/>
        </w:numPr>
        <w:spacing w:before="0" w:after="60"/>
        <w:rPr/>
      </w:pPr>
      <w:r>
        <w:rPr>
          <w:rFonts w:eastAsia="Segoe UI" w:cs="Segoe UI" w:ascii="Segoe UI" w:hAnsi="Segoe UI"/>
          <w:color w:val="101820"/>
          <w:sz w:val="21"/>
        </w:rPr>
        <w:t xml:space="preserve">On the invoice list, tick the payables to pay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18"/>
        </w:numPr>
        <w:spacing w:before="0" w:after="60"/>
        <w:rPr/>
      </w:pPr>
      <w:r>
        <w:rPr>
          <w:rFonts w:eastAsia="Segoe UI" w:cs="Segoe UI" w:ascii="Segoe UI" w:hAnsi="Segoe UI"/>
          <w:color w:val="101820"/>
          <w:sz w:val="21"/>
        </w:rPr>
        <w:t>Choose the bank account and the cheque book, and save. The voucher goes for approval.</w:t>
      </w:r>
    </w:p>
    <w:p>
      <w:pPr>
        <w:pStyle w:val="Normal"/>
        <w:jc w:val="center"/>
        <w:rPr/>
      </w:pPr>
      <w:r>
        <w:rPr/>
        <w:drawing>
          <wp:inline distT="0" distB="0" distL="0" distR="0">
            <wp:extent cx="5760085" cy="4469130"/>
            <wp:effectExtent l="0" t="0" r="0" b="0"/>
            <wp:docPr id="101" name="Picture 21212882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2121288281" descr=""/>
                    <pic:cNvPicPr>
                      <a:picLocks noChangeAspect="1" noChangeArrowheads="1"/>
                    </pic:cNvPicPr>
                  </pic:nvPicPr>
                  <pic:blipFill>
                    <a:blip r:embed="rId9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Disbursement</w:t>
      </w:r>
    </w:p>
    <w:p>
      <w:pPr>
        <w:pStyle w:val="Normal"/>
        <w:spacing w:lineRule="auto" w:line="276" w:before="0" w:after="120"/>
        <w:rPr/>
      </w:pPr>
      <w:r>
        <w:rPr>
          <w:rFonts w:eastAsia="Segoe UI" w:cs="Segoe UI" w:ascii="Segoe UI" w:hAnsi="Segoe UI"/>
          <w:color w:val="101820"/>
          <w:sz w:val="21"/>
        </w:rPr>
        <w:t>A second Accounting user opens the voucher, reviews the cheque details and approves it. The system posts the payment journal (for example Dr Premiums Payable to Insurers / Cr Cash in Bank). The approved cheque is printed and the voucher becomes Paid. The maker cannot approve his or her own voucher (</w:t>
      </w:r>
      <w:r>
        <w:rPr>
          <w:rFonts w:eastAsia="Consolas" w:cs="Consolas" w:ascii="Consolas" w:hAnsi="Consolas"/>
          <w:color w:val="101820"/>
          <w:sz w:val="19"/>
        </w:rPr>
        <w:t>finance.maker_checker_enabled</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3"/>
        <w:gridCol w:w="6490"/>
      </w:tblGrid>
      <w:tr>
        <w:trPr>
          <w:tblHeader w:val="true"/>
        </w:trPr>
        <w:tc>
          <w:tcPr>
            <w:tcW w:w="2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Voucher status</w:t>
            </w:r>
          </w:p>
        </w:tc>
        <w:tc>
          <w:tcPr>
            <w:tcW w:w="64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amounts may still change.</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approval</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a second user.</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the cheque can be printed.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 the payment journal is posted.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before payment.</w:t>
            </w:r>
          </w:p>
        </w:tc>
      </w:tr>
    </w:tbl>
    <w:p>
      <w:pPr>
        <w:pStyle w:val="Normal"/>
        <w:spacing w:before="0" w:after="80"/>
        <w:rPr/>
      </w:pPr>
      <w:r>
        <w:rPr/>
      </w:r>
    </w:p>
    <w:p>
      <w:pPr>
        <w:pStyle w:val="Heading2"/>
        <w:rPr/>
      </w:pPr>
      <w:bookmarkStart w:id="101" w:name="__RefHeading___Toc107457_4049217194"/>
      <w:bookmarkEnd w:id="101"/>
      <w:r>
        <w:rPr>
          <w:rFonts w:eastAsia="Segoe UI" w:cs="Segoe UI"/>
          <w:b/>
          <w:color w:val="0F4761"/>
          <w:sz w:val="26"/>
        </w:rPr>
        <w:t>11.8  Remittance to insurers</w:t>
      </w:r>
    </w:p>
    <w:p>
      <w:pPr>
        <w:pStyle w:val="Normal"/>
        <w:spacing w:lineRule="auto" w:line="276" w:before="0" w:after="120"/>
        <w:rPr/>
      </w:pPr>
      <w:r>
        <w:rPr>
          <w:rFonts w:eastAsia="Segoe UI" w:cs="Segoe UI" w:ascii="Segoe UI" w:hAnsi="Segoe UI"/>
          <w:color w:val="101820"/>
          <w:sz w:val="21"/>
        </w:rPr>
        <w:t>For broker-billed policies Accounting remits the collected premium, net of the broker's commission, to each insurer by its share.</w:t>
      </w:r>
    </w:p>
    <w:p>
      <w:pPr>
        <w:pStyle w:val="Normal"/>
        <w:numPr>
          <w:ilvl w:val="0"/>
          <w:numId w:val="219"/>
        </w:numPr>
        <w:spacing w:before="0" w:after="60"/>
        <w:rPr/>
      </w:pPr>
      <w:r>
        <w:rPr>
          <w:rFonts w:eastAsia="Segoe UI" w:cs="Segoe UI" w:ascii="Segoe UI" w:hAnsi="Segoe UI"/>
          <w:b/>
          <w:color w:val="101820"/>
          <w:sz w:val="21"/>
        </w:rPr>
        <w:t>Automated Processing</w:t>
      </w:r>
      <w:r>
        <w:rPr>
          <w:rFonts w:eastAsia="Segoe UI" w:cs="Segoe UI" w:ascii="Segoe UI" w:hAnsi="Segoe UI"/>
          <w:color w:val="101820"/>
          <w:sz w:val="21"/>
        </w:rPr>
        <w:t xml:space="preserve">: the </w:t>
      </w:r>
      <w:r>
        <w:rPr>
          <w:rFonts w:eastAsia="Segoe UI" w:cs="Segoe UI" w:ascii="Segoe UI" w:hAnsi="Segoe UI"/>
          <w:b/>
          <w:color w:val="101820"/>
          <w:sz w:val="21"/>
        </w:rPr>
        <w:t>Scheduled Remittances</w:t>
      </w:r>
      <w:r>
        <w:rPr>
          <w:rFonts w:eastAsia="Segoe UI" w:cs="Segoe UI" w:ascii="Segoe UI" w:hAnsi="Segoe UI"/>
          <w:color w:val="101820"/>
          <w:sz w:val="21"/>
        </w:rPr>
        <w:t xml:space="preserve"> list shows each insurer's remittance schedule, policies and estimated amount (Below minimum when there is nothing to remit). Tick the insurers that are ready, select </w:t>
      </w:r>
      <w:r>
        <w:rPr>
          <w:rFonts w:eastAsia="Segoe UI" w:cs="Segoe UI" w:ascii="Segoe UI" w:hAnsi="Segoe UI"/>
          <w:b/>
          <w:color w:val="101820"/>
          <w:sz w:val="21"/>
        </w:rPr>
        <w:t>Validate</w:t>
      </w:r>
      <w:r>
        <w:rPr>
          <w:rFonts w:eastAsia="Segoe UI" w:cs="Segoe UI" w:ascii="Segoe UI" w:hAnsi="Segoe UI"/>
          <w:color w:val="101820"/>
          <w:sz w:val="21"/>
        </w:rPr>
        <w:t xml:space="preserve">, then </w:t>
      </w:r>
      <w:r>
        <w:rPr>
          <w:rFonts w:eastAsia="Segoe UI" w:cs="Segoe UI" w:ascii="Segoe UI" w:hAnsi="Segoe UI"/>
          <w:b/>
          <w:color w:val="101820"/>
          <w:sz w:val="21"/>
        </w:rPr>
        <w:t>Process Selected</w:t>
      </w:r>
      <w:r>
        <w:rPr>
          <w:rFonts w:eastAsia="Segoe UI" w:cs="Segoe UI" w:ascii="Segoe UI" w:hAnsi="Segoe UI"/>
          <w:color w:val="101820"/>
          <w:sz w:val="21"/>
        </w:rPr>
        <w:t xml:space="preserve">. Draft remittances (REM-YYYY-NNNNN) are created. The due date follows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 days).</w:t>
      </w:r>
    </w:p>
    <w:p>
      <w:pPr>
        <w:pStyle w:val="Normal"/>
        <w:numPr>
          <w:ilvl w:val="0"/>
          <w:numId w:val="220"/>
        </w:numPr>
        <w:spacing w:before="0" w:after="60"/>
        <w:rPr/>
      </w:pPr>
      <w:r>
        <w:rPr>
          <w:rFonts w:eastAsia="Segoe UI" w:cs="Segoe UI" w:ascii="Segoe UI" w:hAnsi="Segoe UI"/>
          <w:b/>
          <w:color w:val="101820"/>
          <w:sz w:val="21"/>
        </w:rPr>
        <w:t>Tracking</w:t>
      </w:r>
      <w:r>
        <w:rPr>
          <w:rFonts w:eastAsia="Segoe UI" w:cs="Segoe UI" w:ascii="Segoe UI" w:hAnsi="Segoe UI"/>
          <w:color w:val="101820"/>
          <w:sz w:val="21"/>
        </w:rPr>
        <w:t xml:space="preserve">: find the remittance (filters </w:t>
      </w:r>
      <w:r>
        <w:rPr>
          <w:rFonts w:eastAsia="Segoe UI" w:cs="Segoe UI" w:ascii="Segoe UI" w:hAnsi="Segoe UI"/>
          <w:b/>
          <w:color w:val="101820"/>
          <w:sz w:val="21"/>
        </w:rPr>
        <w:t>Remittance No</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Date Range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and process it; it goes for approval.</w:t>
      </w:r>
    </w:p>
    <w:p>
      <w:pPr>
        <w:pStyle w:val="Normal"/>
        <w:numPr>
          <w:ilvl w:val="0"/>
          <w:numId w:val="221"/>
        </w:numPr>
        <w:spacing w:before="0" w:after="60"/>
        <w:rPr/>
      </w:pPr>
      <w:r>
        <w:rPr>
          <w:rFonts w:eastAsia="Segoe UI" w:cs="Segoe UI" w:ascii="Segoe UI" w:hAnsi="Segoe UI"/>
          <w:b/>
          <w:color w:val="101820"/>
          <w:sz w:val="21"/>
        </w:rPr>
        <w:t>Approval Workflow</w:t>
      </w:r>
      <w:r>
        <w:rPr>
          <w:rFonts w:eastAsia="Segoe UI" w:cs="Segoe UI" w:ascii="Segoe UI" w:hAnsi="Segoe UI"/>
          <w:color w:val="101820"/>
          <w:sz w:val="21"/>
        </w:rPr>
        <w:t>: another user approves it within his or her limit for Remittance approval in Master &gt; Generals &gt; User Management &gt; Authority Matrix. The delivered limits let an Accounting user approve up to PHP 1,000,000.00 and an Accounting Manager without limit; a larger remittance waits for the Accounting Manager. Cover during leave is given in User Management &gt; Delegations. The initiator cannot approve.</w:t>
      </w:r>
    </w:p>
    <w:p>
      <w:pPr>
        <w:pStyle w:val="Normal"/>
        <w:numPr>
          <w:ilvl w:val="0"/>
          <w:numId w:val="222"/>
        </w:numPr>
        <w:spacing w:before="0" w:after="60"/>
        <w:rPr/>
      </w:pPr>
      <w:r>
        <w:rPr>
          <w:rFonts w:eastAsia="Segoe UI" w:cs="Segoe UI" w:ascii="Segoe UI" w:hAnsi="Segoe UI"/>
          <w:b/>
          <w:color w:val="101820"/>
          <w:sz w:val="21"/>
        </w:rPr>
        <w:t>Settlement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 code</w:t>
      </w:r>
      <w:r>
        <w:rPr>
          <w:rFonts w:eastAsia="Segoe UI" w:cs="Segoe UI" w:ascii="Segoe UI" w:hAnsi="Segoe UI"/>
          <w:color w:val="101820"/>
          <w:sz w:val="21"/>
        </w:rPr>
        <w:t xml:space="preserve">, select </w:t>
      </w:r>
      <w:r>
        <w:rPr>
          <w:rFonts w:eastAsia="Segoe UI" w:cs="Segoe UI" w:ascii="Segoe UI" w:hAnsi="Segoe UI"/>
          <w:b/>
          <w:color w:val="101820"/>
          <w:sz w:val="21"/>
        </w:rPr>
        <w:t>Add policies</w:t>
      </w:r>
      <w:r>
        <w:rPr>
          <w:rFonts w:eastAsia="Segoe UI" w:cs="Segoe UI" w:ascii="Segoe UI" w:hAnsi="Segoe UI"/>
          <w:color w:val="101820"/>
          <w:sz w:val="21"/>
        </w:rPr>
        <w:t xml:space="preserve"> (or </w:t>
      </w:r>
      <w:r>
        <w:rPr>
          <w:rFonts w:eastAsia="Segoe UI" w:cs="Segoe UI" w:ascii="Segoe UI" w:hAnsi="Segoe UI"/>
          <w:b/>
          <w:color w:val="101820"/>
          <w:sz w:val="21"/>
        </w:rPr>
        <w:t>Import</w:t>
      </w:r>
      <w:r>
        <w:rPr>
          <w:rFonts w:eastAsia="Segoe UI" w:cs="Segoe UI" w:ascii="Segoe UI" w:hAnsi="Segoe UI"/>
          <w:color w:val="101820"/>
          <w:sz w:val="21"/>
        </w:rPr>
        <w:t xml:space="preserve">), then </w:t>
      </w:r>
      <w:r>
        <w:rPr>
          <w:rFonts w:eastAsia="Segoe UI" w:cs="Segoe UI" w:ascii="Segoe UI" w:hAnsi="Segoe UI"/>
          <w:b/>
          <w:color w:val="101820"/>
          <w:sz w:val="21"/>
        </w:rPr>
        <w:t>Calculate</w:t>
      </w:r>
      <w:r>
        <w:rPr>
          <w:rFonts w:eastAsia="Segoe UI" w:cs="Segoe UI" w:ascii="Segoe UI" w:hAnsi="Segoe UI"/>
          <w:color w:val="101820"/>
          <w:sz w:val="21"/>
        </w:rPr>
        <w:t xml:space="preserve">: premium - commission - tax ± adjustments = </w:t>
      </w:r>
      <w:r>
        <w:rPr>
          <w:rFonts w:eastAsia="Segoe UI" w:cs="Segoe UI" w:ascii="Segoe UI" w:hAnsi="Segoe UI"/>
          <w:b/>
          <w:color w:val="101820"/>
          <w:sz w:val="21"/>
        </w:rPr>
        <w:t>NET SETTLEMENT</w:t>
      </w:r>
      <w:r>
        <w:rPr>
          <w:rFonts w:eastAsia="Segoe UI" w:cs="Segoe UI" w:ascii="Segoe UI" w:hAnsi="Segoe UI"/>
          <w:color w:val="101820"/>
          <w:sz w:val="21"/>
        </w:rPr>
        <w:t xml:space="preserve">.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(or </w:t>
      </w:r>
      <w:r>
        <w:rPr>
          <w:rFonts w:eastAsia="Segoe UI" w:cs="Segoe UI" w:ascii="Segoe UI" w:hAnsi="Segoe UI"/>
          <w:b/>
          <w:color w:val="101820"/>
          <w:sz w:val="21"/>
        </w:rPr>
        <w:t>Save draft</w:t>
      </w:r>
      <w:r>
        <w:rPr>
          <w:rFonts w:eastAsia="Segoe UI" w:cs="Segoe UI" w:ascii="Segoe UI" w:hAnsi="Segoe UI"/>
          <w:color w:val="101820"/>
          <w:sz w:val="21"/>
        </w:rPr>
        <w:t>).</w:t>
      </w:r>
    </w:p>
    <w:p>
      <w:pPr>
        <w:pStyle w:val="Normal"/>
        <w:numPr>
          <w:ilvl w:val="0"/>
          <w:numId w:val="223"/>
        </w:numPr>
        <w:spacing w:before="0" w:after="60"/>
        <w:rPr/>
      </w:pPr>
      <w:r>
        <w:rPr>
          <w:rFonts w:eastAsia="Segoe UI" w:cs="Segoe UI" w:ascii="Segoe UI" w:hAnsi="Segoe UI"/>
          <w:color w:val="101820"/>
          <w:sz w:val="21"/>
        </w:rPr>
        <w:t>The checker approves the settlement (SET-). The system raises the insurer payment voucher in Disbursement for the net amount.</w:t>
      </w:r>
    </w:p>
    <w:p>
      <w:pPr>
        <w:pStyle w:val="Normal"/>
        <w:numPr>
          <w:ilvl w:val="0"/>
          <w:numId w:val="224"/>
        </w:numPr>
        <w:spacing w:before="0" w:after="60"/>
        <w:rPr/>
      </w:pPr>
      <w:r>
        <w:rPr>
          <w:rFonts w:eastAsia="Segoe UI" w:cs="Segoe UI" w:ascii="Segoe UI" w:hAnsi="Segoe UI"/>
          <w:color w:val="101820"/>
          <w:sz w:val="21"/>
        </w:rPr>
        <w:t xml:space="preserve">Approve and pay the voucher in Disbursement. The voucher becomes Paid and the remittance </w:t>
      </w:r>
      <w:r>
        <w:rPr>
          <w:rFonts w:eastAsia="Segoe UI" w:cs="Segoe UI" w:ascii="Segoe UI" w:hAnsi="Segoe UI"/>
          <w:b/>
          <w:color w:val="101820"/>
          <w:sz w:val="21"/>
        </w:rPr>
        <w:t>Completed</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102" name="Picture 21212882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2121288282" descr=""/>
                    <pic:cNvPicPr>
                      <a:picLocks noChangeAspect="1" noChangeArrowheads="1"/>
                    </pic:cNvPicPr>
                  </pic:nvPicPr>
                  <pic:blipFill>
                    <a:blip r:embed="rId9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Tracking</w:t>
      </w:r>
    </w:p>
    <w:p>
      <w:pPr>
        <w:pStyle w:val="Normal"/>
        <w:jc w:val="center"/>
        <w:rPr/>
      </w:pPr>
      <w:r>
        <w:rPr/>
        <w:drawing>
          <wp:inline distT="0" distB="0" distL="0" distR="0">
            <wp:extent cx="5760085" cy="4469130"/>
            <wp:effectExtent l="0" t="0" r="0" b="0"/>
            <wp:docPr id="103" name="Picture 21212882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2121288283" descr=""/>
                    <pic:cNvPicPr>
                      <a:picLocks noChangeAspect="1" noChangeArrowheads="1"/>
                    </pic:cNvPicPr>
                  </pic:nvPicPr>
                  <pic:blipFill>
                    <a:blip r:embed="rId9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Settlement</w:t>
      </w:r>
    </w:p>
    <w:p>
      <w:pPr>
        <w:pStyle w:val="Normal"/>
        <w:spacing w:lineRule="auto" w:line="276" w:before="0" w:after="120"/>
        <w:rPr/>
      </w:pPr>
      <w:r>
        <w:rPr>
          <w:rFonts w:eastAsia="Segoe UI" w:cs="Segoe UI" w:ascii="Segoe UI" w:hAnsi="Segoe UI"/>
          <w:color w:val="101820"/>
          <w:sz w:val="21"/>
        </w:rPr>
        <w:t>For a co-insured policy each insurer is remitted its own share. A refund due from an insurer (return premium on premium already remitted) is netted against its next remittance. The other remittance screens (Statements, Reconciliation, Bulk Processing, Scheduling, Electronic Transfer, Exception Management, Agency Bill Processing, Adjustments, Notifications, History, Analytics) are described in the Module reference.</w:t>
      </w:r>
    </w:p>
    <w:p>
      <w:pPr>
        <w:pStyle w:val="Heading2"/>
        <w:rPr/>
      </w:pPr>
      <w:bookmarkStart w:id="102" w:name="__RefHeading___Toc107459_4049217194"/>
      <w:bookmarkEnd w:id="102"/>
      <w:r>
        <w:rPr>
          <w:rFonts w:eastAsia="Segoe UI" w:cs="Segoe UI"/>
          <w:b/>
          <w:color w:val="0F4761"/>
          <w:sz w:val="26"/>
        </w:rPr>
        <w:t>11.9  Direct bill: commission debit notes</w:t>
      </w:r>
    </w:p>
    <w:p>
      <w:pPr>
        <w:pStyle w:val="Normal"/>
        <w:spacing w:lineRule="auto" w:line="276" w:before="0" w:after="120"/>
        <w:rPr/>
      </w:pPr>
      <w:r>
        <w:rPr>
          <w:rFonts w:eastAsia="Segoe UI" w:cs="Segoe UI" w:ascii="Segoe UI" w:hAnsi="Segoe UI"/>
          <w:color w:val="101820"/>
          <w:sz w:val="21"/>
        </w:rPr>
        <w:t>In direct bill the client pays the premium to the insurer. The broker bills its commission plus 12% VAT to the insurer with a commission debit note and collects it net of the insurer's 10% expanded withholding tax (</w:t>
      </w:r>
      <w:r>
        <w:rPr>
          <w:rFonts w:eastAsia="Consolas" w:cs="Consolas" w:ascii="Consolas" w:hAnsi="Consolas"/>
          <w:color w:val="101820"/>
          <w:sz w:val="19"/>
        </w:rPr>
        <w:t>direct_bill.insurer_ewt_rate</w:t>
      </w:r>
      <w:r>
        <w:rPr>
          <w:rFonts w:eastAsia="Segoe UI" w:cs="Segoe UI" w:ascii="Segoe UI" w:hAnsi="Segoe UI"/>
          <w:color w:val="101820"/>
          <w:sz w:val="21"/>
        </w:rPr>
        <w:t>), certified on BIR Form 2307.</w:t>
      </w:r>
    </w:p>
    <w:p>
      <w:pPr>
        <w:pStyle w:val="Normal"/>
        <w:jc w:val="center"/>
        <w:rPr/>
      </w:pPr>
      <w:r>
        <w:rPr/>
        <w:drawing>
          <wp:inline distT="0" distB="0" distL="0" distR="0">
            <wp:extent cx="5760085" cy="3768725"/>
            <wp:effectExtent l="0" t="0" r="0" b="0"/>
            <wp:docPr id="104" name="Picture 21212882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2121288284" descr=""/>
                    <pic:cNvPicPr>
                      <a:picLocks noChangeAspect="1" noChangeArrowheads="1"/>
                    </pic:cNvPicPr>
                  </pic:nvPicPr>
                  <pic:blipFill>
                    <a:blip r:embed="rId100"/>
                    <a:stretch>
                      <a:fillRect/>
                    </a:stretch>
                  </pic:blipFill>
                  <pic:spPr bwMode="auto">
                    <a:xfrm>
                      <a:off x="0" y="0"/>
                      <a:ext cx="5760085" cy="376872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Direct Bill Processing</w:t>
      </w:r>
    </w:p>
    <w:p>
      <w:pPr>
        <w:pStyle w:val="Normal"/>
        <w:spacing w:lineRule="auto" w:line="276" w:before="0" w:after="120"/>
        <w:rPr/>
      </w:pPr>
      <w:r>
        <w:rPr>
          <w:rFonts w:eastAsia="Segoe UI" w:cs="Segoe UI" w:ascii="Segoe UI" w:hAnsi="Segoe UI"/>
          <w:color w:val="101820"/>
          <w:sz w:val="21"/>
        </w:rPr>
        <w:t xml:space="preserve">The cards show </w:t>
      </w:r>
      <w:r>
        <w:rPr>
          <w:rFonts w:eastAsia="Segoe UI" w:cs="Segoe UI" w:ascii="Segoe UI" w:hAnsi="Segoe UI"/>
          <w:b/>
          <w:color w:val="101820"/>
          <w:sz w:val="21"/>
        </w:rPr>
        <w:t>Unbilled commission</w:t>
      </w:r>
      <w:r>
        <w:rPr>
          <w:rFonts w:eastAsia="Segoe UI" w:cs="Segoe UI" w:ascii="Segoe UI" w:hAnsi="Segoe UI"/>
          <w:color w:val="101820"/>
          <w:sz w:val="21"/>
        </w:rPr>
        <w:t xml:space="preserve">, </w:t>
      </w:r>
      <w:r>
        <w:rPr>
          <w:rFonts w:eastAsia="Segoe UI" w:cs="Segoe UI" w:ascii="Segoe UI" w:hAnsi="Segoe UI"/>
          <w:b/>
          <w:color w:val="101820"/>
          <w:sz w:val="21"/>
        </w:rPr>
        <w:t>Billed, outstanding</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and </w:t>
      </w:r>
      <w:r>
        <w:rPr>
          <w:rFonts w:eastAsia="Segoe UI" w:cs="Segoe UI" w:ascii="Segoe UI" w:hAnsi="Segoe UI"/>
          <w:b/>
          <w:color w:val="101820"/>
          <w:sz w:val="21"/>
        </w:rPr>
        <w:t>Receivable from insurers</w:t>
      </w:r>
      <w:r>
        <w:rPr>
          <w:rFonts w:eastAsia="Segoe UI" w:cs="Segoe UI" w:ascii="Segoe UI" w:hAnsi="Segoe UI"/>
          <w:color w:val="101820"/>
          <w:sz w:val="21"/>
        </w:rPr>
        <w:t>. To raise a debit note (maker):</w:t>
      </w:r>
    </w:p>
    <w:p>
      <w:pPr>
        <w:pStyle w:val="Normal"/>
        <w:numPr>
          <w:ilvl w:val="0"/>
          <w:numId w:val="225"/>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1. Raise Debit Note</w:t>
      </w:r>
      <w:r>
        <w:rPr>
          <w:rFonts w:eastAsia="Segoe UI" w:cs="Segoe UI" w:ascii="Segoe UI" w:hAnsi="Segoe UI"/>
          <w:color w:val="101820"/>
          <w:sz w:val="21"/>
        </w:rPr>
        <w:t>.</w:t>
      </w:r>
    </w:p>
    <w:p>
      <w:pPr>
        <w:pStyle w:val="Normal"/>
        <w:numPr>
          <w:ilvl w:val="0"/>
          <w:numId w:val="22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Issued from</w:t>
      </w:r>
      <w:r>
        <w:rPr>
          <w:rFonts w:eastAsia="Segoe UI" w:cs="Segoe UI" w:ascii="Segoe UI" w:hAnsi="Segoe UI"/>
          <w:color w:val="101820"/>
          <w:sz w:val="21"/>
        </w:rPr>
        <w:t xml:space="preserve"> and </w:t>
      </w:r>
      <w:r>
        <w:rPr>
          <w:rFonts w:eastAsia="Segoe UI" w:cs="Segoe UI" w:ascii="Segoe UI" w:hAnsi="Segoe UI"/>
          <w:b/>
          <w:color w:val="101820"/>
          <w:sz w:val="21"/>
        </w:rPr>
        <w:t>Issued to</w:t>
      </w:r>
      <w:r>
        <w:rPr>
          <w:rFonts w:eastAsia="Segoe UI" w:cs="Segoe UI" w:ascii="Segoe UI" w:hAnsi="Segoe UI"/>
          <w:color w:val="101820"/>
          <w:sz w:val="21"/>
        </w:rPr>
        <w:t xml:space="preserve"> and, if needed, the </w:t>
      </w:r>
      <w:r>
        <w:rPr>
          <w:rFonts w:eastAsia="Segoe UI" w:cs="Segoe UI" w:ascii="Segoe UI" w:hAnsi="Segoe UI"/>
          <w:b/>
          <w:color w:val="101820"/>
          <w:sz w:val="21"/>
        </w:rPr>
        <w:t>Line of business</w:t>
      </w:r>
      <w:r>
        <w:rPr>
          <w:rFonts w:eastAsia="Segoe UI" w:cs="Segoe UI" w:ascii="Segoe UI" w:hAnsi="Segoe UI"/>
          <w:color w:val="101820"/>
          <w:sz w:val="21"/>
        </w:rPr>
        <w:t xml:space="preserve">. Select </w:t>
      </w:r>
      <w:r>
        <w:rPr>
          <w:rFonts w:eastAsia="Segoe UI" w:cs="Segoe UI" w:ascii="Segoe UI" w:hAnsi="Segoe UI"/>
          <w:b/>
          <w:color w:val="101820"/>
          <w:sz w:val="21"/>
        </w:rPr>
        <w:t>Load policies</w:t>
      </w:r>
      <w:r>
        <w:rPr>
          <w:rFonts w:eastAsia="Segoe UI" w:cs="Segoe UI" w:ascii="Segoe UI" w:hAnsi="Segoe UI"/>
          <w:color w:val="101820"/>
          <w:sz w:val="21"/>
        </w:rPr>
        <w:t>.</w:t>
      </w:r>
    </w:p>
    <w:p>
      <w:pPr>
        <w:pStyle w:val="Normal"/>
        <w:numPr>
          <w:ilvl w:val="0"/>
          <w:numId w:val="227"/>
        </w:numPr>
        <w:spacing w:before="0" w:after="60"/>
        <w:rPr/>
      </w:pPr>
      <w:r>
        <w:rPr>
          <w:rFonts w:eastAsia="Segoe UI" w:cs="Segoe UI" w:ascii="Segoe UI" w:hAnsi="Segoe UI"/>
          <w:color w:val="101820"/>
          <w:sz w:val="21"/>
        </w:rPr>
        <w:t xml:space="preserve">Tick the policies to bill and check the totals: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VAT</w:t>
      </w:r>
      <w:r>
        <w:rPr>
          <w:rFonts w:eastAsia="Segoe UI" w:cs="Segoe UI" w:ascii="Segoe UI" w:hAnsi="Segoe UI"/>
          <w:color w:val="101820"/>
          <w:sz w:val="21"/>
        </w:rPr>
        <w:t xml:space="preserve"> (12%), </w:t>
      </w:r>
      <w:r>
        <w:rPr>
          <w:rFonts w:eastAsia="Segoe UI" w:cs="Segoe UI" w:ascii="Segoe UI" w:hAnsi="Segoe UI"/>
          <w:b/>
          <w:color w:val="101820"/>
          <w:sz w:val="21"/>
        </w:rPr>
        <w:t>Total Due</w:t>
      </w:r>
      <w:r>
        <w:rPr>
          <w:rFonts w:eastAsia="Segoe UI" w:cs="Segoe UI" w:ascii="Segoe UI" w:hAnsi="Segoe UI"/>
          <w:color w:val="101820"/>
          <w:sz w:val="21"/>
        </w:rPr>
        <w:t xml:space="preserve">, </w:t>
      </w:r>
      <w:r>
        <w:rPr>
          <w:rFonts w:eastAsia="Segoe UI" w:cs="Segoe UI" w:ascii="Segoe UI" w:hAnsi="Segoe UI"/>
          <w:b/>
          <w:color w:val="101820"/>
          <w:sz w:val="21"/>
        </w:rPr>
        <w:t>EWT</w:t>
      </w:r>
      <w:r>
        <w:rPr>
          <w:rFonts w:eastAsia="Segoe UI" w:cs="Segoe UI" w:ascii="Segoe UI" w:hAnsi="Segoe UI"/>
          <w:color w:val="101820"/>
          <w:sz w:val="21"/>
        </w:rPr>
        <w:t xml:space="preserve"> (10% of the commission) and the net cash expected. </w:t>
      </w:r>
      <w:r>
        <w:rPr>
          <w:rFonts w:eastAsia="Segoe UI" w:cs="Segoe UI" w:ascii="Segoe UI" w:hAnsi="Segoe UI"/>
          <w:b/>
          <w:color w:val="101820"/>
          <w:sz w:val="21"/>
        </w:rPr>
        <w:t>Client paid insurer</w:t>
      </w:r>
      <w:r>
        <w:rPr>
          <w:rFonts w:eastAsia="Segoe UI" w:cs="Segoe UI" w:ascii="Segoe UI" w:hAnsi="Segoe UI"/>
          <w:color w:val="101820"/>
          <w:sz w:val="21"/>
        </w:rPr>
        <w:t xml:space="preserve"> shows whether the client's payment to the insurer is recorded.</w:t>
      </w:r>
    </w:p>
    <w:p>
      <w:pPr>
        <w:pStyle w:val="Normal"/>
        <w:numPr>
          <w:ilvl w:val="0"/>
          <w:numId w:val="228"/>
        </w:numPr>
        <w:spacing w:before="0" w:after="60"/>
        <w:rPr/>
      </w:pPr>
      <w:r>
        <w:rPr>
          <w:rFonts w:eastAsia="Segoe UI" w:cs="Segoe UI" w:ascii="Segoe UI" w:hAnsi="Segoe UI"/>
          <w:color w:val="101820"/>
          <w:sz w:val="21"/>
        </w:rPr>
        <w:t>Check the debit note date; the due date is 30 days later (</w:t>
      </w:r>
      <w:r>
        <w:rPr>
          <w:rFonts w:eastAsia="Consolas" w:cs="Consolas" w:ascii="Consolas" w:hAnsi="Consolas"/>
          <w:color w:val="101820"/>
          <w:sz w:val="19"/>
        </w:rPr>
        <w:t>direct_bill.debit_note_due_days</w:t>
      </w:r>
      <w:r>
        <w:rPr>
          <w:rFonts w:eastAsia="Segoe UI" w:cs="Segoe UI" w:ascii="Segoe UI" w:hAnsi="Segoe UI"/>
          <w:color w:val="101820"/>
          <w:sz w:val="21"/>
        </w:rPr>
        <w:t>).</w:t>
      </w:r>
    </w:p>
    <w:p>
      <w:pPr>
        <w:pStyle w:val="Normal"/>
        <w:numPr>
          <w:ilvl w:val="0"/>
          <w:numId w:val="229"/>
        </w:numPr>
        <w:spacing w:before="0" w:after="60"/>
        <w:rPr/>
      </w:pPr>
      <w:r>
        <w:rPr>
          <w:rFonts w:eastAsia="Segoe UI" w:cs="Segoe UI" w:ascii="Segoe UI" w:hAnsi="Segoe UI"/>
          <w:color w:val="101820"/>
          <w:sz w:val="21"/>
        </w:rPr>
        <w:t>Raise the debit note and submit it for approval, or save it as a draft.</w:t>
      </w:r>
    </w:p>
    <w:p>
      <w:pPr>
        <w:pStyle w:val="Normal"/>
        <w:spacing w:lineRule="auto" w:line="276" w:before="0" w:after="120"/>
        <w:rPr/>
      </w:pPr>
      <w:r>
        <w:rPr>
          <w:rFonts w:eastAsia="Segoe UI" w:cs="Segoe UI" w:ascii="Segoe UI" w:hAnsi="Segoe UI"/>
          <w:color w:val="101820"/>
          <w:sz w:val="21"/>
        </w:rPr>
        <w:t xml:space="preserve">A second Accounting user approves it on the tab </w:t>
      </w:r>
      <w:r>
        <w:rPr>
          <w:rFonts w:eastAsia="Segoe UI" w:cs="Segoe UI" w:ascii="Segoe UI" w:hAnsi="Segoe UI"/>
          <w:b/>
          <w:color w:val="101820"/>
          <w:sz w:val="21"/>
        </w:rPr>
        <w:t>2. Debit Notes</w:t>
      </w:r>
      <w:r>
        <w:rPr>
          <w:rFonts w:eastAsia="Segoe UI" w:cs="Segoe UI" w:ascii="Segoe UI" w:hAnsi="Segoe UI"/>
          <w:color w:val="101820"/>
          <w:sz w:val="21"/>
        </w:rPr>
        <w:t>, which lists each debit note (DN-YYYY-NNNNN) with date, insurer, policies, commission, VAT, total due, collected, balance, due date and status (Draft, Pending Approval, Open, Partially Collected, Collected). The approved debit note is printed on the company letterhead and e-mailed to the insurer. When the insurer pays, open the debit note, enter the cash received, the tax withheld (EWT), the payment mode and the reference, and post the collection. Partial payments are allowed. The collection posts Dr Cash in Bank and Creditable Withholding Tax (BIR Form 2307) / Cr Commission Receivable.</w:t>
      </w:r>
    </w:p>
    <w:p>
      <w:pPr>
        <w:pStyle w:val="Normal"/>
        <w:jc w:val="center"/>
        <w:rPr/>
      </w:pPr>
      <w:r>
        <w:rPr/>
        <w:drawing>
          <wp:inline distT="0" distB="0" distL="0" distR="0">
            <wp:extent cx="5760085" cy="4469130"/>
            <wp:effectExtent l="0" t="0" r="0" b="0"/>
            <wp:docPr id="105" name="Picture 21212882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121288285" descr=""/>
                    <pic:cNvPicPr>
                      <a:picLocks noChangeAspect="1" noChangeArrowheads="1"/>
                    </pic:cNvPicPr>
                  </pic:nvPicPr>
                  <pic:blipFill>
                    <a:blip r:embed="rId10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Bill Processing: Debit Notes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3. Billing Mode</w:t>
      </w:r>
      <w:r>
        <w:rPr>
          <w:rFonts w:eastAsia="Segoe UI" w:cs="Segoe UI" w:ascii="Segoe UI" w:hAnsi="Segoe UI"/>
          <w:color w:val="101820"/>
          <w:sz w:val="21"/>
        </w:rPr>
        <w:t xml:space="preserve"> changes an issued policy between </w:t>
      </w:r>
      <w:r>
        <w:rPr>
          <w:rFonts w:eastAsia="Segoe UI" w:cs="Segoe UI" w:ascii="Segoe UI" w:hAnsi="Segoe UI"/>
          <w:b/>
          <w:color w:val="101820"/>
          <w:sz w:val="21"/>
        </w:rPr>
        <w:t>Direct bill</w:t>
      </w:r>
      <w:r>
        <w:rPr>
          <w:rFonts w:eastAsia="Segoe UI" w:cs="Segoe UI" w:ascii="Segoe UI" w:hAnsi="Segoe UI"/>
          <w:color w:val="101820"/>
          <w:sz w:val="21"/>
        </w:rPr>
        <w:t xml:space="preserve"> and </w:t>
      </w:r>
      <w:r>
        <w:rPr>
          <w:rFonts w:eastAsia="Segoe UI" w:cs="Segoe UI" w:ascii="Segoe UI" w:hAnsi="Segoe UI"/>
          <w:b/>
          <w:color w:val="101820"/>
          <w:sz w:val="21"/>
        </w:rPr>
        <w:t>Broker billed</w:t>
      </w:r>
      <w:r>
        <w:rPr>
          <w:rFonts w:eastAsia="Segoe UI" w:cs="Segoe UI" w:ascii="Segoe UI" w:hAnsi="Segoe UI"/>
          <w:color w:val="101820"/>
          <w:sz w:val="21"/>
        </w:rPr>
        <w:t xml:space="preserve">: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w:t>
      </w:r>
      <w:r>
        <w:rPr>
          <w:rFonts w:eastAsia="Segoe UI" w:cs="Segoe UI" w:ascii="Segoe UI" w:hAnsi="Segoe UI"/>
          <w:b/>
          <w:color w:val="101820"/>
          <w:sz w:val="21"/>
        </w:rPr>
        <w:t>Billing mode</w:t>
      </w:r>
      <w:r>
        <w:rPr>
          <w:rFonts w:eastAsia="Segoe UI" w:cs="Segoe UI" w:ascii="Segoe UI" w:hAnsi="Segoe UI"/>
          <w:color w:val="101820"/>
          <w:sz w:val="21"/>
        </w:rPr>
        <w:t xml:space="preserve">, give the </w:t>
      </w:r>
      <w:r>
        <w:rPr>
          <w:rFonts w:eastAsia="Segoe UI" w:cs="Segoe UI" w:ascii="Segoe UI" w:hAnsi="Segoe UI"/>
          <w:b/>
          <w:color w:val="101820"/>
          <w:sz w:val="21"/>
        </w:rPr>
        <w:t>Reason</w:t>
      </w:r>
      <w:r>
        <w:rPr>
          <w:rFonts w:eastAsia="Segoe UI" w:cs="Segoe UI" w:ascii="Segoe UI" w:hAnsi="Segoe UI"/>
          <w:color w:val="101820"/>
          <w:sz w:val="21"/>
        </w:rPr>
        <w:t xml:space="preserve"> and select </w:t>
      </w:r>
      <w:r>
        <w:rPr>
          <w:rFonts w:eastAsia="Segoe UI" w:cs="Segoe UI" w:ascii="Segoe UI" w:hAnsi="Segoe UI"/>
          <w:b/>
          <w:color w:val="101820"/>
          <w:sz w:val="21"/>
        </w:rPr>
        <w:t>Change billing mode</w:t>
      </w:r>
      <w:r>
        <w:rPr>
          <w:rFonts w:eastAsia="Segoe UI" w:cs="Segoe UI" w:ascii="Segoe UI" w:hAnsi="Segoe UI"/>
          <w:color w:val="101820"/>
          <w:sz w:val="21"/>
        </w:rPr>
        <w:t>. Direct bill cancels the premium bill and books the commission due from the insurer. The change is refused once premium was collected or remitted, or once the commission is on a debit note.</w:t>
      </w:r>
    </w:p>
    <w:p>
      <w:pPr>
        <w:pStyle w:val="Heading2"/>
        <w:rPr/>
      </w:pPr>
      <w:bookmarkStart w:id="103" w:name="__RefHeading___Toc107461_4049217194"/>
      <w:bookmarkEnd w:id="103"/>
      <w:r>
        <w:rPr>
          <w:rFonts w:eastAsia="Segoe UI" w:cs="Segoe UI"/>
          <w:b/>
          <w:color w:val="0F4761"/>
          <w:sz w:val="26"/>
        </w:rPr>
        <w:t>11.10  Commission to agents and referrers</w:t>
      </w:r>
    </w:p>
    <w:p>
      <w:pPr>
        <w:pStyle w:val="Normal"/>
        <w:jc w:val="center"/>
        <w:rPr/>
      </w:pPr>
      <w:r>
        <w:rPr/>
        <w:drawing>
          <wp:inline distT="0" distB="0" distL="0" distR="0">
            <wp:extent cx="5760085" cy="2209800"/>
            <wp:effectExtent l="0" t="0" r="0" b="0"/>
            <wp:docPr id="106" name="Picture 21212882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121288286" descr=""/>
                    <pic:cNvPicPr>
                      <a:picLocks noChangeAspect="1" noChangeArrowheads="1"/>
                    </pic:cNvPicPr>
                  </pic:nvPicPr>
                  <pic:blipFill>
                    <a:blip r:embed="rId102"/>
                    <a:stretch>
                      <a:fillRect/>
                    </a:stretch>
                  </pic:blipFill>
                  <pic:spPr bwMode="auto">
                    <a:xfrm>
                      <a:off x="0" y="0"/>
                      <a:ext cx="5760085" cy="220980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Agents/Referrer Accounts</w:t>
      </w:r>
    </w:p>
    <w:p>
      <w:pPr>
        <w:pStyle w:val="Normal"/>
        <w:spacing w:lineRule="auto" w:line="276" w:before="0" w:after="120"/>
        <w:rPr/>
      </w:pPr>
      <w:r>
        <w:rPr>
          <w:rFonts w:eastAsia="Segoe UI" w:cs="Segoe UI" w:ascii="Segoe UI" w:hAnsi="Segoe UI"/>
          <w:color w:val="101820"/>
          <w:sz w:val="21"/>
        </w:rPr>
        <w:t xml:space="preserve">The list shows every referrer with </w:t>
      </w:r>
      <w:r>
        <w:rPr>
          <w:rFonts w:eastAsia="Segoe UI" w:cs="Segoe UI" w:ascii="Segoe UI" w:hAnsi="Segoe UI"/>
          <w:b/>
          <w:color w:val="101820"/>
          <w:sz w:val="21"/>
        </w:rPr>
        <w:t>TYPE</w:t>
      </w:r>
      <w:r>
        <w:rPr>
          <w:rFonts w:eastAsia="Segoe UI" w:cs="Segoe UI" w:ascii="Segoe UI" w:hAnsi="Segoe UI"/>
          <w:color w:val="101820"/>
          <w:sz w:val="21"/>
        </w:rPr>
        <w:t xml:space="preserve"> (Agent, Sub-agent, External), </w:t>
      </w:r>
      <w:r>
        <w:rPr>
          <w:rFonts w:eastAsia="Segoe UI" w:cs="Segoe UI" w:ascii="Segoe UI" w:hAnsi="Segoe UI"/>
          <w:b/>
          <w:color w:val="101820"/>
          <w:sz w:val="21"/>
        </w:rPr>
        <w:t>LEVEL</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w:t>
      </w:r>
      <w:r>
        <w:rPr>
          <w:rFonts w:eastAsia="Segoe UI" w:cs="Segoe UI" w:ascii="Segoe UI" w:hAnsi="Segoe UI"/>
          <w:b/>
          <w:color w:val="101820"/>
          <w:sz w:val="21"/>
        </w:rPr>
        <w:t>NET PAYABLE (OPEN)</w:t>
      </w:r>
      <w:r>
        <w:rPr>
          <w:rFonts w:eastAsia="Segoe UI" w:cs="Segoe UI" w:ascii="Segoe UI" w:hAnsi="Segoe UI"/>
          <w:color w:val="101820"/>
          <w:sz w:val="21"/>
        </w:rPr>
        <w:t xml:space="preserve">, </w:t>
      </w:r>
      <w:r>
        <w:rPr>
          <w:rFonts w:eastAsia="Segoe UI" w:cs="Segoe UI" w:ascii="Segoe UI" w:hAnsi="Segoe UI"/>
          <w:b/>
          <w:color w:val="101820"/>
          <w:sz w:val="21"/>
        </w:rPr>
        <w:t>WHT TYPE</w:t>
      </w:r>
      <w:r>
        <w:rPr>
          <w:rFonts w:eastAsia="Segoe UI" w:cs="Segoe UI" w:ascii="Segoe UI" w:hAnsi="Segoe UI"/>
          <w:color w:val="101820"/>
          <w:sz w:val="21"/>
        </w:rPr>
        <w:t xml:space="preserve"> (Individual 5% or Company 10%),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header shows </w:t>
      </w:r>
      <w:r>
        <w:rPr>
          <w:rFonts w:eastAsia="Segoe UI" w:cs="Segoe UI" w:ascii="Segoe UI" w:hAnsi="Segoe UI"/>
          <w:b/>
          <w:color w:val="101820"/>
          <w:sz w:val="21"/>
        </w:rPr>
        <w:t>Due this cycle</w:t>
      </w:r>
      <w:r>
        <w:rPr>
          <w:rFonts w:eastAsia="Segoe UI" w:cs="Segoe UI" w:ascii="Segoe UI" w:hAnsi="Segoe UI"/>
          <w:color w:val="101820"/>
          <w:sz w:val="21"/>
        </w:rPr>
        <w:t xml:space="preserve"> and </w:t>
      </w:r>
      <w:r>
        <w:rPr>
          <w:rFonts w:eastAsia="Segoe UI" w:cs="Segoe UI" w:ascii="Segoe UI" w:hAnsi="Segoe UI"/>
          <w:b/>
          <w:color w:val="101820"/>
          <w:sz w:val="21"/>
        </w:rPr>
        <w:t>Ready to pay</w:t>
      </w:r>
      <w:r>
        <w:rPr>
          <w:rFonts w:eastAsia="Segoe UI" w:cs="Segoe UI" w:ascii="Segoe UI" w:hAnsi="Segoe UI"/>
          <w:color w:val="101820"/>
          <w:sz w:val="21"/>
        </w:rPr>
        <w:t>.</w:t>
      </w:r>
    </w:p>
    <w:p>
      <w:pPr>
        <w:pStyle w:val="Normal"/>
        <w:numPr>
          <w:ilvl w:val="0"/>
          <w:numId w:val="230"/>
        </w:numPr>
        <w:spacing w:before="0" w:after="60"/>
        <w:rPr/>
      </w:pPr>
      <w:r>
        <w:rPr>
          <w:rFonts w:eastAsia="Segoe UI" w:cs="Segoe UI" w:ascii="Segoe UI" w:hAnsi="Segoe UI"/>
          <w:color w:val="101820"/>
          <w:sz w:val="21"/>
        </w:rPr>
        <w:t xml:space="preserve">Select the referrer. The account shows the policies split by payment cycle: </w:t>
      </w:r>
      <w:r>
        <w:rPr>
          <w:rFonts w:eastAsia="Segoe UI" w:cs="Segoe UI" w:ascii="Segoe UI" w:hAnsi="Segoe UI"/>
          <w:b/>
          <w:color w:val="101820"/>
          <w:sz w:val="21"/>
        </w:rPr>
        <w:t>CURRENT CYCLE</w:t>
      </w:r>
      <w:r>
        <w:rPr>
          <w:rFonts w:eastAsia="Segoe UI" w:cs="Segoe UI" w:ascii="Segoe UI" w:hAnsi="Segoe UI"/>
          <w:color w:val="101820"/>
          <w:sz w:val="21"/>
        </w:rPr>
        <w:t xml:space="preserve">, </w:t>
      </w:r>
      <w:r>
        <w:rPr>
          <w:rFonts w:eastAsia="Segoe UI" w:cs="Segoe UI" w:ascii="Segoe UI" w:hAnsi="Segoe UI"/>
          <w:b/>
          <w:color w:val="101820"/>
          <w:sz w:val="21"/>
        </w:rPr>
        <w:t>FUTURE CYCLES (ACCRUED, NOT YET PAYABLE)</w:t>
      </w:r>
      <w:r>
        <w:rPr>
          <w:rFonts w:eastAsia="Segoe UI" w:cs="Segoe UI" w:ascii="Segoe UI" w:hAnsi="Segoe UI"/>
          <w:color w:val="101820"/>
          <w:sz w:val="21"/>
        </w:rPr>
        <w:t xml:space="preserve"> and </w:t>
      </w:r>
      <w:r>
        <w:rPr>
          <w:rFonts w:eastAsia="Segoe UI" w:cs="Segoe UI" w:ascii="Segoe UI" w:hAnsi="Segoe UI"/>
          <w:b/>
          <w:color w:val="101820"/>
          <w:sz w:val="21"/>
        </w:rPr>
        <w:t>PAST (PAID HISTORY)</w:t>
      </w:r>
      <w:r>
        <w:rPr>
          <w:rFonts w:eastAsia="Segoe UI" w:cs="Segoe UI" w:ascii="Segoe UI" w:hAnsi="Segoe UI"/>
          <w:color w:val="101820"/>
          <w:sz w:val="21"/>
        </w:rPr>
        <w:t>, each line with product, insurer, cycle, comsub, WHT, net and status.</w:t>
      </w:r>
    </w:p>
    <w:p>
      <w:pPr>
        <w:pStyle w:val="Normal"/>
        <w:numPr>
          <w:ilvl w:val="0"/>
          <w:numId w:val="23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Apply WHT</w:t>
      </w:r>
      <w:r>
        <w:rPr>
          <w:rFonts w:eastAsia="Segoe UI" w:cs="Segoe UI" w:ascii="Segoe UI" w:hAnsi="Segoe UI"/>
          <w:color w:val="101820"/>
          <w:sz w:val="21"/>
        </w:rPr>
        <w:t xml:space="preserve"> (deducted when withholding tax applies to the referrer; </w:t>
      </w:r>
      <w:r>
        <w:rPr>
          <w:rFonts w:eastAsia="Consolas" w:cs="Consolas" w:ascii="Consolas" w:hAnsi="Consolas"/>
          <w:color w:val="101820"/>
          <w:sz w:val="19"/>
        </w:rPr>
        <w:t>commission.wht_rate_by_type</w:t>
      </w:r>
      <w:r>
        <w:rPr>
          <w:rFonts w:eastAsia="Segoe UI" w:cs="Segoe UI" w:ascii="Segoe UI" w:hAnsi="Segoe UI"/>
          <w:color w:val="101820"/>
          <w:sz w:val="21"/>
        </w:rPr>
        <w:t>: Agent and Sub-agent 5%, External 10%).</w:t>
      </w:r>
    </w:p>
    <w:p>
      <w:pPr>
        <w:pStyle w:val="Normal"/>
        <w:numPr>
          <w:ilvl w:val="0"/>
          <w:numId w:val="232"/>
        </w:numPr>
        <w:spacing w:before="0" w:after="60"/>
        <w:rPr/>
      </w:pPr>
      <w:r>
        <w:rPr>
          <w:rFonts w:eastAsia="Segoe UI" w:cs="Segoe UI" w:ascii="Segoe UI" w:hAnsi="Segoe UI"/>
          <w:color w:val="101820"/>
          <w:sz w:val="21"/>
        </w:rPr>
        <w:t>Mark the accrued lines eligible if the premium was collected (</w:t>
      </w:r>
      <w:r>
        <w:rPr>
          <w:rFonts w:eastAsia="Segoe UI" w:cs="Segoe UI" w:ascii="Segoe UI" w:hAnsi="Segoe UI"/>
          <w:b/>
          <w:color w:val="101820"/>
          <w:sz w:val="21"/>
        </w:rPr>
        <w:t>Mark eligible</w:t>
      </w:r>
      <w:r>
        <w:rPr>
          <w:rFonts w:eastAsia="Segoe UI" w:cs="Segoe UI" w:ascii="Segoe UI" w:hAnsi="Segoe UI"/>
          <w:color w:val="101820"/>
          <w:sz w:val="21"/>
        </w:rPr>
        <w:t>). Lines become eligible on their own when the premium is fully collected.</w:t>
      </w:r>
    </w:p>
    <w:p>
      <w:pPr>
        <w:pStyle w:val="Normal"/>
        <w:numPr>
          <w:ilvl w:val="0"/>
          <w:numId w:val="23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w:t>
      </w:r>
      <w:r>
        <w:rPr>
          <w:rFonts w:eastAsia="Segoe UI" w:cs="Segoe UI" w:ascii="Segoe UI" w:hAnsi="Segoe UI"/>
          <w:color w:val="101820"/>
          <w:sz w:val="21"/>
        </w:rPr>
        <w:t xml:space="preserve"> on the eligible lines. Another Accounting user must approve the lines you prepared.</w:t>
      </w:r>
    </w:p>
    <w:p>
      <w:pPr>
        <w:pStyle w:val="Normal"/>
        <w:numPr>
          <w:ilvl w:val="0"/>
          <w:numId w:val="23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payout</w:t>
      </w:r>
      <w:r>
        <w:rPr>
          <w:rFonts w:eastAsia="Segoe UI" w:cs="Segoe UI" w:ascii="Segoe UI" w:hAnsi="Segoe UI"/>
          <w:color w:val="101820"/>
          <w:sz w:val="21"/>
        </w:rPr>
        <w:t>. The system creates a draft payout voucher in Disbursement.</w:t>
      </w:r>
    </w:p>
    <w:p>
      <w:pPr>
        <w:pStyle w:val="Normal"/>
        <w:numPr>
          <w:ilvl w:val="0"/>
          <w:numId w:val="235"/>
        </w:numPr>
        <w:spacing w:before="0" w:after="60"/>
        <w:rPr/>
      </w:pPr>
      <w:r>
        <w:rPr>
          <w:rFonts w:eastAsia="Segoe UI" w:cs="Segoe UI" w:ascii="Segoe UI" w:hAnsi="Segoe UI"/>
          <w:color w:val="101820"/>
          <w:sz w:val="21"/>
        </w:rPr>
        <w:t>Complete and submit the voucher. A second Accounting user approves it and the lines become Paid.</w:t>
      </w:r>
    </w:p>
    <w:p>
      <w:pPr>
        <w:pStyle w:val="Normal"/>
        <w:jc w:val="center"/>
        <w:rPr/>
      </w:pPr>
      <w:r>
        <w:rPr/>
        <w:drawing>
          <wp:inline distT="0" distB="0" distL="0" distR="0">
            <wp:extent cx="5760085" cy="5958840"/>
            <wp:effectExtent l="0" t="0" r="0" b="0"/>
            <wp:docPr id="107" name="Picture 21212882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2121288287" descr=""/>
                    <pic:cNvPicPr>
                      <a:picLocks noChangeAspect="1" noChangeArrowheads="1"/>
                    </pic:cNvPicPr>
                  </pic:nvPicPr>
                  <pic:blipFill>
                    <a:blip r:embed="rId103"/>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 referrer account</w:t>
      </w:r>
    </w:p>
    <w:p>
      <w:pPr>
        <w:pStyle w:val="Normal"/>
        <w:spacing w:lineRule="auto" w:line="276" w:before="0" w:after="120"/>
        <w:rPr/>
      </w:pPr>
      <w:r>
        <w:rPr>
          <w:rFonts w:eastAsia="Segoe UI" w:cs="Segoe UI" w:ascii="Segoe UI" w:hAnsi="Segoe UI"/>
          <w:color w:val="101820"/>
          <w:sz w:val="21"/>
        </w:rPr>
        <w:t>A referrer without a bank account on file cannot be approved or paid (</w:t>
      </w:r>
      <w:r>
        <w:rPr>
          <w:rFonts w:eastAsia="Consolas" w:cs="Consolas" w:ascii="Consolas" w:hAnsi="Consolas"/>
          <w:color w:val="101820"/>
          <w:sz w:val="19"/>
        </w:rPr>
        <w:t>commission.require_bank_account</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or an endorsement adds premium.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fully collected, or Accounting marks it.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Accounting user other than the maker approves the line; the comsub accrual is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payout voucher is approved; commission payable, cash and withholding tax are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 is reversed; return premium claws back the comsub on the returned part.</w:t>
            </w:r>
          </w:p>
        </w:tc>
      </w:tr>
    </w:tbl>
    <w:p>
      <w:pPr>
        <w:pStyle w:val="Normal"/>
        <w:spacing w:before="0" w:after="80"/>
        <w:rPr/>
      </w:pPr>
      <w:r>
        <w:rPr/>
      </w:r>
    </w:p>
    <w:p>
      <w:pPr>
        <w:pStyle w:val="Heading2"/>
        <w:rPr/>
      </w:pPr>
      <w:bookmarkStart w:id="104" w:name="__RefHeading___Toc107463_4049217194"/>
      <w:bookmarkEnd w:id="104"/>
      <w:r>
        <w:rPr>
          <w:rFonts w:eastAsia="Segoe UI" w:cs="Segoe UI"/>
          <w:b/>
          <w:color w:val="0F4761"/>
          <w:sz w:val="26"/>
        </w:rPr>
        <w:t>11.11  Journal vouchers</w:t>
      </w:r>
    </w:p>
    <w:p>
      <w:pPr>
        <w:pStyle w:val="Normal"/>
        <w:jc w:val="center"/>
        <w:rPr/>
      </w:pPr>
      <w:r>
        <w:rPr/>
        <w:drawing>
          <wp:inline distT="0" distB="0" distL="0" distR="0">
            <wp:extent cx="5760085" cy="3893185"/>
            <wp:effectExtent l="0" t="0" r="0" b="0"/>
            <wp:docPr id="108" name="Picture 21212882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2121288288" descr=""/>
                    <pic:cNvPicPr>
                      <a:picLocks noChangeAspect="1" noChangeArrowheads="1"/>
                    </pic:cNvPicPr>
                  </pic:nvPicPr>
                  <pic:blipFill>
                    <a:blip r:embed="rId104"/>
                    <a:stretch>
                      <a:fillRect/>
                    </a:stretch>
                  </pic:blipFill>
                  <pic:spPr bwMode="auto">
                    <a:xfrm>
                      <a:off x="0" y="0"/>
                      <a:ext cx="5760085" cy="389318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Journal Voucher</w:t>
      </w:r>
    </w:p>
    <w:p>
      <w:pPr>
        <w:pStyle w:val="Normal"/>
        <w:numPr>
          <w:ilvl w:val="0"/>
          <w:numId w:val="236"/>
        </w:numPr>
        <w:spacing w:before="0" w:after="60"/>
        <w:rPr/>
      </w:pPr>
      <w:r>
        <w:rPr>
          <w:rFonts w:eastAsia="Segoe UI" w:cs="Segoe UI" w:ascii="Segoe UI" w:hAnsi="Segoe UI"/>
          <w:color w:val="101820"/>
          <w:sz w:val="21"/>
        </w:rPr>
        <w:t xml:space="preserve">Choose Accounts &gt; Journal Voucher and select </w:t>
      </w:r>
      <w:r>
        <w:rPr>
          <w:rFonts w:eastAsia="Segoe UI" w:cs="Segoe UI" w:ascii="Segoe UI" w:hAnsi="Segoe UI"/>
          <w:b/>
          <w:color w:val="101820"/>
          <w:sz w:val="21"/>
        </w:rPr>
        <w:t>Voucher</w:t>
      </w:r>
      <w:r>
        <w:rPr>
          <w:rFonts w:eastAsia="Segoe UI" w:cs="Segoe UI" w:ascii="Segoe UI" w:hAnsi="Segoe UI"/>
          <w:color w:val="101820"/>
          <w:sz w:val="21"/>
        </w:rPr>
        <w:t>.</w:t>
      </w:r>
    </w:p>
    <w:p>
      <w:pPr>
        <w:pStyle w:val="Normal"/>
        <w:numPr>
          <w:ilvl w:val="0"/>
          <w:numId w:val="23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type the </w:t>
      </w:r>
      <w:r>
        <w:rPr>
          <w:rFonts w:eastAsia="Segoe UI" w:cs="Segoe UI" w:ascii="Segoe UI" w:hAnsi="Segoe UI"/>
          <w:b/>
          <w:color w:val="101820"/>
          <w:sz w:val="21"/>
        </w:rPr>
        <w:t>Transaction Description</w:t>
      </w:r>
      <w:r>
        <w:rPr>
          <w:rFonts w:eastAsia="Segoe UI" w:cs="Segoe UI" w:ascii="Segoe UI" w:hAnsi="Segoe UI"/>
          <w:color w:val="101820"/>
          <w:sz w:val="21"/>
        </w:rPr>
        <w:t xml:space="preserve"> and check the </w:t>
      </w:r>
      <w:r>
        <w:rPr>
          <w:rFonts w:eastAsia="Segoe UI" w:cs="Segoe UI" w:ascii="Segoe UI" w:hAnsi="Segoe UI"/>
          <w:b/>
          <w:color w:val="101820"/>
          <w:sz w:val="21"/>
        </w:rPr>
        <w:t>Date</w:t>
      </w:r>
      <w:r>
        <w:rPr>
          <w:rFonts w:eastAsia="Segoe UI" w:cs="Segoe UI" w:ascii="Segoe UI" w:hAnsi="Segoe UI"/>
          <w:color w:val="101820"/>
          <w:sz w:val="21"/>
        </w:rPr>
        <w:t>.</w:t>
      </w:r>
    </w:p>
    <w:p>
      <w:pPr>
        <w:pStyle w:val="Normal"/>
        <w:numPr>
          <w:ilvl w:val="0"/>
          <w:numId w:val="23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Data</w:t>
      </w:r>
      <w:r>
        <w:rPr>
          <w:rFonts w:eastAsia="Segoe UI" w:cs="Segoe UI" w:ascii="Segoe UI" w:hAnsi="Segoe UI"/>
          <w:color w:val="101820"/>
          <w:sz w:val="21"/>
        </w:rPr>
        <w:t xml:space="preserve">. Choose the </w:t>
      </w:r>
      <w:r>
        <w:rPr>
          <w:rFonts w:eastAsia="Segoe UI" w:cs="Segoe UI" w:ascii="Segoe UI" w:hAnsi="Segoe UI"/>
          <w:b/>
          <w:color w:val="101820"/>
          <w:sz w:val="21"/>
        </w:rPr>
        <w:t>Main A/c</w:t>
      </w:r>
      <w:r>
        <w:rPr>
          <w:rFonts w:eastAsia="Segoe UI" w:cs="Segoe UI" w:ascii="Segoe UI" w:hAnsi="Segoe UI"/>
          <w:color w:val="101820"/>
          <w:sz w:val="21"/>
        </w:rPr>
        <w:t xml:space="preserve">, the </w:t>
      </w:r>
      <w:r>
        <w:rPr>
          <w:rFonts w:eastAsia="Segoe UI" w:cs="Segoe UI" w:ascii="Segoe UI" w:hAnsi="Segoe UI"/>
          <w:b/>
          <w:color w:val="101820"/>
          <w:sz w:val="21"/>
        </w:rPr>
        <w:t>Sub A/c</w:t>
      </w:r>
      <w:r>
        <w:rPr>
          <w:rFonts w:eastAsia="Segoe UI" w:cs="Segoe UI" w:ascii="Segoe UI" w:hAnsi="Segoe UI"/>
          <w:color w:val="101820"/>
          <w:sz w:val="21"/>
        </w:rPr>
        <w:t xml:space="preserve"> if any, the entry (Debit or Credit), remarks, currency and amount, and save the line.</w:t>
      </w:r>
    </w:p>
    <w:p>
      <w:pPr>
        <w:pStyle w:val="Normal"/>
        <w:numPr>
          <w:ilvl w:val="0"/>
          <w:numId w:val="239"/>
        </w:numPr>
        <w:spacing w:before="0" w:after="60"/>
        <w:rPr/>
      </w:pPr>
      <w:r>
        <w:rPr>
          <w:rFonts w:eastAsia="Segoe UI" w:cs="Segoe UI" w:ascii="Segoe UI" w:hAnsi="Segoe UI"/>
          <w:color w:val="101820"/>
          <w:sz w:val="21"/>
        </w:rPr>
        <w:t>Repeat until total debit equals total credit.</w:t>
      </w:r>
    </w:p>
    <w:p>
      <w:pPr>
        <w:pStyle w:val="Normal"/>
        <w:numPr>
          <w:ilvl w:val="0"/>
          <w:numId w:val="240"/>
        </w:numPr>
        <w:spacing w:before="0" w:after="60"/>
        <w:rPr/>
      </w:pPr>
      <w:r>
        <w:rPr>
          <w:rFonts w:eastAsia="Segoe UI" w:cs="Segoe UI" w:ascii="Segoe UI" w:hAnsi="Segoe UI"/>
          <w:color w:val="101820"/>
          <w:sz w:val="21"/>
        </w:rPr>
        <w:t>Submit the voucher for approval.</w:t>
      </w:r>
    </w:p>
    <w:p>
      <w:pPr>
        <w:pStyle w:val="Normal"/>
        <w:jc w:val="center"/>
        <w:rPr/>
      </w:pPr>
      <w:r>
        <w:rPr/>
        <w:drawing>
          <wp:inline distT="0" distB="0" distL="0" distR="0">
            <wp:extent cx="5760085" cy="4469130"/>
            <wp:effectExtent l="0" t="0" r="0" b="0"/>
            <wp:docPr id="109" name="Picture 21212882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2121288289" descr=""/>
                    <pic:cNvPicPr>
                      <a:picLocks noChangeAspect="1" noChangeArrowheads="1"/>
                    </pic:cNvPicPr>
                  </pic:nvPicPr>
                  <pic:blipFill>
                    <a:blip r:embed="rId10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Add Journal Voucher</w:t>
      </w:r>
    </w:p>
    <w:p>
      <w:pPr>
        <w:pStyle w:val="Normal"/>
        <w:spacing w:lineRule="auto" w:line="276" w:before="0" w:after="120"/>
        <w:rPr/>
      </w:pPr>
      <w:r>
        <w:rPr>
          <w:rFonts w:eastAsia="Segoe UI" w:cs="Segoe UI" w:ascii="Segoe UI" w:hAnsi="Segoe UI"/>
          <w:color w:val="101820"/>
          <w:sz w:val="21"/>
        </w:rPr>
        <w:t>An unbalanced voucher is refused with the difference. A voucher dated in a soft-closed period can be posted only by the Accounting Manager, and one dated in a closed period is refused. The approvers are notified; the checker approves (the journal is posted and appears in the Journal register and the trial balance) or rejects it with a reason. The list (</w:t>
      </w:r>
      <w:r>
        <w:rPr>
          <w:rFonts w:eastAsia="Segoe UI" w:cs="Segoe UI" w:ascii="Segoe UI" w:hAnsi="Segoe UI"/>
          <w:b/>
          <w:color w:val="101820"/>
          <w:sz w:val="21"/>
        </w:rPr>
        <w:t>Journal Voucher history</w:t>
      </w:r>
      <w:r>
        <w:rPr>
          <w:rFonts w:eastAsia="Segoe UI" w:cs="Segoe UI" w:ascii="Segoe UI" w:hAnsi="Segoe UI"/>
          <w:color w:val="101820"/>
          <w:sz w:val="21"/>
        </w:rPr>
        <w:t xml:space="preserve">) shows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Correction JV</w:t>
      </w:r>
      <w:r>
        <w:rPr>
          <w:rFonts w:eastAsia="Segoe UI" w:cs="Segoe UI" w:ascii="Segoe UI" w:hAnsi="Segoe UI"/>
          <w:color w:val="101820"/>
          <w:sz w:val="21"/>
        </w:rPr>
        <w:t xml:space="preserve"> reverses a posted voucher and posts the corrected lines after approval: 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and </w:t>
      </w:r>
      <w:r>
        <w:rPr>
          <w:rFonts w:eastAsia="Segoe UI" w:cs="Segoe UI" w:ascii="Segoe UI" w:hAnsi="Segoe UI"/>
          <w:b/>
          <w:color w:val="101820"/>
          <w:sz w:val="21"/>
        </w:rPr>
        <w:t>Transaction Number</w:t>
      </w:r>
      <w:r>
        <w:rPr>
          <w:rFonts w:eastAsia="Segoe UI" w:cs="Segoe UI" w:ascii="Segoe UI" w:hAnsi="Segoe UI"/>
          <w:color w:val="101820"/>
          <w:sz w:val="21"/>
        </w:rPr>
        <w:t xml:space="preserve"> of the voucher, the </w:t>
      </w:r>
      <w:r>
        <w:rPr>
          <w:rFonts w:eastAsia="Segoe UI" w:cs="Segoe UI" w:ascii="Segoe UI" w:hAnsi="Segoe UI"/>
          <w:b/>
          <w:color w:val="101820"/>
          <w:sz w:val="21"/>
        </w:rPr>
        <w:t>Corrections JV Transaction Code</w:t>
      </w:r>
      <w:r>
        <w:rPr>
          <w:rFonts w:eastAsia="Segoe UI" w:cs="Segoe UI" w:ascii="Segoe UI" w:hAnsi="Segoe UI"/>
          <w:color w:val="101820"/>
          <w:sz w:val="21"/>
        </w:rPr>
        <w:t xml:space="preserve"> and the </w:t>
      </w:r>
      <w:r>
        <w:rPr>
          <w:rFonts w:eastAsia="Segoe UI" w:cs="Segoe UI" w:ascii="Segoe UI" w:hAnsi="Segoe UI"/>
          <w:b/>
          <w:color w:val="101820"/>
          <w:sz w:val="21"/>
        </w:rPr>
        <w:t>Correction Description</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 xml:space="preserve"> and enter the corrected lines. </w:t>
      </w:r>
      <w:r>
        <w:rPr>
          <w:rFonts w:eastAsia="Segoe UI" w:cs="Segoe UI" w:ascii="Segoe UI" w:hAnsi="Segoe UI"/>
          <w:b/>
          <w:color w:val="101820"/>
          <w:sz w:val="21"/>
        </w:rPr>
        <w:t>Reversal JV</w:t>
      </w:r>
      <w:r>
        <w:rPr>
          <w:rFonts w:eastAsia="Segoe UI" w:cs="Segoe UI" w:ascii="Segoe UI" w:hAnsi="Segoe UI"/>
          <w:color w:val="101820"/>
          <w:sz w:val="21"/>
        </w:rPr>
        <w:t xml:space="preserve"> posts the opposite entries of a posted voucher after approval.</w:t>
      </w:r>
    </w:p>
    <w:p>
      <w:pPr>
        <w:pStyle w:val="Heading2"/>
        <w:rPr/>
      </w:pPr>
      <w:bookmarkStart w:id="105" w:name="__RefHeading___Toc107465_4049217194"/>
      <w:bookmarkEnd w:id="105"/>
      <w:r>
        <w:rPr>
          <w:rFonts w:eastAsia="Segoe UI" w:cs="Segoe UI"/>
          <w:b/>
          <w:color w:val="0F4761"/>
          <w:sz w:val="26"/>
        </w:rPr>
        <w:t>11.12  Open entry matching and write-offs</w:t>
      </w:r>
    </w:p>
    <w:p>
      <w:pPr>
        <w:pStyle w:val="Normal"/>
        <w:jc w:val="center"/>
        <w:rPr/>
      </w:pPr>
      <w:r>
        <w:rPr/>
        <w:drawing>
          <wp:inline distT="0" distB="0" distL="0" distR="0">
            <wp:extent cx="5760085" cy="4469130"/>
            <wp:effectExtent l="0" t="0" r="0" b="0"/>
            <wp:docPr id="110" name="Picture 21212882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2121288290" descr=""/>
                    <pic:cNvPicPr>
                      <a:picLocks noChangeAspect="1" noChangeArrowheads="1"/>
                    </pic:cNvPicPr>
                  </pic:nvPicPr>
                  <pic:blipFill>
                    <a:blip r:embed="rId10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Open Entry Matching</w:t>
      </w:r>
    </w:p>
    <w:p>
      <w:pPr>
        <w:pStyle w:val="Normal"/>
        <w:spacing w:lineRule="auto" w:line="276" w:before="0" w:after="120"/>
        <w:rPr/>
      </w:pPr>
      <w:r>
        <w:rPr>
          <w:rFonts w:eastAsia="Segoe UI" w:cs="Segoe UI" w:ascii="Segoe UI" w:hAnsi="Segoe UI"/>
          <w:color w:val="101820"/>
          <w:sz w:val="21"/>
        </w:rPr>
        <w:t>Open entry matching settles open debit and credit entries of the same account against each other, for example a receipt against a bill posted without a reference.</w:t>
      </w:r>
    </w:p>
    <w:p>
      <w:pPr>
        <w:pStyle w:val="Normal"/>
        <w:numPr>
          <w:ilvl w:val="0"/>
          <w:numId w:val="24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Sub Account Code</w:t>
      </w:r>
      <w:r>
        <w:rPr>
          <w:rFonts w:eastAsia="Segoe UI" w:cs="Segoe UI" w:ascii="Segoe UI" w:hAnsi="Segoe UI"/>
          <w:color w:val="101820"/>
          <w:sz w:val="21"/>
        </w:rPr>
        <w:t xml:space="preserve"> and, if needed, </w:t>
      </w:r>
      <w:r>
        <w:rPr>
          <w:rFonts w:eastAsia="Segoe UI" w:cs="Segoe UI" w:ascii="Segoe UI" w:hAnsi="Segoe UI"/>
          <w:b/>
          <w:color w:val="101820"/>
          <w:sz w:val="21"/>
        </w:rPr>
        <w:t>Division</w:t>
      </w:r>
      <w:r>
        <w:rPr>
          <w:rFonts w:eastAsia="Segoe UI" w:cs="Segoe UI" w:ascii="Segoe UI" w:hAnsi="Segoe UI"/>
          <w:color w:val="101820"/>
          <w:sz w:val="21"/>
        </w:rPr>
        <w:t xml:space="preserve">, </w:t>
      </w:r>
      <w:r>
        <w:rPr>
          <w:rFonts w:eastAsia="Segoe UI" w:cs="Segoe UI" w:ascii="Segoe UI" w:hAnsi="Segoe UI"/>
          <w:b/>
          <w:color w:val="101820"/>
          <w:sz w:val="21"/>
        </w:rPr>
        <w:t>Department</w:t>
      </w:r>
      <w:r>
        <w:rPr>
          <w:rFonts w:eastAsia="Segoe UI" w:cs="Segoe UI" w:ascii="Segoe UI" w:hAnsi="Segoe UI"/>
          <w:color w:val="101820"/>
          <w:sz w:val="21"/>
        </w:rPr>
        <w:t xml:space="preserve">, analysis codes and </w:t>
      </w:r>
      <w:r>
        <w:rPr>
          <w:rFonts w:eastAsia="Segoe UI" w:cs="Segoe UI" w:ascii="Segoe UI" w:hAnsi="Segoe UI"/>
          <w:b/>
          <w:color w:val="101820"/>
          <w:sz w:val="21"/>
        </w:rPr>
        <w:t>Currency Code</w:t>
      </w:r>
      <w:r>
        <w:rPr>
          <w:rFonts w:eastAsia="Segoe UI" w:cs="Segoe UI" w:ascii="Segoe UI" w:hAnsi="Segoe UI"/>
          <w:color w:val="101820"/>
          <w:sz w:val="21"/>
        </w:rPr>
        <w:t>.</w:t>
      </w:r>
    </w:p>
    <w:p>
      <w:pPr>
        <w:pStyle w:val="Normal"/>
        <w:numPr>
          <w:ilvl w:val="0"/>
          <w:numId w:val="24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Pull</w:t>
      </w:r>
      <w:r>
        <w:rPr>
          <w:rFonts w:eastAsia="Segoe UI" w:cs="Segoe UI" w:ascii="Segoe UI" w:hAnsi="Segoe UI"/>
          <w:color w:val="101820"/>
          <w:sz w:val="21"/>
        </w:rPr>
        <w:t xml:space="preserve">, or </w:t>
      </w:r>
      <w:r>
        <w:rPr>
          <w:rFonts w:eastAsia="Segoe UI" w:cs="Segoe UI" w:ascii="Segoe UI" w:hAnsi="Segoe UI"/>
          <w:b/>
          <w:color w:val="101820"/>
          <w:sz w:val="21"/>
        </w:rPr>
        <w:t>Pull By Criteria</w:t>
      </w:r>
      <w:r>
        <w:rPr>
          <w:rFonts w:eastAsia="Segoe UI" w:cs="Segoe UI" w:ascii="Segoe UI" w:hAnsi="Segoe UI"/>
          <w:color w:val="101820"/>
          <w:sz w:val="21"/>
        </w:rPr>
        <w:t xml:space="preserve"> with </w:t>
      </w:r>
      <w:r>
        <w:rPr>
          <w:rFonts w:eastAsia="Segoe UI" w:cs="Segoe UI" w:ascii="Segoe UI" w:hAnsi="Segoe UI"/>
          <w:b/>
          <w:color w:val="101820"/>
          <w:sz w:val="21"/>
        </w:rPr>
        <w:t>Debit</w:t>
      </w:r>
      <w:r>
        <w:rPr>
          <w:rFonts w:eastAsia="Segoe UI" w:cs="Segoe UI" w:ascii="Segoe UI" w:hAnsi="Segoe UI"/>
          <w:color w:val="101820"/>
          <w:sz w:val="21"/>
        </w:rPr>
        <w:t xml:space="preserve"> or </w:t>
      </w:r>
      <w:r>
        <w:rPr>
          <w:rFonts w:eastAsia="Segoe UI" w:cs="Segoe UI" w:ascii="Segoe UI" w:hAnsi="Segoe UI"/>
          <w:b/>
          <w:color w:val="101820"/>
          <w:sz w:val="21"/>
        </w:rPr>
        <w:t>Credit</w:t>
      </w:r>
      <w:r>
        <w:rPr>
          <w:rFonts w:eastAsia="Segoe UI" w:cs="Segoe UI" w:ascii="Segoe UI" w:hAnsi="Segoe UI"/>
          <w:color w:val="101820"/>
          <w:sz w:val="21"/>
        </w:rPr>
        <w:t>.</w:t>
      </w:r>
    </w:p>
    <w:p>
      <w:pPr>
        <w:pStyle w:val="Normal"/>
        <w:numPr>
          <w:ilvl w:val="0"/>
          <w:numId w:val="243"/>
        </w:numPr>
        <w:spacing w:before="0" w:after="60"/>
        <w:rPr/>
      </w:pPr>
      <w:r>
        <w:rPr>
          <w:rFonts w:eastAsia="Segoe UI" w:cs="Segoe UI" w:ascii="Segoe UI" w:hAnsi="Segoe UI"/>
          <w:color w:val="101820"/>
          <w:sz w:val="21"/>
        </w:rPr>
        <w:t>Tick the debit and credit entries to match and check the totals.</w:t>
      </w:r>
    </w:p>
    <w:p>
      <w:pPr>
        <w:pStyle w:val="Normal"/>
        <w:numPr>
          <w:ilvl w:val="0"/>
          <w:numId w:val="244"/>
        </w:numPr>
        <w:spacing w:before="0" w:after="60"/>
        <w:rPr/>
      </w:pPr>
      <w:r>
        <w:rPr>
          <w:rFonts w:eastAsia="Segoe UI" w:cs="Segoe UI" w:ascii="Segoe UI" w:hAnsi="Segoe UI"/>
          <w:color w:val="101820"/>
          <w:sz w:val="21"/>
        </w:rPr>
        <w:t xml:space="preserve">If a small difference remains, enter it as the </w:t>
      </w:r>
      <w:r>
        <w:rPr>
          <w:rFonts w:eastAsia="Segoe UI" w:cs="Segoe UI" w:ascii="Segoe UI" w:hAnsi="Segoe UI"/>
          <w:b/>
          <w:color w:val="101820"/>
          <w:sz w:val="21"/>
        </w:rPr>
        <w:t>Adjustment Amt</w:t>
      </w:r>
      <w:r>
        <w:rPr>
          <w:rFonts w:eastAsia="Segoe UI" w:cs="Segoe UI" w:ascii="Segoe UI" w:hAnsi="Segoe UI"/>
          <w:color w:val="101820"/>
          <w:sz w:val="21"/>
        </w:rPr>
        <w:t xml:space="preserve"> and choose the </w:t>
      </w:r>
      <w:r>
        <w:rPr>
          <w:rFonts w:eastAsia="Segoe UI" w:cs="Segoe UI" w:ascii="Segoe UI" w:hAnsi="Segoe UI"/>
          <w:b/>
          <w:color w:val="101820"/>
          <w:sz w:val="21"/>
        </w:rPr>
        <w:t>Write off reason</w:t>
      </w:r>
      <w:r>
        <w:rPr>
          <w:rFonts w:eastAsia="Segoe UI" w:cs="Segoe UI" w:ascii="Segoe UI" w:hAnsi="Segoe UI"/>
          <w:color w:val="101820"/>
          <w:sz w:val="21"/>
        </w:rPr>
        <w:t>.</w:t>
      </w:r>
    </w:p>
    <w:p>
      <w:pPr>
        <w:pStyle w:val="Normal"/>
        <w:numPr>
          <w:ilvl w:val="0"/>
          <w:numId w:val="24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Match</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write-off reasons and their GL accounts are kept on Master &gt; Finance &gt; Account Determination, tab </w:t>
      </w:r>
      <w:r>
        <w:rPr>
          <w:rFonts w:eastAsia="Segoe UI" w:cs="Segoe UI" w:ascii="Segoe UI" w:hAnsi="Segoe UI"/>
          <w:b/>
          <w:color w:val="101820"/>
          <w:sz w:val="21"/>
        </w:rPr>
        <w:t>Write-off reasons</w:t>
      </w:r>
      <w:r>
        <w:rPr>
          <w:rFonts w:eastAsia="Segoe UI" w:cs="Segoe UI" w:ascii="Segoe UI" w:hAnsi="Segoe UI"/>
          <w:color w:val="101820"/>
          <w:sz w:val="21"/>
        </w:rPr>
        <w:t xml:space="preserve">; a reason with a limit refuses a larger write-off. </w:t>
      </w:r>
      <w:r>
        <w:rPr>
          <w:rFonts w:eastAsia="Segoe UI" w:cs="Segoe UI" w:ascii="Segoe UI" w:hAnsi="Segoe UI"/>
          <w:b/>
          <w:color w:val="101820"/>
          <w:sz w:val="21"/>
        </w:rPr>
        <w:t>Open Entry Unmatching</w:t>
      </w:r>
      <w:r>
        <w:rPr>
          <w:rFonts w:eastAsia="Segoe UI" w:cs="Segoe UI" w:ascii="Segoe UI" w:hAnsi="Segoe UI"/>
          <w:color w:val="101820"/>
          <w:sz w:val="21"/>
        </w:rPr>
        <w:t xml:space="preserve"> undoes a match.</w:t>
      </w:r>
    </w:p>
    <w:p>
      <w:pPr>
        <w:pStyle w:val="Heading2"/>
        <w:rPr/>
      </w:pPr>
      <w:bookmarkStart w:id="106" w:name="__RefHeading___Toc107467_4049217194"/>
      <w:bookmarkEnd w:id="106"/>
      <w:r>
        <w:rPr>
          <w:rFonts w:eastAsia="Segoe UI" w:cs="Segoe UI"/>
          <w:b/>
          <w:color w:val="0F4761"/>
          <w:sz w:val="26"/>
        </w:rPr>
        <w:t>11.13  Accounting Query and All Clients Accounting</w:t>
      </w:r>
    </w:p>
    <w:p>
      <w:pPr>
        <w:pStyle w:val="Normal"/>
        <w:spacing w:lineRule="auto" w:line="276" w:before="0" w:after="120"/>
        <w:rPr/>
      </w:pPr>
      <w:r>
        <w:rPr>
          <w:rFonts w:eastAsia="Segoe UI" w:cs="Segoe UI" w:ascii="Segoe UI" w:hAnsi="Segoe UI"/>
          <w:b/>
          <w:color w:val="101820"/>
          <w:sz w:val="21"/>
        </w:rPr>
        <w:t>Accounting Query</w:t>
      </w:r>
      <w:r>
        <w:rPr>
          <w:rFonts w:eastAsia="Segoe UI" w:cs="Segoe UI" w:ascii="Segoe UI" w:hAnsi="Segoe UI"/>
          <w:color w:val="101820"/>
          <w:sz w:val="21"/>
        </w:rPr>
        <w:t xml:space="preserve"> searches the accounting entries by </w:t>
      </w:r>
      <w:r>
        <w:rPr>
          <w:rFonts w:eastAsia="Segoe UI" w:cs="Segoe UI" w:ascii="Segoe UI" w:hAnsi="Segoe UI"/>
          <w:b/>
          <w:color w:val="101820"/>
          <w:sz w:val="21"/>
        </w:rPr>
        <w:t>Policy ID /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Reference Type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and </w:t>
      </w:r>
      <w:r>
        <w:rPr>
          <w:rFonts w:eastAsia="Segoe UI" w:cs="Segoe UI" w:ascii="Segoe UI" w:hAnsi="Segoe UI"/>
          <w:b/>
          <w:color w:val="101820"/>
          <w:sz w:val="21"/>
        </w:rPr>
        <w:t>GL Code</w:t>
      </w:r>
      <w:r>
        <w:rPr>
          <w:rFonts w:eastAsia="Segoe UI" w:cs="Segoe UI" w:ascii="Segoe UI" w:hAnsi="Segoe UI"/>
          <w:color w:val="101820"/>
          <w:sz w:val="21"/>
        </w:rPr>
        <w:t xml:space="preserve">; </w:t>
      </w:r>
      <w:r>
        <w:rPr>
          <w:rFonts w:eastAsia="Segoe UI" w:cs="Segoe UI" w:ascii="Segoe UI" w:hAnsi="Segoe UI"/>
          <w:b/>
          <w:color w:val="101820"/>
          <w:sz w:val="21"/>
        </w:rPr>
        <w:t>Export</w:t>
      </w:r>
      <w:r>
        <w:rPr>
          <w:rFonts w:eastAsia="Segoe UI" w:cs="Segoe UI" w:ascii="Segoe UI" w:hAnsi="Segoe UI"/>
          <w:color w:val="101820"/>
          <w:sz w:val="21"/>
        </w:rPr>
        <w:t xml:space="preserve"> downloads the result. </w:t>
      </w:r>
      <w:r>
        <w:rPr>
          <w:rFonts w:eastAsia="Segoe UI" w:cs="Segoe UI" w:ascii="Segoe UI" w:hAnsi="Segoe UI"/>
          <w:b/>
          <w:color w:val="101820"/>
          <w:sz w:val="21"/>
        </w:rPr>
        <w:t>All Clients Accounting</w:t>
      </w:r>
      <w:r>
        <w:rPr>
          <w:rFonts w:eastAsia="Segoe UI" w:cs="Segoe UI" w:ascii="Segoe UI" w:hAnsi="Segoe UI"/>
          <w:color w:val="101820"/>
          <w:sz w:val="21"/>
        </w:rPr>
        <w:t xml:space="preserve"> shows, for every client, the number of transactions, total debits, total credits and balance; </w:t>
      </w:r>
      <w:r>
        <w:rPr>
          <w:rFonts w:eastAsia="Segoe UI" w:cs="Segoe UI" w:ascii="Segoe UI" w:hAnsi="Segoe UI"/>
          <w:b/>
          <w:color w:val="101820"/>
          <w:sz w:val="21"/>
        </w:rPr>
        <w:t>Export CSV</w:t>
      </w:r>
      <w:r>
        <w:rPr>
          <w:rFonts w:eastAsia="Segoe UI" w:cs="Segoe UI" w:ascii="Segoe UI" w:hAnsi="Segoe UI"/>
          <w:color w:val="101820"/>
          <w:sz w:val="21"/>
        </w:rPr>
        <w:t xml:space="preserve"> downloads it.</w:t>
      </w:r>
    </w:p>
    <w:p>
      <w:pPr>
        <w:pStyle w:val="Heading2"/>
        <w:rPr/>
      </w:pPr>
      <w:bookmarkStart w:id="107" w:name="__RefHeading___Toc107469_4049217194"/>
      <w:bookmarkEnd w:id="107"/>
      <w:r>
        <w:rPr>
          <w:rFonts w:eastAsia="Segoe UI" w:cs="Segoe UI"/>
          <w:b/>
          <w:color w:val="0F4761"/>
          <w:sz w:val="26"/>
        </w:rPr>
        <w:t>11.14  Petty cash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Petty Cash)</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petty cash fund: petty cash code, description, size, bank and accounts, currency, branch, department, available cash, maximum limit and minimum cash box.</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request for petty cash (PCR-YYYY-NNNNN).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out an approved request from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money returned to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Replenish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the fund back up from the bank.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fund is opened on Initiate, which issues its code (PCF-) when left empty and holds the fund size, the available cash, the maximum limit and the minimum cash box. Requests are maker-checker. After a save the screen returns to its list.</w:t>
      </w:r>
    </w:p>
    <w:p>
      <w:pPr>
        <w:pStyle w:val="Normal"/>
        <w:jc w:val="center"/>
        <w:rPr/>
      </w:pPr>
      <w:r>
        <w:rPr/>
        <w:drawing>
          <wp:inline distT="0" distB="0" distL="0" distR="0">
            <wp:extent cx="5760085" cy="4469130"/>
            <wp:effectExtent l="0" t="0" r="0" b="0"/>
            <wp:docPr id="111" name="Picture 21212882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2121288291" descr=""/>
                    <pic:cNvPicPr>
                      <a:picLocks noChangeAspect="1" noChangeArrowheads="1"/>
                    </pic:cNvPicPr>
                  </pic:nvPicPr>
                  <pic:blipFill>
                    <a:blip r:embed="rId10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Petty Cash &gt; Initiate: Add Petty Cash</w:t>
      </w:r>
    </w:p>
    <w:p>
      <w:pPr>
        <w:pStyle w:val="Heading2"/>
        <w:rPr/>
      </w:pPr>
      <w:bookmarkStart w:id="108" w:name="__RefHeading___Toc107471_4049217194"/>
      <w:bookmarkEnd w:id="108"/>
      <w:r>
        <w:rPr>
          <w:rFonts w:eastAsia="Segoe UI" w:cs="Segoe UI"/>
          <w:b/>
          <w:color w:val="0F4761"/>
          <w:sz w:val="26"/>
        </w:rPr>
        <w:t>11.15  Bank reconciliation</w:t>
      </w:r>
    </w:p>
    <w:p>
      <w:pPr>
        <w:pStyle w:val="Normal"/>
        <w:spacing w:lineRule="auto" w:line="276" w:before="0" w:after="120"/>
        <w:rPr/>
      </w:pPr>
      <w:r>
        <w:rPr>
          <w:rFonts w:eastAsia="Segoe UI" w:cs="Segoe UI" w:ascii="Segoe UI" w:hAnsi="Segoe UI"/>
          <w:color w:val="101820"/>
          <w:sz w:val="21"/>
        </w:rPr>
        <w:t>Bank reconciliation matches the lines of each bank statement with the cash-account lines of the ledger, posts the bank items not yet in the books and produces the monthly bank reconciliation statement. Accounting prepares each reconciliation; the Accounting Manager approves it.</w:t>
      </w:r>
    </w:p>
    <w:p>
      <w:pPr>
        <w:pStyle w:val="Normal"/>
        <w:jc w:val="center"/>
        <w:rPr/>
      </w:pPr>
      <w:r>
        <w:rPr/>
        <w:drawing>
          <wp:inline distT="0" distB="0" distL="0" distR="0">
            <wp:extent cx="5760085" cy="4469130"/>
            <wp:effectExtent l="0" t="0" r="0" b="0"/>
            <wp:docPr id="112" name="Picture 21212882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2121288292" descr=""/>
                    <pic:cNvPicPr>
                      <a:picLocks noChangeAspect="1" noChangeArrowheads="1"/>
                    </pic:cNvPicPr>
                  </pic:nvPicPr>
                  <pic:blipFill>
                    <a:blip r:embed="rId10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Bank Reconciliation &gt; Reconciliation Workspace</w:t>
      </w:r>
    </w:p>
    <w:p>
      <w:pPr>
        <w:pStyle w:val="Normal"/>
        <w:spacing w:lineRule="auto" w:line="276" w:before="0" w:after="120"/>
        <w:rPr/>
      </w:pPr>
      <w:r>
        <w:rPr>
          <w:rFonts w:eastAsia="Segoe UI" w:cs="Segoe UI" w:ascii="Segoe UI" w:hAnsi="Segoe UI"/>
          <w:color w:val="101820"/>
          <w:sz w:val="21"/>
        </w:rPr>
        <w:t xml:space="preserve">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the </w:t>
      </w:r>
      <w:r>
        <w:rPr>
          <w:rFonts w:eastAsia="Segoe UI" w:cs="Segoe UI" w:ascii="Segoe UI" w:hAnsi="Segoe UI"/>
          <w:b/>
          <w:color w:val="101820"/>
          <w:sz w:val="21"/>
        </w:rPr>
        <w:t>Period</w:t>
      </w:r>
      <w:r>
        <w:rPr>
          <w:rFonts w:eastAsia="Segoe UI" w:cs="Segoe UI" w:ascii="Segoe UI" w:hAnsi="Segoe UI"/>
          <w:color w:val="101820"/>
          <w:sz w:val="21"/>
        </w:rPr>
        <w:t xml:space="preserve">. The cards show </w:t>
      </w:r>
      <w:r>
        <w:rPr>
          <w:rFonts w:eastAsia="Segoe UI" w:cs="Segoe UI" w:ascii="Segoe UI" w:hAnsi="Segoe UI"/>
          <w:b/>
          <w:color w:val="101820"/>
          <w:sz w:val="21"/>
        </w:rPr>
        <w:t>Balance per bank</w:t>
      </w:r>
      <w:r>
        <w:rPr>
          <w:rFonts w:eastAsia="Segoe UI" w:cs="Segoe UI" w:ascii="Segoe UI" w:hAnsi="Segoe UI"/>
          <w:color w:val="101820"/>
          <w:sz w:val="21"/>
        </w:rPr>
        <w:t xml:space="preserve"> (from the latest statement), </w:t>
      </w:r>
      <w:r>
        <w:rPr>
          <w:rFonts w:eastAsia="Segoe UI" w:cs="Segoe UI" w:ascii="Segoe UI" w:hAnsi="Segoe UI"/>
          <w:b/>
          <w:color w:val="101820"/>
          <w:sz w:val="21"/>
        </w:rPr>
        <w:t>Balance per books</w:t>
      </w:r>
      <w:r>
        <w:rPr>
          <w:rFonts w:eastAsia="Segoe UI" w:cs="Segoe UI" w:ascii="Segoe UI" w:hAnsi="Segoe UI"/>
          <w:color w:val="101820"/>
          <w:sz w:val="21"/>
        </w:rPr>
        <w:t xml:space="preserve"> (the GL cash account at the period end), </w:t>
      </w:r>
      <w:r>
        <w:rPr>
          <w:rFonts w:eastAsia="Segoe UI" w:cs="Segoe UI" w:ascii="Segoe UI" w:hAnsi="Segoe UI"/>
          <w:b/>
          <w:color w:val="101820"/>
          <w:sz w:val="21"/>
        </w:rPr>
        <w:t>Unmatched bank lines</w:t>
      </w:r>
      <w:r>
        <w:rPr>
          <w:rFonts w:eastAsia="Segoe UI" w:cs="Segoe UI" w:ascii="Segoe UI" w:hAnsi="Segoe UI"/>
          <w:color w:val="101820"/>
          <w:sz w:val="21"/>
        </w:rPr>
        <w:t xml:space="preserve">, </w:t>
      </w:r>
      <w:r>
        <w:rPr>
          <w:rFonts w:eastAsia="Segoe UI" w:cs="Segoe UI" w:ascii="Segoe UI" w:hAnsi="Segoe UI"/>
          <w:b/>
          <w:color w:val="101820"/>
          <w:sz w:val="21"/>
        </w:rPr>
        <w:t>Unmatched book entries</w:t>
      </w:r>
      <w:r>
        <w:rPr>
          <w:rFonts w:eastAsia="Segoe UI" w:cs="Segoe UI" w:ascii="Segoe UI" w:hAnsi="Segoe UI"/>
          <w:color w:val="101820"/>
          <w:sz w:val="21"/>
        </w:rPr>
        <w:t xml:space="preserve"> and the </w:t>
      </w:r>
      <w:r>
        <w:rPr>
          <w:rFonts w:eastAsia="Segoe UI" w:cs="Segoe UI" w:ascii="Segoe UI" w:hAnsi="Segoe UI"/>
          <w:b/>
          <w:color w:val="101820"/>
          <w:sz w:val="21"/>
        </w:rPr>
        <w:t>Difference</w:t>
      </w:r>
      <w:r>
        <w:rPr>
          <w:rFonts w:eastAsia="Segoe UI" w:cs="Segoe UI" w:ascii="Segoe UI" w:hAnsi="Segoe UI"/>
          <w:color w:val="101820"/>
          <w:sz w:val="21"/>
        </w:rPr>
        <w:t xml:space="preserve">, and the status of the period's reconciliation. Below are </w:t>
      </w:r>
      <w:r>
        <w:rPr>
          <w:rFonts w:eastAsia="Segoe UI" w:cs="Segoe UI" w:ascii="Segoe UI" w:hAnsi="Segoe UI"/>
          <w:b/>
          <w:color w:val="101820"/>
          <w:sz w:val="21"/>
        </w:rPr>
        <w:t>Bank statement lines</w:t>
      </w:r>
      <w:r>
        <w:rPr>
          <w:rFonts w:eastAsia="Segoe UI" w:cs="Segoe UI" w:ascii="Segoe UI" w:hAnsi="Segoe UI"/>
          <w:color w:val="101820"/>
          <w:sz w:val="21"/>
        </w:rPr>
        <w:t xml:space="preserve"> and </w:t>
      </w:r>
      <w:r>
        <w:rPr>
          <w:rFonts w:eastAsia="Segoe UI" w:cs="Segoe UI" w:ascii="Segoe UI" w:hAnsi="Segoe UI"/>
          <w:b/>
          <w:color w:val="101820"/>
          <w:sz w:val="21"/>
        </w:rPr>
        <w:t>Book entries</w:t>
      </w:r>
      <w:r>
        <w:rPr>
          <w:rFonts w:eastAsia="Segoe UI" w:cs="Segoe UI" w:ascii="Segoe UI" w:hAnsi="Segoe UI"/>
          <w:color w:val="101820"/>
          <w:sz w:val="21"/>
        </w:rPr>
        <w:t xml:space="preserve">, each filtered to </w:t>
      </w:r>
      <w:r>
        <w:rPr>
          <w:rFonts w:eastAsia="Segoe UI" w:cs="Segoe UI" w:ascii="Segoe UI" w:hAnsi="Segoe UI"/>
          <w:b/>
          <w:color w:val="101820"/>
          <w:sz w:val="21"/>
        </w:rPr>
        <w:t>Unmatched</w:t>
      </w:r>
      <w:r>
        <w:rPr>
          <w:rFonts w:eastAsia="Segoe UI" w:cs="Segoe UI" w:ascii="Segoe UI" w:hAnsi="Segoe UI"/>
          <w:color w:val="101820"/>
          <w:sz w:val="21"/>
        </w:rPr>
        <w:t xml:space="preserve"> or </w:t>
      </w:r>
      <w:r>
        <w:rPr>
          <w:rFonts w:eastAsia="Segoe UI" w:cs="Segoe UI" w:ascii="Segoe UI" w:hAnsi="Segoe UI"/>
          <w:b/>
          <w:color w:val="101820"/>
          <w:sz w:val="21"/>
        </w:rPr>
        <w:t>All</w:t>
      </w:r>
      <w:r>
        <w:rPr>
          <w:rFonts w:eastAsia="Segoe UI" w:cs="Segoe UI" w:ascii="Segoe UI" w:hAnsi="Segoe UI"/>
          <w:color w:val="101820"/>
          <w:sz w:val="21"/>
        </w:rPr>
        <w:t>.</w:t>
      </w:r>
    </w:p>
    <w:p>
      <w:pPr>
        <w:pStyle w:val="Heading3"/>
        <w:rPr/>
      </w:pPr>
      <w:r>
        <w:rPr>
          <w:rFonts w:eastAsia="Segoe UI" w:cs="Segoe UI"/>
          <w:b/>
          <w:color w:val="0F4761"/>
          <w:sz w:val="23"/>
        </w:rPr>
        <w:t>11.15.1  Import a bank statement</w:t>
      </w:r>
    </w:p>
    <w:p>
      <w:pPr>
        <w:pStyle w:val="Normal"/>
        <w:numPr>
          <w:ilvl w:val="0"/>
          <w:numId w:val="2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w:t>
      </w:r>
    </w:p>
    <w:p>
      <w:pPr>
        <w:pStyle w:val="Normal"/>
        <w:numPr>
          <w:ilvl w:val="0"/>
          <w:numId w:val="24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Statement format</w:t>
      </w:r>
      <w:r>
        <w:rPr>
          <w:rFonts w:eastAsia="Segoe UI" w:cs="Segoe UI" w:ascii="Segoe UI" w:hAnsi="Segoe UI"/>
          <w:color w:val="101820"/>
          <w:sz w:val="21"/>
        </w:rPr>
        <w:t xml:space="preserve"> (BDO, BPI, Metrobank samples, GENERIC or one of your own) and the </w:t>
      </w:r>
      <w:r>
        <w:rPr>
          <w:rFonts w:eastAsia="Segoe UI" w:cs="Segoe UI" w:ascii="Segoe UI" w:hAnsi="Segoe UI"/>
          <w:b/>
          <w:color w:val="101820"/>
          <w:sz w:val="21"/>
        </w:rPr>
        <w:t>Statement file (CSV / XLSX)</w:t>
      </w:r>
      <w:r>
        <w:rPr>
          <w:rFonts w:eastAsia="Segoe UI" w:cs="Segoe UI" w:ascii="Segoe UI" w:hAnsi="Segoe UI"/>
          <w:color w:val="101820"/>
          <w:sz w:val="21"/>
        </w:rPr>
        <w:t xml:space="preserve"> downloaded from online banking.</w:t>
      </w:r>
    </w:p>
    <w:p>
      <w:pPr>
        <w:pStyle w:val="Normal"/>
        <w:numPr>
          <w:ilvl w:val="0"/>
          <w:numId w:val="248"/>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Bank statement no.</w:t>
      </w:r>
      <w:r>
        <w:rPr>
          <w:rFonts w:eastAsia="Segoe UI" w:cs="Segoe UI" w:ascii="Segoe UI" w:hAnsi="Segoe UI"/>
          <w:color w:val="101820"/>
          <w:sz w:val="21"/>
        </w:rPr>
        <w:t xml:space="preserve"> (for example SOA Sep 2026), and the </w:t>
      </w:r>
      <w:r>
        <w:rPr>
          <w:rFonts w:eastAsia="Segoe UI" w:cs="Segoe UI" w:ascii="Segoe UI" w:hAnsi="Segoe UI"/>
          <w:b/>
          <w:color w:val="101820"/>
          <w:sz w:val="21"/>
        </w:rPr>
        <w:t>Opening balance</w:t>
      </w:r>
      <w:r>
        <w:rPr>
          <w:rFonts w:eastAsia="Segoe UI" w:cs="Segoe UI" w:ascii="Segoe UI" w:hAnsi="Segoe UI"/>
          <w:color w:val="101820"/>
          <w:sz w:val="21"/>
        </w:rPr>
        <w:t xml:space="preserve"> and </w:t>
      </w:r>
      <w:r>
        <w:rPr>
          <w:rFonts w:eastAsia="Segoe UI" w:cs="Segoe UI" w:ascii="Segoe UI" w:hAnsi="Segoe UI"/>
          <w:b/>
          <w:color w:val="101820"/>
          <w:sz w:val="21"/>
        </w:rPr>
        <w:t>Closing balance</w:t>
      </w:r>
      <w:r>
        <w:rPr>
          <w:rFonts w:eastAsia="Segoe UI" w:cs="Segoe UI" w:ascii="Segoe UI" w:hAnsi="Segoe UI"/>
          <w:color w:val="101820"/>
          <w:sz w:val="21"/>
        </w:rPr>
        <w:t xml:space="preserve"> if the file does not carry them. </w:t>
      </w:r>
      <w:r>
        <w:rPr>
          <w:rFonts w:eastAsia="Segoe UI" w:cs="Segoe UI" w:ascii="Segoe UI" w:hAnsi="Segoe UI"/>
          <w:b/>
          <w:color w:val="101820"/>
          <w:sz w:val="21"/>
        </w:rPr>
        <w:t>Leave out lines already on file</w:t>
      </w:r>
      <w:r>
        <w:rPr>
          <w:rFonts w:eastAsia="Segoe UI" w:cs="Segoe UI" w:ascii="Segoe UI" w:hAnsi="Segoe UI"/>
          <w:color w:val="101820"/>
          <w:sz w:val="21"/>
        </w:rPr>
        <w:t xml:space="preserve"> skips duplicates.</w:t>
      </w:r>
    </w:p>
    <w:p>
      <w:pPr>
        <w:pStyle w:val="Normal"/>
        <w:numPr>
          <w:ilvl w:val="0"/>
          <w:numId w:val="24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the opening and closing balance, the lines read and the rows that could not be read.</w:t>
      </w:r>
    </w:p>
    <w:p>
      <w:pPr>
        <w:pStyle w:val="Normal"/>
        <w:numPr>
          <w:ilvl w:val="0"/>
          <w:numId w:val="25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w:t>
      </w:r>
      <w:r>
        <w:rPr>
          <w:rFonts w:eastAsia="Segoe UI" w:cs="Segoe UI" w:ascii="Segoe UI" w:hAnsi="Segoe UI"/>
          <w:color w:val="101820"/>
          <w:sz w:val="21"/>
        </w:rPr>
        <w:t>. The statement gets its number (BST-YYYY-NNNNN).</w:t>
      </w:r>
    </w:p>
    <w:p>
      <w:pPr>
        <w:pStyle w:val="Normal"/>
        <w:jc w:val="center"/>
        <w:rPr/>
      </w:pPr>
      <w:r>
        <w:rPr/>
        <w:drawing>
          <wp:inline distT="0" distB="0" distL="0" distR="0">
            <wp:extent cx="5760085" cy="4662170"/>
            <wp:effectExtent l="0" t="0" r="0" b="0"/>
            <wp:docPr id="113" name="Picture 21212882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2121288293" descr=""/>
                    <pic:cNvPicPr>
                      <a:picLocks noChangeAspect="1" noChangeArrowheads="1"/>
                    </pic:cNvPicPr>
                  </pic:nvPicPr>
                  <pic:blipFill>
                    <a:blip r:embed="rId109"/>
                    <a:stretch>
                      <a:fillRect/>
                    </a:stretch>
                  </pic:blipFill>
                  <pic:spPr bwMode="auto">
                    <a:xfrm>
                      <a:off x="0" y="0"/>
                      <a:ext cx="5760085" cy="4662170"/>
                    </a:xfrm>
                    <a:prstGeom prst="rect">
                      <a:avLst/>
                    </a:prstGeom>
                  </pic:spPr>
                </pic:pic>
              </a:graphicData>
            </a:graphic>
          </wp:inline>
        </w:drawing>
      </w:r>
    </w:p>
    <w:p>
      <w:pPr>
        <w:pStyle w:val="Normal"/>
        <w:jc w:val="center"/>
        <w:rPr/>
      </w:pPr>
      <w:r>
        <w:rPr>
          <w:rFonts w:eastAsia="Segoe UI" w:cs="Segoe UI" w:ascii="Segoe UI" w:hAnsi="Segoe UI"/>
          <w:i/>
          <w:color w:val="555F6D"/>
          <w:sz w:val="18"/>
        </w:rPr>
        <w:t>Import statement</w:t>
      </w:r>
    </w:p>
    <w:p>
      <w:pPr>
        <w:pStyle w:val="Normal"/>
        <w:spacing w:lineRule="auto" w:line="276" w:before="0" w:after="120"/>
        <w:rPr/>
      </w:pPr>
      <w:r>
        <w:rPr>
          <w:rFonts w:eastAsia="Segoe UI" w:cs="Segoe UI" w:ascii="Segoe UI" w:hAnsi="Segoe UI"/>
          <w:color w:val="101820"/>
          <w:sz w:val="21"/>
        </w:rPr>
        <w:t xml:space="preserve">The statement must balance (opening + credits - debits = closing) when </w:t>
      </w:r>
      <w:r>
        <w:rPr>
          <w:rFonts w:eastAsia="Consolas" w:cs="Consolas" w:ascii="Consolas" w:hAnsi="Consolas"/>
          <w:color w:val="101820"/>
          <w:sz w:val="19"/>
        </w:rPr>
        <w:t>bank_reconciliation.require_balanced_statement</w:t>
      </w:r>
      <w:r>
        <w:rPr>
          <w:rFonts w:eastAsia="Segoe UI" w:cs="Segoe UI" w:ascii="Segoe UI" w:hAnsi="Segoe UI"/>
          <w:color w:val="101820"/>
          <w:sz w:val="21"/>
        </w:rPr>
        <w:t xml:space="preserve"> is on. A file already imported for the account is refused. Automatic matching runs right after the import (</w:t>
      </w:r>
      <w:r>
        <w:rPr>
          <w:rFonts w:eastAsia="Consolas" w:cs="Consolas" w:ascii="Consolas" w:hAnsi="Consolas"/>
          <w:color w:val="101820"/>
          <w:sz w:val="19"/>
        </w:rPr>
        <w:t>bank_reconciliation.auto_match_on_import</w:t>
      </w:r>
      <w:r>
        <w:rPr>
          <w:rFonts w:eastAsia="Segoe UI" w:cs="Segoe UI" w:ascii="Segoe UI" w:hAnsi="Segoe UI"/>
          <w:color w:val="101820"/>
          <w:sz w:val="21"/>
        </w:rPr>
        <w:t>).</w:t>
      </w:r>
    </w:p>
    <w:p>
      <w:pPr>
        <w:pStyle w:val="Heading3"/>
        <w:rPr/>
      </w:pPr>
      <w:r>
        <w:rPr>
          <w:rFonts w:eastAsia="Segoe UI" w:cs="Segoe UI"/>
          <w:b/>
          <w:color w:val="0F4761"/>
          <w:sz w:val="23"/>
        </w:rPr>
        <w:t>11.15.2  Match and post bank items</w:t>
      </w:r>
    </w:p>
    <w:p>
      <w:pPr>
        <w:pStyle w:val="Normal"/>
        <w:spacing w:lineRule="auto" w:line="276" w:before="0" w:after="120"/>
        <w:rPr/>
      </w:pPr>
      <w:r>
        <w:rPr>
          <w:rFonts w:eastAsia="Segoe UI" w:cs="Segoe UI" w:ascii="Segoe UI" w:hAnsi="Segoe UI"/>
          <w:b/>
          <w:color w:val="101820"/>
          <w:sz w:val="21"/>
        </w:rPr>
        <w:t>Auto-match</w:t>
      </w:r>
      <w:r>
        <w:rPr>
          <w:rFonts w:eastAsia="Segoe UI" w:cs="Segoe UI" w:ascii="Segoe UI" w:hAnsi="Segoe UI"/>
          <w:color w:val="101820"/>
          <w:sz w:val="21"/>
        </w:rPr>
        <w:t xml:space="preserve"> runs the matching rules on exact amounts: adjustment journals and reversed entries; amount and reference or cheque number; amount within a 5-day date window (</w:t>
      </w:r>
      <w:r>
        <w:rPr>
          <w:rFonts w:eastAsia="Consolas" w:cs="Consolas" w:ascii="Consolas" w:hAnsi="Consolas"/>
          <w:color w:val="101820"/>
          <w:sz w:val="19"/>
        </w:rPr>
        <w:t>bank_reconciliation.date_window_days</w:t>
      </w:r>
      <w:r>
        <w:rPr>
          <w:rFonts w:eastAsia="Segoe UI" w:cs="Segoe UI" w:ascii="Segoe UI" w:hAnsi="Segoe UI"/>
          <w:color w:val="101820"/>
          <w:sz w:val="21"/>
        </w:rPr>
        <w:t>); one bank line against up to 6 book entries and the reverse (</w:t>
      </w:r>
      <w:r>
        <w:rPr>
          <w:rFonts w:eastAsia="Consolas" w:cs="Consolas" w:ascii="Consolas" w:hAnsi="Consolas"/>
          <w:color w:val="101820"/>
          <w:sz w:val="19"/>
        </w:rPr>
        <w:t>bank_reconciliation.group_max_lines</w:t>
      </w:r>
      <w:r>
        <w:rPr>
          <w:rFonts w:eastAsia="Segoe UI" w:cs="Segoe UI" w:ascii="Segoe UI" w:hAnsi="Segoe UI"/>
          <w:color w:val="101820"/>
          <w:sz w:val="21"/>
        </w:rPr>
        <w:t>). Match the rest by hand: tick bank lines and book entries with the same total and match them; when the amounts differ, choose how the difference is treated (adjustment journal, bank error or book error).</w:t>
      </w:r>
    </w:p>
    <w:p>
      <w:pPr>
        <w:pStyle w:val="Normal"/>
        <w:spacing w:lineRule="auto" w:line="276" w:before="0" w:after="120"/>
        <w:rPr/>
      </w:pPr>
      <w:r>
        <w:rPr>
          <w:rFonts w:eastAsia="Segoe UI" w:cs="Segoe UI" w:ascii="Segoe UI" w:hAnsi="Segoe UI"/>
          <w:color w:val="101820"/>
          <w:sz w:val="21"/>
        </w:rPr>
        <w:t xml:space="preserve">Bank charges, interest, final tax on interest and direct credits appear on the statement before they are in the books. Select the bank line and create an adjustment: the bank transaction type proposes the account from the line's description (for example SERVICE CHARGE suggests bank charges). Types marked as needing approval, such as a direct credit booked to suspense, wait for a second user. A returned cheque cancels the official receipt and reopens the client's receivable. </w:t>
      </w:r>
      <w:r>
        <w:rPr>
          <w:rFonts w:eastAsia="Segoe UI" w:cs="Segoe UI" w:ascii="Segoe UI" w:hAnsi="Segoe UI"/>
          <w:b/>
          <w:color w:val="101820"/>
          <w:sz w:val="21"/>
        </w:rPr>
        <w:t>Stale cheques</w:t>
      </w:r>
      <w:r>
        <w:rPr>
          <w:rFonts w:eastAsia="Segoe UI" w:cs="Segoe UI" w:ascii="Segoe UI" w:hAnsi="Segoe UI"/>
          <w:color w:val="101820"/>
          <w:sz w:val="21"/>
        </w:rPr>
        <w:t xml:space="preserve"> lists cheques issued more than 180 days ago that have not cleared (</w:t>
      </w:r>
      <w:r>
        <w:rPr>
          <w:rFonts w:eastAsia="Consolas" w:cs="Consolas" w:ascii="Consolas" w:hAnsi="Consolas"/>
          <w:color w:val="101820"/>
          <w:sz w:val="19"/>
        </w:rPr>
        <w:t>bank_reconciliation.stale_cheque_days</w:t>
      </w:r>
      <w:r>
        <w:rPr>
          <w:rFonts w:eastAsia="Segoe UI" w:cs="Segoe UI" w:ascii="Segoe UI" w:hAnsi="Segoe UI"/>
          <w:color w:val="101820"/>
          <w:sz w:val="21"/>
        </w:rPr>
        <w:t>); cancelling one reverses the payment and reopens the payable.</w:t>
      </w:r>
    </w:p>
    <w:p>
      <w:pPr>
        <w:pStyle w:val="Heading3"/>
        <w:rPr/>
      </w:pPr>
      <w:r>
        <w:rPr>
          <w:rFonts w:eastAsia="Segoe UI" w:cs="Segoe UI"/>
          <w:b/>
          <w:color w:val="0F4761"/>
          <w:sz w:val="23"/>
        </w:rPr>
        <w:t>11.15.3  Prepare the reconciliation</w:t>
      </w:r>
    </w:p>
    <w:p>
      <w:pPr>
        <w:pStyle w:val="Normal"/>
        <w:numPr>
          <w:ilvl w:val="0"/>
          <w:numId w:val="25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reconciliation</w:t>
      </w:r>
      <w:r>
        <w:rPr>
          <w:rFonts w:eastAsia="Segoe UI" w:cs="Segoe UI" w:ascii="Segoe UI" w:hAnsi="Segoe UI"/>
          <w:color w:val="101820"/>
          <w:sz w:val="21"/>
        </w:rPr>
        <w:t xml:space="preserve"> on Reconciliations (or start it from the workspace), 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Period</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 The reconciliation (BRC-YYYY-NNNNN) opens as Draft with live figures.</w:t>
      </w:r>
    </w:p>
    <w:p>
      <w:pPr>
        <w:pStyle w:val="Normal"/>
        <w:numPr>
          <w:ilvl w:val="0"/>
          <w:numId w:val="252"/>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Bank Reconciliation Statement</w:t>
      </w:r>
      <w:r>
        <w:rPr>
          <w:rFonts w:eastAsia="Segoe UI" w:cs="Segoe UI" w:ascii="Segoe UI" w:hAnsi="Segoe UI"/>
          <w:color w:val="101820"/>
          <w:sz w:val="21"/>
        </w:rPr>
        <w:t xml:space="preserve">: balance per bank statement, deposits in transit, outstanding cheques and bank errors give the adjusted bank balance; balance per books, bank credits and charges not yet booked and book errors give the adjusted book balance. The </w:t>
      </w:r>
      <w:r>
        <w:rPr>
          <w:rFonts w:eastAsia="Segoe UI" w:cs="Segoe UI" w:ascii="Segoe UI" w:hAnsi="Segoe UI"/>
          <w:b/>
          <w:color w:val="101820"/>
          <w:sz w:val="21"/>
        </w:rPr>
        <w:t>Difference</w:t>
      </w:r>
      <w:r>
        <w:rPr>
          <w:rFonts w:eastAsia="Segoe UI" w:cs="Segoe UI" w:ascii="Segoe UI" w:hAnsi="Segoe UI"/>
          <w:color w:val="101820"/>
          <w:sz w:val="21"/>
        </w:rPr>
        <w:t xml:space="preserve"> must be PHP 0.00.</w:t>
      </w:r>
    </w:p>
    <w:p>
      <w:pPr>
        <w:pStyle w:val="Normal"/>
        <w:numPr>
          <w:ilvl w:val="0"/>
          <w:numId w:val="253"/>
        </w:numPr>
        <w:spacing w:before="0" w:after="60"/>
        <w:rPr/>
      </w:pPr>
      <w:r>
        <w:rPr>
          <w:rFonts w:eastAsia="Segoe UI" w:cs="Segoe UI" w:ascii="Segoe UI" w:hAnsi="Segoe UI"/>
          <w:color w:val="101820"/>
          <w:sz w:val="21"/>
        </w:rPr>
        <w:t>Prepare it. The figures are frozen and the reconciliation waits for the Accounting Manager's approval.</w:t>
      </w:r>
    </w:p>
    <w:p>
      <w:pPr>
        <w:pStyle w:val="Normal"/>
        <w:jc w:val="center"/>
        <w:rPr/>
      </w:pPr>
      <w:r>
        <w:rPr/>
        <w:drawing>
          <wp:inline distT="0" distB="0" distL="0" distR="0">
            <wp:extent cx="5760085" cy="6211570"/>
            <wp:effectExtent l="0" t="0" r="0" b="0"/>
            <wp:docPr id="114" name="Picture 21212882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2121288294" descr=""/>
                    <pic:cNvPicPr>
                      <a:picLocks noChangeAspect="1" noChangeArrowheads="1"/>
                    </pic:cNvPicPr>
                  </pic:nvPicPr>
                  <pic:blipFill>
                    <a:blip r:embed="rId110"/>
                    <a:stretch>
                      <a:fillRect/>
                    </a:stretch>
                  </pic:blipFill>
                  <pic:spPr bwMode="auto">
                    <a:xfrm>
                      <a:off x="0" y="0"/>
                      <a:ext cx="5760085" cy="6211570"/>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Statement BRC-2026-00005</w:t>
      </w:r>
    </w:p>
    <w:p>
      <w:pPr>
        <w:pStyle w:val="Normal"/>
        <w:spacing w:lineRule="auto" w:line="276" w:before="0" w:after="120"/>
        <w:rPr/>
      </w:pPr>
      <w:r>
        <w:rPr>
          <w:rFonts w:eastAsia="Segoe UI" w:cs="Segoe UI" w:ascii="Segoe UI" w:hAnsi="Segoe UI"/>
          <w:b/>
          <w:color w:val="101820"/>
          <w:sz w:val="21"/>
        </w:rPr>
        <w:t>Print PDF</w:t>
      </w:r>
      <w:r>
        <w:rPr>
          <w:rFonts w:eastAsia="Segoe UI" w:cs="Segoe UI" w:ascii="Segoe UI" w:hAnsi="Segoe UI"/>
          <w:color w:val="101820"/>
          <w:sz w:val="21"/>
        </w:rPr>
        <w:t xml:space="preserve"> prints the statement on the company letterhead. The reports </w:t>
      </w:r>
      <w:r>
        <w:rPr>
          <w:rFonts w:eastAsia="Segoe UI" w:cs="Segoe UI" w:ascii="Segoe UI" w:hAnsi="Segoe UI"/>
          <w:b/>
          <w:color w:val="101820"/>
          <w:sz w:val="21"/>
        </w:rPr>
        <w:t>Reconciliation Statement Report</w:t>
      </w:r>
      <w:r>
        <w:rPr>
          <w:rFonts w:eastAsia="Segoe UI" w:cs="Segoe UI" w:ascii="Segoe UI" w:hAnsi="Segoe UI"/>
          <w:color w:val="101820"/>
          <w:sz w:val="21"/>
        </w:rPr>
        <w:t xml:space="preserve">, </w:t>
      </w:r>
      <w:r>
        <w:rPr>
          <w:rFonts w:eastAsia="Segoe UI" w:cs="Segoe UI" w:ascii="Segoe UI" w:hAnsi="Segoe UI"/>
          <w:b/>
          <w:color w:val="101820"/>
          <w:sz w:val="21"/>
        </w:rPr>
        <w:t>Outstanding Cheques</w:t>
      </w:r>
      <w:r>
        <w:rPr>
          <w:rFonts w:eastAsia="Segoe UI" w:cs="Segoe UI" w:ascii="Segoe UI" w:hAnsi="Segoe UI"/>
          <w:color w:val="101820"/>
          <w:sz w:val="21"/>
        </w:rPr>
        <w:t xml:space="preserve">, </w:t>
      </w:r>
      <w:r>
        <w:rPr>
          <w:rFonts w:eastAsia="Segoe UI" w:cs="Segoe UI" w:ascii="Segoe UI" w:hAnsi="Segoe UI"/>
          <w:b/>
          <w:color w:val="101820"/>
          <w:sz w:val="21"/>
        </w:rPr>
        <w:t>Deposits in Transit</w:t>
      </w:r>
      <w:r>
        <w:rPr>
          <w:rFonts w:eastAsia="Segoe UI" w:cs="Segoe UI" w:ascii="Segoe UI" w:hAnsi="Segoe UI"/>
          <w:color w:val="101820"/>
          <w:sz w:val="21"/>
        </w:rPr>
        <w:t xml:space="preserve">, </w:t>
      </w:r>
      <w:r>
        <w:rPr>
          <w:rFonts w:eastAsia="Segoe UI" w:cs="Segoe UI" w:ascii="Segoe UI" w:hAnsi="Segoe UI"/>
          <w:b/>
          <w:color w:val="101820"/>
          <w:sz w:val="21"/>
        </w:rPr>
        <w:t>Unmatched Bank Lines</w:t>
      </w:r>
      <w:r>
        <w:rPr>
          <w:rFonts w:eastAsia="Segoe UI" w:cs="Segoe UI" w:ascii="Segoe UI" w:hAnsi="Segoe UI"/>
          <w:color w:val="101820"/>
          <w:sz w:val="21"/>
        </w:rPr>
        <w:t xml:space="preserve"> and </w:t>
      </w:r>
      <w:r>
        <w:rPr>
          <w:rFonts w:eastAsia="Segoe UI" w:cs="Segoe UI" w:ascii="Segoe UI" w:hAnsi="Segoe UI"/>
          <w:b/>
          <w:color w:val="101820"/>
          <w:sz w:val="21"/>
        </w:rPr>
        <w:t>Bank Book</w:t>
      </w:r>
      <w:r>
        <w:rPr>
          <w:rFonts w:eastAsia="Segoe UI" w:cs="Segoe UI" w:ascii="Segoe UI" w:hAnsi="Segoe UI"/>
          <w:color w:val="101820"/>
          <w:sz w:val="21"/>
        </w:rPr>
        <w:t xml:space="preserve"> run for any bank account and date.</w:t>
      </w:r>
    </w:p>
    <w:p>
      <w:pPr>
        <w:pStyle w:val="Heading2"/>
        <w:rPr/>
      </w:pPr>
      <w:bookmarkStart w:id="109" w:name="__RefHeading___Toc107473_4049217194"/>
      <w:bookmarkEnd w:id="109"/>
      <w:r>
        <w:rPr>
          <w:rFonts w:eastAsia="Segoe UI" w:cs="Segoe UI"/>
          <w:b/>
          <w:color w:val="0F4761"/>
          <w:sz w:val="26"/>
        </w:rPr>
        <w:t>11.16  Insurer statement reconciliation</w:t>
      </w:r>
    </w:p>
    <w:p>
      <w:pPr>
        <w:pStyle w:val="Normal"/>
        <w:jc w:val="center"/>
        <w:rPr/>
      </w:pPr>
      <w:r>
        <w:rPr/>
        <w:drawing>
          <wp:inline distT="0" distB="0" distL="0" distR="0">
            <wp:extent cx="5760085" cy="4295140"/>
            <wp:effectExtent l="0" t="0" r="0" b="0"/>
            <wp:docPr id="115" name="Picture 21212882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121288295" descr=""/>
                    <pic:cNvPicPr>
                      <a:picLocks noChangeAspect="1" noChangeArrowheads="1"/>
                    </pic:cNvPicPr>
                  </pic:nvPicPr>
                  <pic:blipFill>
                    <a:blip r:embed="rId111"/>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Insurer Reconciliation &gt; Insurer Statements</w:t>
      </w:r>
    </w:p>
    <w:p>
      <w:pPr>
        <w:pStyle w:val="Normal"/>
        <w:spacing w:lineRule="auto" w:line="276" w:before="0" w:after="120"/>
        <w:rPr/>
      </w:pPr>
      <w:r>
        <w:rPr>
          <w:rFonts w:eastAsia="Segoe UI" w:cs="Segoe UI" w:ascii="Segoe UI" w:hAnsi="Segoe UI"/>
          <w:color w:val="101820"/>
          <w:sz w:val="21"/>
        </w:rPr>
        <w:t>Insurers send statements of account: premium remittance confirmations (broker-billed premium the insurer received) and commission statements (direct-bill commission the insurer recognises). BrokerVerse matches them to the remittances, debit notes and policies.</w:t>
      </w:r>
    </w:p>
    <w:p>
      <w:pPr>
        <w:pStyle w:val="Normal"/>
        <w:numPr>
          <w:ilvl w:val="0"/>
          <w:numId w:val="25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Statement type</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Insurer reference</w:t>
      </w:r>
      <w:r>
        <w:rPr>
          <w:rFonts w:eastAsia="Segoe UI" w:cs="Segoe UI" w:ascii="Segoe UI" w:hAnsi="Segoe UI"/>
          <w:color w:val="101820"/>
          <w:sz w:val="21"/>
        </w:rPr>
        <w:t xml:space="preserve">, the </w:t>
      </w:r>
      <w:r>
        <w:rPr>
          <w:rFonts w:eastAsia="Segoe UI" w:cs="Segoe UI" w:ascii="Segoe UI" w:hAnsi="Segoe UI"/>
          <w:b/>
          <w:color w:val="101820"/>
          <w:sz w:val="21"/>
        </w:rPr>
        <w:t>Tolerance (PHP)</w:t>
      </w:r>
      <w:r>
        <w:rPr>
          <w:rFonts w:eastAsia="Segoe UI" w:cs="Segoe UI" w:ascii="Segoe UI" w:hAnsi="Segoe UI"/>
          <w:color w:val="101820"/>
          <w:sz w:val="21"/>
        </w:rPr>
        <w:t xml:space="preserve"> (default PHP 1.00, </w:t>
      </w:r>
      <w:r>
        <w:rPr>
          <w:rFonts w:eastAsia="Consolas" w:cs="Consolas" w:ascii="Consolas" w:hAnsi="Consolas"/>
          <w:color w:val="101820"/>
          <w:sz w:val="19"/>
        </w:rPr>
        <w:t>insurer_reconciliation.amount_tolerance</w:t>
      </w:r>
      <w:r>
        <w:rPr>
          <w:rFonts w:eastAsia="Segoe UI" w:cs="Segoe UI" w:ascii="Segoe UI" w:hAnsi="Segoe UI"/>
          <w:color w:val="101820"/>
          <w:sz w:val="21"/>
        </w:rPr>
        <w:t xml:space="preserve">), the </w:t>
      </w:r>
      <w:r>
        <w:rPr>
          <w:rFonts w:eastAsia="Segoe UI" w:cs="Segoe UI" w:ascii="Segoe UI" w:hAnsi="Segoe UI"/>
          <w:b/>
          <w:color w:val="101820"/>
          <w:sz w:val="21"/>
        </w:rPr>
        <w:t>Statement format</w:t>
      </w:r>
      <w:r>
        <w:rPr>
          <w:rFonts w:eastAsia="Segoe UI" w:cs="Segoe UI" w:ascii="Segoe UI" w:hAnsi="Segoe UI"/>
          <w:color w:val="101820"/>
          <w:sz w:val="21"/>
        </w:rPr>
        <w:t xml:space="preserve"> (the insurer's own, else generic) and the </w:t>
      </w:r>
      <w:r>
        <w:rPr>
          <w:rFonts w:eastAsia="Segoe UI" w:cs="Segoe UI" w:ascii="Segoe UI" w:hAnsi="Segoe UI"/>
          <w:b/>
          <w:color w:val="101820"/>
          <w:sz w:val="21"/>
        </w:rPr>
        <w:t>File (CSV or XLSX)</w:t>
      </w:r>
      <w:r>
        <w:rPr>
          <w:rFonts w:eastAsia="Segoe UI" w:cs="Segoe UI" w:ascii="Segoe UI" w:hAnsi="Segoe UI"/>
          <w:color w:val="101820"/>
          <w:sz w:val="21"/>
        </w:rPr>
        <w:t>.</w:t>
      </w:r>
    </w:p>
    <w:p>
      <w:pPr>
        <w:pStyle w:val="Normal"/>
        <w:numPr>
          <w:ilvl w:val="0"/>
          <w:numId w:val="25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then </w:t>
      </w:r>
      <w:r>
        <w:rPr>
          <w:rFonts w:eastAsia="Segoe UI" w:cs="Segoe UI" w:ascii="Segoe UI" w:hAnsi="Segoe UI"/>
          <w:b/>
          <w:color w:val="101820"/>
          <w:sz w:val="21"/>
        </w:rPr>
        <w:t>Import and match</w:t>
      </w:r>
      <w:r>
        <w:rPr>
          <w:rFonts w:eastAsia="Segoe UI" w:cs="Segoe UI" w:ascii="Segoe UI" w:hAnsi="Segoe UI"/>
          <w:color w:val="101820"/>
          <w:sz w:val="21"/>
        </w:rPr>
        <w:t>. The statement gets its number (ISR-YYYY-NNNNN).</w:t>
      </w:r>
    </w:p>
    <w:p>
      <w:pPr>
        <w:pStyle w:val="Normal"/>
        <w:numPr>
          <w:ilvl w:val="0"/>
          <w:numId w:val="256"/>
        </w:numPr>
        <w:spacing w:before="0" w:after="60"/>
        <w:rPr/>
      </w:pPr>
      <w:r>
        <w:rPr>
          <w:rFonts w:eastAsia="Segoe UI" w:cs="Segoe UI" w:ascii="Segoe UI" w:hAnsi="Segoe UI"/>
          <w:color w:val="101820"/>
          <w:sz w:val="21"/>
        </w:rPr>
        <w:t xml:space="preserve">Open the statement. The counts show </w:t>
      </w:r>
      <w:r>
        <w:rPr>
          <w:rFonts w:eastAsia="Segoe UI" w:cs="Segoe UI" w:ascii="Segoe UI" w:hAnsi="Segoe UI"/>
          <w:b/>
          <w:color w:val="101820"/>
          <w:sz w:val="21"/>
        </w:rPr>
        <w:t>Lines</w:t>
      </w:r>
      <w:r>
        <w:rPr>
          <w:rFonts w:eastAsia="Segoe UI" w:cs="Segoe UI" w:ascii="Segoe UI" w:hAnsi="Segoe UI"/>
          <w:color w:val="101820"/>
          <w:sz w:val="21"/>
        </w:rPr>
        <w:t xml:space="preserve">, </w:t>
      </w:r>
      <w:r>
        <w:rPr>
          <w:rFonts w:eastAsia="Segoe UI" w:cs="Segoe UI" w:ascii="Segoe UI" w:hAnsi="Segoe UI"/>
          <w:b/>
          <w:color w:val="101820"/>
          <w:sz w:val="21"/>
        </w:rPr>
        <w:t>Matched</w:t>
      </w:r>
      <w:r>
        <w:rPr>
          <w:rFonts w:eastAsia="Segoe UI" w:cs="Segoe UI" w:ascii="Segoe UI" w:hAnsi="Segoe UI"/>
          <w:color w:val="101820"/>
          <w:sz w:val="21"/>
        </w:rPr>
        <w:t xml:space="preserve">, </w:t>
      </w:r>
      <w:r>
        <w:rPr>
          <w:rFonts w:eastAsia="Segoe UI" w:cs="Segoe UI" w:ascii="Segoe UI" w:hAnsi="Segoe UI"/>
          <w:b/>
          <w:color w:val="101820"/>
          <w:sz w:val="21"/>
        </w:rPr>
        <w:t>Amount differences</w:t>
      </w:r>
      <w:r>
        <w:rPr>
          <w:rFonts w:eastAsia="Segoe UI" w:cs="Segoe UI" w:ascii="Segoe UI" w:hAnsi="Segoe UI"/>
          <w:color w:val="101820"/>
          <w:sz w:val="21"/>
        </w:rPr>
        <w:t xml:space="preserve">, </w:t>
      </w:r>
      <w:r>
        <w:rPr>
          <w:rFonts w:eastAsia="Segoe UI" w:cs="Segoe UI" w:ascii="Segoe UI" w:hAnsi="Segoe UI"/>
          <w:b/>
          <w:color w:val="101820"/>
          <w:sz w:val="21"/>
        </w:rPr>
        <w:t>Not found at the broker</w:t>
      </w:r>
      <w:r>
        <w:rPr>
          <w:rFonts w:eastAsia="Segoe UI" w:cs="Segoe UI" w:ascii="Segoe UI" w:hAnsi="Segoe UI"/>
          <w:color w:val="101820"/>
          <w:sz w:val="21"/>
        </w:rPr>
        <w:t xml:space="preserve">, </w:t>
      </w:r>
      <w:r>
        <w:rPr>
          <w:rFonts w:eastAsia="Segoe UI" w:cs="Segoe UI" w:ascii="Segoe UI" w:hAnsi="Segoe UI"/>
          <w:b/>
          <w:color w:val="101820"/>
          <w:sz w:val="21"/>
        </w:rPr>
        <w:t>Missing on the statement</w:t>
      </w:r>
      <w:r>
        <w:rPr>
          <w:rFonts w:eastAsia="Segoe UI" w:cs="Segoe UI" w:ascii="Segoe UI" w:hAnsi="Segoe UI"/>
          <w:color w:val="101820"/>
          <w:sz w:val="21"/>
        </w:rPr>
        <w:t xml:space="preserve"> and </w:t>
      </w:r>
      <w:r>
        <w:rPr>
          <w:rFonts w:eastAsia="Segoe UI" w:cs="Segoe UI" w:ascii="Segoe UI" w:hAnsi="Segoe UI"/>
          <w:b/>
          <w:color w:val="101820"/>
          <w:sz w:val="21"/>
        </w:rPr>
        <w:t>Unresolved</w:t>
      </w:r>
      <w:r>
        <w:rPr>
          <w:rFonts w:eastAsia="Segoe UI" w:cs="Segoe UI" w:ascii="Segoe UI" w:hAnsi="Segoe UI"/>
          <w:color w:val="101820"/>
          <w:sz w:val="21"/>
        </w:rPr>
        <w:t>. Resolve each difference (for example accept the insurer's commission and post the adjustment).</w:t>
      </w:r>
    </w:p>
    <w:p>
      <w:pPr>
        <w:pStyle w:val="Normal"/>
        <w:numPr>
          <w:ilvl w:val="0"/>
          <w:numId w:val="257"/>
        </w:numPr>
        <w:spacing w:before="0" w:after="60"/>
        <w:rPr/>
      </w:pPr>
      <w:r>
        <w:rPr>
          <w:rFonts w:eastAsia="Segoe UI" w:cs="Segoe UI" w:ascii="Segoe UI" w:hAnsi="Segoe UI"/>
          <w:color w:val="101820"/>
          <w:sz w:val="21"/>
        </w:rPr>
        <w:t>Submit it for approval. Every difference must be resolved first (</w:t>
      </w:r>
      <w:r>
        <w:rPr>
          <w:rFonts w:eastAsia="Consolas" w:cs="Consolas" w:ascii="Consolas" w:hAnsi="Consolas"/>
          <w:color w:val="101820"/>
          <w:sz w:val="19"/>
        </w:rPr>
        <w:t>insurer_reconciliation.require_resolved</w:t>
      </w:r>
      <w:r>
        <w:rPr>
          <w:rFonts w:eastAsia="Segoe UI" w:cs="Segoe UI" w:ascii="Segoe UI" w:hAnsi="Segoe UI"/>
          <w:color w:val="101820"/>
          <w:sz w:val="21"/>
        </w:rPr>
        <w:t>). The Accounting Manager approves it.</w:t>
      </w:r>
    </w:p>
    <w:p>
      <w:pPr>
        <w:pStyle w:val="Normal"/>
        <w:jc w:val="center"/>
        <w:rPr/>
      </w:pPr>
      <w:r>
        <w:rPr/>
        <w:drawing>
          <wp:inline distT="0" distB="0" distL="0" distR="0">
            <wp:extent cx="5760085" cy="3858260"/>
            <wp:effectExtent l="0" t="0" r="0" b="0"/>
            <wp:docPr id="116" name="Picture 21212882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21288296" descr=""/>
                    <pic:cNvPicPr>
                      <a:picLocks noChangeAspect="1" noChangeArrowheads="1"/>
                    </pic:cNvPicPr>
                  </pic:nvPicPr>
                  <pic:blipFill>
                    <a:blip r:embed="rId112"/>
                    <a:stretch>
                      <a:fillRect/>
                    </a:stretch>
                  </pic:blipFill>
                  <pic:spPr bwMode="auto">
                    <a:xfrm>
                      <a:off x="0" y="0"/>
                      <a:ext cx="5760085" cy="3858260"/>
                    </a:xfrm>
                    <a:prstGeom prst="rect">
                      <a:avLst/>
                    </a:prstGeom>
                  </pic:spPr>
                </pic:pic>
              </a:graphicData>
            </a:graphic>
          </wp:inline>
        </w:drawing>
      </w:r>
    </w:p>
    <w:p>
      <w:pPr>
        <w:pStyle w:val="Normal"/>
        <w:jc w:val="center"/>
        <w:rPr/>
      </w:pPr>
      <w:r>
        <w:rPr>
          <w:rFonts w:eastAsia="Segoe UI" w:cs="Segoe UI" w:ascii="Segoe UI" w:hAnsi="Segoe UI"/>
          <w:i/>
          <w:color w:val="555F6D"/>
          <w:sz w:val="18"/>
        </w:rPr>
        <w:t>An insurer statement with its differences</w:t>
      </w:r>
    </w:p>
    <w:p>
      <w:pPr>
        <w:pStyle w:val="Heading2"/>
        <w:rPr/>
      </w:pPr>
      <w:bookmarkStart w:id="110" w:name="__RefHeading___Toc107475_4049217194"/>
      <w:bookmarkEnd w:id="110"/>
      <w:r>
        <w:rPr>
          <w:rFonts w:eastAsia="Segoe UI" w:cs="Segoe UI"/>
          <w:b/>
          <w:color w:val="0F4761"/>
          <w:sz w:val="26"/>
        </w:rPr>
        <w:t>11.17  Tax: BIR forms and returns</w:t>
      </w:r>
    </w:p>
    <w:p>
      <w:pPr>
        <w:pStyle w:val="Normal"/>
        <w:jc w:val="center"/>
        <w:rPr/>
      </w:pPr>
      <w:r>
        <w:rPr/>
        <w:drawing>
          <wp:inline distT="0" distB="0" distL="0" distR="0">
            <wp:extent cx="5760085" cy="3257550"/>
            <wp:effectExtent l="0" t="0" r="0" b="0"/>
            <wp:docPr id="117" name="Picture 21212882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2121288297" descr=""/>
                    <pic:cNvPicPr>
                      <a:picLocks noChangeAspect="1" noChangeArrowheads="1"/>
                    </pic:cNvPicPr>
                  </pic:nvPicPr>
                  <pic:blipFill>
                    <a:blip r:embed="rId113"/>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BIR Form 2307</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Tax)</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produces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Certificates of Creditable Tax Withheld at Source per payee and quarter: </w:t>
            </w:r>
            <w:r>
              <w:rPr>
                <w:rFonts w:eastAsia="Segoe UI" w:cs="Segoe UI" w:ascii="Segoe UI" w:hAnsi="Segoe UI"/>
                <w:b/>
                <w:color w:val="101820"/>
                <w:kern w:val="0"/>
                <w:sz w:val="18"/>
                <w:szCs w:val="24"/>
                <w:lang w:val="en-US" w:eastAsia="ja-JP" w:bidi="ar-SA"/>
              </w:rPr>
              <w:t>Issued by us</w:t>
            </w:r>
            <w:r>
              <w:rPr>
                <w:rFonts w:eastAsia="Segoe UI" w:cs="Segoe UI" w:ascii="Segoe UI" w:hAnsi="Segoe UI"/>
                <w:color w:val="101820"/>
                <w:kern w:val="0"/>
                <w:sz w:val="18"/>
                <w:szCs w:val="24"/>
                <w:lang w:val="en-US" w:eastAsia="ja-JP" w:bidi="ar-SA"/>
              </w:rPr>
              <w:t xml:space="preserve"> (tax the broker withheld on payment vouchers) or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(tax insurers and clients withheld from the broker).</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Vatable revenue (commission and fees), output VAT, input VAT and net VAT payable per month or quarter: the working paper for BIR 2550M / 2550Q.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tax withheld from the broker, for the income tax return.</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tax the broker withheld from its payees, for BIR 1601EQ.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Sales, SLSP Purchases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of Purchases.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For BIR Form 2307, choose </w:t>
      </w:r>
      <w:r>
        <w:rPr>
          <w:rFonts w:eastAsia="Segoe UI" w:cs="Segoe UI" w:ascii="Segoe UI" w:hAnsi="Segoe UI"/>
          <w:b/>
          <w:color w:val="101820"/>
          <w:sz w:val="21"/>
        </w:rPr>
        <w:t>Issued by us</w:t>
      </w:r>
      <w:r>
        <w:rPr>
          <w:rFonts w:eastAsia="Segoe UI" w:cs="Segoe UI" w:ascii="Segoe UI" w:hAnsi="Segoe UI"/>
          <w:color w:val="101820"/>
          <w:sz w:val="21"/>
        </w:rPr>
        <w:t xml:space="preserve"> or </w:t>
      </w:r>
      <w:r>
        <w:rPr>
          <w:rFonts w:eastAsia="Segoe UI" w:cs="Segoe UI" w:ascii="Segoe UI" w:hAnsi="Segoe UI"/>
          <w:b/>
          <w:color w:val="101820"/>
          <w:sz w:val="21"/>
        </w:rPr>
        <w:t>Received</w:t>
      </w:r>
      <w:r>
        <w:rPr>
          <w:rFonts w:eastAsia="Segoe UI" w:cs="Segoe UI" w:ascii="Segoe UI" w:hAnsi="Segoe UI"/>
          <w:color w:val="101820"/>
          <w:sz w:val="21"/>
        </w:rPr>
        <w:t xml:space="preserve">, the year and the quarter. The list shows each payee with </w:t>
      </w:r>
      <w:r>
        <w:rPr>
          <w:rFonts w:eastAsia="Segoe UI" w:cs="Segoe UI" w:ascii="Segoe UI" w:hAnsi="Segoe UI"/>
          <w:b/>
          <w:color w:val="101820"/>
          <w:sz w:val="21"/>
        </w:rPr>
        <w:t>Taxpayer Identification Number (TIN)</w:t>
      </w:r>
      <w:r>
        <w:rPr>
          <w:rFonts w:eastAsia="Segoe UI" w:cs="Segoe UI" w:ascii="Segoe UI" w:hAnsi="Segoe UI"/>
          <w:color w:val="101820"/>
          <w:sz w:val="21"/>
        </w:rPr>
        <w:t xml:space="preserve">, </w:t>
      </w:r>
      <w:r>
        <w:rPr>
          <w:rFonts w:eastAsia="Segoe UI" w:cs="Segoe UI" w:ascii="Segoe UI" w:hAnsi="Segoe UI"/>
          <w:b/>
          <w:color w:val="101820"/>
          <w:sz w:val="21"/>
        </w:rPr>
        <w:t>ATC</w:t>
      </w:r>
      <w:r>
        <w:rPr>
          <w:rFonts w:eastAsia="Segoe UI" w:cs="Segoe UI" w:ascii="Segoe UI" w:hAnsi="Segoe UI"/>
          <w:color w:val="101820"/>
          <w:sz w:val="21"/>
        </w:rPr>
        <w:t xml:space="preserve">, </w:t>
      </w:r>
      <w:r>
        <w:rPr>
          <w:rFonts w:eastAsia="Segoe UI" w:cs="Segoe UI" w:ascii="Segoe UI" w:hAnsi="Segoe UI"/>
          <w:b/>
          <w:color w:val="101820"/>
          <w:sz w:val="21"/>
        </w:rPr>
        <w:t>Transactions</w:t>
      </w:r>
      <w:r>
        <w:rPr>
          <w:rFonts w:eastAsia="Segoe UI" w:cs="Segoe UI" w:ascii="Segoe UI" w:hAnsi="Segoe UI"/>
          <w:color w:val="101820"/>
          <w:sz w:val="21"/>
        </w:rPr>
        <w:t xml:space="preserve">, </w:t>
      </w:r>
      <w:r>
        <w:rPr>
          <w:rFonts w:eastAsia="Segoe UI" w:cs="Segoe UI" w:ascii="Segoe UI" w:hAnsi="Segoe UI"/>
          <w:b/>
          <w:color w:val="101820"/>
          <w:sz w:val="21"/>
        </w:rPr>
        <w:t>Income payments subject to expanded withholding tax</w:t>
      </w:r>
      <w:r>
        <w:rPr>
          <w:rFonts w:eastAsia="Segoe UI" w:cs="Segoe UI" w:ascii="Segoe UI" w:hAnsi="Segoe UI"/>
          <w:color w:val="101820"/>
          <w:sz w:val="21"/>
        </w:rPr>
        <w:t xml:space="preserve">, </w:t>
      </w:r>
      <w:r>
        <w:rPr>
          <w:rFonts w:eastAsia="Segoe UI" w:cs="Segoe UI" w:ascii="Segoe UI" w:hAnsi="Segoe UI"/>
          <w:b/>
          <w:color w:val="101820"/>
          <w:sz w:val="21"/>
        </w:rPr>
        <w:t>Tax withheld for the quarter</w:t>
      </w:r>
      <w:r>
        <w:rPr>
          <w:rFonts w:eastAsia="Segoe UI" w:cs="Segoe UI" w:ascii="Segoe UI" w:hAnsi="Segoe UI"/>
          <w:color w:val="101820"/>
          <w:sz w:val="21"/>
        </w:rPr>
        <w:t xml:space="preserve"> and </w:t>
      </w:r>
      <w:r>
        <w:rPr>
          <w:rFonts w:eastAsia="Segoe UI" w:cs="Segoe UI" w:ascii="Segoe UI" w:hAnsi="Segoe UI"/>
          <w:b/>
          <w:color w:val="101820"/>
          <w:sz w:val="21"/>
        </w:rPr>
        <w:t>Certificate no.</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see the certificate and issue it: it takes a number from the BIR Form 2307 series (CWT-) and prints on the BIR layout with the broker's details. The ATC per payee type comes from </w:t>
      </w:r>
      <w:r>
        <w:rPr>
          <w:rFonts w:eastAsia="Consolas" w:cs="Consolas" w:ascii="Consolas" w:hAnsi="Consolas"/>
          <w:color w:val="101820"/>
          <w:sz w:val="19"/>
        </w:rPr>
        <w:t>bir.atc_by_payee</w:t>
      </w:r>
      <w:r>
        <w:rPr>
          <w:rFonts w:eastAsia="Segoe UI" w:cs="Segoe UI" w:ascii="Segoe UI" w:hAnsi="Segoe UI"/>
          <w:color w:val="101820"/>
          <w:sz w:val="21"/>
        </w:rPr>
        <w:t xml:space="preserve"> (for example WI515 for agents and sub-agents, WC515 for external referrers). Before the first filing, fill in </w:t>
      </w:r>
      <w:r>
        <w:rPr>
          <w:rFonts w:eastAsia="Consolas" w:cs="Consolas" w:ascii="Consolas" w:hAnsi="Consolas"/>
          <w:color w:val="101820"/>
          <w:sz w:val="19"/>
        </w:rPr>
        <w:t>bir.withholding_agent_tin</w:t>
      </w:r>
      <w:r>
        <w:rPr>
          <w:rFonts w:eastAsia="Segoe UI" w:cs="Segoe UI" w:ascii="Segoe UI" w:hAnsi="Segoe UI"/>
          <w:color w:val="101820"/>
          <w:sz w:val="21"/>
        </w:rPr>
        <w:t xml:space="preserve">, </w:t>
      </w:r>
      <w:r>
        <w:rPr>
          <w:rFonts w:eastAsia="Consolas" w:cs="Consolas" w:ascii="Consolas" w:hAnsi="Consolas"/>
          <w:color w:val="101820"/>
          <w:sz w:val="19"/>
        </w:rPr>
        <w:t>bir.registered_name</w:t>
      </w:r>
      <w:r>
        <w:rPr>
          <w:rFonts w:eastAsia="Segoe UI" w:cs="Segoe UI" w:ascii="Segoe UI" w:hAnsi="Segoe UI"/>
          <w:color w:val="101820"/>
          <w:sz w:val="21"/>
        </w:rPr>
        <w:t xml:space="preserve">, </w:t>
      </w:r>
      <w:r>
        <w:rPr>
          <w:rFonts w:eastAsia="Consolas" w:cs="Consolas" w:ascii="Consolas" w:hAnsi="Consolas"/>
          <w:color w:val="101820"/>
          <w:sz w:val="19"/>
        </w:rPr>
        <w:t>bir.registered_address</w:t>
      </w:r>
      <w:r>
        <w:rPr>
          <w:rFonts w:eastAsia="Segoe UI" w:cs="Segoe UI" w:ascii="Segoe UI" w:hAnsi="Segoe UI"/>
          <w:color w:val="101820"/>
          <w:sz w:val="21"/>
        </w:rPr>
        <w:t xml:space="preserve"> and </w:t>
      </w:r>
      <w:r>
        <w:rPr>
          <w:rFonts w:eastAsia="Consolas" w:cs="Consolas" w:ascii="Consolas" w:hAnsi="Consolas"/>
          <w:color w:val="101820"/>
          <w:sz w:val="19"/>
        </w:rPr>
        <w:t>bir.zip_code</w:t>
      </w:r>
      <w:r>
        <w:rPr>
          <w:rFonts w:eastAsia="Segoe UI" w:cs="Segoe UI" w:ascii="Segoe UI" w:hAnsi="Segoe UI"/>
          <w:color w:val="101820"/>
          <w:sz w:val="21"/>
        </w:rPr>
        <w:t xml:space="preserve"> (Master &gt; Configuration, area Accounting &amp; Tax).</w:t>
      </w:r>
    </w:p>
    <w:p>
      <w:pPr>
        <w:pStyle w:val="Normal"/>
        <w:spacing w:lineRule="auto" w:line="276" w:before="0" w:after="120"/>
        <w:rPr/>
      </w:pPr>
      <w:r>
        <w:rPr>
          <w:rFonts w:eastAsia="Segoe UI" w:cs="Segoe UI" w:ascii="Segoe UI" w:hAnsi="Segoe UI"/>
          <w:color w:val="101820"/>
          <w:sz w:val="21"/>
        </w:rPr>
        <w:t xml:space="preserve">The other tax reports work like every report: choose the criteria and dates, </w:t>
      </w:r>
      <w:r>
        <w:rPr>
          <w:rFonts w:eastAsia="Segoe UI" w:cs="Segoe UI" w:ascii="Segoe UI" w:hAnsi="Segoe UI"/>
          <w:b/>
          <w:color w:val="101820"/>
          <w:sz w:val="21"/>
        </w:rPr>
        <w:t>Preview</w:t>
      </w:r>
      <w:r>
        <w:rPr>
          <w:rFonts w:eastAsia="Segoe UI" w:cs="Segoe UI" w:ascii="Segoe UI" w:hAnsi="Segoe UI"/>
          <w:color w:val="101820"/>
          <w:sz w:val="21"/>
        </w:rPr>
        <w:t xml:space="preserve">, then the file format and </w:t>
      </w:r>
      <w:r>
        <w:rPr>
          <w:rFonts w:eastAsia="Segoe UI" w:cs="Segoe UI" w:ascii="Segoe UI" w:hAnsi="Segoe UI"/>
          <w:b/>
          <w:color w:val="101820"/>
          <w:sz w:val="21"/>
        </w:rPr>
        <w:t>Generate</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The reports give the figures and the alphalists in the BIR column order. Check them against the current BIR format and the eFPS or eBIRForms validation before filing, and confirm the ATCs and rates with your tax adviser.</w:t>
      </w:r>
    </w:p>
    <w:p>
      <w:pPr>
        <w:pStyle w:val="Heading2"/>
        <w:rPr/>
      </w:pPr>
      <w:bookmarkStart w:id="111" w:name="__RefHeading___Toc107477_4049217194"/>
      <w:bookmarkEnd w:id="111"/>
      <w:r>
        <w:rPr>
          <w:rFonts w:eastAsia="Segoe UI" w:cs="Segoe UI"/>
          <w:b/>
          <w:color w:val="0F4761"/>
          <w:sz w:val="26"/>
        </w:rPr>
        <w:t>11.18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Period End)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fiscal year and its periods, soft-close or close a period, and import the go-live opening balances.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month-end steps and checklist of a period and submit the close for approval.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income and expense to retained earnings and carry the balances into the next year.</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templates for journals that repeat and accruals that reverse on day 1 of the next period.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Income statement, balance sheet and trial balance for any dates;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18" name="Picture 21212882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121288298" descr=""/>
                    <pic:cNvPicPr>
                      <a:picLocks noChangeAspect="1" noChangeArrowheads="1"/>
                    </pic:cNvPicPr>
                  </pic:nvPicPr>
                  <pic:blipFill>
                    <a:blip r:embed="rId11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Period Management</w:t>
      </w:r>
    </w:p>
    <w:p>
      <w:pPr>
        <w:pStyle w:val="Normal"/>
        <w:spacing w:lineRule="auto" w:line="276" w:before="0" w:after="120"/>
        <w:rPr/>
      </w:pPr>
      <w:r>
        <w:rPr>
          <w:rFonts w:eastAsia="Segoe UI" w:cs="Segoe UI" w:ascii="Segoe UI" w:hAnsi="Segoe UI"/>
          <w:color w:val="101820"/>
          <w:sz w:val="21"/>
        </w:rPr>
        <w:t>A fiscal year (FY2026) has twelve monthly periods and an adjustment period 13 used by the year-end close. The cards count the periods Open, Soft-closed, Closed and Locked.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Period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post into it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posting rights.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Accounting Manager.</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Accounting Manager reopens it first.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periods of a closed fiscal year are locked.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Import opening balances</w:t>
      </w:r>
      <w:r>
        <w:rPr>
          <w:rFonts w:eastAsia="Segoe UI" w:cs="Segoe UI" w:ascii="Segoe UI" w:hAnsi="Segoe UI"/>
          <w:color w:val="101820"/>
          <w:sz w:val="21"/>
        </w:rPr>
        <w:t xml:space="preserve"> loads the old system's trial balance at the day before go-live (one row per account, debit or credit; debits must equal credits). The balances go into the fiscal year of the go-live date and are read by the trial balance and financial statements; no opening journal is posted.</w:t>
      </w:r>
    </w:p>
    <w:p>
      <w:pPr>
        <w:pStyle w:val="Heading3"/>
        <w:rPr/>
      </w:pPr>
      <w:r>
        <w:rPr>
          <w:rFonts w:eastAsia="Segoe UI" w:cs="Segoe UI"/>
          <w:b/>
          <w:color w:val="0F4761"/>
          <w:sz w:val="23"/>
        </w:rPr>
        <w:t>11.18.1  Run the month-end close (preparer)</w:t>
      </w:r>
    </w:p>
    <w:p>
      <w:pPr>
        <w:pStyle w:val="Normal"/>
        <w:numPr>
          <w:ilvl w:val="0"/>
          <w:numId w:val="258"/>
        </w:numPr>
        <w:spacing w:before="0" w:after="60"/>
        <w:rPr/>
      </w:pPr>
      <w:r>
        <w:rPr>
          <w:rFonts w:eastAsia="Segoe UI" w:cs="Segoe UI" w:ascii="Segoe UI" w:hAnsi="Segoe UI"/>
          <w:color w:val="101820"/>
          <w:sz w:val="21"/>
        </w:rPr>
        <w:t xml:space="preserve">Choose Accounts &gt; Period End &gt; Month-End Close and select </w:t>
      </w:r>
      <w:r>
        <w:rPr>
          <w:rFonts w:eastAsia="Segoe UI" w:cs="Segoe UI" w:ascii="Segoe UI" w:hAnsi="Segoe UI"/>
          <w:b/>
          <w:color w:val="101820"/>
          <w:sz w:val="21"/>
        </w:rPr>
        <w:t>New close run</w:t>
      </w:r>
      <w:r>
        <w:rPr>
          <w:rFonts w:eastAsia="Segoe UI" w:cs="Segoe UI" w:ascii="Segoe UI" w:hAnsi="Segoe UI"/>
          <w:color w:val="101820"/>
          <w:sz w:val="21"/>
        </w:rPr>
        <w:t xml:space="preserve">. Choose the </w:t>
      </w:r>
      <w:r>
        <w:rPr>
          <w:rFonts w:eastAsia="Segoe UI" w:cs="Segoe UI" w:ascii="Segoe UI" w:hAnsi="Segoe UI"/>
          <w:b/>
          <w:color w:val="101820"/>
          <w:sz w:val="21"/>
        </w:rPr>
        <w:t>Period</w:t>
      </w:r>
      <w:r>
        <w:rPr>
          <w:rFonts w:eastAsia="Segoe UI" w:cs="Segoe UI" w:ascii="Segoe UI" w:hAnsi="Segoe UI"/>
          <w:color w:val="101820"/>
          <w:sz w:val="21"/>
        </w:rPr>
        <w:t xml:space="preserve">, add </w:t>
      </w:r>
      <w:r>
        <w:rPr>
          <w:rFonts w:eastAsia="Segoe UI" w:cs="Segoe UI" w:ascii="Segoe UI" w:hAnsi="Segoe UI"/>
          <w:b/>
          <w:color w:val="101820"/>
          <w:sz w:val="21"/>
        </w:rPr>
        <w:t>Remarks</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w:t>
      </w:r>
    </w:p>
    <w:p>
      <w:pPr>
        <w:pStyle w:val="Normal"/>
        <w:numPr>
          <w:ilvl w:val="0"/>
          <w:numId w:val="259"/>
        </w:numPr>
        <w:spacing w:before="0" w:after="60"/>
        <w:rPr/>
      </w:pPr>
      <w:r>
        <w:rPr>
          <w:rFonts w:eastAsia="Segoe UI" w:cs="Segoe UI" w:ascii="Segoe UI" w:hAnsi="Segoe UI"/>
          <w:color w:val="101820"/>
          <w:sz w:val="21"/>
        </w:rPr>
        <w:t>The run (MEC-YYYY-NNNNN) executes its steps in order: (a) Accruals, (b) Recurring journals, (c) Commission deferral (Skipped when off), (d) FX revaluation, (e) Checklist.</w:t>
      </w:r>
    </w:p>
    <w:p>
      <w:pPr>
        <w:pStyle w:val="Normal"/>
        <w:numPr>
          <w:ilvl w:val="0"/>
          <w:numId w:val="260"/>
        </w:numPr>
        <w:spacing w:before="0" w:after="60"/>
        <w:rPr/>
      </w:pPr>
      <w:r>
        <w:rPr>
          <w:rFonts w:eastAsia="Segoe UI" w:cs="Segoe UI" w:ascii="Segoe UI" w:hAnsi="Segoe UI"/>
          <w:color w:val="101820"/>
          <w:sz w:val="21"/>
        </w:rPr>
        <w:t>Read the checklist. Automatic items show Passed, Warning or Failed with the reason. Fix what failed and re-run the checks.</w:t>
      </w:r>
    </w:p>
    <w:p>
      <w:pPr>
        <w:pStyle w:val="Normal"/>
        <w:numPr>
          <w:ilvl w:val="0"/>
          <w:numId w:val="261"/>
        </w:numPr>
        <w:spacing w:before="0" w:after="60"/>
        <w:rPr/>
      </w:pPr>
      <w:r>
        <w:rPr>
          <w:rFonts w:eastAsia="Segoe UI" w:cs="Segoe UI" w:ascii="Segoe UI" w:hAnsi="Segoe UI"/>
          <w:color w:val="101820"/>
          <w:sz w:val="21"/>
        </w:rPr>
        <w:t>Sign off each manual item when it is done, for example the bank reconciliations reviewed and signed off.</w:t>
      </w:r>
    </w:p>
    <w:p>
      <w:pPr>
        <w:pStyle w:val="Normal"/>
        <w:numPr>
          <w:ilvl w:val="0"/>
          <w:numId w:val="262"/>
        </w:numPr>
        <w:spacing w:before="0" w:after="60"/>
        <w:rPr/>
      </w:pPr>
      <w:r>
        <w:rPr>
          <w:rFonts w:eastAsia="Segoe UI" w:cs="Segoe UI" w:ascii="Segoe UI" w:hAnsi="Segoe UI"/>
          <w:color w:val="101820"/>
          <w:sz w:val="21"/>
        </w:rPr>
        <w:t>Submit the close.</w:t>
      </w:r>
    </w:p>
    <w:p>
      <w:pPr>
        <w:pStyle w:val="Normal"/>
        <w:jc w:val="center"/>
        <w:rPr/>
      </w:pPr>
      <w:r>
        <w:rPr/>
        <w:drawing>
          <wp:inline distT="0" distB="0" distL="0" distR="0">
            <wp:extent cx="5760085" cy="4712970"/>
            <wp:effectExtent l="0" t="0" r="0" b="0"/>
            <wp:docPr id="119" name="Picture 21212882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121288299" descr=""/>
                    <pic:cNvPicPr>
                      <a:picLocks noChangeAspect="1" noChangeArrowheads="1"/>
                    </pic:cNvPicPr>
                  </pic:nvPicPr>
                  <pic:blipFill>
                    <a:blip r:embed="rId115"/>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close run</w:t>
      </w:r>
    </w:p>
    <w:p>
      <w:pPr>
        <w:pStyle w:val="Normal"/>
        <w:jc w:val="center"/>
        <w:rPr/>
      </w:pPr>
      <w:r>
        <w:rPr/>
        <w:drawing>
          <wp:inline distT="0" distB="0" distL="0" distR="0">
            <wp:extent cx="5760085" cy="6951345"/>
            <wp:effectExtent l="0" t="0" r="0" b="0"/>
            <wp:docPr id="120" name="Picture 21212883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121288300" descr=""/>
                    <pic:cNvPicPr>
                      <a:picLocks noChangeAspect="1" noChangeArrowheads="1"/>
                    </pic:cNvPicPr>
                  </pic:nvPicPr>
                  <pic:blipFill>
                    <a:blip r:embed="rId116"/>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2026-08: steps and checklist</w:t>
      </w:r>
    </w:p>
    <w:p>
      <w:pPr>
        <w:pStyle w:val="Normal"/>
        <w:spacing w:lineRule="auto" w:line="276" w:before="0" w:after="120"/>
        <w:rPr/>
      </w:pPr>
      <w:r>
        <w:rPr>
          <w:rFonts w:eastAsia="Segoe UI" w:cs="Segoe UI" w:ascii="Segoe UI" w:hAnsi="Segoe UI"/>
          <w:color w:val="101820"/>
          <w:sz w:val="21"/>
        </w:rPr>
        <w:t xml:space="preserve">A blocking item that failed or is not signed off stops the submit; a warning does not. With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on, the Accounting Manager approves the submitted run and the period closes. Rerunning the steps first reverses the run's own earlier journals. The checklist items are kept on Master &gt; Finance &gt; Close Checklist: no unposted or pending journals, trial balance balances, suspense cleared (blocking); no unapplied receipts, bank transactions reconciled, sub-ledgers tie out to the GL, issued policies billed, remittances paid, direct-bill commission billed (warning); and the manual items.</w:t>
      </w:r>
    </w:p>
    <w:p>
      <w:pPr>
        <w:pStyle w:val="Heading3"/>
        <w:rPr/>
      </w:pPr>
      <w:r>
        <w:rPr>
          <w:rFonts w:eastAsia="Segoe UI" w:cs="Segoe UI"/>
          <w:b/>
          <w:color w:val="0F4761"/>
          <w:sz w:val="23"/>
        </w:rPr>
        <w:t>11.18.2  Recurring journals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New template</w:t>
      </w:r>
      <w:r>
        <w:rPr>
          <w:rFonts w:eastAsia="Segoe UI" w:cs="Segoe UI" w:ascii="Segoe UI" w:hAnsi="Segoe UI"/>
          <w:color w:val="101820"/>
          <w:sz w:val="21"/>
        </w:rPr>
        <w:t xml:space="preserve"> and enter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Kind</w:t>
      </w:r>
      <w:r>
        <w:rPr>
          <w:rFonts w:eastAsia="Segoe UI" w:cs="Segoe UI" w:ascii="Segoe UI" w:hAnsi="Segoe UI"/>
          <w:color w:val="101820"/>
          <w:sz w:val="21"/>
        </w:rPr>
        <w:t xml:space="preserve"> (Recurring or accrual), </w:t>
      </w:r>
      <w:r>
        <w:rPr>
          <w:rFonts w:eastAsia="Segoe UI" w:cs="Segoe UI" w:ascii="Segoe UI" w:hAnsi="Segoe UI"/>
          <w:b/>
          <w:color w:val="101820"/>
          <w:sz w:val="21"/>
        </w:rPr>
        <w:t>Frequency</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tick </w:t>
      </w:r>
      <w:r>
        <w:rPr>
          <w:rFonts w:eastAsia="Segoe UI" w:cs="Segoe UI" w:ascii="Segoe UI" w:hAnsi="Segoe UI"/>
          <w:b/>
          <w:color w:val="101820"/>
          <w:sz w:val="21"/>
        </w:rPr>
        <w:t>Post automatically (otherwise pending approval)</w:t>
      </w:r>
      <w:r>
        <w:rPr>
          <w:rFonts w:eastAsia="Segoe UI" w:cs="Segoe UI" w:ascii="Segoe UI" w:hAnsi="Segoe UI"/>
          <w:color w:val="101820"/>
          <w:sz w:val="21"/>
        </w:rPr>
        <w:t xml:space="preserve"> and, for accruals, </w:t>
      </w:r>
      <w:r>
        <w:rPr>
          <w:rFonts w:eastAsia="Segoe UI" w:cs="Segoe UI" w:ascii="Segoe UI" w:hAnsi="Segoe UI"/>
          <w:b/>
          <w:color w:val="101820"/>
          <w:sz w:val="21"/>
        </w:rPr>
        <w:t>Reverse on day 1 of the next period (accruals)</w:t>
      </w:r>
      <w:r>
        <w:rPr>
          <w:rFonts w:eastAsia="Segoe UI" w:cs="Segoe UI" w:ascii="Segoe UI" w:hAnsi="Segoe UI"/>
          <w:color w:val="101820"/>
          <w:sz w:val="21"/>
        </w:rPr>
        <w:t xml:space="preserve">; enter the lines with account, memo, debit and credit until the template balances; select </w:t>
      </w:r>
      <w:r>
        <w:rPr>
          <w:rFonts w:eastAsia="Segoe UI" w:cs="Segoe UI" w:ascii="Segoe UI" w:hAnsi="Segoe UI"/>
          <w:b/>
          <w:color w:val="101820"/>
          <w:sz w:val="21"/>
        </w:rPr>
        <w:t>Save</w:t>
      </w:r>
      <w:r>
        <w:rPr>
          <w:rFonts w:eastAsia="Segoe UI" w:cs="Segoe UI" w:ascii="Segoe UI" w:hAnsi="Segoe UI"/>
          <w:color w:val="101820"/>
          <w:sz w:val="21"/>
        </w:rPr>
        <w:t xml:space="preserve">. Templates post on their next run date through the Recurring journals job (switched off in the delivered set-up) or through the month-end close; </w:t>
      </w:r>
      <w:r>
        <w:rPr>
          <w:rFonts w:eastAsia="Segoe UI" w:cs="Segoe UI" w:ascii="Segoe UI" w:hAnsi="Segoe UI"/>
          <w:b/>
          <w:color w:val="101820"/>
          <w:sz w:val="21"/>
        </w:rPr>
        <w:t>Post due journals now</w:t>
      </w:r>
      <w:r>
        <w:rPr>
          <w:rFonts w:eastAsia="Segoe UI" w:cs="Segoe UI" w:ascii="Segoe UI" w:hAnsi="Segoe UI"/>
          <w:color w:val="101820"/>
          <w:sz w:val="21"/>
        </w:rPr>
        <w:t xml:space="preserve"> posts every template that is due.</w:t>
      </w:r>
    </w:p>
    <w:p>
      <w:pPr>
        <w:pStyle w:val="Normal"/>
        <w:jc w:val="center"/>
        <w:rPr/>
      </w:pPr>
      <w:r>
        <w:rPr/>
        <w:drawing>
          <wp:inline distT="0" distB="0" distL="0" distR="0">
            <wp:extent cx="5760085" cy="4712970"/>
            <wp:effectExtent l="0" t="0" r="0" b="0"/>
            <wp:docPr id="121" name="Picture 21212883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121288301" descr=""/>
                    <pic:cNvPicPr>
                      <a:picLocks noChangeAspect="1" noChangeArrowheads="1"/>
                    </pic:cNvPicPr>
                  </pic:nvPicPr>
                  <pic:blipFill>
                    <a:blip r:embed="rId117"/>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recurring journal template</w:t>
      </w:r>
    </w:p>
    <w:p>
      <w:pPr>
        <w:pStyle w:val="Heading3"/>
        <w:rPr/>
      </w:pPr>
      <w:r>
        <w:rPr>
          <w:rFonts w:eastAsia="Segoe UI" w:cs="Segoe UI"/>
          <w:b/>
          <w:color w:val="0F4761"/>
          <w:sz w:val="23"/>
        </w:rPr>
        <w:t>11.18.3  Year-end close (preparer)</w:t>
      </w:r>
    </w:p>
    <w:p>
      <w:pPr>
        <w:pStyle w:val="Normal"/>
        <w:spacing w:lineRule="auto" w:line="276" w:before="0" w:after="120"/>
        <w:rPr/>
      </w:pPr>
      <w:r>
        <w:rPr>
          <w:rFonts w:eastAsia="Segoe UI" w:cs="Segoe UI" w:ascii="Segoe UI" w:hAnsi="Segoe UI"/>
          <w:color w:val="101820"/>
          <w:sz w:val="21"/>
        </w:rPr>
        <w:t xml:space="preserve">The year-end close needs all twelve periods closed. Choose the fiscal year and select </w:t>
      </w:r>
      <w:r>
        <w:rPr>
          <w:rFonts w:eastAsia="Segoe UI" w:cs="Segoe UI" w:ascii="Segoe UI" w:hAnsi="Segoe UI"/>
          <w:b/>
          <w:color w:val="101820"/>
          <w:sz w:val="21"/>
        </w:rPr>
        <w:t>Start year-end close</w:t>
      </w:r>
      <w:r>
        <w:rPr>
          <w:rFonts w:eastAsia="Segoe UI" w:cs="Segoe UI" w:ascii="Segoe UI" w:hAnsi="Segoe UI"/>
          <w:color w:val="101820"/>
          <w:sz w:val="21"/>
        </w:rPr>
        <w:t xml:space="preserve">; run the pre-checks; post audit adjustments with </w:t>
      </w:r>
      <w:r>
        <w:rPr>
          <w:rFonts w:eastAsia="Segoe UI" w:cs="Segoe UI" w:ascii="Segoe UI" w:hAnsi="Segoe UI"/>
          <w:b/>
          <w:color w:val="101820"/>
          <w:sz w:val="21"/>
        </w:rPr>
        <w:t>Adjustment journal</w:t>
      </w:r>
      <w:r>
        <w:rPr>
          <w:rFonts w:eastAsia="Segoe UI" w:cs="Segoe UI" w:ascii="Segoe UI" w:hAnsi="Segoe UI"/>
          <w:color w:val="101820"/>
          <w:sz w:val="21"/>
        </w:rPr>
        <w:t xml:space="preserve"> (dated the year end, posted in period 13, approved by a second user). The Accounting Manager closes the year.</w:t>
      </w:r>
    </w:p>
    <w:p>
      <w:pPr>
        <w:pStyle w:val="Heading2"/>
        <w:rPr/>
      </w:pPr>
      <w:bookmarkStart w:id="112" w:name="__RefHeading___Toc107479_4049217194"/>
      <w:bookmarkEnd w:id="112"/>
      <w:r>
        <w:rPr>
          <w:rFonts w:eastAsia="Segoe UI" w:cs="Segoe UI"/>
          <w:b/>
          <w:color w:val="0F4761"/>
          <w:sz w:val="26"/>
        </w:rPr>
        <w:t>11.19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Incentive)</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Programs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programmes with target, achieved, achievement %, potential earning and days left.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 Calculation</w:t>
            </w:r>
            <w:r>
              <w:rPr>
                <w:rFonts w:eastAsia="Segoe UI" w:cs="Segoe UI" w:ascii="Segoe UI" w:hAnsi="Segoe UI"/>
                <w:color w:val="101820"/>
                <w:kern w:val="0"/>
                <w:sz w:val="18"/>
                <w:szCs w:val="24"/>
                <w:lang w:val="en-US" w:eastAsia="ja-JP" w:bidi="ar-SA"/>
              </w:rPr>
              <w:t>: choose the period, the programmes, review and submit. The batch (CALC-YYYY-NNNNN) holds the amount per sales person and goes for approval.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Approve, reject or </w:t>
            </w:r>
            <w:r>
              <w:rPr>
                <w:rFonts w:eastAsia="Segoe UI" w:cs="Segoe UI" w:ascii="Segoe UI" w:hAnsi="Segoe UI"/>
                <w:b/>
                <w:color w:val="101820"/>
                <w:kern w:val="0"/>
                <w:sz w:val="18"/>
                <w:szCs w:val="24"/>
                <w:lang w:val="en-US" w:eastAsia="ja-JP" w:bidi="ar-SA"/>
              </w:rPr>
              <w:t>Bulk Approve</w:t>
            </w:r>
            <w:r>
              <w:rPr>
                <w:rFonts w:eastAsia="Segoe UI" w:cs="Segoe UI" w:ascii="Segoe UI" w:hAnsi="Segoe UI"/>
                <w:color w:val="101820"/>
                <w:kern w:val="0"/>
                <w:sz w:val="18"/>
                <w:szCs w:val="24"/>
                <w:lang w:val="en-US" w:eastAsia="ja-JP" w:bidi="ar-SA"/>
              </w:rPr>
              <w:t xml:space="preserve"> calculation batches of other users.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per sales person and month: earnings, year to date, pending and last payment.</w:t>
            </w:r>
          </w:p>
        </w:tc>
      </w:tr>
    </w:tbl>
    <w:p>
      <w:pPr>
        <w:pStyle w:val="Normal"/>
        <w:spacing w:before="0" w:after="80"/>
        <w:rPr/>
      </w:pPr>
      <w:r>
        <w:rPr/>
      </w:r>
    </w:p>
    <w:p>
      <w:pPr>
        <w:pStyle w:val="Normal"/>
        <w:jc w:val="center"/>
        <w:rPr/>
      </w:pPr>
      <w:r>
        <w:rPr/>
        <w:drawing>
          <wp:inline distT="0" distB="0" distL="0" distR="0">
            <wp:extent cx="5760085" cy="4712970"/>
            <wp:effectExtent l="0" t="0" r="0" b="0"/>
            <wp:docPr id="122" name="Picture 21212883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121288302" descr=""/>
                    <pic:cNvPicPr>
                      <a:picLocks noChangeAspect="1" noChangeArrowheads="1"/>
                    </pic:cNvPicPr>
                  </pic:nvPicPr>
                  <pic:blipFill>
                    <a:blip r:embed="rId118"/>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Incentive Calculation</w:t>
      </w:r>
    </w:p>
    <w:p>
      <w:pPr>
        <w:pStyle w:val="Normal"/>
        <w:spacing w:lineRule="auto" w:line="276" w:before="0" w:after="120"/>
        <w:rPr/>
      </w:pPr>
      <w:r>
        <w:rPr>
          <w:rFonts w:eastAsia="Segoe UI" w:cs="Segoe UI" w:ascii="Segoe UI" w:hAnsi="Segoe UI"/>
          <w:color w:val="101820"/>
          <w:sz w:val="21"/>
        </w:rPr>
        <w:t>Only Sales &amp; Marketing users take part (</w:t>
      </w:r>
      <w:r>
        <w:rPr>
          <w:rFonts w:eastAsia="Consolas" w:cs="Consolas" w:ascii="Consolas" w:hAnsi="Consolas"/>
          <w:color w:val="101820"/>
          <w:sz w:val="19"/>
        </w:rPr>
        <w:t>incentive.eligible_roles</w:t>
      </w:r>
      <w:r>
        <w:rPr>
          <w:rFonts w:eastAsia="Segoe UI" w:cs="Segoe UI" w:ascii="Segoe UI" w:hAnsi="Segoe UI"/>
          <w:color w:val="101820"/>
          <w:sz w:val="21"/>
        </w:rPr>
        <w:t>). Accounting cannot change the programmes it pays; the System Administrator keeps them on Master &gt; Finance &gt; Incentive Programs.</w:t>
      </w:r>
    </w:p>
    <w:p>
      <w:pPr>
        <w:pStyle w:val="Heading2"/>
        <w:rPr/>
      </w:pPr>
      <w:bookmarkStart w:id="113" w:name="__RefHeading___Toc107481_4049217194"/>
      <w:bookmarkEnd w:id="113"/>
      <w:r>
        <w:rPr>
          <w:rFonts w:eastAsia="Segoe UI" w:cs="Segoe UI"/>
          <w:b/>
          <w:color w:val="0F4761"/>
          <w:sz w:val="26"/>
        </w:rPr>
        <w:t>11.20  Finance masters kept by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(Master &gt; Finance)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Accounting does there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tax codes: VAT (output, input, zero-rated, exempt), expanded withholding tax codes with their BIR ATC, final withholding, DST, LGT and premium taxes, each with rate, GL account, what it applies to, effective date and status (</w:t>
            </w:r>
            <w:r>
              <w:rPr>
                <w:rFonts w:eastAsia="Segoe UI" w:cs="Segoe UI" w:ascii="Segoe UI" w:hAnsi="Segoe UI"/>
                <w:b/>
                <w:color w:val="101820"/>
                <w:kern w:val="0"/>
                <w:sz w:val="18"/>
                <w:szCs w:val="24"/>
                <w:lang w:val="en-US" w:eastAsia="ja-JP" w:bidi="ar-SA"/>
              </w:rPr>
              <w:t>Add tax code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checklist items of the month-end close; </w:t>
            </w:r>
            <w:r>
              <w:rPr>
                <w:rFonts w:eastAsia="Segoe UI" w:cs="Segoe UI" w:ascii="Segoe UI" w:hAnsi="Segoe UI"/>
                <w:b/>
                <w:color w:val="101820"/>
                <w:kern w:val="0"/>
                <w:sz w:val="18"/>
                <w:szCs w:val="24"/>
                <w:lang w:val="en-US" w:eastAsia="ja-JP" w:bidi="ar-SA"/>
              </w:rPr>
              <w:t>Add item</w:t>
            </w:r>
            <w:r>
              <w:rPr>
                <w:rFonts w:eastAsia="Segoe UI" w:cs="Segoe UI" w:ascii="Segoe UI" w:hAnsi="Segoe UI"/>
                <w:color w:val="101820"/>
                <w:kern w:val="0"/>
                <w:sz w:val="18"/>
                <w:szCs w:val="24"/>
                <w:lang w:val="en-US" w:eastAsia="ja-JP" w:bidi="ar-SA"/>
              </w:rPr>
              <w:t xml:space="preserve"> for a manual item; make an item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Tell the system how to read each bank's export (columns, date format, title rows, debit and credit columns or one signed column); </w:t>
            </w:r>
            <w:r>
              <w:rPr>
                <w:rFonts w:eastAsia="Segoe UI" w:cs="Segoe UI" w:ascii="Segoe UI" w:hAnsi="Segoe UI"/>
                <w:b/>
                <w:color w:val="101820"/>
                <w:kern w:val="0"/>
                <w:sz w:val="18"/>
                <w:szCs w:val="24"/>
                <w:lang w:val="en-US" w:eastAsia="ja-JP" w:bidi="ar-SA"/>
              </w:rPr>
              <w:t>Add format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Test with a file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items not yet in the books with the account their adjustment posts to, whether it needs approval and the description pattern that suggests the type; the screen also lists the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read each insurer's statement file.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the accounts behind each account role and the journal each event posts. Changes go through Configuration Approvals (Accounting Manager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Module reference.</w:t>
            </w:r>
          </w:p>
        </w:tc>
      </w:tr>
    </w:tbl>
    <w:p>
      <w:pPr>
        <w:pStyle w:val="Normal"/>
        <w:spacing w:before="0" w:after="80"/>
        <w:rPr/>
      </w:pPr>
      <w:r>
        <w:rPr/>
      </w:r>
    </w:p>
    <w:p>
      <w:pPr>
        <w:pStyle w:val="Heading2"/>
        <w:rPr/>
      </w:pPr>
      <w:bookmarkStart w:id="114" w:name="__RefHeading___Toc107483_4049217194"/>
      <w:bookmarkEnd w:id="114"/>
      <w:r>
        <w:rPr>
          <w:rFonts w:eastAsia="Segoe UI" w:cs="Segoe UI"/>
          <w:b/>
          <w:color w:val="0F4761"/>
          <w:sz w:val="26"/>
        </w:rPr>
        <w:t>11.21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 journal vouchers, debit notes, remittances, settlements, adjustments, incentive batches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an Accounting user who is not the maker.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 bank reconciliation, insurer statement reconciliation, warranty extensions,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Needed from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into a soft-closed period, reopening a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only.</w:t>
            </w:r>
          </w:p>
        </w:tc>
      </w:tr>
    </w:tbl>
    <w:p>
      <w:pPr>
        <w:pStyle w:val="Heading1"/>
        <w:rPr/>
      </w:pPr>
      <w:r>
        <w:br w:type="page"/>
      </w:r>
      <w:bookmarkStart w:id="115" w:name="__RefHeading___Toc107485_4049217194"/>
      <w:bookmarkEnd w:id="115"/>
      <w:r>
        <w:rPr>
          <w:rFonts w:eastAsia="Segoe UI" w:cs="Segoe UI" w:ascii="Segoe UI" w:hAnsi="Segoe UI"/>
          <w:b/>
          <w:color w:val="0F4761"/>
          <w:sz w:val="32"/>
        </w:rPr>
        <w:t>12.  Accounting Manager</w:t>
      </w:r>
    </w:p>
    <w:p>
      <w:pPr>
        <w:pStyle w:val="Heading2"/>
        <w:rPr/>
      </w:pPr>
      <w:bookmarkStart w:id="116" w:name="__RefHeading___Toc107487_4049217194"/>
      <w:bookmarkEnd w:id="116"/>
      <w:r>
        <w:rPr>
          <w:rFonts w:eastAsia="Segoe UI" w:cs="Segoe UI"/>
          <w:b/>
          <w:color w:val="0F4761"/>
          <w:sz w:val="26"/>
        </w:rPr>
        <w:t>12.1  Role summary</w:t>
      </w:r>
    </w:p>
    <w:p>
      <w:pPr>
        <w:pStyle w:val="Normal"/>
        <w:spacing w:lineRule="auto" w:line="276" w:before="0" w:after="120"/>
        <w:rPr/>
      </w:pPr>
      <w:r>
        <w:rPr>
          <w:rFonts w:eastAsia="Segoe UI" w:cs="Segoe UI" w:ascii="Segoe UI" w:hAnsi="Segoe UI"/>
          <w:color w:val="101820"/>
          <w:sz w:val="21"/>
        </w:rPr>
        <w:t>The Accounting Manager (role Accounting Manager) holds the Accounting role as well, so the menus and the daily work are the same as Accounting. On top of that the Accounting Manager is the checker of the finance controls: the month-end and year-end close, period control (soft-close, close, reopen, posting into a soft-closed period), bank reconciliations, insurer statement reconciliations, premium warranty extensions and client credit limits, and, with the System Administrator, changes to posting rules and account determination. The Accounting Manager can never approve what he or she prepared.</w:t>
      </w:r>
    </w:p>
    <w:p>
      <w:pPr>
        <w:pStyle w:val="Normal"/>
        <w:jc w:val="center"/>
        <w:rPr/>
      </w:pPr>
      <w:r>
        <w:rPr/>
        <w:drawing>
          <wp:inline distT="0" distB="0" distL="0" distR="0">
            <wp:extent cx="5760085" cy="3599815"/>
            <wp:effectExtent l="0" t="0" r="0" b="0"/>
            <wp:docPr id="123" name="Picture 21212883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2121288303" descr=""/>
                    <pic:cNvPicPr>
                      <a:picLocks noChangeAspect="1" noChangeArrowheads="1"/>
                    </pic:cNvPicPr>
                  </pic:nvPicPr>
                  <pic:blipFill>
                    <a:blip r:embed="rId119"/>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Accounting Manager</w:t>
      </w:r>
    </w:p>
    <w:p>
      <w:pPr>
        <w:pStyle w:val="Heading2"/>
        <w:rPr/>
      </w:pPr>
      <w:bookmarkStart w:id="117" w:name="__RefHeading___Toc107489_4049217194"/>
      <w:bookmarkEnd w:id="117"/>
      <w:r>
        <w:rPr>
          <w:rFonts w:eastAsia="Segoe UI" w:cs="Segoe UI"/>
          <w:b/>
          <w:color w:val="0F4761"/>
          <w:sz w:val="26"/>
        </w:rPr>
        <w:t>12.2  Menus available</w:t>
      </w:r>
    </w:p>
    <w:p>
      <w:pPr>
        <w:pStyle w:val="Normal"/>
        <w:spacing w:lineRule="auto" w:line="276" w:before="0" w:after="120"/>
        <w:rPr/>
      </w:pPr>
      <w:r>
        <w:rPr>
          <w:rFonts w:eastAsia="Segoe UI" w:cs="Segoe UI" w:ascii="Segoe UI" w:hAnsi="Segoe UI"/>
          <w:color w:val="101820"/>
          <w:sz w:val="21"/>
        </w:rPr>
        <w:t>The menus of Accounting (Accounting chapter). The approval buttons described below appear for the Accounting Manager only.</w:t>
      </w:r>
    </w:p>
    <w:p>
      <w:pPr>
        <w:pStyle w:val="Heading2"/>
        <w:rPr/>
      </w:pPr>
      <w:bookmarkStart w:id="118" w:name="__RefHeading___Toc107491_4049217194"/>
      <w:bookmarkEnd w:id="118"/>
      <w:r>
        <w:rPr>
          <w:rFonts w:eastAsia="Segoe UI" w:cs="Segoe UI"/>
          <w:b/>
          <w:color w:val="0F4761"/>
          <w:sz w:val="26"/>
        </w:rPr>
        <w:t>12.3  Daily and periodic tasks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75"/>
        <w:gridCol w:w="383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2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and debit notes of other users when needed</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client credit limits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bank reconciliation of each account</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insurer statement reconciliations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close run and approve the month-end close</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or reopen periods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Period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Configuration Approvals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Year-End Close</w:t>
            </w:r>
          </w:p>
        </w:tc>
      </w:tr>
    </w:tbl>
    <w:p>
      <w:pPr>
        <w:pStyle w:val="Normal"/>
        <w:spacing w:before="0" w:after="80"/>
        <w:rPr/>
      </w:pPr>
      <w:r>
        <w:rPr/>
      </w:r>
    </w:p>
    <w:p>
      <w:pPr>
        <w:pStyle w:val="Heading2"/>
        <w:rPr/>
      </w:pPr>
      <w:bookmarkStart w:id="119" w:name="__RefHeading___Toc107493_4049217194"/>
      <w:bookmarkEnd w:id="119"/>
      <w:r>
        <w:rPr>
          <w:rFonts w:eastAsia="Segoe UI" w:cs="Segoe UI"/>
          <w:b/>
          <w:color w:val="0F4761"/>
          <w:sz w:val="26"/>
        </w:rPr>
        <w:t>12.4  Approve the month-end close</w:t>
      </w:r>
    </w:p>
    <w:p>
      <w:pPr>
        <w:pStyle w:val="Normal"/>
        <w:jc w:val="center"/>
        <w:rPr/>
      </w:pPr>
      <w:r>
        <w:rPr/>
        <w:drawing>
          <wp:inline distT="0" distB="0" distL="0" distR="0">
            <wp:extent cx="5760085" cy="6951345"/>
            <wp:effectExtent l="0" t="0" r="0" b="0"/>
            <wp:docPr id="124" name="Picture 21212883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2121288304" descr=""/>
                    <pic:cNvPicPr>
                      <a:picLocks noChangeAspect="1" noChangeArrowheads="1"/>
                    </pic:cNvPicPr>
                  </pic:nvPicPr>
                  <pic:blipFill>
                    <a:blip r:embed="rId120"/>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run as seen by the Accounting Manager</w:t>
      </w:r>
    </w:p>
    <w:p>
      <w:pPr>
        <w:pStyle w:val="Normal"/>
        <w:numPr>
          <w:ilvl w:val="0"/>
          <w:numId w:val="263"/>
        </w:numPr>
        <w:spacing w:before="0" w:after="60"/>
        <w:rPr/>
      </w:pPr>
      <w:r>
        <w:rPr>
          <w:rFonts w:eastAsia="Segoe UI" w:cs="Segoe UI" w:ascii="Segoe UI" w:hAnsi="Segoe UI"/>
          <w:color w:val="101820"/>
          <w:sz w:val="21"/>
        </w:rPr>
        <w:t>Open the notification, or Accounts &gt; Period End &gt; Month-End Close, and open the submitted run.</w:t>
      </w:r>
    </w:p>
    <w:p>
      <w:pPr>
        <w:pStyle w:val="Normal"/>
        <w:numPr>
          <w:ilvl w:val="0"/>
          <w:numId w:val="264"/>
        </w:numPr>
        <w:spacing w:before="0" w:after="60"/>
        <w:rPr/>
      </w:pPr>
      <w:r>
        <w:rPr>
          <w:rFonts w:eastAsia="Segoe UI" w:cs="Segoe UI" w:ascii="Segoe UI" w:hAnsi="Segoe UI"/>
          <w:color w:val="101820"/>
          <w:sz w:val="21"/>
        </w:rPr>
        <w:t>Check the header (</w:t>
      </w:r>
      <w:r>
        <w:rPr>
          <w:rFonts w:eastAsia="Segoe UI" w:cs="Segoe UI" w:ascii="Segoe UI" w:hAnsi="Segoe UI"/>
          <w:b/>
          <w:color w:val="101820"/>
          <w:sz w:val="21"/>
        </w:rPr>
        <w:t>Run status</w:t>
      </w:r>
      <w:r>
        <w:rPr>
          <w:rFonts w:eastAsia="Segoe UI" w:cs="Segoe UI" w:ascii="Segoe UI" w:hAnsi="Segoe UI"/>
          <w:color w:val="101820"/>
          <w:sz w:val="21"/>
        </w:rPr>
        <w:t xml:space="preserve">, </w:t>
      </w:r>
      <w:r>
        <w:rPr>
          <w:rFonts w:eastAsia="Segoe UI" w:cs="Segoe UI" w:ascii="Segoe UI" w:hAnsi="Segoe UI"/>
          <w:b/>
          <w:color w:val="101820"/>
          <w:sz w:val="21"/>
        </w:rPr>
        <w:t>Period status</w:t>
      </w:r>
      <w:r>
        <w:rPr>
          <w:rFonts w:eastAsia="Segoe UI" w:cs="Segoe UI" w:ascii="Segoe UI" w:hAnsi="Segoe UI"/>
          <w:color w:val="101820"/>
          <w:sz w:val="21"/>
        </w:rPr>
        <w:t xml:space="preserve">, </w:t>
      </w:r>
      <w:r>
        <w:rPr>
          <w:rFonts w:eastAsia="Segoe UI" w:cs="Segoe UI" w:ascii="Segoe UI" w:hAnsi="Segoe UI"/>
          <w:b/>
          <w:color w:val="101820"/>
          <w:sz w:val="21"/>
        </w:rPr>
        <w:t>Prepared by</w:t>
      </w:r>
      <w:r>
        <w:rPr>
          <w:rFonts w:eastAsia="Segoe UI" w:cs="Segoe UI" w:ascii="Segoe UI" w:hAnsi="Segoe UI"/>
          <w:color w:val="101820"/>
          <w:sz w:val="21"/>
        </w:rPr>
        <w:t xml:space="preserve">, </w:t>
      </w:r>
      <w:r>
        <w:rPr>
          <w:rFonts w:eastAsia="Segoe UI" w:cs="Segoe UI" w:ascii="Segoe UI" w:hAnsi="Segoe UI"/>
          <w:b/>
          <w:color w:val="101820"/>
          <w:sz w:val="21"/>
        </w:rPr>
        <w:t>Submitted by</w:t>
      </w:r>
      <w:r>
        <w:rPr>
          <w:rFonts w:eastAsia="Segoe UI" w:cs="Segoe UI" w:ascii="Segoe UI" w:hAnsi="Segoe UI"/>
          <w:color w:val="101820"/>
          <w:sz w:val="21"/>
        </w:rPr>
        <w:t xml:space="preserve">), the </w:t>
      </w:r>
      <w:r>
        <w:rPr>
          <w:rFonts w:eastAsia="Segoe UI" w:cs="Segoe UI" w:ascii="Segoe UI" w:hAnsi="Segoe UI"/>
          <w:b/>
          <w:color w:val="101820"/>
          <w:sz w:val="21"/>
        </w:rPr>
        <w:t>Steps</w:t>
      </w:r>
      <w:r>
        <w:rPr>
          <w:rFonts w:eastAsia="Segoe UI" w:cs="Segoe UI" w:ascii="Segoe UI" w:hAnsi="Segoe UI"/>
          <w:color w:val="101820"/>
          <w:sz w:val="21"/>
        </w:rPr>
        <w:t xml:space="preserve"> and the </w:t>
      </w:r>
      <w:r>
        <w:rPr>
          <w:rFonts w:eastAsia="Segoe UI" w:cs="Segoe UI" w:ascii="Segoe UI" w:hAnsi="Segoe UI"/>
          <w:b/>
          <w:color w:val="101820"/>
          <w:sz w:val="21"/>
        </w:rPr>
        <w:t>Checklist</w:t>
      </w:r>
      <w:r>
        <w:rPr>
          <w:rFonts w:eastAsia="Segoe UI" w:cs="Segoe UI" w:ascii="Segoe UI" w:hAnsi="Segoe UI"/>
          <w:color w:val="101820"/>
          <w:sz w:val="21"/>
        </w:rPr>
        <w:t>: every blocking item passed or signed off, the warnings explained. Read the Month-End Close Status report and the reconciliation statements of the period.</w:t>
      </w:r>
    </w:p>
    <w:p>
      <w:pPr>
        <w:pStyle w:val="Normal"/>
        <w:numPr>
          <w:ilvl w:val="0"/>
          <w:numId w:val="26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close</w:t>
      </w:r>
      <w:r>
        <w:rPr>
          <w:rFonts w:eastAsia="Segoe UI" w:cs="Segoe UI" w:ascii="Segoe UI" w:hAnsi="Segoe UI"/>
          <w:color w:val="101820"/>
          <w:sz w:val="21"/>
        </w:rPr>
        <w:t xml:space="preserve">: the period is closed (message Close approved; the period is closed). Or select </w:t>
      </w:r>
      <w:r>
        <w:rPr>
          <w:rFonts w:eastAsia="Segoe UI" w:cs="Segoe UI" w:ascii="Segoe UI" w:hAnsi="Segoe UI"/>
          <w:b/>
          <w:color w:val="101820"/>
          <w:sz w:val="21"/>
        </w:rPr>
        <w:t>Reject</w:t>
      </w:r>
      <w:r>
        <w:rPr>
          <w:rFonts w:eastAsia="Segoe UI" w:cs="Segoe UI" w:ascii="Segoe UI" w:hAnsi="Segoe UI"/>
          <w:color w:val="101820"/>
          <w:sz w:val="21"/>
        </w:rPr>
        <w:t xml:space="preserve"> with a reason: the run returns to the preparer.</w:t>
      </w:r>
    </w:p>
    <w:p>
      <w:pPr>
        <w:pStyle w:val="Normal"/>
        <w:spacing w:lineRule="auto" w:line="276" w:before="0" w:after="120"/>
        <w:rPr/>
      </w:pPr>
      <w:r>
        <w:rPr>
          <w:rFonts w:eastAsia="Segoe UI" w:cs="Segoe UI" w:ascii="Segoe UI" w:hAnsi="Segoe UI"/>
          <w:color w:val="101820"/>
          <w:sz w:val="21"/>
        </w:rPr>
        <w:t>The approver must be a different user from the preparer.</w:t>
      </w:r>
    </w:p>
    <w:p>
      <w:pPr>
        <w:pStyle w:val="Heading2"/>
        <w:rPr/>
      </w:pPr>
      <w:bookmarkStart w:id="120" w:name="__RefHeading___Toc107495_4049217194"/>
      <w:bookmarkEnd w:id="120"/>
      <w:r>
        <w:rPr>
          <w:rFonts w:eastAsia="Segoe UI" w:cs="Segoe UI"/>
          <w:b/>
          <w:color w:val="0F4761"/>
          <w:sz w:val="26"/>
        </w:rPr>
        <w:t>12.5  Period control</w:t>
      </w:r>
    </w:p>
    <w:p>
      <w:pPr>
        <w:pStyle w:val="Normal"/>
        <w:jc w:val="center"/>
        <w:rPr/>
      </w:pPr>
      <w:r>
        <w:rPr/>
        <w:drawing>
          <wp:inline distT="0" distB="0" distL="0" distR="0">
            <wp:extent cx="5760085" cy="4469130"/>
            <wp:effectExtent l="0" t="0" r="0" b="0"/>
            <wp:docPr id="125" name="Picture 21212883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2121288305" descr=""/>
                    <pic:cNvPicPr>
                      <a:picLocks noChangeAspect="1" noChangeArrowheads="1"/>
                    </pic:cNvPicPr>
                  </pic:nvPicPr>
                  <pic:blipFill>
                    <a:blip r:embed="rId1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Period Management seen by the Accounting Manager, with Reopen on closed periods</w:t>
      </w:r>
    </w:p>
    <w:p>
      <w:pPr>
        <w:pStyle w:val="Normal"/>
        <w:spacing w:lineRule="auto" w:line="276" w:before="0" w:after="120"/>
        <w:rPr/>
      </w:pPr>
      <w:r>
        <w:rPr>
          <w:rFonts w:eastAsia="Segoe UI" w:cs="Segoe UI" w:ascii="Segoe UI" w:hAnsi="Segoe UI"/>
          <w:color w:val="101820"/>
          <w:sz w:val="21"/>
        </w:rPr>
        <w:t xml:space="preserve">On Accounts &gt; Period End &gt; Period Management the </w:t>
      </w:r>
      <w:r>
        <w:rPr>
          <w:rFonts w:eastAsia="Segoe UI" w:cs="Segoe UI" w:ascii="Segoe UI" w:hAnsi="Segoe UI"/>
          <w:b/>
          <w:color w:val="101820"/>
          <w:sz w:val="21"/>
        </w:rPr>
        <w:t>Actions</w:t>
      </w:r>
      <w:r>
        <w:rPr>
          <w:rFonts w:eastAsia="Segoe UI" w:cs="Segoe UI" w:ascii="Segoe UI" w:hAnsi="Segoe UI"/>
          <w:color w:val="101820"/>
          <w:sz w:val="21"/>
        </w:rPr>
        <w:t xml:space="preserve"> column offers </w:t>
      </w:r>
      <w:r>
        <w:rPr>
          <w:rFonts w:eastAsia="Segoe UI" w:cs="Segoe UI" w:ascii="Segoe UI" w:hAnsi="Segoe UI"/>
          <w:b/>
          <w:color w:val="101820"/>
          <w:sz w:val="21"/>
        </w:rPr>
        <w:t>Soft-close</w:t>
      </w:r>
      <w:r>
        <w:rPr>
          <w:rFonts w:eastAsia="Segoe UI" w:cs="Segoe UI" w:ascii="Segoe UI" w:hAnsi="Segoe UI"/>
          <w:color w:val="101820"/>
          <w:sz w:val="21"/>
        </w:rPr>
        <w:t xml:space="preserve"> and </w:t>
      </w:r>
      <w:r>
        <w:rPr>
          <w:rFonts w:eastAsia="Segoe UI" w:cs="Segoe UI" w:ascii="Segoe UI" w:hAnsi="Segoe UI"/>
          <w:b/>
          <w:color w:val="101820"/>
          <w:sz w:val="21"/>
        </w:rPr>
        <w:t>Close</w:t>
      </w:r>
      <w:r>
        <w:rPr>
          <w:rFonts w:eastAsia="Segoe UI" w:cs="Segoe UI" w:ascii="Segoe UI" w:hAnsi="Segoe UI"/>
          <w:color w:val="101820"/>
          <w:sz w:val="21"/>
        </w:rPr>
        <w:t xml:space="preserve"> on open periods and </w:t>
      </w:r>
      <w:r>
        <w:rPr>
          <w:rFonts w:eastAsia="Segoe UI" w:cs="Segoe UI" w:ascii="Segoe UI" w:hAnsi="Segoe UI"/>
          <w:b/>
          <w:color w:val="101820"/>
          <w:sz w:val="21"/>
        </w:rPr>
        <w:t>Reopen</w:t>
      </w:r>
      <w:r>
        <w:rPr>
          <w:rFonts w:eastAsia="Segoe UI" w:cs="Segoe UI" w:ascii="Segoe UI" w:hAnsi="Segoe UI"/>
          <w:color w:val="101820"/>
          <w:sz w:val="21"/>
        </w:rPr>
        <w:t xml:space="preserve"> on closed ones. Every change asks for remarks and is kept in the period history with user and time. Reopening a period and posting into a soft-closed period need the Accounting Manager (permission approve:period-end). Other users who post into a soft-closed period are refused with a message that the period is soft-closed.</w:t>
      </w:r>
    </w:p>
    <w:p>
      <w:pPr>
        <w:pStyle w:val="Heading2"/>
        <w:rPr/>
      </w:pPr>
      <w:bookmarkStart w:id="121" w:name="__RefHeading___Toc107497_4049217194"/>
      <w:bookmarkEnd w:id="121"/>
      <w:r>
        <w:rPr>
          <w:rFonts w:eastAsia="Segoe UI" w:cs="Segoe UI"/>
          <w:b/>
          <w:color w:val="0F4761"/>
          <w:sz w:val="26"/>
        </w:rPr>
        <w:t>12.6  Approve a bank reconciliation</w:t>
      </w:r>
    </w:p>
    <w:p>
      <w:pPr>
        <w:pStyle w:val="Normal"/>
        <w:jc w:val="center"/>
        <w:rPr/>
      </w:pPr>
      <w:r>
        <w:rPr/>
        <w:drawing>
          <wp:inline distT="0" distB="0" distL="0" distR="0">
            <wp:extent cx="5760085" cy="6455410"/>
            <wp:effectExtent l="0" t="0" r="0" b="0"/>
            <wp:docPr id="126" name="Picture 21212883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2121288306" descr=""/>
                    <pic:cNvPicPr>
                      <a:picLocks noChangeAspect="1" noChangeArrowheads="1"/>
                    </pic:cNvPicPr>
                  </pic:nvPicPr>
                  <pic:blipFill>
                    <a:blip r:embed="rId122"/>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prepared bank reconciliation opened by the Accounting Manager</w:t>
      </w:r>
    </w:p>
    <w:p>
      <w:pPr>
        <w:pStyle w:val="Normal"/>
        <w:numPr>
          <w:ilvl w:val="0"/>
          <w:numId w:val="266"/>
        </w:numPr>
        <w:spacing w:before="0" w:after="60"/>
        <w:rPr/>
      </w:pPr>
      <w:r>
        <w:rPr>
          <w:rFonts w:eastAsia="Segoe UI" w:cs="Segoe UI" w:ascii="Segoe UI" w:hAnsi="Segoe UI"/>
          <w:color w:val="101820"/>
          <w:sz w:val="21"/>
        </w:rPr>
        <w:t>Open Accounts &gt; Bank Reconciliation &gt; Reconciliations and the prepared reconciliation.</w:t>
      </w:r>
    </w:p>
    <w:p>
      <w:pPr>
        <w:pStyle w:val="Normal"/>
        <w:numPr>
          <w:ilvl w:val="0"/>
          <w:numId w:val="267"/>
        </w:numPr>
        <w:spacing w:before="0" w:after="60"/>
        <w:rPr/>
      </w:pPr>
      <w:r>
        <w:rPr>
          <w:rFonts w:eastAsia="Segoe UI" w:cs="Segoe UI" w:ascii="Segoe UI" w:hAnsi="Segoe UI"/>
          <w:color w:val="101820"/>
          <w:sz w:val="21"/>
        </w:rPr>
        <w:t xml:space="preserve">Check that the </w:t>
      </w:r>
      <w:r>
        <w:rPr>
          <w:rFonts w:eastAsia="Segoe UI" w:cs="Segoe UI" w:ascii="Segoe UI" w:hAnsi="Segoe UI"/>
          <w:b/>
          <w:color w:val="101820"/>
          <w:sz w:val="21"/>
        </w:rPr>
        <w:t>Difference</w:t>
      </w:r>
      <w:r>
        <w:rPr>
          <w:rFonts w:eastAsia="Segoe UI" w:cs="Segoe UI" w:ascii="Segoe UI" w:hAnsi="Segoe UI"/>
          <w:color w:val="101820"/>
          <w:sz w:val="21"/>
        </w:rPr>
        <w:t xml:space="preserve"> is PHP 0.00, the reconciling items (deposits in transit, outstanding cheques, bank and book errors) and </w:t>
      </w:r>
      <w:r>
        <w:rPr>
          <w:rFonts w:eastAsia="Segoe UI" w:cs="Segoe UI" w:ascii="Segoe UI" w:hAnsi="Segoe UI"/>
          <w:b/>
          <w:color w:val="101820"/>
          <w:sz w:val="21"/>
        </w:rPr>
        <w:t>Prepared by</w:t>
      </w:r>
      <w:r>
        <w:rPr>
          <w:rFonts w:eastAsia="Segoe UI" w:cs="Segoe UI" w:ascii="Segoe UI" w:hAnsi="Segoe UI"/>
          <w:color w:val="101820"/>
          <w:sz w:val="21"/>
        </w:rPr>
        <w:t>.</w:t>
      </w:r>
    </w:p>
    <w:p>
      <w:pPr>
        <w:pStyle w:val="Normal"/>
        <w:numPr>
          <w:ilvl w:val="0"/>
          <w:numId w:val="268"/>
        </w:numPr>
        <w:spacing w:before="0" w:after="60"/>
        <w:rPr/>
      </w:pPr>
      <w:r>
        <w:rPr>
          <w:rFonts w:eastAsia="Segoe UI" w:cs="Segoe UI" w:ascii="Segoe UI" w:hAnsi="Segoe UI"/>
          <w:color w:val="101820"/>
          <w:sz w:val="21"/>
        </w:rPr>
        <w:t>Approve the reconciliation. Approving locks every match cleared up to the period end. You cannot approve a reconciliation you prepared.</w:t>
      </w:r>
    </w:p>
    <w:p>
      <w:pPr>
        <w:pStyle w:val="Normal"/>
        <w:spacing w:lineRule="auto" w:line="276" w:before="0" w:after="120"/>
        <w:rPr/>
      </w:pPr>
      <w:r>
        <w:rPr>
          <w:rFonts w:eastAsia="Segoe UI" w:cs="Segoe UI" w:ascii="Segoe UI" w:hAnsi="Segoe UI"/>
          <w:color w:val="101820"/>
          <w:sz w:val="21"/>
        </w:rPr>
        <w:t>An approved reconciliation can be reopened with remarks (</w:t>
      </w:r>
      <w:r>
        <w:rPr>
          <w:rFonts w:eastAsia="Segoe UI" w:cs="Segoe UI" w:ascii="Segoe UI" w:hAnsi="Segoe UI"/>
          <w:b/>
          <w:color w:val="101820"/>
          <w:sz w:val="21"/>
        </w:rPr>
        <w:t>Reopen the reconciliation</w:t>
      </w:r>
      <w:r>
        <w:rPr>
          <w:rFonts w:eastAsia="Segoe UI" w:cs="Segoe UI" w:ascii="Segoe UI" w:hAnsi="Segoe UI"/>
          <w:color w:val="101820"/>
          <w:sz w:val="21"/>
        </w:rPr>
        <w:t>): it returns to draft and its matches are unlocked. The month-end checklist looks for an approved reconciliation of each bank account with activity in the period.</w:t>
      </w:r>
    </w:p>
    <w:p>
      <w:pPr>
        <w:pStyle w:val="Heading2"/>
        <w:rPr/>
      </w:pPr>
      <w:bookmarkStart w:id="122" w:name="__RefHeading___Toc107499_4049217194"/>
      <w:bookmarkEnd w:id="122"/>
      <w:r>
        <w:rPr>
          <w:rFonts w:eastAsia="Segoe UI" w:cs="Segoe UI"/>
          <w:b/>
          <w:color w:val="0F4761"/>
          <w:sz w:val="26"/>
        </w:rPr>
        <w:t>12.7  Approve an insurer statement reconciliation</w:t>
      </w:r>
    </w:p>
    <w:p>
      <w:pPr>
        <w:pStyle w:val="Normal"/>
        <w:spacing w:lineRule="auto" w:line="276" w:before="0" w:after="120"/>
        <w:rPr/>
      </w:pPr>
      <w:r>
        <w:rPr>
          <w:rFonts w:eastAsia="Segoe UI" w:cs="Segoe UI" w:ascii="Segoe UI" w:hAnsi="Segoe UI"/>
          <w:color w:val="101820"/>
          <w:sz w:val="21"/>
        </w:rPr>
        <w:t xml:space="preserve">Open Accounts &gt; Insurer Reconciliation &gt; Insurer Statements and the submitted statement. Check the matched lines, the amount differences and their resolutions, the lines not found at the broker and the broker records missing on the statement, then approve it. The statement shows </w:t>
      </w:r>
      <w:r>
        <w:rPr>
          <w:rFonts w:eastAsia="Segoe UI" w:cs="Segoe UI" w:ascii="Segoe UI" w:hAnsi="Segoe UI"/>
          <w:b/>
          <w:color w:val="101820"/>
          <w:sz w:val="21"/>
        </w:rPr>
        <w:t>Approved by</w:t>
      </w:r>
      <w:r>
        <w:rPr>
          <w:rFonts w:eastAsia="Segoe UI" w:cs="Segoe UI" w:ascii="Segoe UI" w:hAnsi="Segoe UI"/>
          <w:color w:val="101820"/>
          <w:sz w:val="21"/>
        </w:rPr>
        <w:t xml:space="preserve"> with your name and the date.</w:t>
      </w:r>
    </w:p>
    <w:p>
      <w:pPr>
        <w:pStyle w:val="Heading2"/>
        <w:rPr/>
      </w:pPr>
      <w:bookmarkStart w:id="123" w:name="__RefHeading___Toc107501_4049217194"/>
      <w:bookmarkEnd w:id="123"/>
      <w:r>
        <w:rPr>
          <w:rFonts w:eastAsia="Segoe UI" w:cs="Segoe UI"/>
          <w:b/>
          <w:color w:val="0F4761"/>
          <w:sz w:val="26"/>
        </w:rPr>
        <w:t>12.8  Credit control decisions</w:t>
      </w:r>
    </w:p>
    <w:p>
      <w:pPr>
        <w:pStyle w:val="Normal"/>
        <w:numPr>
          <w:ilvl w:val="0"/>
          <w:numId w:val="1"/>
        </w:numPr>
        <w:spacing w:before="0" w:after="60"/>
        <w:rPr/>
      </w:pPr>
      <w:r>
        <w:rPr>
          <w:rFonts w:eastAsia="Segoe UI" w:cs="Segoe UI" w:ascii="Segoe UI" w:hAnsi="Segoe UI"/>
          <w:b/>
          <w:color w:val="101820"/>
          <w:sz w:val="21"/>
        </w:rPr>
        <w:t>Premium Warranty Monitor</w:t>
      </w:r>
      <w:r>
        <w:rPr>
          <w:rFonts w:eastAsia="Segoe UI" w:cs="Segoe UI" w:ascii="Segoe UI" w:hAnsi="Segoe UI"/>
          <w:color w:val="101820"/>
          <w:sz w:val="21"/>
        </w:rPr>
        <w:t>: approve or refuse the extensions requested by Accounting (</w:t>
      </w:r>
      <w:r>
        <w:rPr>
          <w:rFonts w:eastAsia="Segoe UI" w:cs="Segoe UI" w:ascii="Segoe UI" w:hAnsi="Segoe UI"/>
          <w:b/>
          <w:color w:val="101820"/>
          <w:sz w:val="21"/>
        </w:rPr>
        <w:t>Extensions to approve</w:t>
      </w:r>
      <w:r>
        <w:rPr>
          <w:rFonts w:eastAsia="Segoe UI" w:cs="Segoe UI" w:ascii="Segoe UI" w:hAnsi="Segoe UI"/>
          <w:color w:val="101820"/>
          <w:sz w:val="21"/>
        </w:rPr>
        <w:t>), up to 90 days after the policy inception (</w:t>
      </w:r>
      <w:r>
        <w:rPr>
          <w:rFonts w:eastAsia="Consolas" w:cs="Consolas" w:ascii="Consolas" w:hAnsi="Consolas"/>
          <w:color w:val="101820"/>
          <w:sz w:val="19"/>
        </w:rPr>
        <w:t>credit.max_warranty_extension_days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Client Credit Limits</w:t>
      </w:r>
      <w:r>
        <w:rPr>
          <w:rFonts w:eastAsia="Segoe UI" w:cs="Segoe UI" w:ascii="Segoe UI" w:hAnsi="Segoe UI"/>
          <w:color w:val="101820"/>
          <w:sz w:val="21"/>
        </w:rPr>
        <w:t>: set the credit limit of each client. A change shows who made it and when (</w:t>
      </w:r>
      <w:r>
        <w:rPr>
          <w:rFonts w:eastAsia="Segoe UI" w:cs="Segoe UI" w:ascii="Segoe UI" w:hAnsi="Segoe UI"/>
          <w:b/>
          <w:color w:val="101820"/>
          <w:sz w:val="21"/>
        </w:rPr>
        <w:t>Last changed</w:t>
      </w:r>
      <w:r>
        <w:rPr>
          <w:rFonts w:eastAsia="Segoe UI" w:cs="Segoe UI" w:ascii="Segoe UI" w:hAnsi="Segoe UI"/>
          <w:color w:val="101820"/>
          <w:sz w:val="21"/>
        </w:rPr>
        <w:t>).</w:t>
      </w:r>
    </w:p>
    <w:p>
      <w:pPr>
        <w:pStyle w:val="Heading2"/>
        <w:rPr/>
      </w:pPr>
      <w:bookmarkStart w:id="124" w:name="__RefHeading___Toc107503_4049217194"/>
      <w:bookmarkEnd w:id="124"/>
      <w:r>
        <w:rPr>
          <w:rFonts w:eastAsia="Segoe UI" w:cs="Segoe UI"/>
          <w:b/>
          <w:color w:val="0F4761"/>
          <w:sz w:val="26"/>
        </w:rPr>
        <w:t>12.9  Year-end close</w:t>
      </w:r>
    </w:p>
    <w:p>
      <w:pPr>
        <w:pStyle w:val="Normal"/>
        <w:jc w:val="center"/>
        <w:rPr/>
      </w:pPr>
      <w:r>
        <w:rPr/>
        <w:drawing>
          <wp:inline distT="0" distB="0" distL="0" distR="0">
            <wp:extent cx="5760085" cy="1986280"/>
            <wp:effectExtent l="0" t="0" r="0" b="0"/>
            <wp:docPr id="127" name="Picture 21212883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2121288307" descr=""/>
                    <pic:cNvPicPr>
                      <a:picLocks noChangeAspect="1" noChangeArrowheads="1"/>
                    </pic:cNvPicPr>
                  </pic:nvPicPr>
                  <pic:blipFill>
                    <a:blip r:embed="rId123"/>
                    <a:stretch>
                      <a:fillRect/>
                    </a:stretch>
                  </pic:blipFill>
                  <pic:spPr bwMode="auto">
                    <a:xfrm>
                      <a:off x="0" y="0"/>
                      <a:ext cx="5760085" cy="198628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Year-End Close</w:t>
      </w:r>
    </w:p>
    <w:p>
      <w:pPr>
        <w:pStyle w:val="Normal"/>
        <w:spacing w:lineRule="auto" w:line="276" w:before="0" w:after="120"/>
        <w:rPr/>
      </w:pPr>
      <w:r>
        <w:rPr>
          <w:rFonts w:eastAsia="Segoe UI" w:cs="Segoe UI" w:ascii="Segoe UI" w:hAnsi="Segoe UI"/>
          <w:color w:val="101820"/>
          <w:sz w:val="21"/>
        </w:rPr>
        <w:t>When Accounting has started the year-end close, run the pre-checks and posted the audit adjustments:</w:t>
      </w:r>
    </w:p>
    <w:p>
      <w:pPr>
        <w:pStyle w:val="Normal"/>
        <w:numPr>
          <w:ilvl w:val="0"/>
          <w:numId w:val="269"/>
        </w:numPr>
        <w:spacing w:before="0" w:after="60"/>
        <w:rPr/>
      </w:pPr>
      <w:r>
        <w:rPr>
          <w:rFonts w:eastAsia="Segoe UI" w:cs="Segoe UI" w:ascii="Segoe UI" w:hAnsi="Segoe UI"/>
          <w:color w:val="101820"/>
          <w:sz w:val="21"/>
        </w:rPr>
        <w:t>Open Accounts &gt; Period End &gt; Year-End Close and choose the fiscal year.</w:t>
      </w:r>
    </w:p>
    <w:p>
      <w:pPr>
        <w:pStyle w:val="Normal"/>
        <w:numPr>
          <w:ilvl w:val="0"/>
          <w:numId w:val="270"/>
        </w:numPr>
        <w:spacing w:before="0" w:after="60"/>
        <w:rPr/>
      </w:pPr>
      <w:r>
        <w:rPr>
          <w:rFonts w:eastAsia="Segoe UI" w:cs="Segoe UI" w:ascii="Segoe UI" w:hAnsi="Segoe UI"/>
          <w:color w:val="101820"/>
          <w:sz w:val="21"/>
        </w:rPr>
        <w:t>Check the pre-checks and the net income.</w:t>
      </w:r>
    </w:p>
    <w:p>
      <w:pPr>
        <w:pStyle w:val="Normal"/>
        <w:numPr>
          <w:ilvl w:val="0"/>
          <w:numId w:val="27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 the year</w:t>
      </w:r>
      <w:r>
        <w:rPr>
          <w:rFonts w:eastAsia="Segoe UI" w:cs="Segoe UI" w:ascii="Segoe UI" w:hAnsi="Segoe UI"/>
          <w:color w:val="101820"/>
          <w:sz w:val="21"/>
        </w:rPr>
        <w:t>. The system posts the closing entries in period 13 (income and expense to current year profit or loss, then to retained earnings), writes the balance-sheet balances at year end as the opening balances of the next year (no opening journal is posted), locks the periods and creates the next year.</w:t>
      </w:r>
    </w:p>
    <w:p>
      <w:pPr>
        <w:pStyle w:val="Normal"/>
        <w:spacing w:lineRule="auto" w:line="276" w:before="0" w:after="120"/>
        <w:rPr/>
      </w:pPr>
      <w:r>
        <w:rPr>
          <w:rFonts w:eastAsia="Segoe UI" w:cs="Segoe UI" w:ascii="Segoe UI" w:hAnsi="Segoe UI"/>
          <w:b/>
          <w:color w:val="101820"/>
          <w:sz w:val="21"/>
        </w:rPr>
        <w:t>Reverse the close</w:t>
      </w:r>
      <w:r>
        <w:rPr>
          <w:rFonts w:eastAsia="Segoe UI" w:cs="Segoe UI" w:ascii="Segoe UI" w:hAnsi="Segoe UI"/>
          <w:color w:val="101820"/>
          <w:sz w:val="21"/>
        </w:rPr>
        <w:t xml:space="preserve"> (with a reason) reverses the closing entries, removes the opening balances and unlocks the periods. It is possible until the first period of the next year is closed.</w:t>
      </w:r>
    </w:p>
    <w:p>
      <w:pPr>
        <w:pStyle w:val="Heading2"/>
        <w:rPr/>
      </w:pPr>
      <w:bookmarkStart w:id="125" w:name="__RefHeading___Toc107505_4049217194"/>
      <w:bookmarkEnd w:id="125"/>
      <w:r>
        <w:rPr>
          <w:rFonts w:eastAsia="Segoe UI" w:cs="Segoe UI"/>
          <w:b/>
          <w:color w:val="0F4761"/>
          <w:sz w:val="26"/>
        </w:rPr>
        <w:t>12.10  Posting configuration: Configuration Approvals, Posting Rules, Account Determination</w:t>
      </w:r>
    </w:p>
    <w:p>
      <w:pPr>
        <w:pStyle w:val="Normal"/>
        <w:jc w:val="center"/>
        <w:rPr/>
      </w:pPr>
      <w:r>
        <w:rPr/>
        <w:drawing>
          <wp:inline distT="0" distB="0" distL="0" distR="0">
            <wp:extent cx="5760085" cy="2199640"/>
            <wp:effectExtent l="0" t="0" r="0" b="0"/>
            <wp:docPr id="128" name="Picture 21212883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121288308" descr=""/>
                    <pic:cNvPicPr>
                      <a:picLocks noChangeAspect="1" noChangeArrowheads="1"/>
                    </pic:cNvPicPr>
                  </pic:nvPicPr>
                  <pic:blipFill>
                    <a:blip r:embed="rId124"/>
                    <a:stretch>
                      <a:fillRect/>
                    </a:stretch>
                  </pic:blipFill>
                  <pic:spPr bwMode="auto">
                    <a:xfrm>
                      <a:off x="0" y="0"/>
                      <a:ext cx="5760085" cy="219964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Configuration Approvals</w:t>
      </w:r>
    </w:p>
    <w:p>
      <w:pPr>
        <w:pStyle w:val="Normal"/>
        <w:spacing w:lineRule="auto" w:line="276" w:before="0" w:after="120"/>
        <w:rPr/>
      </w:pPr>
      <w:r>
        <w:rPr>
          <w:rFonts w:eastAsia="Segoe UI" w:cs="Segoe UI" w:ascii="Segoe UI" w:hAnsi="Segoe UI"/>
          <w:color w:val="101820"/>
          <w:sz w:val="21"/>
        </w:rPr>
        <w:t xml:space="preserve">Posting rule versions, their activation and account determination changes wait on </w:t>
      </w:r>
      <w:r>
        <w:rPr>
          <w:rFonts w:eastAsia="Segoe UI" w:cs="Segoe UI" w:ascii="Segoe UI" w:hAnsi="Segoe UI"/>
          <w:b/>
          <w:color w:val="101820"/>
          <w:sz w:val="21"/>
        </w:rPr>
        <w:t>Configuration Approvals</w:t>
      </w:r>
      <w:r>
        <w:rPr>
          <w:rFonts w:eastAsia="Segoe UI" w:cs="Segoe UI" w:ascii="Segoe UI" w:hAnsi="Segoe UI"/>
          <w:color w:val="101820"/>
          <w:sz w:val="21"/>
        </w:rPr>
        <w:t xml:space="preserve"> for a second user with approval rights (Accounting Manager or System Administrator). The requester cannot approve his or her own change, and nothing reaches the ledger before approval. The list shows each change with what it changes, the value before, who requested it and when, and its status.</w:t>
      </w:r>
    </w:p>
    <w:p>
      <w:pPr>
        <w:pStyle w:val="Normal"/>
        <w:spacing w:lineRule="auto" w:line="276" w:before="0" w:after="120"/>
        <w:rPr/>
      </w:pPr>
      <w:r>
        <w:rPr>
          <w:rFonts w:eastAsia="Segoe UI" w:cs="Segoe UI" w:ascii="Segoe UI" w:hAnsi="Segoe UI"/>
          <w:b/>
          <w:color w:val="101820"/>
          <w:sz w:val="21"/>
        </w:rPr>
        <w:t>Posting Rules</w:t>
      </w:r>
      <w:r>
        <w:rPr>
          <w:rFonts w:eastAsia="Segoe UI" w:cs="Segoe UI" w:ascii="Segoe UI" w:hAnsi="Segoe UI"/>
          <w:color w:val="101820"/>
          <w:sz w:val="21"/>
        </w:rPr>
        <w:t xml:space="preserve"> lists every business event (for example Policy issued - broker billed, Endorsement - additional premium, Renewal - broker billed, Endorsement - return premium, Policy cancellation, Premium collection applied, Direct bill - commission booked) with the version in force. Select an event to see each line of the rule (side, account, amount, narration, split per co-insurer), </w:t>
      </w:r>
      <w:r>
        <w:rPr>
          <w:rFonts w:eastAsia="Segoe UI" w:cs="Segoe UI" w:ascii="Segoe UI" w:hAnsi="Segoe UI"/>
          <w:b/>
          <w:color w:val="101820"/>
          <w:sz w:val="21"/>
        </w:rPr>
        <w:t>Simulate</w:t>
      </w:r>
      <w:r>
        <w:rPr>
          <w:rFonts w:eastAsia="Segoe UI" w:cs="Segoe UI" w:ascii="Segoe UI" w:hAnsi="Segoe UI"/>
          <w:color w:val="101820"/>
          <w:sz w:val="21"/>
        </w:rPr>
        <w:t xml:space="preserve"> the journal it would build with sample amounts (including a co-insured sample), save a </w:t>
      </w:r>
      <w:r>
        <w:rPr>
          <w:rFonts w:eastAsia="Segoe UI" w:cs="Segoe UI" w:ascii="Segoe UI" w:hAnsi="Segoe UI"/>
          <w:b/>
          <w:color w:val="101820"/>
          <w:sz w:val="21"/>
        </w:rPr>
        <w:t>New version</w:t>
      </w:r>
      <w:r>
        <w:rPr>
          <w:rFonts w:eastAsia="Segoe UI" w:cs="Segoe UI" w:ascii="Segoe UI" w:hAnsi="Segoe UI"/>
          <w:color w:val="101820"/>
          <w:sz w:val="21"/>
        </w:rPr>
        <w:t xml:space="preserve"> effective from a date with a change note, or read the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jc w:val="center"/>
        <w:rPr/>
      </w:pPr>
      <w:r>
        <w:rPr/>
        <w:drawing>
          <wp:inline distT="0" distB="0" distL="0" distR="0">
            <wp:extent cx="5760085" cy="4284980"/>
            <wp:effectExtent l="0" t="0" r="0" b="0"/>
            <wp:docPr id="129" name="Picture 21212883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2121288309" descr=""/>
                    <pic:cNvPicPr>
                      <a:picLocks noChangeAspect="1" noChangeArrowheads="1"/>
                    </pic:cNvPicPr>
                  </pic:nvPicPr>
                  <pic:blipFill>
                    <a:blip r:embed="rId125"/>
                    <a:stretch>
                      <a:fillRect/>
                    </a:stretch>
                  </pic:blipFill>
                  <pic:spPr bwMode="auto">
                    <a:xfrm>
                      <a:off x="0" y="0"/>
                      <a:ext cx="5760085" cy="42849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Posting Rules</w:t>
      </w:r>
    </w:p>
    <w:p>
      <w:pPr>
        <w:pStyle w:val="Normal"/>
        <w:spacing w:lineRule="auto" w:line="276" w:before="0" w:after="120"/>
        <w:rPr/>
      </w:pPr>
      <w:r>
        <w:rPr>
          <w:rFonts w:eastAsia="Segoe UI" w:cs="Segoe UI" w:ascii="Segoe UI" w:hAnsi="Segoe UI"/>
          <w:b/>
          <w:color w:val="101820"/>
          <w:sz w:val="21"/>
        </w:rPr>
        <w:t>Account Determination</w:t>
      </w:r>
      <w:r>
        <w:rPr>
          <w:rFonts w:eastAsia="Segoe UI" w:cs="Segoe UI" w:ascii="Segoe UI" w:hAnsi="Segoe UI"/>
          <w:color w:val="101820"/>
          <w:sz w:val="21"/>
        </w:rPr>
        <w:t xml:space="preserve"> shows the GL account behind every account role, in the tabs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Miscellaneous</w:t>
      </w:r>
      <w:r>
        <w:rPr>
          <w:rFonts w:eastAsia="Segoe UI" w:cs="Segoe UI" w:ascii="Segoe UI" w:hAnsi="Segoe UI"/>
          <w:color w:val="101820"/>
          <w:sz w:val="21"/>
        </w:rPr>
        <w:t xml:space="preserve">, </w:t>
      </w:r>
      <w:r>
        <w:rPr>
          <w:rFonts w:eastAsia="Segoe UI" w:cs="Segoe UI" w:ascii="Segoe UI" w:hAnsi="Segoe UI"/>
          <w:b/>
          <w:color w:val="101820"/>
          <w:sz w:val="21"/>
        </w:rPr>
        <w:t>RI-Claims</w:t>
      </w:r>
      <w:r>
        <w:rPr>
          <w:rFonts w:eastAsia="Segoe UI" w:cs="Segoe UI" w:ascii="Segoe UI" w:hAnsi="Segoe UI"/>
          <w:color w:val="101820"/>
          <w:sz w:val="21"/>
        </w:rPr>
        <w:t xml:space="preserve">, </w:t>
      </w:r>
      <w:r>
        <w:rPr>
          <w:rFonts w:eastAsia="Segoe UI" w:cs="Segoe UI" w:ascii="Segoe UI" w:hAnsi="Segoe UI"/>
          <w:b/>
          <w:color w:val="101820"/>
          <w:sz w:val="21"/>
        </w:rPr>
        <w:t>Other</w:t>
      </w:r>
      <w:r>
        <w:rPr>
          <w:rFonts w:eastAsia="Segoe UI" w:cs="Segoe UI" w:ascii="Segoe UI" w:hAnsi="Segoe UI"/>
          <w:color w:val="101820"/>
          <w:sz w:val="21"/>
        </w:rPr>
        <w:t xml:space="preserve">, </w:t>
      </w:r>
      <w:r>
        <w:rPr>
          <w:rFonts w:eastAsia="Segoe UI" w:cs="Segoe UI" w:ascii="Segoe UI" w:hAnsi="Segoe UI"/>
          <w:b/>
          <w:color w:val="101820"/>
          <w:sz w:val="21"/>
        </w:rPr>
        <w:t>Payee &amp; payment mode</w:t>
      </w:r>
      <w:r>
        <w:rPr>
          <w:rFonts w:eastAsia="Segoe UI" w:cs="Segoe UI" w:ascii="Segoe UI" w:hAnsi="Segoe UI"/>
          <w:color w:val="101820"/>
          <w:sz w:val="21"/>
        </w:rPr>
        <w:t xml:space="preserve">, </w:t>
      </w:r>
      <w:r>
        <w:rPr>
          <w:rFonts w:eastAsia="Segoe UI" w:cs="Segoe UI" w:ascii="Segoe UI" w:hAnsi="Segoe UI"/>
          <w:b/>
          <w:color w:val="101820"/>
          <w:sz w:val="21"/>
        </w:rPr>
        <w:t>Commission taxes</w:t>
      </w:r>
      <w:r>
        <w:rPr>
          <w:rFonts w:eastAsia="Segoe UI" w:cs="Segoe UI" w:ascii="Segoe UI" w:hAnsi="Segoe UI"/>
          <w:color w:val="101820"/>
          <w:sz w:val="21"/>
        </w:rPr>
        <w:t xml:space="preserve"> and </w:t>
      </w:r>
      <w:r>
        <w:rPr>
          <w:rFonts w:eastAsia="Segoe UI" w:cs="Segoe UI" w:ascii="Segoe UI" w:hAnsi="Segoe UI"/>
          <w:b/>
          <w:color w:val="101820"/>
          <w:sz w:val="21"/>
        </w:rPr>
        <w:t>Write-off reasons</w:t>
      </w:r>
      <w:r>
        <w:rPr>
          <w:rFonts w:eastAsia="Segoe UI" w:cs="Segoe UI" w:ascii="Segoe UI" w:hAnsi="Segoe UI"/>
          <w:color w:val="101820"/>
          <w:sz w:val="21"/>
        </w:rPr>
        <w:t>, with the events that use each role (for example Brokerage commission income posts to 3201001 Brokerage Commission Income). To change the account of a role, choose the new GL account; the change waits on Configuration Approvals.</w:t>
      </w:r>
    </w:p>
    <w:p>
      <w:pPr>
        <w:pStyle w:val="Normal"/>
        <w:jc w:val="center"/>
        <w:rPr/>
      </w:pPr>
      <w:r>
        <w:rPr/>
        <w:drawing>
          <wp:inline distT="0" distB="0" distL="0" distR="0">
            <wp:extent cx="5760085" cy="4469130"/>
            <wp:effectExtent l="0" t="0" r="0" b="0"/>
            <wp:docPr id="130" name="Picture 21212883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2121288310" descr=""/>
                    <pic:cNvPicPr>
                      <a:picLocks noChangeAspect="1" noChangeArrowheads="1"/>
                    </pic:cNvPicPr>
                  </pic:nvPicPr>
                  <pic:blipFill>
                    <a:blip r:embed="rId1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Account Determination</w:t>
      </w:r>
    </w:p>
    <w:p>
      <w:pPr>
        <w:pStyle w:val="Normal"/>
        <w:spacing w:lineRule="auto" w:line="276" w:before="0" w:after="120"/>
        <w:rPr/>
      </w:pP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operational event, what it posts, read from the posting rules in force: the screen or action that triggers it, the approval before it posts, and the accounts it debits and credits. </w:t>
      </w:r>
      <w:r>
        <w:rPr>
          <w:rFonts w:eastAsia="Segoe UI" w:cs="Segoe UI" w:ascii="Segoe UI" w:hAnsi="Segoe UI"/>
          <w:b/>
          <w:color w:val="101820"/>
          <w:sz w:val="21"/>
        </w:rPr>
        <w:t>Open the rule</w:t>
      </w:r>
      <w:r>
        <w:rPr>
          <w:rFonts w:eastAsia="Segoe UI" w:cs="Segoe UI" w:ascii="Segoe UI" w:hAnsi="Segoe UI"/>
          <w:color w:val="101820"/>
          <w:sz w:val="21"/>
        </w:rPr>
        <w:t xml:space="preserve"> opens the posting rule.</w:t>
      </w:r>
    </w:p>
    <w:p>
      <w:pPr>
        <w:pStyle w:val="Normal"/>
        <w:shd w:val="clear" w:color="auto" w:fill="EAF2FB"/>
        <w:spacing w:before="0" w:after="160"/>
        <w:ind w:left="170"/>
        <w:rPr/>
      </w:pPr>
      <w:r>
        <w:rPr>
          <w:rFonts w:eastAsia="Segoe UI" w:cs="Segoe UI" w:ascii="Segoe UI" w:hAnsi="Segoe UI"/>
          <w:color w:val="101820"/>
          <w:sz w:val="20"/>
        </w:rPr>
        <w:t>Change posting rules only after a simulation. A wrong rule posts wrong journals from its effective date.</w:t>
      </w:r>
    </w:p>
    <w:p>
      <w:pPr>
        <w:pStyle w:val="Heading2"/>
        <w:rPr/>
      </w:pPr>
      <w:bookmarkStart w:id="126" w:name="__RefHeading___Toc107507_4049217194"/>
      <w:bookmarkEnd w:id="126"/>
      <w:r>
        <w:rPr>
          <w:rFonts w:eastAsia="Segoe UI" w:cs="Segoe UI"/>
          <w:b/>
          <w:color w:val="0F4761"/>
          <w:sz w:val="26"/>
        </w:rPr>
        <w:t>12.11  Commission Rate Matrix</w:t>
      </w:r>
    </w:p>
    <w:p>
      <w:pPr>
        <w:pStyle w:val="Normal"/>
        <w:jc w:val="center"/>
        <w:rPr/>
      </w:pPr>
      <w:r>
        <w:rPr/>
        <w:drawing>
          <wp:inline distT="0" distB="0" distL="0" distR="0">
            <wp:extent cx="5760085" cy="4469130"/>
            <wp:effectExtent l="0" t="0" r="0" b="0"/>
            <wp:docPr id="131" name="Picture 21212883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2121288311" descr=""/>
                    <pic:cNvPicPr>
                      <a:picLocks noChangeAspect="1" noChangeArrowheads="1"/>
                    </pic:cNvPicPr>
                  </pic:nvPicPr>
                  <pic:blipFill>
                    <a:blip r:embed="rId12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Commission Rate Matrix</w:t>
      </w:r>
    </w:p>
    <w:p>
      <w:pPr>
        <w:pStyle w:val="Normal"/>
        <w:spacing w:lineRule="auto" w:line="276" w:before="0" w:after="120"/>
        <w:rPr/>
      </w:pPr>
      <w:r>
        <w:rPr>
          <w:rFonts w:eastAsia="Segoe UI" w:cs="Segoe UI" w:ascii="Segoe UI" w:hAnsi="Segoe UI"/>
          <w:color w:val="101820"/>
          <w:sz w:val="21"/>
        </w:rPr>
        <w:t xml:space="preserve">The matrix holds the brokerage rates the broker earns by insurer, product, line of business and policy type (New business, Renewal or Any), with effective dates. The most specific active rate on the policy date applies: insurer and product, insurer and line of business, insurer, product, line of business; an exact policy type before Any; then the insurer's default rate and the system default (15%). </w:t>
      </w:r>
      <w:r>
        <w:rPr>
          <w:rFonts w:eastAsia="Segoe UI" w:cs="Segoe UI" w:ascii="Segoe UI" w:hAnsi="Segoe UI"/>
          <w:b/>
          <w:color w:val="101820"/>
          <w:sz w:val="21"/>
        </w:rPr>
        <w:t>Add rate</w:t>
      </w:r>
      <w:r>
        <w:rPr>
          <w:rFonts w:eastAsia="Segoe UI" w:cs="Segoe UI" w:ascii="Segoe UI" w:hAnsi="Segoe UI"/>
          <w:color w:val="101820"/>
          <w:sz w:val="21"/>
        </w:rPr>
        <w:t xml:space="preserve">: choose the insurer, product and line of business (at least one), the policy type, the rate, effective from and to, and remarks; save. </w:t>
      </w:r>
      <w:r>
        <w:rPr>
          <w:rFonts w:eastAsia="Segoe UI" w:cs="Segoe UI" w:ascii="Segoe UI" w:hAnsi="Segoe UI"/>
          <w:b/>
          <w:color w:val="101820"/>
          <w:sz w:val="21"/>
        </w:rPr>
        <w:t>Find rate</w:t>
      </w:r>
      <w:r>
        <w:rPr>
          <w:rFonts w:eastAsia="Segoe UI" w:cs="Segoe UI" w:ascii="Segoe UI" w:hAnsi="Segoe UI"/>
          <w:color w:val="101820"/>
          <w:sz w:val="21"/>
        </w:rPr>
        <w:t xml:space="preserve"> shows which rate a placement would get and where it comes from. The screen is in the System Administrator's menu; the Accounting Manager agrees the rates.</w:t>
      </w:r>
    </w:p>
    <w:p>
      <w:pPr>
        <w:pStyle w:val="Heading2"/>
        <w:rPr/>
      </w:pPr>
      <w:bookmarkStart w:id="127" w:name="__RefHeading___Toc107509_4049217194"/>
      <w:bookmarkEnd w:id="127"/>
      <w:r>
        <w:rPr>
          <w:rFonts w:eastAsia="Segoe UI" w:cs="Segoe UI"/>
          <w:b/>
          <w:color w:val="0F4761"/>
          <w:sz w:val="26"/>
        </w:rPr>
        <w:t>12.12  Approvals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 month-end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Month-End Close &gt; run &gt; </w:t>
            </w:r>
            <w:r>
              <w:rPr>
                <w:rFonts w:eastAsia="Segoe UI" w:cs="Segoe UI" w:ascii="Segoe UI" w:hAnsi="Segoe UI"/>
                <w:b/>
                <w:color w:val="101820"/>
                <w:kern w:val="0"/>
                <w:sz w:val="18"/>
                <w:szCs w:val="24"/>
                <w:lang w:val="en-US" w:eastAsia="ja-JP" w:bidi="ar-SA"/>
              </w:rPr>
              <w:t>Approve close</w:t>
            </w:r>
            <w:r>
              <w:rPr>
                <w:rFonts w:eastAsia="Segoe UI" w:cs="Segoe UI" w:ascii="Segoe UI" w:hAnsi="Segoe UI"/>
                <w:color w:val="101820"/>
                <w:kern w:val="0"/>
                <w:sz w:val="18"/>
                <w:szCs w:val="24"/>
                <w:lang w:val="en-US" w:eastAsia="ja-JP" w:bidi="ar-SA"/>
              </w:rPr>
              <w:t xml:space="preserve"> / </w:t>
            </w:r>
            <w:r>
              <w:rPr>
                <w:rFonts w:eastAsia="Segoe UI" w:cs="Segoe UI" w:ascii="Segoe UI" w:hAnsi="Segoe UI"/>
                <w:b/>
                <w:color w:val="101820"/>
                <w:kern w:val="0"/>
                <w:sz w:val="18"/>
                <w:szCs w:val="24"/>
                <w:lang w:val="en-US" w:eastAsia="ja-JP" w:bidi="ar-SA"/>
              </w:rPr>
              <w:t>Reject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 reverse a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reopen periods; post into a soft-closed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any posting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reopen a bank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an insurer statement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debit notes and incentive batches of other users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bl>
    <w:p>
      <w:pPr>
        <w:pStyle w:val="Heading1"/>
        <w:rPr/>
      </w:pPr>
      <w:r>
        <w:br w:type="page"/>
      </w:r>
      <w:bookmarkStart w:id="128" w:name="__RefHeading___Toc107511_4049217194"/>
      <w:bookmarkEnd w:id="128"/>
      <w:r>
        <w:rPr>
          <w:rFonts w:eastAsia="Segoe UI" w:cs="Segoe UI" w:ascii="Segoe UI" w:hAnsi="Segoe UI"/>
          <w:b/>
          <w:color w:val="0F4761"/>
          <w:sz w:val="32"/>
        </w:rPr>
        <w:t>13.  Module reference</w:t>
      </w:r>
    </w:p>
    <w:p>
      <w:pPr>
        <w:pStyle w:val="Normal"/>
        <w:spacing w:lineRule="auto" w:line="276" w:before="0" w:after="120"/>
        <w:rPr/>
      </w:pPr>
      <w:r>
        <w:rPr>
          <w:rFonts w:eastAsia="Segoe UI" w:cs="Segoe UI" w:ascii="Segoe UI" w:hAnsi="Segoe UI"/>
          <w:color w:val="101820"/>
          <w:sz w:val="21"/>
        </w:rPr>
        <w:t>This chapter lists every menu screen in menu order with its purpose, its main fields and the rules that apply. The persona chapters give the step-by-step procedures; the reference points to them.</w:t>
      </w:r>
    </w:p>
    <w:p>
      <w:pPr>
        <w:pStyle w:val="Heading2"/>
        <w:rPr/>
      </w:pPr>
      <w:bookmarkStart w:id="129" w:name="__RefHeading___Toc107513_4049217194"/>
      <w:bookmarkEnd w:id="129"/>
      <w:r>
        <w:rPr>
          <w:rFonts w:eastAsia="Segoe UI" w:cs="Segoe UI"/>
          <w:b/>
          <w:color w:val="0F4761"/>
          <w:sz w:val="26"/>
        </w:rPr>
        <w:t>13.1  Dashboard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1"/>
        <w:gridCol w:w="2268"/>
        <w:gridCol w:w="3026"/>
        <w:gridCol w:w="2458"/>
      </w:tblGrid>
      <w:tr>
        <w:trPr>
          <w:tblHeader w:val="true"/>
        </w:trPr>
        <w:tc>
          <w:tcPr>
            <w:tcW w:w="1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content and rules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performance against target.</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(This Month, This Quarter, This Year); Total Revenue, Active Policies, New Business, Claims Rate, Retention Rate, Customer Satisfaction, Premium Receivable (Clients), Commission Receivable (Insurers, Direct Bill); trends, revenue by product line, regional performance, top products, top sales performance;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 xml:space="preserve"> (Production Register). Targets from </w:t>
            </w: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but Claims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workload.</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Open Claims, Claims Overdue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 xml:space="preserve">), Today's Claims, recent claims;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Workbench.</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Submissions, cycle time, open alerts, workload, submissions list, open tasks; </w:t>
            </w:r>
            <w:r>
              <w:rPr>
                <w:rFonts w:eastAsia="Segoe UI" w:cs="Segoe UI" w:ascii="Segoe UI" w:hAnsi="Segoe UI"/>
                <w:b/>
                <w:color w:val="101820"/>
                <w:kern w:val="0"/>
                <w:sz w:val="18"/>
                <w:szCs w:val="24"/>
                <w:lang w:val="en-US" w:eastAsia="ja-JP" w:bidi="ar-SA"/>
              </w:rPr>
              <w:t>New Submission</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team performance.</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person, period; prospects, quotations, conversion, policies issued, premium, open pipeline; trend and pipelines.</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System Administrator</w:t>
            </w:r>
          </w:p>
        </w:tc>
      </w:tr>
    </w:tbl>
    <w:p>
      <w:pPr>
        <w:pStyle w:val="Normal"/>
        <w:spacing w:before="0" w:after="80"/>
        <w:rPr/>
      </w:pPr>
      <w:r>
        <w:rPr/>
      </w:r>
    </w:p>
    <w:p>
      <w:pPr>
        <w:pStyle w:val="Normal"/>
        <w:jc w:val="center"/>
        <w:rPr/>
      </w:pPr>
      <w:r>
        <w:rPr/>
        <w:drawing>
          <wp:inline distT="0" distB="0" distL="0" distR="0">
            <wp:extent cx="5760085" cy="4469130"/>
            <wp:effectExtent l="0" t="0" r="0" b="0"/>
            <wp:docPr id="132" name="Picture 21212883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121288312" descr=""/>
                    <pic:cNvPicPr>
                      <a:picLocks noChangeAspect="1" noChangeArrowheads="1"/>
                    </pic:cNvPicPr>
                  </pic:nvPicPr>
                  <pic:blipFill>
                    <a:blip r:embed="rId12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Dashboard &gt; Executive Dashboard</w:t>
      </w:r>
    </w:p>
    <w:p>
      <w:pPr>
        <w:pStyle w:val="Heading2"/>
        <w:rPr/>
      </w:pPr>
      <w:bookmarkStart w:id="130" w:name="__RefHeading___Toc107515_4049217194"/>
      <w:bookmarkEnd w:id="130"/>
      <w:r>
        <w:rPr>
          <w:rFonts w:eastAsia="Segoe UI" w:cs="Segoe UI"/>
          <w:b/>
          <w:color w:val="0F4761"/>
          <w:sz w:val="26"/>
        </w:rPr>
        <w:t>13.2  Operations</w:t>
      </w:r>
    </w:p>
    <w:p>
      <w:pPr>
        <w:pStyle w:val="Heading3"/>
        <w:rPr/>
      </w:pPr>
      <w:r>
        <w:rPr>
          <w:rFonts w:eastAsia="Segoe UI" w:cs="Segoe UI"/>
          <w:b/>
          <w:color w:val="0F4761"/>
          <w:sz w:val="23"/>
        </w:rPr>
        <w:t>13.2.1  Home</w:t>
      </w:r>
    </w:p>
    <w:p>
      <w:pPr>
        <w:pStyle w:val="Normal"/>
        <w:spacing w:lineRule="auto" w:line="276" w:before="0" w:after="120"/>
        <w:rPr/>
      </w:pPr>
      <w:r>
        <w:rPr>
          <w:rFonts w:eastAsia="Segoe UI" w:cs="Segoe UI" w:ascii="Segoe UI" w:hAnsi="Segoe UI"/>
          <w:color w:val="101820"/>
          <w:sz w:val="21"/>
        </w:rPr>
        <w:t xml:space="preserve">The user's own book: prospects, clients, policies sold, commission chart, upcoming events, earned commission, collected premium, receivables and gross premium; </w:t>
      </w:r>
      <w:r>
        <w:rPr>
          <w:rFonts w:eastAsia="Segoe UI" w:cs="Segoe UI" w:ascii="Segoe UI" w:hAnsi="Segoe UI"/>
          <w:b/>
          <w:color w:val="101820"/>
          <w:sz w:val="21"/>
        </w:rPr>
        <w:t>Create Quote</w:t>
      </w:r>
      <w:r>
        <w:rPr>
          <w:rFonts w:eastAsia="Segoe UI" w:cs="Segoe UI" w:ascii="Segoe UI" w:hAnsi="Segoe UI"/>
          <w:color w:val="101820"/>
          <w:sz w:val="21"/>
        </w:rPr>
        <w:t>.</w:t>
      </w:r>
    </w:p>
    <w:p>
      <w:pPr>
        <w:pStyle w:val="Heading3"/>
        <w:rPr/>
      </w:pPr>
      <w:r>
        <w:rPr>
          <w:rFonts w:eastAsia="Segoe UI" w:cs="Segoe UI"/>
          <w:b/>
          <w:color w:val="0F4761"/>
          <w:sz w:val="23"/>
        </w:rPr>
        <w:t>13.2.2  Sales &amp; Marketing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3"/>
        <w:gridCol w:w="2831"/>
        <w:gridCol w:w="2858"/>
        <w:gridCol w:w="1242"/>
      </w:tblGrid>
      <w:tr>
        <w:trPr>
          <w:tblHeader w:val="true"/>
        </w:trPr>
        <w:tc>
          <w:tcPr>
            <w:tcW w:w="2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8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and follow prospects (LD-).</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Category, names, date of birth (age 18 to 100), gender, e-mail, Philippine mobile number, address with 4-digit ZIP code; statuses New, Contacted, Qualified, QuoteGenerated, Converted, Lost;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(.xlsx or .csv, up to 10 MB).</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package products on the spot.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Start quote</w:t>
            </w:r>
            <w:r>
              <w:rPr>
                <w:rFonts w:eastAsia="Segoe UI" w:cs="Segoe UI" w:ascii="Segoe UI" w:hAnsi="Segoe UI"/>
                <w:color w:val="101820"/>
                <w:kern w:val="0"/>
                <w:sz w:val="18"/>
                <w:szCs w:val="24"/>
                <w:lang w:val="en-US" w:eastAsia="ja-JP" w:bidi="ar-SA"/>
              </w:rPr>
              <w:t xml:space="preserve"> for products with a wizard; </w:t>
            </w:r>
            <w:r>
              <w:rPr>
                <w:rFonts w:eastAsia="Segoe UI" w:cs="Segoe UI" w:ascii="Segoe UI" w:hAnsi="Segoe UI"/>
                <w:b/>
                <w:color w:val="101820"/>
                <w:kern w:val="0"/>
                <w:sz w:val="18"/>
                <w:szCs w:val="24"/>
                <w:lang w:val="en-US" w:eastAsia="ja-JP" w:bidi="ar-SA"/>
              </w:rPr>
              <w:t>Request quotation</w:t>
            </w:r>
            <w:r>
              <w:rPr>
                <w:rFonts w:eastAsia="Segoe UI" w:cs="Segoe UI" w:ascii="Segoe UI" w:hAnsi="Segoe UI"/>
                <w:color w:val="101820"/>
                <w:kern w:val="0"/>
                <w:sz w:val="18"/>
                <w:szCs w:val="24"/>
                <w:lang w:val="en-US" w:eastAsia="ja-JP" w:bidi="ar-SA"/>
              </w:rPr>
              <w:t xml:space="preserve"> for the others.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premiums for a package product.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sum insured, location of the risk, inception date; rates from Insurer Rate Tables.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 a risk to several insurers (BS-) and record offers (OFR-).</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product, insured, period, response due, risk details, covers, insurers to approach (required); statuses Draft, Submitted, Responses in, Closed, Cancelled.</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cover for the client (QT-).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re-pricing; validity 30 days; statuses Draft, Pending Customer, Customer Accepted, Approved, Rejected, Dropped, Expired, Converted to Policy; customer response Accepted, Declined, Revise.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insurers (PS-).</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Participants with shares totalling exactly 100% and one lead; statuses Draft, Sent to insurer, Bound, Declined, Policy issued, Cancelled; </w:t>
            </w:r>
            <w:r>
              <w:rPr>
                <w:rFonts w:eastAsia="Segoe UI" w:cs="Segoe UI" w:ascii="Segoe UI" w:hAnsi="Segoe UI"/>
                <w:b/>
                <w:color w:val="101820"/>
                <w:kern w:val="0"/>
                <w:sz w:val="18"/>
                <w:szCs w:val="24"/>
                <w:lang w:val="en-US" w:eastAsia="ja-JP" w:bidi="ar-SA"/>
              </w:rPr>
              <w:t>New direct placement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Issued Policy</w:t>
            </w:r>
            <w:r>
              <w:rPr>
                <w:rFonts w:eastAsia="Segoe UI" w:cs="Segoe UI" w:ascii="Segoe UI" w:hAnsi="Segoe UI"/>
                <w:color w:val="101820"/>
                <w:kern w:val="0"/>
                <w:sz w:val="18"/>
                <w:szCs w:val="24"/>
                <w:lang w:val="en-US" w:eastAsia="ja-JP" w:bidi="ar-SA"/>
              </w:rPr>
              <w: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bl>
    <w:p>
      <w:pPr>
        <w:pStyle w:val="Normal"/>
        <w:spacing w:before="0" w:after="80"/>
        <w:rPr/>
      </w:pPr>
      <w:r>
        <w:rPr/>
      </w:r>
    </w:p>
    <w:p>
      <w:pPr>
        <w:pStyle w:val="Heading3"/>
        <w:rPr/>
      </w:pPr>
      <w:r>
        <w:rPr>
          <w:rFonts w:eastAsia="Segoe UI" w:cs="Segoe UI"/>
          <w:b/>
          <w:color w:val="0F4761"/>
          <w:sz w:val="23"/>
        </w:rPr>
        <w:t>13.2.3  Clients, Policy and Claims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090"/>
        <w:gridCol w:w="3108"/>
        <w:gridCol w:w="190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1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9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record (CL-) with tabs Policy, Claim, Renewal, Endorsement, Data privacy.</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at the first policy; details changed by Personal Details Change endorsement.</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(POL-) with payment status;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Claim, Endorsement, Reminder;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statuses Active, Expired, Renewed, Lapsed, Cancelled; payment statuses Pending, Reviewing, Partial, Completed, Refunded; motor issue needs the KYC fields.</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(CLM-) and their journey.</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loss inside the policy period and not in the future; blocked while premium unpaid; settlement maker-checker; statuses Pending, Processing, Pending Approval, Approved, Settled, Rejected, Closed.</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bl>
    <w:p>
      <w:pPr>
        <w:pStyle w:val="Normal"/>
        <w:spacing w:before="0" w:after="80"/>
        <w:rPr/>
      </w:pPr>
      <w:r>
        <w:rPr/>
      </w:r>
    </w:p>
    <w:p>
      <w:pPr>
        <w:pStyle w:val="Heading3"/>
        <w:rPr/>
      </w:pPr>
      <w:r>
        <w:rPr>
          <w:rFonts w:eastAsia="Segoe UI" w:cs="Segoe UI"/>
          <w:b/>
          <w:color w:val="0F4761"/>
          <w:sz w:val="23"/>
        </w:rPr>
        <w:t>13.2.4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Expired and expiring policies with their renewal state;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Continue renewal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Open</w:t>
            </w:r>
            <w:r>
              <w:rPr>
                <w:rFonts w:eastAsia="Segoe UI" w:cs="Segoe UI" w:ascii="Segoe UI" w:hAnsi="Segoe UI"/>
                <w:color w:val="101820"/>
                <w:kern w:val="0"/>
                <w:sz w:val="18"/>
                <w:szCs w:val="24"/>
                <w:lang w:val="en-US" w:eastAsia="ja-JP" w:bidi="ar-SA"/>
              </w:rPr>
              <w:t xml:space="preserve"> (the renewed term).</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Batches of up to 500 policies expiring within 30 days; </w:t>
            </w:r>
            <w:r>
              <w:rPr>
                <w:rFonts w:eastAsia="Segoe UI" w:cs="Segoe UI" w:ascii="Segoe UI" w:hAnsi="Segoe UI"/>
                <w:b/>
                <w:color w:val="101820"/>
                <w:kern w:val="0"/>
                <w:sz w:val="18"/>
                <w:szCs w:val="24"/>
                <w:lang w:val="en-US" w:eastAsia="ja-JP" w:bidi="ar-SA"/>
              </w:rPr>
              <w:t>Create Batch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Refresh</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due: days to expiry, premium, status, risk, sales person, attempts; cards Total Policies, Due Soon (30 days), At Risk, In Grace Period.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Renewal rate, premium retention, cycle time, satisfaction; trends by product and sales person; recommended actions;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Risk score and level per policy (weights in </w:t>
            </w:r>
            <w:r>
              <w:rPr>
                <w:rFonts w:eastAsia="Consolas" w:cs="Consolas" w:ascii="Consolas" w:hAnsi="Consolas"/>
                <w:color w:val="101820"/>
                <w:kern w:val="0"/>
                <w:sz w:val="16"/>
                <w:szCs w:val="24"/>
                <w:lang w:val="en-US" w:eastAsia="ja-JP" w:bidi="ar-SA"/>
              </w:rPr>
              <w:t>renewals.risk_weights</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Timeline, details and communications per renewal; </w:t>
            </w:r>
            <w:r>
              <w:rPr>
                <w:rFonts w:eastAsia="Segoe UI" w:cs="Segoe UI" w:ascii="Segoe UI" w:hAnsi="Segoe UI"/>
                <w:b/>
                <w:color w:val="101820"/>
                <w:kern w:val="0"/>
                <w:sz w:val="18"/>
                <w:szCs w:val="24"/>
                <w:lang w:val="en-US" w:eastAsia="ja-JP" w:bidi="ar-SA"/>
              </w:rPr>
              <w:t>Add note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Request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Communication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Lapsed and grace-period policies, revenue at risk, win-back campaigns; </w:t>
            </w:r>
            <w:r>
              <w:rPr>
                <w:rFonts w:eastAsia="Segoe UI" w:cs="Segoe UI" w:ascii="Segoe UI" w:hAnsi="Segoe UI"/>
                <w:b/>
                <w:color w:val="101820"/>
                <w:kern w:val="0"/>
                <w:sz w:val="18"/>
                <w:szCs w:val="24"/>
                <w:lang w:val="en-US" w:eastAsia="ja-JP" w:bidi="ar-SA"/>
              </w:rPr>
              <w:t>Create Campaign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targets (85%, 90%, 15 days); KPI scorecard.</w:t>
            </w:r>
          </w:p>
        </w:tc>
      </w:tr>
    </w:tbl>
    <w:p>
      <w:pPr>
        <w:pStyle w:val="Normal"/>
        <w:spacing w:before="0" w:after="80"/>
        <w:rPr/>
      </w:pPr>
      <w:r>
        <w:rPr/>
      </w:r>
    </w:p>
    <w:p>
      <w:pPr>
        <w:pStyle w:val="Heading3"/>
        <w:rPr/>
      </w:pPr>
      <w:r>
        <w:rPr>
          <w:rFonts w:eastAsia="Segoe UI" w:cs="Segoe UI"/>
          <w:b/>
          <w:color w:val="0F4761"/>
          <w:sz w:val="23"/>
        </w:rPr>
        <w:t>13.2.5  Open Items and Payments</w:t>
      </w:r>
    </w:p>
    <w:p>
      <w:pPr>
        <w:pStyle w:val="Normal"/>
        <w:spacing w:lineRule="auto" w:line="276" w:before="0" w:after="120"/>
        <w:rPr/>
      </w:pPr>
      <w:r>
        <w:rPr>
          <w:rFonts w:eastAsia="Segoe UI" w:cs="Segoe UI" w:ascii="Segoe UI" w:hAnsi="Segoe UI"/>
          <w:b/>
          <w:color w:val="101820"/>
          <w:sz w:val="21"/>
        </w:rPr>
        <w:t>Open Items</w:t>
      </w:r>
      <w:r>
        <w:rPr>
          <w:rFonts w:eastAsia="Segoe UI" w:cs="Segoe UI" w:ascii="Segoe UI" w:hAnsi="Segoe UI"/>
          <w:color w:val="101820"/>
          <w:sz w:val="21"/>
        </w:rPr>
        <w:t xml:space="preserve">: Expiring Policy, Quote Pending, Pending Payments and Renewal Request, each with </w:t>
      </w:r>
      <w:r>
        <w:rPr>
          <w:rFonts w:eastAsia="Segoe UI" w:cs="Segoe UI" w:ascii="Segoe UI" w:hAnsi="Segoe UI"/>
          <w:b/>
          <w:color w:val="101820"/>
          <w:sz w:val="21"/>
        </w:rPr>
        <w:t>See More</w:t>
      </w:r>
      <w:r>
        <w:rPr>
          <w:rFonts w:eastAsia="Segoe UI" w:cs="Segoe UI" w:ascii="Segoe UI" w:hAnsi="Segoe UI"/>
          <w:color w:val="101820"/>
          <w:sz w:val="21"/>
        </w:rPr>
        <w:t xml:space="preserve">. </w:t>
      </w:r>
      <w:r>
        <w:rPr>
          <w:rFonts w:eastAsia="Segoe UI" w:cs="Segoe UI" w:ascii="Segoe UI" w:hAnsi="Segoe UI"/>
          <w:b/>
          <w:color w:val="101820"/>
          <w:sz w:val="21"/>
        </w:rPr>
        <w:t>Payments</w:t>
      </w:r>
      <w:r>
        <w:rPr>
          <w:rFonts w:eastAsia="Segoe UI" w:cs="Segoe UI" w:ascii="Segoe UI" w:hAnsi="Segoe UI"/>
          <w:color w:val="101820"/>
          <w:sz w:val="21"/>
        </w:rPr>
        <w:t>: gross premium, collected premium, receivables and earned commission; tabs Paid, Pending, Reviewing; type POLICY, RENEWAL POLICY or ENDORSEMENT.</w:t>
      </w:r>
    </w:p>
    <w:p>
      <w:pPr>
        <w:pStyle w:val="Heading2"/>
        <w:rPr/>
      </w:pPr>
      <w:bookmarkStart w:id="131" w:name="__RefHeading___Toc107517_4049217194"/>
      <w:bookmarkEnd w:id="131"/>
      <w:r>
        <w:rPr>
          <w:rFonts w:eastAsia="Segoe UI" w:cs="Segoe UI"/>
          <w:b/>
          <w:color w:val="0F4761"/>
          <w:sz w:val="26"/>
        </w:rPr>
        <w:t>13.3  Accounts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fields and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RT-) against open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 date and type, branch, department, customer code, policy, currency, transaction code, receipt mode, remarks; amount not above the bill balance; </w:t>
            </w:r>
            <w:r>
              <w:rPr>
                <w:rFonts w:eastAsia="Segoe UI" w:cs="Segoe UI" w:ascii="Segoe UI" w:hAnsi="Segoe UI"/>
                <w:b/>
                <w:color w:val="101820"/>
                <w:kern w:val="0"/>
                <w:sz w:val="18"/>
                <w:szCs w:val="24"/>
                <w:lang w:val="en-US" w:eastAsia="ja-JP" w:bidi="ar-SA"/>
              </w:rPr>
              <w:t>Bulk 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(1,000 rows).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premium by ageing bucket; reminders; </w:t>
            </w:r>
            <w:r>
              <w:rPr>
                <w:rFonts w:eastAsia="Segoe UI" w:cs="Segoe UI" w:ascii="Segoe UI" w:hAnsi="Segoe UI"/>
                <w:b/>
                <w:color w:val="101820"/>
                <w:kern w:val="0"/>
                <w:sz w:val="18"/>
                <w:szCs w:val="24"/>
                <w:lang w:val="en-US" w:eastAsia="ja-JP" w:bidi="ar-SA"/>
              </w:rPr>
              <w:t>Import open items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date from the insurer's premium payment warranty or 30 days; reminders 7 days before due, then every 7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Instalment Plans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schedules of broker-billed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instalments proposed, up to 12; monthly, quarterly, semi-annual.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Premium Warranty Monitor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past or near the insurer's warranty.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risk from 7 days before the deadline; extensions up to 90 days, approved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Client Credit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limit per client against open premium.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Over-limit policies issued with a warning; limits set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Remittance Ageing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not yet remitted, per insurer.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Aged on the insurer's remittance terms from the collection date;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and cheques (PV-, DT-).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 type, criteria, payee, policy, transaction type, currency; maker-checker; statuses Draft, For approval, Approved, Paid,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JV, Reversal 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journals (JV-), corrections and reversals.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balance; approval required (</w:t>
            </w: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period status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Entry Matching, Open Entry Unmatching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open debit and credit entries of an account; write-offs.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 account code, pull, match; write-off reason limits.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Query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 accounting entries.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client, entry type, reference type, status, dates, GL code;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Clients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 per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Transactions, debits, credits, balance; </w:t>
            </w:r>
            <w:r>
              <w:rPr>
                <w:rFonts w:eastAsia="Segoe UI" w:cs="Segoe UI" w:ascii="Segoe UI" w:hAnsi="Segoe UI"/>
                <w:b/>
                <w:color w:val="101820"/>
                <w:kern w:val="0"/>
                <w:sz w:val="18"/>
                <w:szCs w:val="24"/>
                <w:lang w:val="en-US" w:eastAsia="ja-JP" w:bidi="ar-SA"/>
              </w:rPr>
              <w:t>Export CSV</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(Initiate, Request, Disbursement, Receipts, Replenish)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their movements (PC-, PCR-, PCRC-).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size, maximum per transaction, minimum cash box; maker-checker.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(Workspace, Reconciliations, reports)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(BST-), matching, adjustments, reconciliations (BRC-).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statement; duplicate file refused; auto-match rules; stale cheques after 180 days;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of account (ISR-) matched to remittances and debit notes.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Tolerance PHP 1.00; every difference resolved before submission;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 Form 2307, VAT Summary, SAWT, QAP, SLSP Sales, SLSP Purchases)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certificates, working papers and alphalists.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Quarter and payee; ATC per payee type; broker details in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(Period Management, Month-End Close, Year-End Close, Recurring Journals, Financial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and closing (MEC-, YEC-, RJV-).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statuses Open, Soft-closed, Closed, Locked; checklist;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(My Programs, Calculations, Approvals, Statement)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payment (CALC-).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another user.</w:t>
            </w:r>
          </w:p>
        </w:tc>
      </w:tr>
    </w:tbl>
    <w:p>
      <w:pPr>
        <w:pStyle w:val="Normal"/>
        <w:spacing w:before="0" w:after="80"/>
        <w:rPr/>
      </w:pPr>
      <w:r>
        <w:rPr/>
      </w:r>
    </w:p>
    <w:p>
      <w:pPr>
        <w:pStyle w:val="Heading3"/>
        <w:rPr/>
      </w:pPr>
      <w:r>
        <w:rPr>
          <w:rFonts w:eastAsia="Segoe UI" w:cs="Segoe UI"/>
          <w:b/>
          <w:color w:val="0F4761"/>
          <w:sz w:val="23"/>
        </w:rPr>
        <w:t>13.3.1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remittances per insurer;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Schedule for Later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View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(REM-) with insurer, policies, gross amount, commission, net amount and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for insurers, prepared in steps (</w:t>
            </w:r>
            <w:r>
              <w:rPr>
                <w:rFonts w:eastAsia="Segoe UI" w:cs="Segoe UI" w:ascii="Segoe UI" w:hAnsi="Segoe UI"/>
                <w:b/>
                <w:color w:val="101820"/>
                <w:kern w:val="0"/>
                <w:sz w:val="18"/>
                <w:szCs w:val="24"/>
                <w:lang w:val="en-US" w:eastAsia="ja-JP" w:bidi="ar-SA"/>
              </w:rPr>
              <w:t>Previous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Next</w:t>
            </w:r>
            <w:r>
              <w:rPr>
                <w:rFonts w:eastAsia="Segoe UI" w:cs="Segoe UI" w:ascii="Segoe UI" w:hAnsi="Segoe UI"/>
                <w:color w:val="101820"/>
                <w:kern w:val="0"/>
                <w:sz w:val="18"/>
                <w:szCs w:val="24"/>
                <w:lang w:val="en-US" w:eastAsia="ja-JP" w:bidi="ar-SA"/>
              </w:rPr>
              <w:t>) and e-mailed as a download link.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 settlements (SET-): insurer, policies, calculation, adjustments, payment, workflow; </w:t>
            </w:r>
            <w:r>
              <w:rPr>
                <w:rFonts w:eastAsia="Segoe UI" w:cs="Segoe UI" w:ascii="Segoe UI" w:hAnsi="Segoe UI"/>
                <w:b/>
                <w:color w:val="101820"/>
                <w:kern w:val="0"/>
                <w:sz w:val="18"/>
                <w:szCs w:val="24"/>
                <w:lang w:val="en-US" w:eastAsia="ja-JP" w:bidi="ar-SA"/>
              </w:rPr>
              <w:t>Save draft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imported bank transactions with remittances within PHP 0.50 (</w:t>
            </w:r>
            <w:r>
              <w:rPr>
                <w:rFonts w:eastAsia="Consolas" w:cs="Consolas" w:ascii="Consolas" w:hAnsi="Consolas"/>
                <w:color w:val="101820"/>
                <w:kern w:val="0"/>
                <w:sz w:val="16"/>
                <w:szCs w:val="24"/>
                <w:lang w:val="en-US" w:eastAsia="ja-JP" w:bidi="ar-SA"/>
              </w:rPr>
              <w:t>remittance.reconciliation_tolerance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Auto Match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Match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Force Match</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remittance data in bulk.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schedules per insurer (insurers, cut-off days, frequency, next run date); </w:t>
            </w:r>
            <w:r>
              <w:rPr>
                <w:rFonts w:eastAsia="Segoe UI" w:cs="Segoe UI" w:ascii="Segoe UI" w:hAnsi="Segoe UI"/>
                <w:b/>
                <w:color w:val="101820"/>
                <w:kern w:val="0"/>
                <w:sz w:val="18"/>
                <w:szCs w:val="24"/>
                <w:lang w:val="en-US" w:eastAsia="ja-JP" w:bidi="ar-SA"/>
              </w:rPr>
              <w:t>New schedule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job in Master &gt; Schedules runs the due schedules daily once it is switched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Transfers by InstaPay, PESONet or RTGS (PhilPaSS) within their limits; </w:t>
            </w:r>
            <w:r>
              <w:rPr>
                <w:rFonts w:eastAsia="Segoe UI" w:cs="Segoe UI" w:ascii="Segoe UI" w:hAnsi="Segoe UI"/>
                <w:b/>
                <w:color w:val="101820"/>
                <w:kern w:val="0"/>
                <w:sz w:val="18"/>
                <w:szCs w:val="24"/>
                <w:lang w:val="en-US" w:eastAsia="ja-JP" w:bidi="ar-SA"/>
              </w:rPr>
              <w:t>New transfer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Batch process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Workflow</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of remittances, settlements, transfers and adjustments within the approver's Authority Matrix limit; pending, overdue and history.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Management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exceptions; assignment and reports.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Statements of account (bills) to agencies; </w:t>
            </w:r>
            <w:r>
              <w:rPr>
                <w:rFonts w:eastAsia="Segoe UI" w:cs="Segoe UI" w:ascii="Segoe UI" w:hAnsi="Segoe UI"/>
                <w:b/>
                <w:color w:val="101820"/>
                <w:kern w:val="0"/>
                <w:sz w:val="18"/>
                <w:szCs w:val="24"/>
                <w:lang w:val="en-US" w:eastAsia="ja-JP" w:bidi="ar-SA"/>
              </w:rPr>
              <w:t>Load agencies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bills</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tabs Raise Debit Note, Debit Notes, Billing Mode.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adjustments (ADJ-); </w:t>
            </w:r>
            <w:r>
              <w:rPr>
                <w:rFonts w:eastAsia="Segoe UI" w:cs="Segoe UI" w:ascii="Segoe UI" w:hAnsi="Segoe UI"/>
                <w:b/>
                <w:color w:val="101820"/>
                <w:kern w:val="0"/>
                <w:sz w:val="18"/>
                <w:szCs w:val="24"/>
                <w:lang w:val="en-US" w:eastAsia="ja-JP" w:bidi="ar-SA"/>
              </w:rPr>
              <w:t>New Adjustment</w:t>
            </w:r>
            <w:r>
              <w:rPr>
                <w:rFonts w:eastAsia="Segoe UI" w:cs="Segoe UI" w:ascii="Segoe UI" w:hAnsi="Segoe UI"/>
                <w:color w:val="101820"/>
                <w:kern w:val="0"/>
                <w:sz w:val="18"/>
                <w:szCs w:val="24"/>
                <w:lang w:val="en-US" w:eastAsia="ja-JP" w:bidi="ar-SA"/>
              </w:rPr>
              <w:t xml:space="preserve"> (Create New Adjustment), approval by another user.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notifications to insurers; </w:t>
            </w:r>
            <w:r>
              <w:rPr>
                <w:rFonts w:eastAsia="Segoe UI" w:cs="Segoe UI" w:ascii="Segoe UI" w:hAnsi="Segoe UI"/>
                <w:b/>
                <w:color w:val="101820"/>
                <w:kern w:val="0"/>
                <w:sz w:val="18"/>
                <w:szCs w:val="24"/>
                <w:lang w:val="en-US" w:eastAsia="ja-JP" w:bidi="ar-SA"/>
              </w:rPr>
              <w:t>Compose</w:t>
            </w:r>
            <w:r>
              <w:rPr>
                <w:rFonts w:eastAsia="Segoe UI" w:cs="Segoe UI" w:ascii="Segoe UI" w:hAnsi="Segoe UI"/>
                <w:color w:val="101820"/>
                <w:kern w:val="0"/>
                <w:sz w:val="18"/>
                <w:szCs w:val="24"/>
                <w:lang w:val="en-US" w:eastAsia="ja-JP" w:bidi="ar-SA"/>
              </w:rPr>
              <w:t>. SMS and letter are logged only.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remittance event; </w:t>
            </w:r>
            <w:r>
              <w:rPr>
                <w:rFonts w:eastAsia="Segoe UI" w:cs="Segoe UI" w:ascii="Segoe UI" w:hAnsi="Segoe UI"/>
                <w:b/>
                <w:color w:val="101820"/>
                <w:kern w:val="0"/>
                <w:sz w:val="18"/>
                <w:szCs w:val="24"/>
                <w:lang w:val="en-US" w:eastAsia="ja-JP" w:bidi="ar-SA"/>
              </w:rPr>
              <w:t>Export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KPIs against the targets in </w:t>
            </w:r>
            <w:r>
              <w:rPr>
                <w:rFonts w:eastAsia="Consolas" w:cs="Consolas" w:ascii="Consolas" w:hAnsi="Consolas"/>
                <w:color w:val="101820"/>
                <w:kern w:val="0"/>
                <w:sz w:val="16"/>
                <w:szCs w:val="24"/>
                <w:lang w:val="en-US" w:eastAsia="ja-JP" w:bidi="ar-SA"/>
              </w:rPr>
              <w:t>remittance.kpi_targets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33" name="Picture 21212883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2121288313" descr=""/>
                    <pic:cNvPicPr>
                      <a:picLocks noChangeAspect="1" noChangeArrowheads="1"/>
                    </pic:cNvPicPr>
                  </pic:nvPicPr>
                  <pic:blipFill>
                    <a:blip r:embed="rId12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Automated Processing</w:t>
      </w:r>
    </w:p>
    <w:p>
      <w:pPr>
        <w:pStyle w:val="Heading2"/>
        <w:rPr/>
      </w:pPr>
      <w:bookmarkStart w:id="132" w:name="__RefHeading___Toc107519_4049217194"/>
      <w:bookmarkEnd w:id="132"/>
      <w:r>
        <w:rPr>
          <w:rFonts w:eastAsia="Segoe UI" w:cs="Segoe UI"/>
          <w:b/>
          <w:color w:val="0F4761"/>
          <w:sz w:val="26"/>
        </w:rPr>
        <w:t>13.4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 income, comsub, net margin, margin %, outstanding payable, WHT withheld; by referrer, status, month, product and insurer; Accounting and Management 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Agents/Referrer Accounts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Referrers with type, level, policies, net payable, WHT type, bank account; account per referrer with current, future and past cycles; </w:t>
            </w:r>
            <w:r>
              <w:rPr>
                <w:rFonts w:eastAsia="Segoe UI" w:cs="Segoe UI" w:ascii="Segoe UI" w:hAnsi="Segoe UI"/>
                <w:b/>
                <w:color w:val="101820"/>
                <w:kern w:val="0"/>
                <w:sz w:val="18"/>
                <w:szCs w:val="24"/>
                <w:lang w:val="en-US" w:eastAsia="ja-JP" w:bidi="ar-SA"/>
              </w:rPr>
              <w:t>Mark eligible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payout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33" w:name="__RefHeading___Toc107521_4049217194"/>
      <w:bookmarkEnd w:id="133"/>
      <w:r>
        <w:rPr>
          <w:rFonts w:eastAsia="Segoe UI" w:cs="Segoe UI"/>
          <w:b/>
          <w:color w:val="0F4761"/>
          <w:sz w:val="26"/>
        </w:rPr>
        <w:t>13.5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treaties, capacity, utilisation, premium ceded, claims recovered,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Cessions (CES-) per policy and treaty;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 xml:space="preserve"> (BDX-).</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Recoverable amounts on claims (RCL-);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Reinsurer statements (REC-) against our figures; tolerance 1%;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Utilisation, loss ratio trend, retention against 65%, recovery performance, catastrophe exposure.</w:t>
            </w:r>
          </w:p>
        </w:tc>
      </w:tr>
    </w:tbl>
    <w:p>
      <w:pPr>
        <w:pStyle w:val="Normal"/>
        <w:spacing w:before="0" w:after="80"/>
        <w:rPr/>
      </w:pPr>
      <w:r>
        <w:rPr/>
      </w:r>
    </w:p>
    <w:p>
      <w:pPr>
        <w:pStyle w:val="Normal"/>
        <w:jc w:val="center"/>
        <w:rPr/>
      </w:pPr>
      <w:r>
        <w:rPr/>
        <w:drawing>
          <wp:inline distT="0" distB="0" distL="0" distR="0">
            <wp:extent cx="5760085" cy="4354830"/>
            <wp:effectExtent l="0" t="0" r="0" b="0"/>
            <wp:docPr id="134" name="Picture 21212883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2121288314" descr=""/>
                    <pic:cNvPicPr>
                      <a:picLocks noChangeAspect="1" noChangeArrowheads="1"/>
                    </pic:cNvPicPr>
                  </pic:nvPicPr>
                  <pic:blipFill>
                    <a:blip r:embed="rId130"/>
                    <a:stretch>
                      <a:fillRect/>
                    </a:stretch>
                  </pic:blipFill>
                  <pic:spPr bwMode="auto">
                    <a:xfrm>
                      <a:off x="0" y="0"/>
                      <a:ext cx="5760085" cy="43548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Treaty Dashboard</w:t>
      </w:r>
    </w:p>
    <w:p>
      <w:pPr>
        <w:pStyle w:val="Heading2"/>
        <w:rPr/>
      </w:pPr>
      <w:bookmarkStart w:id="134" w:name="__RefHeading___Toc107523_4049217194"/>
      <w:bookmarkEnd w:id="134"/>
      <w:r>
        <w:rPr>
          <w:rFonts w:eastAsia="Segoe UI" w:cs="Segoe UI"/>
          <w:b/>
          <w:color w:val="0F4761"/>
          <w:sz w:val="26"/>
        </w:rPr>
        <w:t>13.6  Reports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the role may run, grouped, with a description and a search box.</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Claims, Renewal, Remittance, Broker Commission.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Income Statement, Balance Sheet, Trial Balance Movement, General Ledger Detail, Aged Payables to Insurers, Month-End Close Status, Co-insurance Register, Due to Insurers by Co-insurer.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 the chapter Reports, dashboards, schedules and notifications.</w:t>
      </w:r>
    </w:p>
    <w:p>
      <w:pPr>
        <w:pStyle w:val="Heading2"/>
        <w:rPr/>
      </w:pPr>
      <w:bookmarkStart w:id="135" w:name="__RefHeading___Toc107525_4049217194"/>
      <w:bookmarkEnd w:id="135"/>
      <w:r>
        <w:rPr>
          <w:rFonts w:eastAsia="Segoe UI" w:cs="Segoe UI"/>
          <w:b/>
          <w:color w:val="0F4761"/>
          <w:sz w:val="26"/>
        </w:rPr>
        <w:t>13.7  Master</w:t>
      </w:r>
    </w:p>
    <w:p>
      <w:pPr>
        <w:pStyle w:val="Heading3"/>
        <w:rPr/>
      </w:pPr>
      <w:r>
        <w:rPr>
          <w:rFonts w:eastAsia="Segoe UI" w:cs="Segoe UI"/>
          <w:b/>
          <w:color w:val="0F4761"/>
          <w:sz w:val="23"/>
        </w:rPr>
        <w:t>13.7.1  Configuration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(app title, logo, favicon), display currency, default language, theme colours.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business setting by area; changes audited.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prefix, format tokens, digits, counter reset, next number.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timetable, status, next and last run;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history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Edit schedule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by record type, record ID, user and dates.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Queued, sent and failed e-mails with their attachments;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Data Subject Requests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Requests of data subjects (DSR-) with due dates; </w:t>
            </w:r>
            <w:r>
              <w:rPr>
                <w:rFonts w:eastAsia="Segoe UI" w:cs="Segoe UI" w:ascii="Segoe UI" w:hAnsi="Segoe UI"/>
                <w:b/>
                <w:color w:val="101820"/>
                <w:kern w:val="0"/>
                <w:sz w:val="18"/>
                <w:szCs w:val="24"/>
                <w:lang w:val="en-US" w:eastAsia="ja-JP" w:bidi="ar-SA"/>
              </w:rPr>
              <w:t>Log request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personal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Anonymise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Close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Consent Register</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given, refused and withdrawn by clients and prospects.</w:t>
            </w:r>
          </w:p>
        </w:tc>
      </w:tr>
    </w:tbl>
    <w:p>
      <w:pPr>
        <w:pStyle w:val="Normal"/>
        <w:spacing w:before="0" w:after="80"/>
        <w:rPr/>
      </w:pPr>
      <w:r>
        <w:rPr/>
      </w:r>
    </w:p>
    <w:p>
      <w:pPr>
        <w:pStyle w:val="Heading3"/>
        <w:rPr/>
      </w:pPr>
      <w:r>
        <w:rPr>
          <w:rFonts w:eastAsia="Segoe UI" w:cs="Segoe UI"/>
          <w:b/>
          <w:color w:val="0F4761"/>
          <w:sz w:val="23"/>
        </w:rPr>
        <w:t>13.7.2  Generals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company: code, name, licence number, e-mail, TIN, logo, website, address, phone, fax; letterhead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Branch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and departments.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Insurance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Insurers: code, name, address, phone, e-mail, TIN; credit terms (premium payment warranty, remittance terms, default billing mode);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Line of Business, Product, Cover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(with their line) and covers.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Country, State, City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Address lists;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Hierarchy, Designation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structure; branch, designation and reporting line are set on the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 Role, User Access Matrix, Role Permissions, Authority Matrix, Delegations, Segregation of Duties, Access Reviews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controls (System Administrator chapter).</w:t>
            </w:r>
          </w:p>
        </w:tc>
      </w:tr>
    </w:tbl>
    <w:p>
      <w:pPr>
        <w:pStyle w:val="Normal"/>
        <w:spacing w:before="0" w:after="80"/>
        <w:rPr/>
      </w:pPr>
      <w:r>
        <w:rPr/>
      </w:r>
    </w:p>
    <w:p>
      <w:pPr>
        <w:pStyle w:val="Heading3"/>
        <w:rPr/>
      </w:pPr>
      <w:r>
        <w:rPr>
          <w:rFonts w:eastAsia="Segoe UI" w:cs="Segoe UI"/>
          <w:b/>
          <w:color w:val="0F4761"/>
          <w:sz w:val="23"/>
        </w:rPr>
        <w:t>13.7.3  Finance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per account role, payable per payee type, cash account per payment mode, commission taxes, write-off reasons.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journal rule of each business event; simulate, version,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posting configuration changes for a second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event posts, from the rules in force.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Packages sold under one master policy (sections with their own insurer): code, bundle, customer segment, sections, bundle discount, default sum insured; </w:t>
            </w:r>
            <w:r>
              <w:rPr>
                <w:rFonts w:eastAsia="Segoe UI" w:cs="Segoe UI" w:ascii="Segoe UI" w:hAnsi="Segoe UI"/>
                <w:b/>
                <w:color w:val="101820"/>
                <w:kern w:val="0"/>
                <w:sz w:val="18"/>
                <w:szCs w:val="24"/>
                <w:lang w:val="en-US" w:eastAsia="ja-JP" w:bidi="ar-SA"/>
              </w:rPr>
              <w:t>Add bundle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 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insurer's rates for package products: product, insurer, rate basis, rate, minimum premium, deductible, key benefits, commission, effective dates; used by Compare Insurers and Quick Quote;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VAT or premium tax, DST, FST and the local government tax per city or municipality (code, city, province, rate, effective dates); tabs Local government tax, Tax and charge rules, Calculator; </w:t>
            </w:r>
            <w:r>
              <w:rPr>
                <w:rFonts w:eastAsia="Segoe UI" w:cs="Segoe UI" w:ascii="Segoe UI" w:hAnsi="Segoe UI"/>
                <w:b/>
                <w:color w:val="101820"/>
                <w:kern w:val="0"/>
                <w:sz w:val="18"/>
                <w:szCs w:val="24"/>
                <w:lang w:val="en-US" w:eastAsia="ja-JP" w:bidi="ar-SA"/>
              </w:rPr>
              <w:t>Add city / municipality</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of premium (GCash, Maya, GrabPay, cards, online banking) through a payment link: gateway, mode (sandbox or live), methods, fee, link validity (72 hours), issue the policy when paid, bank account credited; payment log. Merchant keys are set on the server, never on the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Brokerage rates by insurer, product, line and policy type;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Find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exchange rates.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bank accounts with GL cash account, statement format and reconcile-from date;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chart of accounts: code, name, statement group, category, normal balance, open-item flag, manual JV allowed, system use, status;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with rate, BIR ATC, GL account and effective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statement files are read; bank items and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Normal"/>
        <w:jc w:val="center"/>
        <w:rPr/>
      </w:pPr>
      <w:r>
        <w:rPr/>
        <w:drawing>
          <wp:inline distT="0" distB="0" distL="0" distR="0">
            <wp:extent cx="5760085" cy="4469130"/>
            <wp:effectExtent l="0" t="0" r="0" b="0"/>
            <wp:docPr id="135" name="Picture 21212883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2121288315" descr=""/>
                    <pic:cNvPicPr>
                      <a:picLocks noChangeAspect="1" noChangeArrowheads="1"/>
                    </pic:cNvPicPr>
                  </pic:nvPicPr>
                  <pic:blipFill>
                    <a:blip r:embed="rId13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Premium Taxes &amp; LGU Rates</w:t>
      </w:r>
    </w:p>
    <w:p>
      <w:pPr>
        <w:pStyle w:val="Heading3"/>
        <w:rPr/>
      </w:pPr>
      <w:r>
        <w:rPr>
          <w:rFonts w:eastAsia="Segoe UI" w:cs="Segoe UI"/>
          <w:b/>
          <w:color w:val="0F4761"/>
          <w:sz w:val="23"/>
        </w:rPr>
        <w:t>13.7.4  Incentive and reinsurance masters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(INC-): type, target metric, base target, frequency, dates.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(TRT-): type, line, reinsurers, period, limits and commission; approval by a second user.</w:t>
            </w:r>
          </w:p>
        </w:tc>
      </w:tr>
    </w:tbl>
    <w:p>
      <w:pPr>
        <w:pStyle w:val="Normal"/>
        <w:spacing w:before="0" w:after="80"/>
        <w:rPr/>
      </w:pPr>
      <w:r>
        <w:rPr/>
      </w:r>
    </w:p>
    <w:p>
      <w:pPr>
        <w:pStyle w:val="Heading2"/>
        <w:rPr/>
      </w:pPr>
      <w:bookmarkStart w:id="136" w:name="__RefHeading___Toc107527_4049217194"/>
      <w:bookmarkEnd w:id="136"/>
      <w:r>
        <w:rPr>
          <w:rFonts w:eastAsia="Segoe UI" w:cs="Segoe UI"/>
          <w:b/>
          <w:color w:val="0F4761"/>
          <w:sz w:val="26"/>
        </w:rPr>
        <w:t>13.8  Product Configurator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with category, line, version, status, base rate and commission; active products, total premium, average loss ratio and commission.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(TPL-) with versions and status (Draft, Active, Retired); the motor tariff.</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 code, name, mandatory or optional, deductible, premium impact.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factors with rules; Test Calculator.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validation and loading rules.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templates per stage.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mapped to insurers with commission, override and target.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IAR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jc w:val="center"/>
        <w:rPr/>
      </w:pPr>
      <w:r>
        <w:rPr/>
        <w:drawing>
          <wp:inline distT="0" distB="0" distL="0" distR="0">
            <wp:extent cx="5760085" cy="4469130"/>
            <wp:effectExtent l="0" t="0" r="0" b="0"/>
            <wp:docPr id="136" name="Picture 21212883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2121288316" descr=""/>
                    <pic:cNvPicPr>
                      <a:picLocks noChangeAspect="1" noChangeArrowheads="1"/>
                    </pic:cNvPicPr>
                  </pic:nvPicPr>
                  <pic:blipFill>
                    <a:blip r:embed="rId13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Dashboard</w:t>
      </w:r>
    </w:p>
    <w:p>
      <w:pPr>
        <w:pStyle w:val="Heading2"/>
        <w:rPr/>
      </w:pPr>
      <w:bookmarkStart w:id="137" w:name="__RefHeading___Toc107529_4049217194"/>
      <w:bookmarkEnd w:id="137"/>
      <w:r>
        <w:rPr>
          <w:rFonts w:eastAsia="Segoe UI" w:cs="Segoe UI"/>
          <w:b/>
          <w:color w:val="0F4761"/>
          <w:sz w:val="26"/>
        </w:rPr>
        <w:t>13.9  Number series</w:t>
      </w:r>
    </w:p>
    <w:p>
      <w:pPr>
        <w:pStyle w:val="Normal"/>
        <w:spacing w:lineRule="auto" w:line="276" w:before="0" w:after="120"/>
        <w:rPr/>
      </w:pPr>
      <w:r>
        <w:rPr>
          <w:rFonts w:eastAsia="Segoe UI" w:cs="Segoe UI" w:ascii="Segoe UI" w:hAnsi="Segoe UI"/>
          <w:color w:val="101820"/>
          <w:sz w:val="21"/>
        </w:rPr>
        <w:t>Numbers follow their series on Master &gt; Document Numbering. The delivered format is {PREFIX}-{YYYY}-{SEQ} with five digits, for example POL-2026-00001, restarting every calendar year.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Prefix</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LD</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 OFR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 insurer offer</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Quotation Slip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 CL</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client code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RT, AR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receipt transaction, acknowledgement receipt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PV, DT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disbursement transaction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(manual and system)</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CLM</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claim</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 SET, ADJ</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adjustment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MEC, YEC, RJV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year-end close, recurring journal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BST, BRC, ISR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bank reconciliation, insurer statement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PC, PCR, PCRC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transaction, request, receipt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 INC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incentive programme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 RCL, REC, BDX, TRT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recovery, reinsurance reconciliation, bordereau, treaty</w:t>
            </w:r>
          </w:p>
        </w:tc>
      </w:tr>
    </w:tbl>
    <w:p>
      <w:pPr>
        <w:pStyle w:val="Heading1"/>
        <w:rPr/>
      </w:pPr>
      <w:r>
        <w:br w:type="page"/>
      </w:r>
      <w:bookmarkStart w:id="138" w:name="__RefHeading___Toc107531_4049217194"/>
      <w:bookmarkEnd w:id="138"/>
      <w:r>
        <w:rPr>
          <w:rFonts w:eastAsia="Segoe UI" w:cs="Segoe UI" w:ascii="Segoe UI" w:hAnsi="Segoe UI"/>
          <w:b/>
          <w:color w:val="0F4761"/>
          <w:sz w:val="32"/>
        </w:rPr>
        <w:t>14.  Reports, dashboards, schedules and notifications</w:t>
      </w:r>
    </w:p>
    <w:p>
      <w:pPr>
        <w:pStyle w:val="Heading2"/>
        <w:rPr/>
      </w:pPr>
      <w:bookmarkStart w:id="139" w:name="__RefHeading___Toc107533_4049217194"/>
      <w:bookmarkEnd w:id="139"/>
      <w:r>
        <w:rPr>
          <w:rFonts w:eastAsia="Segoe UI" w:cs="Segoe UI"/>
          <w:b/>
          <w:color w:val="0F4761"/>
          <w:sz w:val="26"/>
        </w:rPr>
        <w:t>14.1  Reports</w:t>
      </w:r>
    </w:p>
    <w:p>
      <w:pPr>
        <w:pStyle w:val="Normal"/>
        <w:spacing w:lineRule="auto" w:line="276" w:before="0" w:after="120"/>
        <w:rPr/>
      </w:pPr>
      <w:r>
        <w:rPr>
          <w:rFonts w:eastAsia="Segoe UI" w:cs="Segoe UI" w:ascii="Segoe UI" w:hAnsi="Segoe UI"/>
          <w:color w:val="101820"/>
          <w:sz w:val="21"/>
        </w:rPr>
        <w:t>BrokerVerse has 39 catalogue reports: 11 operational, 16 financial, 5 tax (BIR) and 5 reconciliation reports, and 2 management reports. Every report opens on the same report screen with the filters it uses. The BrokerVerse Reports Book describes each report: who may run it, its filters, columns, totals, outputs and the transactions that feed it.</w:t>
      </w:r>
    </w:p>
    <w:p>
      <w:pPr>
        <w:pStyle w:val="Normal"/>
        <w:numPr>
          <w:ilvl w:val="0"/>
          <w:numId w:val="1"/>
        </w:numPr>
        <w:spacing w:before="0" w:after="60"/>
        <w:rPr/>
      </w:pPr>
      <w:r>
        <w:rPr>
          <w:rFonts w:eastAsia="Segoe UI" w:cs="Segoe UI" w:ascii="Segoe UI" w:hAnsi="Segoe UI"/>
          <w:b/>
          <w:color w:val="101820"/>
          <w:sz w:val="21"/>
        </w:rPr>
        <w:t>Reports &gt; All Reports</w:t>
      </w:r>
      <w:r>
        <w:rPr>
          <w:rFonts w:eastAsia="Segoe UI" w:cs="Segoe UI" w:ascii="Segoe UI" w:hAnsi="Segoe UI"/>
          <w:color w:val="101820"/>
          <w:sz w:val="21"/>
        </w:rPr>
        <w:t xml:space="preserve"> lists every report your role may run, grouped into Operational Reports and Financial Reports, with a short description and a search box.</w:t>
      </w:r>
    </w:p>
    <w:p>
      <w:pPr>
        <w:pStyle w:val="Normal"/>
        <w:numPr>
          <w:ilvl w:val="0"/>
          <w:numId w:val="1"/>
        </w:numPr>
        <w:spacing w:before="0" w:after="60"/>
        <w:rPr/>
      </w:pPr>
      <w:r>
        <w:rPr>
          <w:rFonts w:eastAsia="Segoe UI" w:cs="Segoe UI" w:ascii="Segoe UI" w:hAnsi="Segoe UI"/>
          <w:b/>
          <w:color w:val="101820"/>
          <w:sz w:val="21"/>
        </w:rPr>
        <w:t>Reports &gt; Operational Reports</w:t>
      </w:r>
      <w:r>
        <w:rPr>
          <w:rFonts w:eastAsia="Segoe UI" w:cs="Segoe UI" w:ascii="Segoe UI" w:hAnsi="Segoe UI"/>
          <w:color w:val="101820"/>
          <w:sz w:val="21"/>
        </w:rPr>
        <w:t xml:space="preserve"> and </w:t>
      </w:r>
      <w:r>
        <w:rPr>
          <w:rFonts w:eastAsia="Segoe UI" w:cs="Segoe UI" w:ascii="Segoe UI" w:hAnsi="Segoe UI"/>
          <w:b/>
          <w:color w:val="101820"/>
          <w:sz w:val="21"/>
        </w:rPr>
        <w:t>Reports &gt; Financial Reports</w:t>
      </w:r>
      <w:r>
        <w:rPr>
          <w:rFonts w:eastAsia="Segoe UI" w:cs="Segoe UI" w:ascii="Segoe UI" w:hAnsi="Segoe UI"/>
          <w:color w:val="101820"/>
          <w:sz w:val="21"/>
        </w:rPr>
        <w:t xml:space="preserve"> are shortcuts to the most used reports. The tax reports are also under Accounts &gt; Tax, the bank reports under Accounts &gt; Bank Reconciliation and the financial statements under Accounts &gt; Period End &gt; Financial Statements.</w:t>
      </w:r>
    </w:p>
    <w:p>
      <w:pPr>
        <w:pStyle w:val="Normal"/>
        <w:jc w:val="center"/>
        <w:rPr/>
      </w:pPr>
      <w:r>
        <w:rPr/>
        <w:drawing>
          <wp:inline distT="0" distB="0" distL="0" distR="0">
            <wp:extent cx="5760085" cy="4469130"/>
            <wp:effectExtent l="0" t="0" r="0" b="0"/>
            <wp:docPr id="137" name="Picture 21212883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2121288317" descr=""/>
                    <pic:cNvPicPr>
                      <a:picLocks noChangeAspect="1" noChangeArrowheads="1"/>
                    </pic:cNvPicPr>
                  </pic:nvPicPr>
                  <pic:blipFill>
                    <a:blip r:embed="rId13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p>
      <w:pPr>
        <w:pStyle w:val="Normal"/>
        <w:spacing w:lineRule="auto" w:line="276" w:before="0" w:after="120"/>
        <w:rPr/>
      </w:pPr>
      <w:r>
        <w:rPr>
          <w:rFonts w:eastAsia="Segoe UI" w:cs="Segoe UI" w:ascii="Segoe UI" w:hAnsi="Segoe UI"/>
          <w:color w:val="101820"/>
          <w:sz w:val="21"/>
        </w:rPr>
        <w:t>To run a report:</w:t>
      </w:r>
    </w:p>
    <w:p>
      <w:pPr>
        <w:pStyle w:val="Normal"/>
        <w:numPr>
          <w:ilvl w:val="0"/>
          <w:numId w:val="272"/>
        </w:numPr>
        <w:spacing w:before="0" w:after="60"/>
        <w:rPr/>
      </w:pPr>
      <w:r>
        <w:rPr>
          <w:rFonts w:eastAsia="Segoe UI" w:cs="Segoe UI" w:ascii="Segoe UI" w:hAnsi="Segoe UI"/>
          <w:color w:val="101820"/>
          <w:sz w:val="21"/>
        </w:rPr>
        <w:t>Open the report.</w:t>
      </w:r>
    </w:p>
    <w:p>
      <w:pPr>
        <w:pStyle w:val="Normal"/>
        <w:numPr>
          <w:ilvl w:val="0"/>
          <w:numId w:val="27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Report Criteria</w:t>
      </w:r>
      <w:r>
        <w:rPr>
          <w:rFonts w:eastAsia="Segoe UI" w:cs="Segoe UI" w:ascii="Segoe UI" w:hAnsi="Segoe UI"/>
          <w:color w:val="101820"/>
          <w:sz w:val="21"/>
        </w:rPr>
        <w:t xml:space="preserve"> (required), for example Overall, Agent, Principal Insurer or Branch. The filters that the criteria use become available.</w:t>
      </w:r>
    </w:p>
    <w:p>
      <w:pPr>
        <w:pStyle w:val="Normal"/>
        <w:numPr>
          <w:ilvl w:val="0"/>
          <w:numId w:val="274"/>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275"/>
        </w:numPr>
        <w:spacing w:before="0" w:after="60"/>
        <w:rPr/>
      </w:pPr>
      <w:r>
        <w:rPr>
          <w:rFonts w:eastAsia="Segoe UI" w:cs="Segoe UI" w:ascii="Segoe UI" w:hAnsi="Segoe UI"/>
          <w:color w:val="101820"/>
          <w:sz w:val="21"/>
        </w:rPr>
        <w:t>Choose the other filters you need: agent, company (principal insurer), branch, client, product, status, account or bank account.</w:t>
      </w:r>
    </w:p>
    <w:p>
      <w:pPr>
        <w:pStyle w:val="Normal"/>
        <w:numPr>
          <w:ilvl w:val="0"/>
          <w:numId w:val="27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rows on screen with the totals and the summary figures.</w:t>
      </w:r>
    </w:p>
    <w:p>
      <w:pPr>
        <w:pStyle w:val="Normal"/>
        <w:numPr>
          <w:ilvl w:val="0"/>
          <w:numId w:val="27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CSV</w:t>
      </w:r>
      <w:r>
        <w:rPr>
          <w:rFonts w:eastAsia="Segoe UI" w:cs="Segoe UI" w:ascii="Segoe UI" w:hAnsi="Segoe UI"/>
          <w:color w:val="101820"/>
          <w:sz w:val="21"/>
        </w:rPr>
        <w:t xml:space="preserve">, </w:t>
      </w:r>
      <w:r>
        <w:rPr>
          <w:rFonts w:eastAsia="Segoe UI" w:cs="Segoe UI" w:ascii="Segoe UI" w:hAnsi="Segoe UI"/>
          <w:b/>
          <w:color w:val="101820"/>
          <w:sz w:val="21"/>
        </w:rPr>
        <w:t>Excel (XLSX)</w:t>
      </w:r>
      <w:r>
        <w:rPr>
          <w:rFonts w:eastAsia="Segoe UI" w:cs="Segoe UI" w:ascii="Segoe UI" w:hAnsi="Segoe UI"/>
          <w:color w:val="101820"/>
          <w:sz w:val="21"/>
        </w:rPr>
        <w:t xml:space="preserve"> or </w:t>
      </w:r>
      <w:r>
        <w:rPr>
          <w:rFonts w:eastAsia="Segoe UI" w:cs="Segoe UI" w:ascii="Segoe UI" w:hAnsi="Segoe UI"/>
          <w:b/>
          <w:color w:val="101820"/>
          <w:sz w:val="21"/>
        </w:rPr>
        <w:t>PDF</w:t>
      </w:r>
      <w:r>
        <w:rPr>
          <w:rFonts w:eastAsia="Segoe UI" w:cs="Segoe UI" w:ascii="Segoe UI" w:hAnsi="Segoe UI"/>
          <w:color w:val="101820"/>
          <w:sz w:val="21"/>
        </w:rPr>
        <w:t xml:space="preserve">, and select </w:t>
      </w:r>
      <w:r>
        <w:rPr>
          <w:rFonts w:eastAsia="Segoe UI" w:cs="Segoe UI" w:ascii="Segoe UI" w:hAnsi="Segoe UI"/>
          <w:b/>
          <w:color w:val="101820"/>
          <w:sz w:val="21"/>
        </w:rPr>
        <w:t>Generate</w:t>
      </w:r>
      <w:r>
        <w:rPr>
          <w:rFonts w:eastAsia="Segoe UI" w:cs="Segoe UI" w:ascii="Segoe UI" w:hAnsi="Segoe UI"/>
          <w:color w:val="101820"/>
          <w:sz w:val="21"/>
        </w:rPr>
        <w:t>. The file downloads.</w:t>
      </w:r>
    </w:p>
    <w:p>
      <w:pPr>
        <w:pStyle w:val="Normal"/>
        <w:jc w:val="center"/>
        <w:rPr/>
      </w:pPr>
      <w:r>
        <w:rPr/>
        <w:drawing>
          <wp:inline distT="0" distB="0" distL="0" distR="0">
            <wp:extent cx="5760085" cy="2909570"/>
            <wp:effectExtent l="0" t="0" r="0" b="0"/>
            <wp:docPr id="138" name="Picture 21212883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2121288318" descr=""/>
                    <pic:cNvPicPr>
                      <a:picLocks noChangeAspect="1" noChangeArrowheads="1"/>
                    </pic:cNvPicPr>
                  </pic:nvPicPr>
                  <pic:blipFill>
                    <a:blip r:embed="rId134"/>
                    <a:stretch>
                      <a:fillRect/>
                    </a:stretch>
                  </pic:blipFill>
                  <pic:spPr bwMode="auto">
                    <a:xfrm>
                      <a:off x="0" y="0"/>
                      <a:ext cx="5760085" cy="2909570"/>
                    </a:xfrm>
                    <a:prstGeom prst="rect">
                      <a:avLst/>
                    </a:prstGeom>
                  </pic:spPr>
                </pic:pic>
              </a:graphicData>
            </a:graphic>
          </wp:inline>
        </w:drawing>
      </w:r>
    </w:p>
    <w:p>
      <w:pPr>
        <w:pStyle w:val="Normal"/>
        <w:jc w:val="center"/>
        <w:rPr/>
      </w:pPr>
      <w:r>
        <w:rPr>
          <w:rFonts w:eastAsia="Segoe UI" w:cs="Segoe UI" w:ascii="Segoe UI" w:hAnsi="Segoe UI"/>
          <w:i/>
          <w:color w:val="555F6D"/>
          <w:sz w:val="18"/>
        </w:rPr>
        <w:t>Report screen: Production Register</w:t>
      </w:r>
    </w:p>
    <w:p>
      <w:pPr>
        <w:pStyle w:val="Normal"/>
        <w:spacing w:lineRule="auto" w:line="276" w:before="0" w:after="120"/>
        <w:rPr/>
      </w:pPr>
      <w:r>
        <w:rPr>
          <w:rFonts w:eastAsia="Segoe UI" w:cs="Segoe UI" w:ascii="Segoe UI" w:hAnsi="Segoe UI"/>
          <w:color w:val="101820"/>
          <w:sz w:val="21"/>
        </w:rPr>
        <w:t>A file holds up to 50,000 rows (</w:t>
      </w:r>
      <w:r>
        <w:rPr>
          <w:rFonts w:eastAsia="Consolas" w:cs="Consolas" w:ascii="Consolas" w:hAnsi="Consolas"/>
          <w:color w:val="101820"/>
          <w:sz w:val="19"/>
        </w:rPr>
        <w:t>reports.max_rows</w:t>
      </w:r>
      <w:r>
        <w:rPr>
          <w:rFonts w:eastAsia="Segoe UI" w:cs="Segoe UI" w:ascii="Segoe UI" w:hAnsi="Segoe UI"/>
          <w:color w:val="101820"/>
          <w:sz w:val="21"/>
        </w:rPr>
        <w:t>). PDF reports print on the company letterhead. Download links are valid for 72 hours and report files are kept for 90 days. Every report file produced is recorded. The Daily reports job produces the Production Register, the Collection Report and the Claims Position every morning at 05:00.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 in the menu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The catalogue shows the reports of the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&gt; Remittance and Broker Commission; every Financial Report; the tax and bank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w:t>
            </w:r>
          </w:p>
        </w:tc>
      </w:tr>
    </w:tbl>
    <w:p>
      <w:pPr>
        <w:pStyle w:val="Normal"/>
        <w:spacing w:before="0" w:after="80"/>
        <w:rPr/>
      </w:pPr>
      <w:r>
        <w:rPr/>
      </w:r>
    </w:p>
    <w:p>
      <w:pPr>
        <w:pStyle w:val="Heading2"/>
        <w:rPr/>
      </w:pPr>
      <w:bookmarkStart w:id="140" w:name="__RefHeading___Toc107535_4049217194"/>
      <w:bookmarkEnd w:id="140"/>
      <w:r>
        <w:rPr>
          <w:rFonts w:eastAsia="Segoe UI" w:cs="Segoe UI"/>
          <w:b/>
          <w:color w:val="0F4761"/>
          <w:sz w:val="26"/>
        </w:rPr>
        <w:t>14.2  Dashboards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Dashboard</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Executive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except 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Sales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Processing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Claims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Commission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Retention Analytics, Performance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Treaty Dashboard,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Dashboard, Product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(Dashboard also Sales and Operations)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Dashboards show live figures; they change as soon as a transaction is saved. The Executive Dashboard compares the period chosen (This Month, This Quarter, This Year, calendar periods in Manila time) with the whole previous period and shows the targets of </w:t>
      </w:r>
      <w:r>
        <w:rPr>
          <w:rFonts w:eastAsia="Consolas" w:cs="Consolas" w:ascii="Consolas" w:hAnsi="Consolas"/>
          <w:color w:val="101820"/>
          <w:sz w:val="19"/>
        </w:rPr>
        <w:t>dashboard.targets</w:t>
      </w:r>
      <w:r>
        <w:rPr>
          <w:rFonts w:eastAsia="Segoe UI" w:cs="Segoe UI" w:ascii="Segoe UI" w:hAnsi="Segoe UI"/>
          <w:color w:val="101820"/>
          <w:sz w:val="21"/>
        </w:rPr>
        <w:t xml:space="preserve">.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Production Register for the dates chosen.</w:t>
      </w:r>
    </w:p>
    <w:p>
      <w:pPr>
        <w:pStyle w:val="Heading2"/>
        <w:rPr/>
      </w:pPr>
      <w:bookmarkStart w:id="141" w:name="__RefHeading___Toc107537_4049217194"/>
      <w:bookmarkEnd w:id="141"/>
      <w:r>
        <w:rPr>
          <w:rFonts w:eastAsia="Segoe UI" w:cs="Segoe UI"/>
          <w:b/>
          <w:color w:val="0F4761"/>
          <w:sz w:val="26"/>
        </w:rPr>
        <w:t>14.3  Schedules</w:t>
      </w:r>
    </w:p>
    <w:p>
      <w:pPr>
        <w:pStyle w:val="Normal"/>
        <w:spacing w:lineRule="auto" w:line="276" w:before="0" w:after="120"/>
        <w:rPr/>
      </w:pPr>
      <w:r>
        <w:rPr>
          <w:rFonts w:eastAsia="Segoe UI" w:cs="Segoe UI" w:ascii="Segoe UI" w:hAnsi="Segoe UI"/>
          <w:color w:val="101820"/>
          <w:sz w:val="21"/>
        </w:rPr>
        <w:t>BrokerVerse runs its daily work through scheduled jobs, in Manila time: policy expiry (00:15), quotation expiry (00:30), dormant accounts (01:45), housekeeping (02:45), daily reports (05:00), renewal pipeline (05:30), renewal notices (06:00), receivable ageing (07:00), collection reminders (08:00), the e-mail outbox (every 5 minutes) and the renewal notice queue (every minute). Five finance jobs are delivered switched off: accrual auto-reversal, recurring journals, period auto soft-close, bank reconciliation auto-match and the month-end close reminder; Accounting decides whether to switch them on or run them from the screens. The remittance schedules job (06:15) and the overdue data subject requests job (07:00) are also delivered switched off. The System Administrator sees and runs the jobs on Master &gt; Schedules. The BrokerVerse Schedules and Batch Jobs document describes each job, what it reads and writes, and what to do when it fails.</w:t>
      </w:r>
    </w:p>
    <w:p>
      <w:pPr>
        <w:pStyle w:val="Heading2"/>
        <w:rPr/>
      </w:pPr>
      <w:bookmarkStart w:id="142" w:name="__RefHeading___Toc107539_4049217194"/>
      <w:bookmarkEnd w:id="142"/>
      <w:r>
        <w:rPr>
          <w:rFonts w:eastAsia="Segoe UI" w:cs="Segoe UI"/>
          <w:b/>
          <w:color w:val="0F4761"/>
          <w:sz w:val="26"/>
        </w:rPr>
        <w:t>14.4  Notifications and e-mails</w:t>
      </w:r>
    </w:p>
    <w:p>
      <w:pPr>
        <w:pStyle w:val="Normal"/>
        <w:spacing w:lineRule="auto" w:line="276" w:before="0" w:after="120"/>
        <w:rPr/>
      </w:pPr>
      <w:r>
        <w:rPr>
          <w:rFonts w:eastAsia="Segoe UI" w:cs="Segoe UI" w:ascii="Segoe UI" w:hAnsi="Segoe UI"/>
          <w:b/>
          <w:color w:val="101820"/>
          <w:sz w:val="21"/>
        </w:rPr>
        <w:t>In-app notifications</w:t>
      </w:r>
      <w:r>
        <w:rPr>
          <w:rFonts w:eastAsia="Segoe UI" w:cs="Segoe UI" w:ascii="Segoe UI" w:hAnsi="Segoe UI"/>
          <w:color w:val="101820"/>
          <w:sz w:val="21"/>
        </w:rPr>
        <w:t xml:space="preserve"> appear under the bell. A notification goes to one user, or to every user who holds a permission (for example the approvers of journal vouchers). The main notifications: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Notifications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(to the Processing Team), customer accepted, quotation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to verify (Accounting); online payment received or not applied; client over its credit limit; warranty breached.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claim status changes; settlement to approve; settlement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renewal terms to approve; renewed; lapsed.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debit note approvals; incentive batch approvals.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and petty cash approvals; month-end reminders; close run to approve.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awaiting approval; treaty approved.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E-mails</w:t>
      </w:r>
      <w:r>
        <w:rPr>
          <w:rFonts w:eastAsia="Segoe UI" w:cs="Segoe UI" w:ascii="Segoe UI" w:hAnsi="Segoe UI"/>
          <w:color w:val="101820"/>
          <w:sz w:val="21"/>
        </w:rPr>
        <w:t xml:space="preserve"> are queued in the E-mail Outbox and sent by the E-mail outbox job when sending is switched on. The main e-mails are the quotation approval request and shared quotation to clients, the request for quotation and the placement slip to insurers, the policy issued and endorsement notices to clients, the renewal notices (First, Second and Final Notice), the premium payment reminders, the Preliminary Loss Advice to insurers, the commission debit note and the remittance statements to insurers, scheduled reports to staff and the password reset code. E-mails carry no attachments; documents travel as download links or are printed. SMS, Viber and WhatsApp are not sent by the system: where a screen offers SMS, phone or letter, the action is only recorded. The wording of each e-mail is a template in Master &gt; Configuration; the BrokerVerse Communication Templates and Touchpoints document lists every e-mail and notification with its trigger, recipient and text.</w:t>
      </w:r>
    </w:p>
    <w:p>
      <w:pPr>
        <w:pStyle w:val="Normal"/>
        <w:jc w:val="center"/>
        <w:rPr/>
      </w:pPr>
      <w:r>
        <w:rPr/>
        <w:drawing>
          <wp:inline distT="0" distB="0" distL="0" distR="0">
            <wp:extent cx="5760085" cy="3599815"/>
            <wp:effectExtent l="0" t="0" r="0" b="0"/>
            <wp:docPr id="139" name="Picture 21212883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2121288319" descr=""/>
                    <pic:cNvPicPr>
                      <a:picLocks noChangeAspect="1" noChangeArrowheads="1"/>
                    </pic:cNvPicPr>
                  </pic:nvPicPr>
                  <pic:blipFill>
                    <a:blip r:embed="rId135"/>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Notifications under the bell</w:t>
      </w:r>
      <w:r>
        <w:br w:type="page"/>
      </w:r>
    </w:p>
    <w:p>
      <w:pPr>
        <w:pStyle w:val="Heading1"/>
        <w:rPr/>
      </w:pPr>
      <w:bookmarkStart w:id="143" w:name="__RefHeading___Toc107541_4049217194"/>
      <w:bookmarkEnd w:id="143"/>
      <w:r>
        <w:rPr>
          <w:rFonts w:eastAsia="Segoe UI" w:cs="Segoe UI" w:ascii="Segoe UI" w:hAnsi="Segoe UI"/>
          <w:b/>
          <w:color w:val="0F4761"/>
          <w:sz w:val="32"/>
        </w:rPr>
        <w:t>15.  Troubleshooting, FAQ and glossary</w:t>
      </w:r>
    </w:p>
    <w:p>
      <w:pPr>
        <w:pStyle w:val="Heading2"/>
        <w:rPr/>
      </w:pPr>
      <w:bookmarkStart w:id="144" w:name="__RefHeading___Toc107543_4049217194"/>
      <w:bookmarkEnd w:id="144"/>
      <w:r>
        <w:rPr>
          <w:rFonts w:eastAsia="Segoe UI" w:cs="Segoe UI"/>
          <w:b/>
          <w:color w:val="0F4761"/>
          <w:sz w:val="26"/>
        </w:rPr>
        <w:t>15.1  Common messages and what to do</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or problem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and what to do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authorised: Your role does not give access to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is not part of your role. Use your menu, or ask the System Administrator whether your role is right.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failed sign-ins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wrong passwords in a row. Ask the System Administrator to unlock the user or reset the password.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Too many sign-in attempts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10 attempts in 5 minutes from one computer or for one user. Wait 5 minutes, then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authentication code is refused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the current code of the app; check that the phone's clock is set automatically.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were signed out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without activity, or your password or role changed.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mobile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a Philippine mobile number: 0917 123 4567, +63 917 123 4567 or 9171234567.</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field is empty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every field marked with an asterisk.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(now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participants' shares so that they total 100%, with exactly one lead.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Exactly one participant must be the lead insurer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Lead for one participant only.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line requires a Placement Slip before the policy is issued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placement slip, send it and record the confirmations, then issue from the slip.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cannot be issued from the placement slip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has not confirmed, or your role cannot issue policies.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refused for missing KYC or vehicle identifiers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ID type, ID number and image, chassis number, motor number and plate or MV file 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Draft quotations can be sent for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quotation was already sent. Wait for the client, or record the response Revise to return it to Draft.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converted to a policy cannot be edited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an endorsement on the policy instead.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saved premium differs from what you typed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from the configured rates and taxes. Check the rates with the Processing Team.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loss is outside the policy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date of loss and the policy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 is refused while premium is unpaid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Accounting to post the receipt first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settlement date cannot be before the issue date; Enter an amount greater than zero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settlement dates or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Endorsement greyed out on the policy row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payment is Pending or Reviewing, or the policy is expired, lapsed, cancelled or renewed.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refused for the maker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ask another user who may approve.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soft-closed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the entry in an open period, or ask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the Accounting Manager to reopen the period, with remarks.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refused: debit and credit differ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lines until they balance.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file was already imported (BST-...)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bank statement is already on file for the account. Do not import it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does not balance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 + credits - debits must equal the closing balance. Check the file and the balances entered.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payout blocked: no bank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referrer's bank account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discount above the role's limit is refused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Authority Matrix limits the discount of your role. Ask a role with a higher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are not received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is switched off or the mail server is not set; the E-mail Outbox says which. Ask the System Administrator.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Something went wrong on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If it persists, report the screen, the record number, the time and the request ID to support.</w:t>
            </w:r>
          </w:p>
        </w:tc>
      </w:tr>
    </w:tbl>
    <w:p>
      <w:pPr>
        <w:pStyle w:val="Normal"/>
        <w:spacing w:before="0" w:after="80"/>
        <w:rPr/>
      </w:pPr>
      <w:r>
        <w:rPr/>
      </w:r>
    </w:p>
    <w:p>
      <w:pPr>
        <w:pStyle w:val="Heading2"/>
        <w:rPr/>
      </w:pPr>
      <w:bookmarkStart w:id="145" w:name="__RefHeading___Toc107545_4049217194"/>
      <w:bookmarkEnd w:id="145"/>
      <w:r>
        <w:rPr>
          <w:rFonts w:eastAsia="Segoe UI" w:cs="Segoe UI"/>
          <w:b/>
          <w:color w:val="0F4761"/>
          <w:sz w:val="26"/>
        </w:rPr>
        <w:t>15.2  Frequently asked questions</w:t>
      </w:r>
    </w:p>
    <w:p>
      <w:pPr>
        <w:pStyle w:val="Normal"/>
        <w:spacing w:lineRule="auto" w:line="276" w:before="0" w:after="120"/>
        <w:rPr/>
      </w:pPr>
      <w:r>
        <w:rPr>
          <w:rFonts w:eastAsia="Segoe UI" w:cs="Segoe UI" w:ascii="Segoe UI" w:hAnsi="Segoe UI"/>
          <w:b/>
          <w:color w:val="101820"/>
          <w:sz w:val="21"/>
        </w:rPr>
        <w:t>Why do I not see a menu my colleague has?</w:t>
      </w:r>
      <w:r>
        <w:rPr>
          <w:rFonts w:eastAsia="Segoe UI" w:cs="Segoe UI" w:ascii="Segoe UI" w:hAnsi="Segoe UI"/>
          <w:color w:val="101820"/>
          <w:sz w:val="21"/>
        </w:rPr>
        <w:t xml:space="preserve"> The menu shows only the items of your role. Ask the System Administrator if you need another role.</w:t>
      </w:r>
    </w:p>
    <w:p>
      <w:pPr>
        <w:pStyle w:val="Normal"/>
        <w:spacing w:lineRule="auto" w:line="276" w:before="0" w:after="120"/>
        <w:rPr/>
      </w:pPr>
      <w:r>
        <w:rPr>
          <w:rFonts w:eastAsia="Segoe UI" w:cs="Segoe UI" w:ascii="Segoe UI" w:hAnsi="Segoe UI"/>
          <w:b/>
          <w:color w:val="101820"/>
          <w:sz w:val="21"/>
        </w:rPr>
        <w:t>Can I delete a policy, a receipt or a journal?</w:t>
      </w:r>
      <w:r>
        <w:rPr>
          <w:rFonts w:eastAsia="Segoe UI" w:cs="Segoe UI" w:ascii="Segoe UI" w:hAnsi="Segoe UI"/>
          <w:color w:val="101820"/>
          <w:sz w:val="21"/>
        </w:rPr>
        <w:t xml:space="preserve"> No. Records that reached the ledger are corrected by an endorsement, a reversal, a correction journal or a cancellation, so the audit trail stays complete.</w:t>
      </w:r>
    </w:p>
    <w:p>
      <w:pPr>
        <w:pStyle w:val="Normal"/>
        <w:spacing w:lineRule="auto" w:line="276" w:before="0" w:after="120"/>
        <w:rPr/>
      </w:pPr>
      <w:r>
        <w:rPr>
          <w:rFonts w:eastAsia="Segoe UI" w:cs="Segoe UI" w:ascii="Segoe UI" w:hAnsi="Segoe UI"/>
          <w:b/>
          <w:color w:val="101820"/>
          <w:sz w:val="21"/>
        </w:rPr>
        <w:t>Who posts the official receipt?</w:t>
      </w:r>
      <w:r>
        <w:rPr>
          <w:rFonts w:eastAsia="Segoe UI" w:cs="Segoe UI" w:ascii="Segoe UI" w:hAnsi="Segoe UI"/>
          <w:color w:val="101820"/>
          <w:sz w:val="21"/>
        </w:rPr>
        <w:t xml:space="preserve"> Only Accounting. Other roles record how the client paid; Accounting verifies the payment and posts the receipt.</w:t>
      </w:r>
    </w:p>
    <w:p>
      <w:pPr>
        <w:pStyle w:val="Normal"/>
        <w:spacing w:lineRule="auto" w:line="276" w:before="0" w:after="120"/>
        <w:rPr/>
      </w:pPr>
      <w:r>
        <w:rPr>
          <w:rFonts w:eastAsia="Segoe UI" w:cs="Segoe UI" w:ascii="Segoe UI" w:hAnsi="Segoe UI"/>
          <w:b/>
          <w:color w:val="101820"/>
          <w:sz w:val="21"/>
        </w:rPr>
        <w:t>When does the referrer get paid?</w:t>
      </w:r>
      <w:r>
        <w:rPr>
          <w:rFonts w:eastAsia="Segoe UI" w:cs="Segoe UI" w:ascii="Segoe UI" w:hAnsi="Segoe UI"/>
          <w:color w:val="101820"/>
          <w:sz w:val="21"/>
        </w:rPr>
        <w:t xml:space="preserve"> When the premium is fully collected, the commission line becomes eligible; another Accounting user approves it and Accounting pays it by voucher less withholding tax. The referrer must have a bank account on file.</w:t>
      </w:r>
    </w:p>
    <w:p>
      <w:pPr>
        <w:pStyle w:val="Normal"/>
        <w:spacing w:lineRule="auto" w:line="276" w:before="0" w:after="120"/>
        <w:rPr/>
      </w:pPr>
      <w:r>
        <w:rPr>
          <w:rFonts w:eastAsia="Segoe UI" w:cs="Segoe UI" w:ascii="Segoe UI" w:hAnsi="Segoe UI"/>
          <w:b/>
          <w:color w:val="101820"/>
          <w:sz w:val="21"/>
        </w:rPr>
        <w:t>What is the difference between broker billed and direct bill?</w:t>
      </w:r>
      <w:r>
        <w:rPr>
          <w:rFonts w:eastAsia="Segoe UI" w:cs="Segoe UI" w:ascii="Segoe UI" w:hAnsi="Segoe UI"/>
          <w:color w:val="101820"/>
          <w:sz w:val="21"/>
        </w:rPr>
        <w:t xml:space="preserve"> Broker billed: the client pays the broker, who remits the premium to the insurer net of commission. Direct bill: the client pays the insurer, and the broker bills its commission plus VAT to the insurer with a debit note.</w:t>
      </w:r>
    </w:p>
    <w:p>
      <w:pPr>
        <w:pStyle w:val="Normal"/>
        <w:spacing w:lineRule="auto" w:line="276" w:before="0" w:after="120"/>
        <w:rPr/>
      </w:pPr>
      <w:r>
        <w:rPr>
          <w:rFonts w:eastAsia="Segoe UI" w:cs="Segoe UI" w:ascii="Segoe UI" w:hAnsi="Segoe UI"/>
          <w:b/>
          <w:color w:val="101820"/>
          <w:sz w:val="21"/>
        </w:rPr>
        <w:t>How are co-insurance amounts split?</w:t>
      </w:r>
      <w:r>
        <w:rPr>
          <w:rFonts w:eastAsia="Segoe UI" w:cs="Segoe UI" w:ascii="Segoe UI" w:hAnsi="Segoe UI"/>
          <w:color w:val="101820"/>
          <w:sz w:val="21"/>
        </w:rPr>
        <w:t xml:space="preserve"> By each insurer's share; the rounding remainder goes to the lead. The same split applies to the bill, the remittance, claims and the reports.</w:t>
      </w:r>
    </w:p>
    <w:p>
      <w:pPr>
        <w:pStyle w:val="Normal"/>
        <w:spacing w:lineRule="auto" w:line="276" w:before="0" w:after="120"/>
        <w:rPr/>
      </w:pPr>
      <w:r>
        <w:rPr>
          <w:rFonts w:eastAsia="Segoe UI" w:cs="Segoe UI" w:ascii="Segoe UI" w:hAnsi="Segoe UI"/>
          <w:b/>
          <w:color w:val="101820"/>
          <w:sz w:val="21"/>
        </w:rPr>
        <w:t>Can I work on a period that is closed?</w:t>
      </w:r>
      <w:r>
        <w:rPr>
          <w:rFonts w:eastAsia="Segoe UI" w:cs="Segoe UI" w:ascii="Segoe UI" w:hAnsi="Segoe UI"/>
          <w:color w:val="101820"/>
          <w:sz w:val="21"/>
        </w:rPr>
        <w:t xml:space="preserve"> No. A soft-closed period accepts postings from the Accounting Manager only; a closed period accepts none until the Accounting Manager reopens it.</w:t>
      </w:r>
    </w:p>
    <w:p>
      <w:pPr>
        <w:pStyle w:val="Normal"/>
        <w:spacing w:lineRule="auto" w:line="276" w:before="0" w:after="120"/>
        <w:rPr/>
      </w:pPr>
      <w:r>
        <w:rPr>
          <w:rFonts w:eastAsia="Segoe UI" w:cs="Segoe UI" w:ascii="Segoe UI" w:hAnsi="Segoe UI"/>
          <w:b/>
          <w:color w:val="101820"/>
          <w:sz w:val="21"/>
        </w:rPr>
        <w:t>How do I report a problem?</w:t>
      </w:r>
      <w:r>
        <w:rPr>
          <w:rFonts w:eastAsia="Segoe UI" w:cs="Segoe UI" w:ascii="Segoe UI" w:hAnsi="Segoe UI"/>
          <w:color w:val="101820"/>
          <w:sz w:val="21"/>
        </w:rPr>
        <w:t xml:space="preserve"> Give the menu path, the record number (for example PS-2026-00023), the time to the minute, your user ID, the message and the request ID shown in the error. Never send a password or a two-step code.</w:t>
      </w:r>
    </w:p>
    <w:p>
      <w:pPr>
        <w:pStyle w:val="Heading2"/>
        <w:rPr/>
      </w:pPr>
      <w:bookmarkStart w:id="146" w:name="__RefHeading___Toc107547_4049217194"/>
      <w:bookmarkEnd w:id="146"/>
      <w:r>
        <w:rPr>
          <w:rFonts w:eastAsia="Segoe UI" w:cs="Segoe UI"/>
          <w:b/>
          <w:color w:val="0F4761"/>
          <w:sz w:val="26"/>
        </w:rPr>
        <w:t>15.3  Glossary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name for the purpose of an account (for example commission income) that a posting rule uses; Account Determination maps it to a GL account.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 personal accident cover for the driver and passengers of a vehicle, priced per seat.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Alphanumeric Tax Code of the BIR, for example WI515 or WC139.</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Creditable Tax Withheld at Source, issued by the withholding agent to the payee each quarter.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premium is paid: broker billed or direct bill.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list of policies ceded to a reinsurer in a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insurers of a placement slip have confirmed their shares.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billed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to the broker, who remits it to the insurer net of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request for quotation that presents a risk to several 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commission the insurer pays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insurers share one risk, each for a percentage, under one lead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Comsub</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share of the brokerage paid by the broker to an agent or referrer.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Compulsory Third Party Liability: the motor cover required for LTO registration, priced at the Insurance Commission tariff per vehicle class.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bill to an insurer for commission on direct-bill policies.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directly to the insurer; the broker bills its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the premium (PHP 0.50 on each PHP 4.00 of premium or fraction, NIRC section 184).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an issued policy: details, cover, period or cancellation, with additional or return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Expanded withholding tax: income tax withheld at source on commission and other income payments, creditable against the payee's income tax.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premium (2% in the delivered set-up).</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plus taxes (and CTPL for motor) less discount: what the client pays.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Industrial All Risks.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 your customer: verification of the client's identity with a government 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not renewed within the grace period after expiry.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insurer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leads a co-insurance and whose terms apply.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the premium (0.75% in the delivered set-up, or the rate of the city or municipality).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unit: the city or municipality whose tax rate applies.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approves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before taxes.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the BIR-registered receipt issued for money received.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to the lead insurer and the co-insurers.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recipe that turns a business event into journal lines.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days the insurer allows the client to pay the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filed with BIR 1601EQ.</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terms offered to the client, priced with taxes and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collected premium, net of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the tax withheld from the broker by its payors.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of account: the list of bills of a client with amount, paid and balance; also the insurer's statement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period that accepts postings only from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cheque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cheque not cleared within 180 days of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identification number.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Value-added tax: 12% on the premium of non-life insurance and on the broker's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offer to bring back clients whose policies lapsed.</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47" w:name="__RefHeading___Toc107549_4049217194"/>
      <w:bookmarkStart w:id="148" w:name="_Toc233203395"/>
      <w:bookmarkEnd w:id="147"/>
      <w:r>
        <w:rPr>
          <w:rStyle w:val="BookTitle"/>
          <w:bCs w:val="false"/>
          <w:i w:val="false"/>
          <w:iCs w:val="false"/>
          <w:spacing w:val="0"/>
        </w:rPr>
        <w:t>16.  Document Sign-Off</w:t>
      </w:r>
      <w:bookmarkEnd w:id="148"/>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04">
            <wp:simplePos x="0" y="0"/>
            <wp:positionH relativeFrom="margin">
              <wp:align>center</wp:align>
            </wp:positionH>
            <wp:positionV relativeFrom="margin">
              <wp:align>center</wp:align>
            </wp:positionV>
            <wp:extent cx="7548245" cy="10677525"/>
            <wp:effectExtent l="0" t="0" r="0" b="0"/>
            <wp:wrapNone/>
            <wp:docPr id="140"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 descr=""/>
                    <pic:cNvPicPr>
                      <a:picLocks noChangeAspect="1" noChangeArrowheads="1"/>
                    </pic:cNvPicPr>
                  </pic:nvPicPr>
                  <pic:blipFill>
                    <a:blip r:embed="rId136"/>
                    <a:stretch>
                      <a:fillRect/>
                    </a:stretch>
                  </pic:blipFill>
                  <pic:spPr bwMode="auto">
                    <a:xfrm>
                      <a:off x="0" y="0"/>
                      <a:ext cx="7548245" cy="10677525"/>
                    </a:xfrm>
                    <a:prstGeom prst="rect">
                      <a:avLst/>
                    </a:prstGeom>
                  </pic:spPr>
                </pic:pic>
              </a:graphicData>
            </a:graphic>
          </wp:anchor>
        </w:drawing>
      </w:r>
    </w:p>
    <w:sectPr>
      <w:footerReference w:type="default" r:id="rId137"/>
      <w:footerReference w:type="first" r:id="rId138"/>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03">
          <wp:simplePos x="0" y="0"/>
          <wp:positionH relativeFrom="page">
            <wp:align>left</wp:align>
          </wp:positionH>
          <wp:positionV relativeFrom="paragraph">
            <wp:posOffset>-708025</wp:posOffset>
          </wp:positionV>
          <wp:extent cx="8778240" cy="885190"/>
          <wp:effectExtent l="0" t="0" r="0" b="0"/>
          <wp:wrapNone/>
          <wp:docPr id="141"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03">
          <wp:simplePos x="0" y="0"/>
          <wp:positionH relativeFrom="page">
            <wp:align>left</wp:align>
          </wp:positionH>
          <wp:positionV relativeFrom="paragraph">
            <wp:posOffset>-708025</wp:posOffset>
          </wp:positionV>
          <wp:extent cx="8778240" cy="885190"/>
          <wp:effectExtent l="0" t="0" r="0" b="0"/>
          <wp:wrapNone/>
          <wp:docPr id="142"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2"/>
    <w:lvlOverride w:ilvl="0">
      <w:startOverride w:val="1"/>
    </w:lvlOverride>
  </w:num>
  <w:num w:numId="53">
    <w:abstractNumId w:val="2"/>
    <w:lvlOverride w:ilvl="0">
      <w:startOverride w:val="1"/>
    </w:lvlOverride>
  </w:num>
  <w:num w:numId="54">
    <w:abstractNumId w:val="2"/>
  </w:num>
  <w:num w:numId="55">
    <w:abstractNumId w:val="2"/>
  </w:num>
  <w:num w:numId="56">
    <w:abstractNumId w:val="2"/>
  </w:num>
  <w:num w:numId="57">
    <w:abstractNumId w:val="2"/>
    <w:lvlOverride w:ilvl="0">
      <w:startOverride w:val="1"/>
    </w:lvlOverride>
  </w:num>
  <w:num w:numId="58">
    <w:abstractNumId w:val="2"/>
  </w:num>
  <w:num w:numId="59">
    <w:abstractNumId w:val="2"/>
  </w:num>
  <w:num w:numId="60">
    <w:abstractNumId w:val="2"/>
  </w:num>
  <w:num w:numId="61">
    <w:abstractNumId w:val="2"/>
    <w:lvlOverride w:ilvl="0">
      <w:startOverride w:val="1"/>
    </w:lvlOverride>
  </w:num>
  <w:num w:numId="62">
    <w:abstractNumId w:val="2"/>
  </w:num>
  <w:num w:numId="63">
    <w:abstractNumId w:val="2"/>
  </w:num>
  <w:num w:numId="64">
    <w:abstractNumId w:val="2"/>
  </w:num>
  <w:num w:numId="65">
    <w:abstractNumId w:val="2"/>
    <w:lvlOverride w:ilvl="0">
      <w:startOverride w:val="1"/>
    </w:lvlOverride>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lvlOverride w:ilvl="0">
      <w:startOverride w:val="1"/>
    </w:lvlOverride>
  </w:num>
  <w:num w:numId="83">
    <w:abstractNumId w:val="2"/>
  </w:num>
  <w:num w:numId="84">
    <w:abstractNumId w:val="2"/>
  </w:num>
  <w:num w:numId="85">
    <w:abstractNumId w:val="2"/>
  </w:num>
  <w:num w:numId="86">
    <w:abstractNumId w:val="2"/>
  </w:num>
  <w:num w:numId="87">
    <w:abstractNumId w:val="2"/>
    <w:lvlOverride w:ilvl="0">
      <w:startOverride w:val="1"/>
    </w:lvlOverride>
  </w:num>
  <w:num w:numId="88">
    <w:abstractNumId w:val="2"/>
  </w:num>
  <w:num w:numId="89">
    <w:abstractNumId w:val="2"/>
  </w:num>
  <w:num w:numId="90">
    <w:abstractNumId w:val="2"/>
    <w:lvlOverride w:ilvl="0">
      <w:startOverride w:val="1"/>
    </w:lvlOverride>
  </w:num>
  <w:num w:numId="91">
    <w:abstractNumId w:val="2"/>
  </w:num>
  <w:num w:numId="92">
    <w:abstractNumId w:val="2"/>
  </w:num>
  <w:num w:numId="93">
    <w:abstractNumId w:val="2"/>
  </w:num>
  <w:num w:numId="94">
    <w:abstractNumId w:val="2"/>
    <w:lvlOverride w:ilvl="0">
      <w:startOverride w:val="1"/>
    </w:lvlOverride>
  </w:num>
  <w:num w:numId="95">
    <w:abstractNumId w:val="2"/>
  </w:num>
  <w:num w:numId="96">
    <w:abstractNumId w:val="2"/>
  </w:num>
  <w:num w:numId="97">
    <w:abstractNumId w:val="2"/>
  </w:num>
  <w:num w:numId="98">
    <w:abstractNumId w:val="2"/>
    <w:lvlOverride w:ilvl="0">
      <w:startOverride w:val="1"/>
    </w:lvlOverride>
  </w:num>
  <w:num w:numId="99">
    <w:abstractNumId w:val="2"/>
  </w:num>
  <w:num w:numId="100">
    <w:abstractNumId w:val="2"/>
  </w:num>
  <w:num w:numId="101">
    <w:abstractNumId w:val="2"/>
  </w:num>
  <w:num w:numId="102">
    <w:abstractNumId w:val="2"/>
    <w:lvlOverride w:ilvl="0">
      <w:startOverride w:val="1"/>
    </w:lvlOverride>
  </w:num>
  <w:num w:numId="103">
    <w:abstractNumId w:val="2"/>
  </w:num>
  <w:num w:numId="104">
    <w:abstractNumId w:val="2"/>
  </w:num>
  <w:num w:numId="105">
    <w:abstractNumId w:val="2"/>
  </w:num>
  <w:num w:numId="106">
    <w:abstractNumId w:val="2"/>
    <w:lvlOverride w:ilvl="0">
      <w:startOverride w:val="1"/>
    </w:lvlOverride>
  </w:num>
  <w:num w:numId="107">
    <w:abstractNumId w:val="2"/>
  </w:num>
  <w:num w:numId="108">
    <w:abstractNumId w:val="2"/>
  </w:num>
  <w:num w:numId="109">
    <w:abstractNumId w:val="2"/>
    <w:lvlOverride w:ilvl="0">
      <w:startOverride w:val="1"/>
    </w:lvlOverride>
  </w:num>
  <w:num w:numId="110">
    <w:abstractNumId w:val="2"/>
  </w:num>
  <w:num w:numId="111">
    <w:abstractNumId w:val="2"/>
  </w:num>
  <w:num w:numId="112">
    <w:abstractNumId w:val="2"/>
    <w:lvlOverride w:ilvl="0">
      <w:startOverride w:val="1"/>
    </w:lvlOverride>
  </w:num>
  <w:num w:numId="113">
    <w:abstractNumId w:val="2"/>
  </w:num>
  <w:num w:numId="114">
    <w:abstractNumId w:val="2"/>
  </w:num>
  <w:num w:numId="115">
    <w:abstractNumId w:val="2"/>
  </w:num>
  <w:num w:numId="116">
    <w:abstractNumId w:val="2"/>
  </w:num>
  <w:num w:numId="117">
    <w:abstractNumId w:val="2"/>
    <w:lvlOverride w:ilvl="0">
      <w:startOverride w:val="1"/>
    </w:lvlOverride>
  </w:num>
  <w:num w:numId="118">
    <w:abstractNumId w:val="2"/>
  </w:num>
  <w:num w:numId="119">
    <w:abstractNumId w:val="2"/>
  </w:num>
  <w:num w:numId="120">
    <w:abstractNumId w:val="2"/>
  </w:num>
  <w:num w:numId="121">
    <w:abstractNumId w:val="2"/>
    <w:lvlOverride w:ilvl="0">
      <w:startOverride w:val="1"/>
    </w:lvlOverride>
  </w:num>
  <w:num w:numId="122">
    <w:abstractNumId w:val="2"/>
  </w:num>
  <w:num w:numId="123">
    <w:abstractNumId w:val="2"/>
  </w:num>
  <w:num w:numId="124">
    <w:abstractNumId w:val="2"/>
    <w:lvlOverride w:ilvl="0">
      <w:startOverride w:val="1"/>
    </w:lvlOverride>
  </w:num>
  <w:num w:numId="125">
    <w:abstractNumId w:val="2"/>
  </w:num>
  <w:num w:numId="126">
    <w:abstractNumId w:val="2"/>
  </w:num>
  <w:num w:numId="127">
    <w:abstractNumId w:val="2"/>
  </w:num>
  <w:num w:numId="128">
    <w:abstractNumId w:val="2"/>
  </w:num>
  <w:num w:numId="129">
    <w:abstractNumId w:val="2"/>
  </w:num>
  <w:num w:numId="130">
    <w:abstractNumId w:val="2"/>
    <w:lvlOverride w:ilvl="0">
      <w:startOverride w:val="1"/>
    </w:lvlOverride>
  </w:num>
  <w:num w:numId="131">
    <w:abstractNumId w:val="2"/>
  </w:num>
  <w:num w:numId="132">
    <w:abstractNumId w:val="2"/>
  </w:num>
  <w:num w:numId="133">
    <w:abstractNumId w:val="2"/>
  </w:num>
  <w:num w:numId="134">
    <w:abstractNumId w:val="2"/>
    <w:lvlOverride w:ilvl="0">
      <w:startOverride w:val="1"/>
    </w:lvlOverride>
  </w:num>
  <w:num w:numId="135">
    <w:abstractNumId w:val="2"/>
  </w:num>
  <w:num w:numId="136">
    <w:abstractNumId w:val="2"/>
  </w:num>
  <w:num w:numId="137">
    <w:abstractNumId w:val="2"/>
  </w:num>
  <w:num w:numId="138">
    <w:abstractNumId w:val="2"/>
    <w:lvlOverride w:ilvl="0">
      <w:startOverride w:val="1"/>
    </w:lvlOverride>
  </w:num>
  <w:num w:numId="139">
    <w:abstractNumId w:val="2"/>
  </w:num>
  <w:num w:numId="140">
    <w:abstractNumId w:val="2"/>
  </w:num>
  <w:num w:numId="141">
    <w:abstractNumId w:val="2"/>
  </w:num>
  <w:num w:numId="142">
    <w:abstractNumId w:val="2"/>
  </w:num>
  <w:num w:numId="143">
    <w:abstractNumId w:val="2"/>
    <w:lvlOverride w:ilvl="0">
      <w:startOverride w:val="1"/>
    </w:lvlOverride>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lvlOverride w:ilvl="0">
      <w:startOverride w:val="1"/>
    </w:lvlOverride>
  </w:num>
  <w:num w:numId="152">
    <w:abstractNumId w:val="2"/>
  </w:num>
  <w:num w:numId="153">
    <w:abstractNumId w:val="2"/>
  </w:num>
  <w:num w:numId="154">
    <w:abstractNumId w:val="2"/>
  </w:num>
  <w:num w:numId="155">
    <w:abstractNumId w:val="2"/>
  </w:num>
  <w:num w:numId="156">
    <w:abstractNumId w:val="2"/>
    <w:lvlOverride w:ilvl="0">
      <w:startOverride w:val="1"/>
    </w:lvlOverride>
  </w:num>
  <w:num w:numId="157">
    <w:abstractNumId w:val="2"/>
  </w:num>
  <w:num w:numId="158">
    <w:abstractNumId w:val="2"/>
  </w:num>
  <w:num w:numId="159">
    <w:abstractNumId w:val="2"/>
  </w:num>
  <w:num w:numId="160">
    <w:abstractNumId w:val="2"/>
    <w:lvlOverride w:ilvl="0">
      <w:startOverride w:val="1"/>
    </w:lvlOverride>
  </w:num>
  <w:num w:numId="161">
    <w:abstractNumId w:val="2"/>
  </w:num>
  <w:num w:numId="162">
    <w:abstractNumId w:val="2"/>
  </w:num>
  <w:num w:numId="163">
    <w:abstractNumId w:val="2"/>
  </w:num>
  <w:num w:numId="164">
    <w:abstractNumId w:val="2"/>
  </w:num>
  <w:num w:numId="165">
    <w:abstractNumId w:val="2"/>
    <w:lvlOverride w:ilvl="0">
      <w:startOverride w:val="1"/>
    </w:lvlOverride>
  </w:num>
  <w:num w:numId="166">
    <w:abstractNumId w:val="2"/>
  </w:num>
  <w:num w:numId="167">
    <w:abstractNumId w:val="2"/>
  </w:num>
  <w:num w:numId="168">
    <w:abstractNumId w:val="2"/>
  </w:num>
  <w:num w:numId="169">
    <w:abstractNumId w:val="2"/>
    <w:lvlOverride w:ilvl="0">
      <w:startOverride w:val="1"/>
    </w:lvlOverride>
  </w:num>
  <w:num w:numId="170">
    <w:abstractNumId w:val="2"/>
  </w:num>
  <w:num w:numId="171">
    <w:abstractNumId w:val="2"/>
  </w:num>
  <w:num w:numId="172">
    <w:abstractNumId w:val="2"/>
  </w:num>
  <w:num w:numId="173">
    <w:abstractNumId w:val="2"/>
  </w:num>
  <w:num w:numId="174">
    <w:abstractNumId w:val="2"/>
    <w:lvlOverride w:ilvl="0">
      <w:startOverride w:val="1"/>
    </w:lvlOverride>
  </w:num>
  <w:num w:numId="175">
    <w:abstractNumId w:val="2"/>
  </w:num>
  <w:num w:numId="176">
    <w:abstractNumId w:val="2"/>
  </w:num>
  <w:num w:numId="177">
    <w:abstractNumId w:val="2"/>
    <w:lvlOverride w:ilvl="0">
      <w:startOverride w:val="1"/>
    </w:lvlOverride>
  </w:num>
  <w:num w:numId="178">
    <w:abstractNumId w:val="2"/>
  </w:num>
  <w:num w:numId="179">
    <w:abstractNumId w:val="2"/>
  </w:num>
  <w:num w:numId="180">
    <w:abstractNumId w:val="2"/>
    <w:lvlOverride w:ilvl="0">
      <w:startOverride w:val="1"/>
    </w:lvlOverride>
  </w:num>
  <w:num w:numId="181">
    <w:abstractNumId w:val="2"/>
  </w:num>
  <w:num w:numId="182">
    <w:abstractNumId w:val="2"/>
  </w:num>
  <w:num w:numId="183">
    <w:abstractNumId w:val="2"/>
  </w:num>
  <w:num w:numId="184">
    <w:abstractNumId w:val="2"/>
  </w:num>
  <w:num w:numId="185">
    <w:abstractNumId w:val="2"/>
    <w:lvlOverride w:ilvl="0">
      <w:startOverride w:val="1"/>
    </w:lvlOverride>
  </w:num>
  <w:num w:numId="186">
    <w:abstractNumId w:val="2"/>
  </w:num>
  <w:num w:numId="187">
    <w:abstractNumId w:val="2"/>
  </w:num>
  <w:num w:numId="188">
    <w:abstractNumId w:val="2"/>
  </w:num>
  <w:num w:numId="189">
    <w:abstractNumId w:val="2"/>
  </w:num>
  <w:num w:numId="190">
    <w:abstractNumId w:val="2"/>
    <w:lvlOverride w:ilvl="0">
      <w:startOverride w:val="1"/>
    </w:lvlOverride>
  </w:num>
  <w:num w:numId="191">
    <w:abstractNumId w:val="2"/>
  </w:num>
  <w:num w:numId="192">
    <w:abstractNumId w:val="2"/>
  </w:num>
  <w:num w:numId="193">
    <w:abstractNumId w:val="2"/>
  </w:num>
  <w:num w:numId="194">
    <w:abstractNumId w:val="2"/>
  </w:num>
  <w:num w:numId="195">
    <w:abstractNumId w:val="2"/>
    <w:lvlOverride w:ilvl="0">
      <w:startOverride w:val="1"/>
    </w:lvlOverride>
  </w:num>
  <w:num w:numId="196">
    <w:abstractNumId w:val="2"/>
  </w:num>
  <w:num w:numId="197">
    <w:abstractNumId w:val="2"/>
  </w:num>
  <w:num w:numId="198">
    <w:abstractNumId w:val="2"/>
  </w:num>
  <w:num w:numId="199">
    <w:abstractNumId w:val="2"/>
  </w:num>
  <w:num w:numId="200">
    <w:abstractNumId w:val="2"/>
    <w:lvlOverride w:ilvl="0">
      <w:startOverride w:val="1"/>
    </w:lvlOverride>
  </w:num>
  <w:num w:numId="201">
    <w:abstractNumId w:val="2"/>
  </w:num>
  <w:num w:numId="202">
    <w:abstractNumId w:val="2"/>
  </w:num>
  <w:num w:numId="203">
    <w:abstractNumId w:val="2"/>
  </w:num>
  <w:num w:numId="204">
    <w:abstractNumId w:val="2"/>
    <w:lvlOverride w:ilvl="0">
      <w:startOverride w:val="1"/>
    </w:lvlOverride>
  </w:num>
  <w:num w:numId="205">
    <w:abstractNumId w:val="2"/>
  </w:num>
  <w:num w:numId="206">
    <w:abstractNumId w:val="2"/>
  </w:num>
  <w:num w:numId="207">
    <w:abstractNumId w:val="2"/>
    <w:lvlOverride w:ilvl="0">
      <w:startOverride w:val="1"/>
    </w:lvlOverride>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lvlOverride w:ilvl="0">
      <w:startOverride w:val="1"/>
    </w:lvlOverride>
  </w:num>
  <w:num w:numId="216">
    <w:abstractNumId w:val="2"/>
  </w:num>
  <w:num w:numId="217">
    <w:abstractNumId w:val="2"/>
  </w:num>
  <w:num w:numId="218">
    <w:abstractNumId w:val="2"/>
  </w:num>
  <w:num w:numId="219">
    <w:abstractNumId w:val="2"/>
    <w:lvlOverride w:ilvl="0">
      <w:startOverride w:val="1"/>
    </w:lvlOverride>
  </w:num>
  <w:num w:numId="220">
    <w:abstractNumId w:val="2"/>
  </w:num>
  <w:num w:numId="221">
    <w:abstractNumId w:val="2"/>
  </w:num>
  <w:num w:numId="222">
    <w:abstractNumId w:val="2"/>
  </w:num>
  <w:num w:numId="223">
    <w:abstractNumId w:val="2"/>
  </w:num>
  <w:num w:numId="224">
    <w:abstractNumId w:val="2"/>
  </w:num>
  <w:num w:numId="225">
    <w:abstractNumId w:val="2"/>
    <w:lvlOverride w:ilvl="0">
      <w:startOverride w:val="1"/>
    </w:lvlOverride>
  </w:num>
  <w:num w:numId="226">
    <w:abstractNumId w:val="2"/>
  </w:num>
  <w:num w:numId="227">
    <w:abstractNumId w:val="2"/>
  </w:num>
  <w:num w:numId="228">
    <w:abstractNumId w:val="2"/>
  </w:num>
  <w:num w:numId="229">
    <w:abstractNumId w:val="2"/>
  </w:num>
  <w:num w:numId="230">
    <w:abstractNumId w:val="2"/>
    <w:lvlOverride w:ilvl="0">
      <w:startOverride w:val="1"/>
    </w:lvlOverride>
  </w:num>
  <w:num w:numId="231">
    <w:abstractNumId w:val="2"/>
  </w:num>
  <w:num w:numId="232">
    <w:abstractNumId w:val="2"/>
  </w:num>
  <w:num w:numId="233">
    <w:abstractNumId w:val="2"/>
  </w:num>
  <w:num w:numId="234">
    <w:abstractNumId w:val="2"/>
  </w:num>
  <w:num w:numId="235">
    <w:abstractNumId w:val="2"/>
  </w:num>
  <w:num w:numId="236">
    <w:abstractNumId w:val="2"/>
    <w:lvlOverride w:ilvl="0">
      <w:startOverride w:val="1"/>
    </w:lvlOverride>
  </w:num>
  <w:num w:numId="237">
    <w:abstractNumId w:val="2"/>
  </w:num>
  <w:num w:numId="238">
    <w:abstractNumId w:val="2"/>
  </w:num>
  <w:num w:numId="239">
    <w:abstractNumId w:val="2"/>
  </w:num>
  <w:num w:numId="240">
    <w:abstractNumId w:val="2"/>
  </w:num>
  <w:num w:numId="241">
    <w:abstractNumId w:val="2"/>
    <w:lvlOverride w:ilvl="0">
      <w:startOverride w:val="1"/>
    </w:lvlOverride>
  </w:num>
  <w:num w:numId="242">
    <w:abstractNumId w:val="2"/>
  </w:num>
  <w:num w:numId="243">
    <w:abstractNumId w:val="2"/>
  </w:num>
  <w:num w:numId="244">
    <w:abstractNumId w:val="2"/>
  </w:num>
  <w:num w:numId="245">
    <w:abstractNumId w:val="2"/>
  </w:num>
  <w:num w:numId="246">
    <w:abstractNumId w:val="2"/>
    <w:lvlOverride w:ilvl="0">
      <w:startOverride w:val="1"/>
    </w:lvlOverride>
  </w:num>
  <w:num w:numId="247">
    <w:abstractNumId w:val="2"/>
  </w:num>
  <w:num w:numId="248">
    <w:abstractNumId w:val="2"/>
  </w:num>
  <w:num w:numId="249">
    <w:abstractNumId w:val="2"/>
  </w:num>
  <w:num w:numId="250">
    <w:abstractNumId w:val="2"/>
  </w:num>
  <w:num w:numId="251">
    <w:abstractNumId w:val="2"/>
    <w:lvlOverride w:ilvl="0">
      <w:startOverride w:val="1"/>
    </w:lvlOverride>
  </w:num>
  <w:num w:numId="252">
    <w:abstractNumId w:val="2"/>
  </w:num>
  <w:num w:numId="253">
    <w:abstractNumId w:val="2"/>
  </w:num>
  <w:num w:numId="254">
    <w:abstractNumId w:val="2"/>
    <w:lvlOverride w:ilvl="0">
      <w:startOverride w:val="1"/>
    </w:lvlOverride>
  </w:num>
  <w:num w:numId="255">
    <w:abstractNumId w:val="2"/>
  </w:num>
  <w:num w:numId="256">
    <w:abstractNumId w:val="2"/>
  </w:num>
  <w:num w:numId="257">
    <w:abstractNumId w:val="2"/>
  </w:num>
  <w:num w:numId="258">
    <w:abstractNumId w:val="2"/>
    <w:lvlOverride w:ilvl="0">
      <w:startOverride w:val="1"/>
    </w:lvlOverride>
  </w:num>
  <w:num w:numId="259">
    <w:abstractNumId w:val="2"/>
  </w:num>
  <w:num w:numId="260">
    <w:abstractNumId w:val="2"/>
  </w:num>
  <w:num w:numId="261">
    <w:abstractNumId w:val="2"/>
  </w:num>
  <w:num w:numId="262">
    <w:abstractNumId w:val="2"/>
  </w:num>
  <w:num w:numId="263">
    <w:abstractNumId w:val="2"/>
    <w:lvlOverride w:ilvl="0">
      <w:startOverride w:val="1"/>
    </w:lvlOverride>
  </w:num>
  <w:num w:numId="264">
    <w:abstractNumId w:val="2"/>
  </w:num>
  <w:num w:numId="265">
    <w:abstractNumId w:val="2"/>
  </w:num>
  <w:num w:numId="266">
    <w:abstractNumId w:val="2"/>
    <w:lvlOverride w:ilvl="0">
      <w:startOverride w:val="1"/>
    </w:lvlOverride>
  </w:num>
  <w:num w:numId="267">
    <w:abstractNumId w:val="2"/>
  </w:num>
  <w:num w:numId="268">
    <w:abstractNumId w:val="2"/>
  </w:num>
  <w:num w:numId="269">
    <w:abstractNumId w:val="2"/>
    <w:lvlOverride w:ilvl="0">
      <w:startOverride w:val="1"/>
    </w:lvlOverride>
  </w:num>
  <w:num w:numId="270">
    <w:abstractNumId w:val="2"/>
  </w:num>
  <w:num w:numId="271">
    <w:abstractNumId w:val="2"/>
  </w:num>
  <w:num w:numId="272">
    <w:abstractNumId w:val="2"/>
    <w:lvlOverride w:ilvl="0">
      <w:startOverride w:val="1"/>
    </w:lvlOverride>
  </w:num>
  <w:num w:numId="273">
    <w:abstractNumId w:val="2"/>
  </w:num>
  <w:num w:numId="274">
    <w:abstractNumId w:val="2"/>
  </w:num>
  <w:num w:numId="275">
    <w:abstractNumId w:val="2"/>
  </w:num>
  <w:num w:numId="276">
    <w:abstractNumId w:val="2"/>
  </w:num>
  <w:num w:numId="27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image" Target="media/image58.png"/><Relationship Id="rId60" Type="http://schemas.openxmlformats.org/officeDocument/2006/relationships/image" Target="media/image59.png"/><Relationship Id="rId61" Type="http://schemas.openxmlformats.org/officeDocument/2006/relationships/image" Target="media/image60.png"/><Relationship Id="rId62" Type="http://schemas.openxmlformats.org/officeDocument/2006/relationships/image" Target="media/image61.png"/><Relationship Id="rId63" Type="http://schemas.openxmlformats.org/officeDocument/2006/relationships/image" Target="media/image62.png"/><Relationship Id="rId64" Type="http://schemas.openxmlformats.org/officeDocument/2006/relationships/image" Target="media/image63.png"/><Relationship Id="rId65" Type="http://schemas.openxmlformats.org/officeDocument/2006/relationships/image" Target="media/image64.png"/><Relationship Id="rId66" Type="http://schemas.openxmlformats.org/officeDocument/2006/relationships/image" Target="media/image65.png"/><Relationship Id="rId67" Type="http://schemas.openxmlformats.org/officeDocument/2006/relationships/image" Target="media/image66.png"/><Relationship Id="rId68" Type="http://schemas.openxmlformats.org/officeDocument/2006/relationships/image" Target="media/image67.png"/><Relationship Id="rId69" Type="http://schemas.openxmlformats.org/officeDocument/2006/relationships/image" Target="media/image68.png"/><Relationship Id="rId70" Type="http://schemas.openxmlformats.org/officeDocument/2006/relationships/image" Target="media/image69.png"/><Relationship Id="rId71" Type="http://schemas.openxmlformats.org/officeDocument/2006/relationships/image" Target="media/image70.png"/><Relationship Id="rId72" Type="http://schemas.openxmlformats.org/officeDocument/2006/relationships/image" Target="media/image71.png"/><Relationship Id="rId73" Type="http://schemas.openxmlformats.org/officeDocument/2006/relationships/image" Target="media/image72.png"/><Relationship Id="rId74" Type="http://schemas.openxmlformats.org/officeDocument/2006/relationships/image" Target="media/image73.png"/><Relationship Id="rId75" Type="http://schemas.openxmlformats.org/officeDocument/2006/relationships/image" Target="media/image74.png"/><Relationship Id="rId76" Type="http://schemas.openxmlformats.org/officeDocument/2006/relationships/image" Target="media/image75.png"/><Relationship Id="rId77" Type="http://schemas.openxmlformats.org/officeDocument/2006/relationships/image" Target="media/image76.png"/><Relationship Id="rId78" Type="http://schemas.openxmlformats.org/officeDocument/2006/relationships/image" Target="media/image77.png"/><Relationship Id="rId79" Type="http://schemas.openxmlformats.org/officeDocument/2006/relationships/image" Target="media/image78.png"/><Relationship Id="rId80" Type="http://schemas.openxmlformats.org/officeDocument/2006/relationships/image" Target="media/image79.png"/><Relationship Id="rId81" Type="http://schemas.openxmlformats.org/officeDocument/2006/relationships/image" Target="media/image80.png"/><Relationship Id="rId82" Type="http://schemas.openxmlformats.org/officeDocument/2006/relationships/image" Target="media/image81.png"/><Relationship Id="rId83" Type="http://schemas.openxmlformats.org/officeDocument/2006/relationships/image" Target="media/image82.png"/><Relationship Id="rId84" Type="http://schemas.openxmlformats.org/officeDocument/2006/relationships/image" Target="media/image83.png"/><Relationship Id="rId85" Type="http://schemas.openxmlformats.org/officeDocument/2006/relationships/image" Target="media/image84.png"/><Relationship Id="rId86" Type="http://schemas.openxmlformats.org/officeDocument/2006/relationships/image" Target="media/image85.png"/><Relationship Id="rId87" Type="http://schemas.openxmlformats.org/officeDocument/2006/relationships/image" Target="media/image86.png"/><Relationship Id="rId88" Type="http://schemas.openxmlformats.org/officeDocument/2006/relationships/image" Target="media/image87.png"/><Relationship Id="rId89" Type="http://schemas.openxmlformats.org/officeDocument/2006/relationships/image" Target="media/image88.png"/><Relationship Id="rId90" Type="http://schemas.openxmlformats.org/officeDocument/2006/relationships/image" Target="media/image89.png"/><Relationship Id="rId91" Type="http://schemas.openxmlformats.org/officeDocument/2006/relationships/image" Target="media/image90.png"/><Relationship Id="rId92" Type="http://schemas.openxmlformats.org/officeDocument/2006/relationships/image" Target="media/image91.png"/><Relationship Id="rId93" Type="http://schemas.openxmlformats.org/officeDocument/2006/relationships/image" Target="media/image92.png"/><Relationship Id="rId94" Type="http://schemas.openxmlformats.org/officeDocument/2006/relationships/image" Target="media/image93.png"/><Relationship Id="rId95" Type="http://schemas.openxmlformats.org/officeDocument/2006/relationships/image" Target="media/image94.png"/><Relationship Id="rId96" Type="http://schemas.openxmlformats.org/officeDocument/2006/relationships/image" Target="media/image95.png"/><Relationship Id="rId97" Type="http://schemas.openxmlformats.org/officeDocument/2006/relationships/image" Target="media/image96.png"/><Relationship Id="rId98" Type="http://schemas.openxmlformats.org/officeDocument/2006/relationships/image" Target="media/image97.png"/><Relationship Id="rId99" Type="http://schemas.openxmlformats.org/officeDocument/2006/relationships/image" Target="media/image98.png"/><Relationship Id="rId100" Type="http://schemas.openxmlformats.org/officeDocument/2006/relationships/image" Target="media/image99.png"/><Relationship Id="rId101" Type="http://schemas.openxmlformats.org/officeDocument/2006/relationships/image" Target="media/image100.png"/><Relationship Id="rId102" Type="http://schemas.openxmlformats.org/officeDocument/2006/relationships/image" Target="media/image101.png"/><Relationship Id="rId103" Type="http://schemas.openxmlformats.org/officeDocument/2006/relationships/image" Target="media/image102.png"/><Relationship Id="rId104" Type="http://schemas.openxmlformats.org/officeDocument/2006/relationships/image" Target="media/image103.png"/><Relationship Id="rId105" Type="http://schemas.openxmlformats.org/officeDocument/2006/relationships/image" Target="media/image104.png"/><Relationship Id="rId106" Type="http://schemas.openxmlformats.org/officeDocument/2006/relationships/image" Target="media/image105.png"/><Relationship Id="rId107" Type="http://schemas.openxmlformats.org/officeDocument/2006/relationships/image" Target="media/image106.png"/><Relationship Id="rId108" Type="http://schemas.openxmlformats.org/officeDocument/2006/relationships/image" Target="media/image107.png"/><Relationship Id="rId109" Type="http://schemas.openxmlformats.org/officeDocument/2006/relationships/image" Target="media/image108.png"/><Relationship Id="rId110" Type="http://schemas.openxmlformats.org/officeDocument/2006/relationships/image" Target="media/image109.png"/><Relationship Id="rId111" Type="http://schemas.openxmlformats.org/officeDocument/2006/relationships/image" Target="media/image110.png"/><Relationship Id="rId112" Type="http://schemas.openxmlformats.org/officeDocument/2006/relationships/image" Target="media/image111.png"/><Relationship Id="rId113" Type="http://schemas.openxmlformats.org/officeDocument/2006/relationships/image" Target="media/image112.png"/><Relationship Id="rId114" Type="http://schemas.openxmlformats.org/officeDocument/2006/relationships/image" Target="media/image113.png"/><Relationship Id="rId115" Type="http://schemas.openxmlformats.org/officeDocument/2006/relationships/image" Target="media/image114.png"/><Relationship Id="rId116" Type="http://schemas.openxmlformats.org/officeDocument/2006/relationships/image" Target="media/image115.png"/><Relationship Id="rId117" Type="http://schemas.openxmlformats.org/officeDocument/2006/relationships/image" Target="media/image116.png"/><Relationship Id="rId118" Type="http://schemas.openxmlformats.org/officeDocument/2006/relationships/image" Target="media/image117.png"/><Relationship Id="rId119" Type="http://schemas.openxmlformats.org/officeDocument/2006/relationships/image" Target="media/image118.png"/><Relationship Id="rId120" Type="http://schemas.openxmlformats.org/officeDocument/2006/relationships/image" Target="media/image119.png"/><Relationship Id="rId121" Type="http://schemas.openxmlformats.org/officeDocument/2006/relationships/image" Target="media/image120.png"/><Relationship Id="rId122" Type="http://schemas.openxmlformats.org/officeDocument/2006/relationships/image" Target="media/image121.png"/><Relationship Id="rId123" Type="http://schemas.openxmlformats.org/officeDocument/2006/relationships/image" Target="media/image122.png"/><Relationship Id="rId124" Type="http://schemas.openxmlformats.org/officeDocument/2006/relationships/image" Target="media/image123.png"/><Relationship Id="rId125" Type="http://schemas.openxmlformats.org/officeDocument/2006/relationships/image" Target="media/image124.png"/><Relationship Id="rId126" Type="http://schemas.openxmlformats.org/officeDocument/2006/relationships/image" Target="media/image125.png"/><Relationship Id="rId127" Type="http://schemas.openxmlformats.org/officeDocument/2006/relationships/image" Target="media/image126.png"/><Relationship Id="rId128" Type="http://schemas.openxmlformats.org/officeDocument/2006/relationships/image" Target="media/image127.png"/><Relationship Id="rId129" Type="http://schemas.openxmlformats.org/officeDocument/2006/relationships/image" Target="media/image128.png"/><Relationship Id="rId130" Type="http://schemas.openxmlformats.org/officeDocument/2006/relationships/image" Target="media/image129.png"/><Relationship Id="rId131" Type="http://schemas.openxmlformats.org/officeDocument/2006/relationships/image" Target="media/image130.png"/><Relationship Id="rId132" Type="http://schemas.openxmlformats.org/officeDocument/2006/relationships/image" Target="media/image131.png"/><Relationship Id="rId133" Type="http://schemas.openxmlformats.org/officeDocument/2006/relationships/image" Target="media/image132.png"/><Relationship Id="rId134" Type="http://schemas.openxmlformats.org/officeDocument/2006/relationships/image" Target="media/image133.png"/><Relationship Id="rId135" Type="http://schemas.openxmlformats.org/officeDocument/2006/relationships/image" Target="media/image134.png"/><Relationship Id="rId136" Type="http://schemas.openxmlformats.org/officeDocument/2006/relationships/image" Target="media/image135.jpeg"/><Relationship Id="rId137" Type="http://schemas.openxmlformats.org/officeDocument/2006/relationships/footer" Target="footer1.xml"/><Relationship Id="rId138" Type="http://schemas.openxmlformats.org/officeDocument/2006/relationships/footer" Target="footer2.xml"/><Relationship Id="rId139" Type="http://schemas.openxmlformats.org/officeDocument/2006/relationships/numbering" Target="numbering.xml"/><Relationship Id="rId140" Type="http://schemas.openxmlformats.org/officeDocument/2006/relationships/fontTable" Target="fontTable.xml"/><Relationship Id="rId141" Type="http://schemas.openxmlformats.org/officeDocument/2006/relationships/settings" Target="settings.xml"/><Relationship Id="rId142" Type="http://schemas.openxmlformats.org/officeDocument/2006/relationships/theme" Target="theme/theme1.xml"/><Relationship Id="rId143" Type="http://schemas.openxmlformats.org/officeDocument/2006/relationships/customXml" Target="../customXml/item1.xml"/><Relationship Id="rId144" Type="http://schemas.openxmlformats.org/officeDocument/2006/relationships/customXml" Target="../customXml/item2.xml"/><Relationship Id="rId145" Type="http://schemas.openxmlformats.org/officeDocument/2006/relationships/customXml" Target="../customXml/item3.xml"/><Relationship Id="rId146"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36.png"/>
</Relationships>
</file>

<file path=word/_rels/footer2.xml.rels><?xml version="1.0" encoding="UTF-8"?>
<Relationships xmlns="http://schemas.openxmlformats.org/package/2006/relationships"><Relationship Id="rId1" Type="http://schemas.openxmlformats.org/officeDocument/2006/relationships/image" Target="media/image136.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167</Pages>
  <Words>836</Words>
  <Characters>4269</Characters>
  <CharactersWithSpaces>5000</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2026-10-04T01:46:30Z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