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Release Notes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Release Notes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release or patch [x.y.z], template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release or patch [x.y.z], template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6128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56130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56132_4049217194">
            <w:r>
              <w:rPr>
                <w:webHidden/>
                <w:rStyle w:val="IndexLink"/>
              </w:rPr>
              <w:t>3. How to use this template</w:t>
              <w:tab/>
              <w:t>4</w:t>
            </w:r>
          </w:hyperlink>
        </w:p>
        <w:p>
          <w:pPr>
            <w:pStyle w:val="TOC1"/>
            <w:tabs>
              <w:tab w:val="clear" w:pos="900"/>
              <w:tab w:val="clear" w:pos="9350"/>
              <w:tab w:val="right" w:pos="9025" w:leader="dot"/>
            </w:tabs>
            <w:rPr/>
          </w:pPr>
          <w:hyperlink w:anchor="__RefHeading___Toc156134_4049217194">
            <w:r>
              <w:rPr>
                <w:webHidden/>
                <w:rStyle w:val="IndexLink"/>
              </w:rPr>
              <w:t>4. Release identification</w:t>
              <w:tab/>
              <w:t>5</w:t>
            </w:r>
          </w:hyperlink>
        </w:p>
        <w:p>
          <w:pPr>
            <w:pStyle w:val="TOC1"/>
            <w:tabs>
              <w:tab w:val="clear" w:pos="900"/>
              <w:tab w:val="clear" w:pos="9350"/>
              <w:tab w:val="right" w:pos="9025" w:leader="dot"/>
            </w:tabs>
            <w:rPr/>
          </w:pPr>
          <w:hyperlink w:anchor="__RefHeading___Toc156136_4049217194">
            <w:r>
              <w:rPr>
                <w:webHidden/>
                <w:rStyle w:val="IndexLink"/>
              </w:rPr>
              <w:t>5. Summary</w:t>
              <w:tab/>
              <w:t>6</w:t>
            </w:r>
          </w:hyperlink>
        </w:p>
        <w:p>
          <w:pPr>
            <w:pStyle w:val="TOC1"/>
            <w:tabs>
              <w:tab w:val="clear" w:pos="900"/>
              <w:tab w:val="clear" w:pos="9350"/>
              <w:tab w:val="right" w:pos="9025" w:leader="dot"/>
            </w:tabs>
            <w:rPr/>
          </w:pPr>
          <w:hyperlink w:anchor="__RefHeading___Toc156138_4049217194">
            <w:r>
              <w:rPr>
                <w:webHidden/>
                <w:rStyle w:val="IndexLink"/>
              </w:rPr>
              <w:t>6. New and changed functions</w:t>
              <w:tab/>
              <w:t>7</w:t>
            </w:r>
          </w:hyperlink>
        </w:p>
        <w:p>
          <w:pPr>
            <w:pStyle w:val="TOC1"/>
            <w:tabs>
              <w:tab w:val="clear" w:pos="900"/>
              <w:tab w:val="clear" w:pos="9350"/>
              <w:tab w:val="right" w:pos="9025" w:leader="dot"/>
            </w:tabs>
            <w:rPr/>
          </w:pPr>
          <w:hyperlink w:anchor="__RefHeading___Toc156140_4049217194">
            <w:r>
              <w:rPr>
                <w:webHidden/>
                <w:rStyle w:val="IndexLink"/>
              </w:rPr>
              <w:t>7. Fixed defects</w:t>
              <w:tab/>
              <w:t>8</w:t>
            </w:r>
          </w:hyperlink>
        </w:p>
        <w:p>
          <w:pPr>
            <w:pStyle w:val="TOC1"/>
            <w:tabs>
              <w:tab w:val="clear" w:pos="900"/>
              <w:tab w:val="clear" w:pos="9350"/>
              <w:tab w:val="right" w:pos="9025" w:leader="dot"/>
            </w:tabs>
            <w:rPr/>
          </w:pPr>
          <w:hyperlink w:anchor="__RefHeading___Toc156142_4049217194">
            <w:r>
              <w:rPr>
                <w:webHidden/>
                <w:rStyle w:val="IndexLink"/>
              </w:rPr>
              <w:t>8. Security fixes</w:t>
              <w:tab/>
              <w:t>9</w:t>
            </w:r>
          </w:hyperlink>
        </w:p>
        <w:p>
          <w:pPr>
            <w:pStyle w:val="TOC1"/>
            <w:tabs>
              <w:tab w:val="clear" w:pos="900"/>
              <w:tab w:val="clear" w:pos="9350"/>
              <w:tab w:val="right" w:pos="9025" w:leader="dot"/>
            </w:tabs>
            <w:rPr/>
          </w:pPr>
          <w:hyperlink w:anchor="__RefHeading___Toc156144_4049217194">
            <w:r>
              <w:rPr>
                <w:webHidden/>
                <w:rStyle w:val="IndexLink"/>
              </w:rPr>
              <w:t>9. Regulatory and configuration changes</w:t>
              <w:tab/>
              <w:t>10</w:t>
            </w:r>
          </w:hyperlink>
        </w:p>
        <w:p>
          <w:pPr>
            <w:pStyle w:val="TOC1"/>
            <w:tabs>
              <w:tab w:val="clear" w:pos="900"/>
              <w:tab w:val="clear" w:pos="9350"/>
              <w:tab w:val="right" w:pos="9025" w:leader="dot"/>
            </w:tabs>
            <w:rPr/>
          </w:pPr>
          <w:hyperlink w:anchor="__RefHeading___Toc156146_4049217194">
            <w:r>
              <w:rPr>
                <w:webHidden/>
                <w:rStyle w:val="IndexLink"/>
              </w:rPr>
              <w:t>10. Database changes</w:t>
              <w:tab/>
              <w:t>11</w:t>
            </w:r>
          </w:hyperlink>
        </w:p>
        <w:p>
          <w:pPr>
            <w:pStyle w:val="TOC1"/>
            <w:tabs>
              <w:tab w:val="clear" w:pos="900"/>
              <w:tab w:val="clear" w:pos="9350"/>
              <w:tab w:val="right" w:pos="9025" w:leader="dot"/>
            </w:tabs>
            <w:rPr/>
          </w:pPr>
          <w:hyperlink w:anchor="__RefHeading___Toc156148_4049217194">
            <w:r>
              <w:rPr>
                <w:webHidden/>
                <w:rStyle w:val="IndexLink"/>
              </w:rPr>
              <w:t>11. Actions for the broker</w:t>
              <w:tab/>
              <w:t>12</w:t>
            </w:r>
          </w:hyperlink>
        </w:p>
        <w:p>
          <w:pPr>
            <w:pStyle w:val="TOC2"/>
            <w:tabs>
              <w:tab w:val="clear" w:pos="900"/>
              <w:tab w:val="clear" w:pos="9350"/>
              <w:tab w:val="right" w:pos="9025" w:leader="dot"/>
            </w:tabs>
            <w:rPr/>
          </w:pPr>
          <w:hyperlink w:anchor="__RefHeading___Toc156150_4049217194">
            <w:r>
              <w:rPr>
                <w:webHidden/>
                <w:rStyle w:val="IndexLink"/>
              </w:rPr>
              <w:t>11.1 Before deployment</w:t>
              <w:tab/>
              <w:t>12</w:t>
            </w:r>
          </w:hyperlink>
        </w:p>
        <w:p>
          <w:pPr>
            <w:pStyle w:val="TOC2"/>
            <w:tabs>
              <w:tab w:val="clear" w:pos="900"/>
              <w:tab w:val="clear" w:pos="9350"/>
              <w:tab w:val="right" w:pos="9025" w:leader="dot"/>
            </w:tabs>
            <w:rPr/>
          </w:pPr>
          <w:hyperlink w:anchor="__RefHeading___Toc156152_4049217194">
            <w:r>
              <w:rPr>
                <w:webHidden/>
                <w:rStyle w:val="IndexLink"/>
              </w:rPr>
              <w:t>11.2 After deployment</w:t>
              <w:tab/>
              <w:t>12</w:t>
            </w:r>
          </w:hyperlink>
        </w:p>
        <w:p>
          <w:pPr>
            <w:pStyle w:val="TOC1"/>
            <w:tabs>
              <w:tab w:val="clear" w:pos="900"/>
              <w:tab w:val="clear" w:pos="9350"/>
              <w:tab w:val="right" w:pos="9025" w:leader="dot"/>
            </w:tabs>
            <w:rPr/>
          </w:pPr>
          <w:hyperlink w:anchor="__RefHeading___Toc156154_4049217194">
            <w:r>
              <w:rPr>
                <w:webHidden/>
                <w:rStyle w:val="IndexLink"/>
              </w:rPr>
              <w:t>12. Known issues in this release</w:t>
              <w:tab/>
              <w:t>13</w:t>
            </w:r>
          </w:hyperlink>
        </w:p>
        <w:p>
          <w:pPr>
            <w:pStyle w:val="TOC1"/>
            <w:tabs>
              <w:tab w:val="clear" w:pos="900"/>
              <w:tab w:val="clear" w:pos="9350"/>
              <w:tab w:val="right" w:pos="9025" w:leader="dot"/>
            </w:tabs>
            <w:rPr/>
          </w:pPr>
          <w:hyperlink w:anchor="__RefHeading___Toc156156_4049217194">
            <w:r>
              <w:rPr>
                <w:webHidden/>
                <w:rStyle w:val="IndexLink"/>
              </w:rPr>
              <w:t>13. Testing performed</w:t>
              <w:tab/>
              <w:t>14</w:t>
            </w:r>
          </w:hyperlink>
        </w:p>
        <w:p>
          <w:pPr>
            <w:pStyle w:val="TOC1"/>
            <w:tabs>
              <w:tab w:val="clear" w:pos="900"/>
              <w:tab w:val="clear" w:pos="9350"/>
              <w:tab w:val="right" w:pos="9025" w:leader="dot"/>
            </w:tabs>
            <w:rPr/>
          </w:pPr>
          <w:hyperlink w:anchor="__RefHeading___Toc156158_4049217194">
            <w:r>
              <w:rPr>
                <w:webHidden/>
                <w:rStyle w:val="IndexLink"/>
              </w:rPr>
              <w:t>14. Rollback plan</w:t>
              <w:tab/>
              <w:t>15</w:t>
            </w:r>
          </w:hyperlink>
        </w:p>
        <w:p>
          <w:pPr>
            <w:pStyle w:val="TOC1"/>
            <w:tabs>
              <w:tab w:val="clear" w:pos="900"/>
              <w:tab w:val="clear" w:pos="9350"/>
              <w:tab w:val="right" w:pos="9025" w:leader="dot"/>
            </w:tabs>
            <w:rPr/>
          </w:pPr>
          <w:hyperlink w:anchor="__RefHeading___Toc156160_4049217194">
            <w:r>
              <w:rPr>
                <w:webHidden/>
                <w:rStyle w:val="IndexLink"/>
              </w:rPr>
              <w:t>15. Approval</w:t>
              <w:tab/>
              <w:t>16</w:t>
            </w:r>
          </w:hyperlink>
        </w:p>
        <w:p>
          <w:pPr>
            <w:pStyle w:val="TOC1"/>
            <w:tabs>
              <w:tab w:val="clear" w:pos="900"/>
              <w:tab w:val="clear" w:pos="9350"/>
              <w:tab w:val="right" w:pos="9025" w:leader="dot"/>
            </w:tabs>
            <w:rPr/>
          </w:pPr>
          <w:hyperlink w:anchor="__RefHeading___Toc156162_4049217194">
            <w:r>
              <w:rPr>
                <w:webHidden/>
                <w:rStyle w:val="IndexLink"/>
                <w:i w:val="false"/>
                <w:iCs w:val="false"/>
              </w:rPr>
              <w:t>16. Document Sign-Off</w:t>
            </w:r>
            <w:r>
              <w:rPr>
                <w:rStyle w:val="IndexLink"/>
              </w:rPr>
              <w:tab/>
              <w:t>17</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56128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one copy per release or patch</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56130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P1, P2</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Incident priorities 1 and 2</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56132_4049217194"/>
      <w:bookmarkEnd w:id="6"/>
      <w:r>
        <w:rPr>
          <w:rFonts w:eastAsia="Segoe UI" w:cs="Segoe UI" w:ascii="Segoe UI" w:hAnsi="Segoe UI"/>
          <w:b/>
          <w:color w:val="0F4761"/>
          <w:sz w:val="32"/>
        </w:rPr>
        <w:t>3.  How to use this template</w:t>
      </w:r>
    </w:p>
    <w:p>
      <w:pPr>
        <w:pStyle w:val="Normal"/>
        <w:spacing w:lineRule="auto" w:line="276" w:before="0" w:after="120"/>
        <w:rPr/>
      </w:pPr>
      <w:r>
        <w:rPr>
          <w:rFonts w:eastAsia="Segoe UI" w:cs="Segoe UI" w:ascii="Segoe UI" w:hAnsi="Segoe UI"/>
          <w:color w:val="101820"/>
          <w:sz w:val="21"/>
        </w:rPr>
        <w:t>iorta TechNXT issues release notes with every patch, minor and major release, as required by the upgrade and versioning policy of the Release Notes and Product Roadmap and by the release management chapter of the Production Support Approach and Standards. The notes go to the broker's System Administrator and IT head with the request for change, at least 5 business days before deployment, and are attached to the CAB record.</w:t>
      </w:r>
    </w:p>
    <w:p>
      <w:pPr>
        <w:pStyle w:val="Normal"/>
        <w:numPr>
          <w:ilvl w:val="0"/>
          <w:numId w:val="1"/>
        </w:numPr>
        <w:spacing w:before="0" w:after="60"/>
        <w:rPr/>
      </w:pPr>
      <w:r>
        <w:rPr>
          <w:rFonts w:eastAsia="Segoe UI" w:cs="Segoe UI" w:ascii="Segoe UI" w:hAnsi="Segoe UI"/>
          <w:color w:val="101820"/>
          <w:sz w:val="21"/>
        </w:rPr>
        <w:t>Copy the template, set the version number in the title, and replace every text in [square brackets].</w:t>
      </w:r>
    </w:p>
    <w:p>
      <w:pPr>
        <w:pStyle w:val="Normal"/>
        <w:numPr>
          <w:ilvl w:val="0"/>
          <w:numId w:val="1"/>
        </w:numPr>
        <w:spacing w:before="0" w:after="60"/>
        <w:rPr/>
      </w:pPr>
      <w:r>
        <w:rPr>
          <w:rFonts w:eastAsia="Segoe UI" w:cs="Segoe UI" w:ascii="Segoe UI" w:hAnsi="Segoe UI"/>
          <w:color w:val="101820"/>
          <w:sz w:val="21"/>
        </w:rPr>
        <w:t>Use the system's own names for menus, screens, settings and statuses, exactly as on screen, for example Master &gt; Configuration &gt; Billing, Collections &amp; Credit.</w:t>
      </w:r>
    </w:p>
    <w:p>
      <w:pPr>
        <w:pStyle w:val="Normal"/>
        <w:numPr>
          <w:ilvl w:val="0"/>
          <w:numId w:val="1"/>
        </w:numPr>
        <w:spacing w:before="0" w:after="60"/>
        <w:rPr/>
      </w:pPr>
      <w:r>
        <w:rPr>
          <w:rFonts w:eastAsia="Segoe UI" w:cs="Segoe UI" w:ascii="Segoe UI" w:hAnsi="Segoe UI"/>
          <w:color w:val="101820"/>
          <w:sz w:val="21"/>
        </w:rPr>
        <w:t>Describe the effect on the user, not the code. Each item says what changes, for whom, and whether anyone must act.</w:t>
      </w:r>
    </w:p>
    <w:p>
      <w:pPr>
        <w:pStyle w:val="Normal"/>
        <w:numPr>
          <w:ilvl w:val="0"/>
          <w:numId w:val="1"/>
        </w:numPr>
        <w:spacing w:before="0" w:after="60"/>
        <w:rPr/>
      </w:pPr>
      <w:r>
        <w:rPr>
          <w:rFonts w:eastAsia="Segoe UI" w:cs="Segoe UI" w:ascii="Segoe UI" w:hAnsi="Segoe UI"/>
          <w:color w:val="101820"/>
          <w:sz w:val="21"/>
        </w:rPr>
        <w:t>Delete the sections that have no content and this chapter before issue.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4"/>
        <w:gridCol w:w="3970"/>
        <w:gridCol w:w="3971"/>
      </w:tblGrid>
      <w:tr>
        <w:trPr>
          <w:tblHeader w:val="true"/>
        </w:trPr>
        <w:tc>
          <w:tcPr>
            <w:tcW w:w="10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type</w:t>
            </w:r>
          </w:p>
        </w:tc>
        <w:tc>
          <w:tcPr>
            <w:tcW w:w="39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39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Notice</w:t>
            </w:r>
          </w:p>
        </w:tc>
      </w:tr>
      <w:tr>
        <w:trPr/>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Patch (1.0.z)</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Defect fixes and security fixes; no change to how users work</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 emergency release for a P1 or a security issue</w:t>
            </w:r>
          </w:p>
        </w:tc>
      </w:tr>
      <w:tr>
        <w:trPr/>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Minor (1.y.0)</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functions, new reports, regulatory form updates, component upgrades; data and settings kept</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1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Major (x.0.0)</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that need a migration project, retraining or a change of hosting components</w:t>
            </w:r>
          </w:p>
        </w:tc>
        <w:tc>
          <w:tcPr>
            <w:tcW w:w="39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Announced at least 6 months ahead</w:t>
            </w:r>
          </w:p>
        </w:tc>
      </w:tr>
    </w:tbl>
    <w:p>
      <w:pPr>
        <w:pStyle w:val="Heading1"/>
        <w:rPr/>
      </w:pPr>
      <w:r>
        <w:br w:type="page"/>
      </w:r>
      <w:bookmarkStart w:id="7" w:name="__RefHeading___Toc156134_4049217194"/>
      <w:bookmarkEnd w:id="7"/>
      <w:r>
        <w:rPr>
          <w:rFonts w:eastAsia="Segoe UI" w:cs="Segoe UI" w:ascii="Segoe UI" w:hAnsi="Segoe UI"/>
          <w:b/>
          <w:color w:val="0F4761"/>
          <w:sz w:val="32"/>
        </w:rPr>
        <w:t>4.  Release identification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6"/>
        <w:gridCol w:w="5547"/>
      </w:tblGrid>
      <w:tr>
        <w:trPr>
          <w:tblHeader w:val="true"/>
        </w:trPr>
        <w:tc>
          <w:tcPr>
            <w:tcW w:w="34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5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[x.y.z], [Patch / Minor / Major]</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Repository tag and commit</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[vx.y.z], commit [short hash]; </w:t>
            </w:r>
            <w:r>
              <w:rPr>
                <w:rFonts w:eastAsia="Consolas" w:cs="Consolas" w:ascii="Consolas" w:hAnsi="Consolas"/>
                <w:color w:val="101820"/>
                <w:kern w:val="0"/>
                <w:sz w:val="16"/>
                <w:szCs w:val="24"/>
                <w:lang w:val="en-US" w:eastAsia="ja-JP" w:bidi="ar-SA"/>
              </w:rPr>
              <w:t>GET /api/version</w:t>
            </w:r>
            <w:r>
              <w:rPr>
                <w:rFonts w:eastAsia="Segoe UI" w:cs="Segoe UI" w:ascii="Segoe UI" w:hAnsi="Segoe UI"/>
                <w:color w:val="101820"/>
                <w:kern w:val="0"/>
                <w:sz w:val="18"/>
                <w:szCs w:val="24"/>
                <w:lang w:val="en-US" w:eastAsia="ja-JP" w:bidi="ar-SA"/>
              </w:rPr>
              <w:t xml:space="preserve"> shows it after deployment</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Previous release in production</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[x.y.z]</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deployment</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[time] PHT, in the maintenance window</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Expected downtime</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 minutes]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(CAB)</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[RFC number], approved on [date]</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Prepared by</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iorta TechNXT</w:t>
            </w:r>
          </w:p>
        </w:tc>
      </w:tr>
    </w:tbl>
    <w:p>
      <w:pPr>
        <w:pStyle w:val="Heading1"/>
        <w:rPr/>
      </w:pPr>
      <w:r>
        <w:br w:type="page"/>
      </w:r>
      <w:bookmarkStart w:id="8" w:name="__RefHeading___Toc156136_4049217194"/>
      <w:bookmarkEnd w:id="8"/>
      <w:r>
        <w:rPr>
          <w:rFonts w:eastAsia="Segoe UI" w:cs="Segoe UI" w:ascii="Segoe UI" w:hAnsi="Segoe UI"/>
          <w:b/>
          <w:color w:val="0F4761"/>
          <w:sz w:val="32"/>
        </w:rPr>
        <w:t>5.  Summary</w:t>
      </w:r>
    </w:p>
    <w:p>
      <w:pPr>
        <w:pStyle w:val="Normal"/>
        <w:spacing w:lineRule="auto" w:line="276" w:before="0" w:after="120"/>
        <w:rPr/>
      </w:pPr>
      <w:r>
        <w:rPr>
          <w:rFonts w:eastAsia="Segoe UI" w:cs="Segoe UI" w:ascii="Segoe UI" w:hAnsi="Segoe UI"/>
          <w:color w:val="101820"/>
          <w:sz w:val="21"/>
        </w:rPr>
        <w:t>[Two to four sentences for managers: why this release, what users will notice, and whether any action is needed before or after deployment.]</w:t>
      </w:r>
      <w:r>
        <w:br w:type="page"/>
      </w:r>
    </w:p>
    <w:p>
      <w:pPr>
        <w:pStyle w:val="Heading1"/>
        <w:rPr/>
      </w:pPr>
      <w:bookmarkStart w:id="9" w:name="__RefHeading___Toc156138_4049217194"/>
      <w:bookmarkEnd w:id="9"/>
      <w:r>
        <w:rPr>
          <w:rFonts w:eastAsia="Segoe UI" w:cs="Segoe UI" w:ascii="Segoe UI" w:hAnsi="Segoe UI"/>
          <w:b/>
          <w:color w:val="0F4761"/>
          <w:sz w:val="32"/>
        </w:rPr>
        <w:t>6.  New and changed functions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55"/>
        <w:gridCol w:w="3360"/>
        <w:gridCol w:w="1122"/>
        <w:gridCol w:w="2776"/>
      </w:tblGrid>
      <w:tr>
        <w:trPr>
          <w:tblHeader w:val="true"/>
        </w:trPr>
        <w:tc>
          <w:tcPr>
            <w:tcW w:w="17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33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Change</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is affected</w:t>
            </w:r>
          </w:p>
        </w:tc>
        <w:tc>
          <w:tcPr>
            <w:tcW w:w="27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 needed</w:t>
            </w:r>
          </w:p>
        </w:tc>
      </w:tr>
      <w:tr>
        <w:trPr/>
        <w:tc>
          <w:tcPr>
            <w:tcW w:w="17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Accounting]</w:t>
            </w:r>
          </w:p>
        </w:tc>
        <w:tc>
          <w:tcPr>
            <w:tcW w:w="3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the user can now do, with the menu path]</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27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 train / switch on setting ...]</w:t>
            </w:r>
          </w:p>
        </w:tc>
      </w:tr>
    </w:tbl>
    <w:p>
      <w:pPr>
        <w:pStyle w:val="Heading1"/>
        <w:rPr/>
      </w:pPr>
      <w:r>
        <w:br w:type="page"/>
      </w:r>
      <w:bookmarkStart w:id="10" w:name="__RefHeading___Toc156140_4049217194"/>
      <w:bookmarkEnd w:id="10"/>
      <w:r>
        <w:rPr>
          <w:rFonts w:eastAsia="Segoe UI" w:cs="Segoe UI" w:ascii="Segoe UI" w:hAnsi="Segoe UI"/>
          <w:b/>
          <w:color w:val="0F4761"/>
          <w:sz w:val="32"/>
        </w:rPr>
        <w:t>7.  Fixed defects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65"/>
        <w:gridCol w:w="2091"/>
        <w:gridCol w:w="2351"/>
        <w:gridCol w:w="1306"/>
      </w:tblGrid>
      <w:tr>
        <w:trPr>
          <w:tblHeader w:val="true"/>
        </w:trPr>
        <w:tc>
          <w:tcPr>
            <w:tcW w:w="32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Ticket or defect</w:t>
            </w:r>
          </w:p>
        </w:tc>
        <w:tc>
          <w:tcPr>
            <w:tcW w:w="20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Problem</w:t>
            </w:r>
          </w:p>
        </w:tc>
        <w:tc>
          <w:tcPr>
            <w:tcW w:w="23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Fix</w:t>
            </w:r>
          </w:p>
        </w:tc>
        <w:tc>
          <w:tcPr>
            <w:tcW w:w="13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r>
      <w:tr>
        <w:trPr/>
        <w:tc>
          <w:tcPr>
            <w:tcW w:w="3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[BV-DEF-nnn / ticket no.]</w:t>
            </w:r>
          </w:p>
        </w:tc>
        <w:tc>
          <w:tcPr>
            <w:tcW w:w="20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users saw]</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now happens]</w:t>
            </w:r>
          </w:p>
        </w:tc>
        <w:tc>
          <w:tcPr>
            <w:tcW w:w="13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to P4]</w:t>
            </w:r>
          </w:p>
        </w:tc>
      </w:tr>
    </w:tbl>
    <w:p>
      <w:pPr>
        <w:pStyle w:val="Heading1"/>
        <w:rPr/>
      </w:pPr>
      <w:r>
        <w:br w:type="page"/>
      </w:r>
      <w:bookmarkStart w:id="11" w:name="__RefHeading___Toc156142_4049217194"/>
      <w:bookmarkEnd w:id="11"/>
      <w:r>
        <w:rPr>
          <w:rFonts w:eastAsia="Segoe UI" w:cs="Segoe UI" w:ascii="Segoe UI" w:hAnsi="Segoe UI"/>
          <w:b/>
          <w:color w:val="0F4761"/>
          <w:sz w:val="32"/>
        </w:rPr>
        <w:t>8.  Security fixes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50"/>
        <w:gridCol w:w="1924"/>
        <w:gridCol w:w="2451"/>
        <w:gridCol w:w="2887"/>
      </w:tblGrid>
      <w:tr>
        <w:trPr>
          <w:tblHeader w:val="true"/>
        </w:trPr>
        <w:tc>
          <w:tcPr>
            <w:tcW w:w="17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9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24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28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w:t>
            </w:r>
          </w:p>
        </w:tc>
      </w:tr>
      <w:tr>
        <w:trPr/>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[advisory reference]</w:t>
            </w:r>
          </w:p>
        </w:tc>
        <w:tc>
          <w:tcPr>
            <w:tcW w:w="19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or component]</w:t>
            </w:r>
          </w:p>
        </w:tc>
        <w:tc>
          <w:tcPr>
            <w:tcW w:w="24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 high / moderate]</w:t>
            </w:r>
          </w:p>
        </w:tc>
        <w:tc>
          <w:tcPr>
            <w:tcW w:w="2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no user action / action]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Security patches follow the agreed timelines: critical within 14 days and high within 30 days of a fix being available.</w:t>
      </w:r>
      <w:r>
        <w:br w:type="page"/>
      </w:r>
    </w:p>
    <w:p>
      <w:pPr>
        <w:pStyle w:val="Heading1"/>
        <w:rPr/>
      </w:pPr>
      <w:bookmarkStart w:id="12" w:name="__RefHeading___Toc156144_4049217194"/>
      <w:bookmarkEnd w:id="12"/>
      <w:r>
        <w:rPr>
          <w:rFonts w:eastAsia="Segoe UI" w:cs="Segoe UI" w:ascii="Segoe UI" w:hAnsi="Segoe UI"/>
          <w:b/>
          <w:color w:val="0F4761"/>
          <w:sz w:val="32"/>
        </w:rPr>
        <w:t>9.  Regulatory and configuration changes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09"/>
        <w:gridCol w:w="908"/>
        <w:gridCol w:w="1445"/>
        <w:gridCol w:w="1306"/>
        <w:gridCol w:w="1445"/>
      </w:tblGrid>
      <w:tr>
        <w:trPr>
          <w:tblHeader w:val="true"/>
        </w:trPr>
        <w:tc>
          <w:tcPr>
            <w:tcW w:w="39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Item</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Change</w:t>
            </w:r>
          </w:p>
        </w:tc>
        <w:tc>
          <w:tcPr>
            <w:tcW w:w="14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Setting or master</w:t>
            </w:r>
          </w:p>
        </w:tc>
        <w:tc>
          <w:tcPr>
            <w:tcW w:w="13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Delivered value</w:t>
            </w:r>
          </w:p>
        </w:tc>
        <w:tc>
          <w:tcPr>
            <w:tcW w:w="14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 to confirm</w:t>
            </w:r>
          </w:p>
        </w:tc>
      </w:tr>
      <w:tr>
        <w:trPr/>
        <w:tc>
          <w:tcPr>
            <w:tcW w:w="39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[for example premium tax rule, BIR form layout, number series]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or screen]</w:t>
            </w:r>
          </w:p>
        </w:tc>
        <w:tc>
          <w:tcPr>
            <w:tcW w:w="13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[value]</w:t>
            </w:r>
          </w:p>
        </w:tc>
        <w:tc>
          <w:tcPr>
            <w:tcW w:w="1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 / no]</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Settings and master data changed by the broker are kept: a release adds what is missing and never overwrites a value the broker has changed, unless this section says so.</w:t>
      </w:r>
      <w:r>
        <w:br w:type="page"/>
      </w:r>
    </w:p>
    <w:p>
      <w:pPr>
        <w:pStyle w:val="Heading1"/>
        <w:rPr/>
      </w:pPr>
      <w:bookmarkStart w:id="13" w:name="__RefHeading___Toc156146_4049217194"/>
      <w:bookmarkEnd w:id="13"/>
      <w:r>
        <w:rPr>
          <w:rFonts w:eastAsia="Segoe UI" w:cs="Segoe UI" w:ascii="Segoe UI" w:hAnsi="Segoe UI"/>
          <w:b/>
          <w:color w:val="0F4761"/>
          <w:sz w:val="32"/>
        </w:rPr>
        <w:t>10.  Database changes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6"/>
        <w:gridCol w:w="2153"/>
        <w:gridCol w:w="2042"/>
        <w:gridCol w:w="3203"/>
      </w:tblGrid>
      <w:tr>
        <w:trPr>
          <w:tblHeader w:val="true"/>
        </w:trPr>
        <w:tc>
          <w:tcPr>
            <w:tcW w:w="16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Migration</w:t>
            </w:r>
          </w:p>
        </w:tc>
        <w:tc>
          <w:tcPr>
            <w:tcW w:w="21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c>
          <w:tcPr>
            <w:tcW w:w="20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 on existing data</w:t>
            </w:r>
          </w:p>
        </w:tc>
        <w:tc>
          <w:tcPr>
            <w:tcW w:w="32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Reversible by redeploying the previous release</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[NNNN_name.sql]</w:t>
            </w:r>
          </w:p>
        </w:tc>
        <w:tc>
          <w:tcPr>
            <w:tcW w:w="2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[adds table / column / setting]</w:t>
            </w:r>
          </w:p>
        </w:tc>
        <w:tc>
          <w:tcPr>
            <w:tcW w:w="20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 records updated: ...]</w:t>
            </w:r>
          </w:p>
        </w:tc>
        <w:tc>
          <w:tcPr>
            <w:tcW w:w="3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 explain]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Migrations are applied automatically when the API starts, under a lock. A database snapshot is taken before deployment.</w:t>
      </w:r>
      <w:r>
        <w:br w:type="page"/>
      </w:r>
    </w:p>
    <w:p>
      <w:pPr>
        <w:pStyle w:val="Heading1"/>
        <w:rPr/>
      </w:pPr>
      <w:bookmarkStart w:id="14" w:name="__RefHeading___Toc156148_4049217194"/>
      <w:bookmarkEnd w:id="14"/>
      <w:r>
        <w:rPr>
          <w:rFonts w:eastAsia="Segoe UI" w:cs="Segoe UI" w:ascii="Segoe UI" w:hAnsi="Segoe UI"/>
          <w:b/>
          <w:color w:val="0F4761"/>
          <w:sz w:val="32"/>
        </w:rPr>
        <w:t>11.  Actions for the broker</w:t>
      </w:r>
    </w:p>
    <w:p>
      <w:pPr>
        <w:pStyle w:val="Heading2"/>
        <w:rPr/>
      </w:pPr>
      <w:bookmarkStart w:id="15" w:name="__RefHeading___Toc156150_4049217194"/>
      <w:bookmarkEnd w:id="15"/>
      <w:r>
        <w:rPr>
          <w:rFonts w:eastAsia="Segoe UI" w:cs="Segoe UI"/>
          <w:b/>
          <w:color w:val="0F4761"/>
          <w:sz w:val="26"/>
        </w:rPr>
        <w:t>11.1  Before deployment</w:t>
      </w:r>
    </w:p>
    <w:p>
      <w:pPr>
        <w:pStyle w:val="Normal"/>
        <w:numPr>
          <w:ilvl w:val="0"/>
          <w:numId w:val="1"/>
        </w:numPr>
        <w:spacing w:before="0" w:after="60"/>
        <w:rPr/>
      </w:pPr>
      <w:r>
        <w:rPr>
          <w:rFonts w:eastAsia="Segoe UI" w:cs="Segoe UI" w:ascii="Segoe UI" w:hAnsi="Segoe UI"/>
          <w:color w:val="101820"/>
          <w:sz w:val="21"/>
        </w:rPr>
        <w:t>[for example: confirm the new setting value with the Accounting Manager]</w:t>
      </w:r>
    </w:p>
    <w:p>
      <w:pPr>
        <w:pStyle w:val="Normal"/>
        <w:numPr>
          <w:ilvl w:val="0"/>
          <w:numId w:val="1"/>
        </w:numPr>
        <w:spacing w:before="0" w:after="60"/>
        <w:rPr/>
      </w:pPr>
      <w:r>
        <w:rPr>
          <w:rFonts w:eastAsia="Segoe UI" w:cs="Segoe UI" w:ascii="Segoe UI" w:hAnsi="Segoe UI"/>
          <w:color w:val="101820"/>
          <w:sz w:val="21"/>
        </w:rPr>
        <w:t>[UAT scripts to re-run in the test environment: ...]</w:t>
      </w:r>
    </w:p>
    <w:p>
      <w:pPr>
        <w:pStyle w:val="Heading2"/>
        <w:rPr/>
      </w:pPr>
      <w:bookmarkStart w:id="16" w:name="__RefHeading___Toc156152_4049217194"/>
      <w:bookmarkEnd w:id="16"/>
      <w:r>
        <w:rPr>
          <w:rFonts w:eastAsia="Segoe UI" w:cs="Segoe UI"/>
          <w:b/>
          <w:color w:val="0F4761"/>
          <w:sz w:val="26"/>
        </w:rPr>
        <w:t>11.2  After deployment</w:t>
      </w:r>
    </w:p>
    <w:p>
      <w:pPr>
        <w:pStyle w:val="Normal"/>
        <w:numPr>
          <w:ilvl w:val="0"/>
          <w:numId w:val="1"/>
        </w:numPr>
        <w:spacing w:before="0" w:after="60"/>
        <w:rPr/>
      </w:pPr>
      <w:r>
        <w:rPr>
          <w:rFonts w:eastAsia="Segoe UI" w:cs="Segoe UI" w:ascii="Segoe UI" w:hAnsi="Segoe UI"/>
          <w:color w:val="101820"/>
          <w:sz w:val="21"/>
        </w:rPr>
        <w:t>[for example: switch on the job ... in Master &gt; Schedules; check the E-mail Outbox]</w:t>
      </w:r>
    </w:p>
    <w:p>
      <w:pPr>
        <w:pStyle w:val="Normal"/>
        <w:numPr>
          <w:ilvl w:val="0"/>
          <w:numId w:val="1"/>
        </w:numPr>
        <w:spacing w:before="0" w:after="60"/>
        <w:rPr/>
      </w:pPr>
      <w:r>
        <w:rPr>
          <w:rFonts w:eastAsia="Segoe UI" w:cs="Segoe UI" w:ascii="Segoe UI" w:hAnsi="Segoe UI"/>
          <w:color w:val="101820"/>
          <w:sz w:val="21"/>
        </w:rPr>
        <w:t>Check the smoke test result sent by iorta TechNXT.</w:t>
      </w:r>
      <w:r>
        <w:br w:type="page"/>
      </w:r>
    </w:p>
    <w:p>
      <w:pPr>
        <w:pStyle w:val="Heading1"/>
        <w:rPr/>
      </w:pPr>
      <w:bookmarkStart w:id="17" w:name="__RefHeading___Toc156154_4049217194"/>
      <w:bookmarkEnd w:id="17"/>
      <w:r>
        <w:rPr>
          <w:rFonts w:eastAsia="Segoe UI" w:cs="Segoe UI" w:ascii="Segoe UI" w:hAnsi="Segoe UI"/>
          <w:b/>
          <w:color w:val="0F4761"/>
          <w:sz w:val="32"/>
        </w:rPr>
        <w:t>12.  Known issues in this release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352"/>
        <w:gridCol w:w="2252"/>
        <w:gridCol w:w="450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3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22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w:t>
            </w:r>
          </w:p>
        </w:tc>
        <w:tc>
          <w:tcPr>
            <w:tcW w:w="4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Planned fix</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2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4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or backlog]</w:t>
            </w:r>
          </w:p>
        </w:tc>
      </w:tr>
    </w:tbl>
    <w:p>
      <w:pPr>
        <w:pStyle w:val="Heading1"/>
        <w:rPr/>
      </w:pPr>
      <w:r>
        <w:br w:type="page"/>
      </w:r>
      <w:bookmarkStart w:id="18" w:name="__RefHeading___Toc156156_4049217194"/>
      <w:bookmarkEnd w:id="18"/>
      <w:r>
        <w:rPr>
          <w:rFonts w:eastAsia="Segoe UI" w:cs="Segoe UI" w:ascii="Segoe UI" w:hAnsi="Segoe UI"/>
          <w:b/>
          <w:color w:val="0F4761"/>
          <w:sz w:val="32"/>
        </w:rPr>
        <w:t>13.  Testing performed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84"/>
        <w:gridCol w:w="3629"/>
      </w:tblGrid>
      <w:tr>
        <w:trPr>
          <w:tblHeader w:val="true"/>
        </w:trPr>
        <w:tc>
          <w:tcPr>
            <w:tcW w:w="53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w:t>
            </w:r>
          </w:p>
        </w:tc>
        <w:tc>
          <w:tcPr>
            <w:tcW w:w="36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w:t>
            </w:r>
          </w:p>
        </w:tc>
      </w:tr>
      <w:tr>
        <w:trPr/>
        <w:tc>
          <w:tcPr>
            <w:tcW w:w="53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business-rule tests</w:t>
            </w:r>
          </w:p>
        </w:tc>
        <w:tc>
          <w:tcPr>
            <w:tcW w:w="3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passed of n]</w:t>
            </w:r>
          </w:p>
        </w:tc>
      </w:tr>
      <w:tr>
        <w:trPr/>
        <w:tc>
          <w:tcPr>
            <w:tcW w:w="53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Regression set in the test environment</w:t>
            </w:r>
          </w:p>
        </w:tc>
        <w:tc>
          <w:tcPr>
            <w:tcW w:w="3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passed, n failed, n not run]</w:t>
            </w:r>
          </w:p>
        </w:tc>
      </w:tr>
      <w:tr>
        <w:trPr/>
        <w:tc>
          <w:tcPr>
            <w:tcW w:w="53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UAT of the changed areas</w:t>
            </w:r>
          </w:p>
        </w:tc>
        <w:tc>
          <w:tcPr>
            <w:tcW w:w="3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by ... on ...]</w:t>
            </w:r>
          </w:p>
        </w:tc>
      </w:tr>
      <w:tr>
        <w:trPr/>
        <w:tc>
          <w:tcPr>
            <w:tcW w:w="53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checks (dependency audit, image scan)</w:t>
            </w:r>
          </w:p>
        </w:tc>
        <w:tc>
          <w:tcPr>
            <w:tcW w:w="3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w:t>
            </w:r>
          </w:p>
        </w:tc>
      </w:tr>
    </w:tbl>
    <w:p>
      <w:pPr>
        <w:pStyle w:val="Heading1"/>
        <w:rPr/>
      </w:pPr>
      <w:r>
        <w:br w:type="page"/>
      </w:r>
      <w:bookmarkStart w:id="19" w:name="__RefHeading___Toc156158_4049217194"/>
      <w:bookmarkEnd w:id="19"/>
      <w:r>
        <w:rPr>
          <w:rFonts w:eastAsia="Segoe UI" w:cs="Segoe UI" w:ascii="Segoe UI" w:hAnsi="Segoe UI"/>
          <w:b/>
          <w:color w:val="0F4761"/>
          <w:sz w:val="32"/>
        </w:rPr>
        <w:t>14.  Rollback plan</w:t>
      </w:r>
    </w:p>
    <w:p>
      <w:pPr>
        <w:pStyle w:val="Normal"/>
        <w:spacing w:lineRule="auto" w:line="276" w:before="0" w:after="120"/>
        <w:rPr/>
      </w:pPr>
      <w:r>
        <w:rPr>
          <w:rFonts w:eastAsia="Segoe UI" w:cs="Segoe UI" w:ascii="Segoe UI" w:hAnsi="Segoe UI"/>
          <w:color w:val="101820"/>
          <w:sz w:val="21"/>
        </w:rPr>
        <w:t>Front end: redeploy the previous build. Back end: redeploy the previous image tag; migrations only add to the schema, so the previous release runs on the newer schema. The database snapshot is restored only if data must be rolled back, with the broker's approval. [Add any release-specific step.]</w:t>
      </w:r>
      <w:r>
        <w:br w:type="page"/>
      </w:r>
    </w:p>
    <w:p>
      <w:pPr>
        <w:pStyle w:val="Heading1"/>
        <w:rPr/>
      </w:pPr>
      <w:bookmarkStart w:id="20" w:name="__RefHeading___Toc156160_4049217194"/>
      <w:bookmarkEnd w:id="20"/>
      <w:r>
        <w:rPr>
          <w:rFonts w:eastAsia="Segoe UI" w:cs="Segoe UI" w:ascii="Segoe UI" w:hAnsi="Segoe UI"/>
          <w:b/>
          <w:color w:val="0F4761"/>
          <w:sz w:val="32"/>
        </w:rPr>
        <w:t>15.  Approval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7"/>
        <w:gridCol w:w="907"/>
        <w:gridCol w:w="3973"/>
        <w:gridCol w:w="906"/>
      </w:tblGrid>
      <w:tr>
        <w:trPr>
          <w:tblHeader w:val="true"/>
        </w:trPr>
        <w:tc>
          <w:tcPr>
            <w:tcW w:w="32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39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r>
      <w:tr>
        <w:trPr/>
        <w:tc>
          <w:tcPr>
            <w:tcW w:w="3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release manager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[Ready for deployment]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3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 or System Administrator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 Approved with conditions / Not approved]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3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21" w:name="__RefHeading___Toc156162_4049217194"/>
      <w:bookmarkStart w:id="22" w:name="_Toc233203395"/>
      <w:bookmarkEnd w:id="21"/>
      <w:r>
        <w:rPr>
          <w:rStyle w:val="BookTitle"/>
          <w:bCs w:val="false"/>
          <w:i w:val="false"/>
          <w:iCs w:val="false"/>
          <w:spacing w:val="0"/>
        </w:rPr>
        <w:t>16.  Document Sign-Off</w:t>
      </w:r>
      <w:bookmarkEnd w:id="2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Replace every [placeholder] and delete the sections that do not apply before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release manager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2026-10-04T01:47:18Z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