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Plan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Plan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1073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51075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51077_3066934455">
            <w:r>
              <w:rPr>
                <w:webHidden/>
                <w:rStyle w:val="IndexLink"/>
              </w:rPr>
              <w:t>3. Introduction</w:t>
              <w:tab/>
              <w:t>5</w:t>
            </w:r>
          </w:hyperlink>
        </w:p>
        <w:p>
          <w:pPr>
            <w:pStyle w:val="TOC2"/>
            <w:tabs>
              <w:tab w:val="clear" w:pos="900"/>
              <w:tab w:val="clear" w:pos="9350"/>
              <w:tab w:val="right" w:pos="9025" w:leader="dot"/>
            </w:tabs>
            <w:rPr/>
          </w:pPr>
          <w:hyperlink w:anchor="__RefHeading___Toc51079_3066934455">
            <w:r>
              <w:rPr>
                <w:webHidden/>
                <w:rStyle w:val="IndexLink"/>
              </w:rPr>
              <w:t>3.1 Purpose</w:t>
              <w:tab/>
              <w:t>5</w:t>
            </w:r>
          </w:hyperlink>
        </w:p>
        <w:p>
          <w:pPr>
            <w:pStyle w:val="TOC2"/>
            <w:tabs>
              <w:tab w:val="clear" w:pos="900"/>
              <w:tab w:val="clear" w:pos="9350"/>
              <w:tab w:val="right" w:pos="9025" w:leader="dot"/>
            </w:tabs>
            <w:rPr/>
          </w:pPr>
          <w:hyperlink w:anchor="__RefHeading___Toc51081_3066934455">
            <w:r>
              <w:rPr>
                <w:webHidden/>
                <w:rStyle w:val="IndexLink"/>
              </w:rPr>
              <w:t>3.2 Audience</w:t>
              <w:tab/>
              <w:t>5</w:t>
            </w:r>
          </w:hyperlink>
        </w:p>
        <w:p>
          <w:pPr>
            <w:pStyle w:val="TOC2"/>
            <w:tabs>
              <w:tab w:val="clear" w:pos="900"/>
              <w:tab w:val="clear" w:pos="9350"/>
              <w:tab w:val="right" w:pos="9025" w:leader="dot"/>
            </w:tabs>
            <w:rPr/>
          </w:pPr>
          <w:hyperlink w:anchor="__RefHeading___Toc51083_3066934455">
            <w:r>
              <w:rPr>
                <w:webHidden/>
                <w:rStyle w:val="IndexLink"/>
              </w:rPr>
              <w:t>3.3 Related documents</w:t>
              <w:tab/>
              <w:t>5</w:t>
            </w:r>
          </w:hyperlink>
        </w:p>
        <w:p>
          <w:pPr>
            <w:pStyle w:val="TOC1"/>
            <w:tabs>
              <w:tab w:val="clear" w:pos="900"/>
              <w:tab w:val="clear" w:pos="9350"/>
              <w:tab w:val="right" w:pos="9025" w:leader="dot"/>
            </w:tabs>
            <w:rPr/>
          </w:pPr>
          <w:hyperlink w:anchor="__RefHeading___Toc51085_3066934455">
            <w:r>
              <w:rPr>
                <w:webHidden/>
                <w:rStyle w:val="IndexLink"/>
              </w:rPr>
              <w:t>4. Implementation approach</w:t>
              <w:tab/>
              <w:t>6</w:t>
            </w:r>
          </w:hyperlink>
        </w:p>
        <w:p>
          <w:pPr>
            <w:pStyle w:val="TOC2"/>
            <w:tabs>
              <w:tab w:val="clear" w:pos="900"/>
              <w:tab w:val="clear" w:pos="9350"/>
              <w:tab w:val="right" w:pos="9025" w:leader="dot"/>
            </w:tabs>
            <w:rPr/>
          </w:pPr>
          <w:hyperlink w:anchor="__RefHeading___Toc51087_3066934455">
            <w:r>
              <w:rPr>
                <w:webHidden/>
                <w:rStyle w:val="IndexLink"/>
              </w:rPr>
              <w:t>4.1 Configure, do not customise</w:t>
              <w:tab/>
              <w:t>6</w:t>
            </w:r>
          </w:hyperlink>
        </w:p>
        <w:p>
          <w:pPr>
            <w:pStyle w:val="TOC2"/>
            <w:tabs>
              <w:tab w:val="clear" w:pos="900"/>
              <w:tab w:val="clear" w:pos="9350"/>
              <w:tab w:val="right" w:pos="9025" w:leader="dot"/>
            </w:tabs>
            <w:rPr/>
          </w:pPr>
          <w:hyperlink w:anchor="__RefHeading___Toc51089_3066934455">
            <w:r>
              <w:rPr>
                <w:webHidden/>
                <w:rStyle w:val="IndexLink"/>
              </w:rPr>
              <w:t>4.2 Principles</w:t>
              <w:tab/>
              <w:t>6</w:t>
            </w:r>
          </w:hyperlink>
        </w:p>
        <w:p>
          <w:pPr>
            <w:pStyle w:val="TOC2"/>
            <w:tabs>
              <w:tab w:val="clear" w:pos="900"/>
              <w:tab w:val="clear" w:pos="9350"/>
              <w:tab w:val="right" w:pos="9025" w:leader="dot"/>
            </w:tabs>
            <w:rPr/>
          </w:pPr>
          <w:hyperlink w:anchor="__RefHeading___Toc51091_3066934455">
            <w:r>
              <w:rPr>
                <w:webHidden/>
                <w:rStyle w:val="IndexLink"/>
              </w:rPr>
              <w:t>4.3 Implementation sizes</w:t>
              <w:tab/>
              <w:t>7</w:t>
            </w:r>
          </w:hyperlink>
        </w:p>
        <w:p>
          <w:pPr>
            <w:pStyle w:val="TOC1"/>
            <w:tabs>
              <w:tab w:val="clear" w:pos="900"/>
              <w:tab w:val="clear" w:pos="9350"/>
              <w:tab w:val="right" w:pos="9025" w:leader="dot"/>
            </w:tabs>
            <w:rPr/>
          </w:pPr>
          <w:hyperlink w:anchor="__RefHeading___Toc51093_3066934455">
            <w:r>
              <w:rPr>
                <w:webHidden/>
                <w:rStyle w:val="IndexLink"/>
              </w:rPr>
              <w:t>5. Phases</w:t>
              <w:tab/>
              <w:t>8</w:t>
            </w:r>
          </w:hyperlink>
        </w:p>
        <w:p>
          <w:pPr>
            <w:pStyle w:val="TOC2"/>
            <w:tabs>
              <w:tab w:val="clear" w:pos="900"/>
              <w:tab w:val="clear" w:pos="9350"/>
              <w:tab w:val="right" w:pos="9025" w:leader="dot"/>
            </w:tabs>
            <w:rPr/>
          </w:pPr>
          <w:hyperlink w:anchor="__RefHeading___Toc51095_3066934455">
            <w:r>
              <w:rPr>
                <w:webHidden/>
                <w:rStyle w:val="IndexLink"/>
              </w:rPr>
              <w:t>5.1 Overview</w:t>
              <w:tab/>
              <w:t>8</w:t>
            </w:r>
          </w:hyperlink>
        </w:p>
        <w:p>
          <w:pPr>
            <w:pStyle w:val="TOC2"/>
            <w:tabs>
              <w:tab w:val="clear" w:pos="900"/>
              <w:tab w:val="clear" w:pos="9350"/>
              <w:tab w:val="right" w:pos="9025" w:leader="dot"/>
            </w:tabs>
            <w:rPr/>
          </w:pPr>
          <w:hyperlink w:anchor="__RefHeading___Toc51097_3066934455">
            <w:r>
              <w:rPr>
                <w:webHidden/>
                <w:rStyle w:val="IndexLink"/>
              </w:rPr>
              <w:t>5.2 Mobilisation</w:t>
              <w:tab/>
              <w:t>8</w:t>
            </w:r>
          </w:hyperlink>
        </w:p>
        <w:p>
          <w:pPr>
            <w:pStyle w:val="TOC2"/>
            <w:tabs>
              <w:tab w:val="clear" w:pos="900"/>
              <w:tab w:val="clear" w:pos="9350"/>
              <w:tab w:val="right" w:pos="9025" w:leader="dot"/>
            </w:tabs>
            <w:rPr/>
          </w:pPr>
          <w:hyperlink w:anchor="__RefHeading___Toc51099_3066934455">
            <w:r>
              <w:rPr>
                <w:webHidden/>
                <w:rStyle w:val="IndexLink"/>
              </w:rPr>
              <w:t>5.3 Discovery and fit-gap</w:t>
              <w:tab/>
              <w:t>8</w:t>
            </w:r>
          </w:hyperlink>
        </w:p>
        <w:p>
          <w:pPr>
            <w:pStyle w:val="TOC2"/>
            <w:tabs>
              <w:tab w:val="clear" w:pos="900"/>
              <w:tab w:val="clear" w:pos="9350"/>
              <w:tab w:val="right" w:pos="9025" w:leader="dot"/>
            </w:tabs>
            <w:rPr/>
          </w:pPr>
          <w:hyperlink w:anchor="__RefHeading___Toc51101_3066934455">
            <w:r>
              <w:rPr>
                <w:webHidden/>
                <w:rStyle w:val="IndexLink"/>
              </w:rPr>
              <w:t>5.4 Environment set-up</w:t>
              <w:tab/>
              <w:t>9</w:t>
            </w:r>
          </w:hyperlink>
        </w:p>
        <w:p>
          <w:pPr>
            <w:pStyle w:val="TOC2"/>
            <w:tabs>
              <w:tab w:val="clear" w:pos="900"/>
              <w:tab w:val="clear" w:pos="9350"/>
              <w:tab w:val="right" w:pos="9025" w:leader="dot"/>
            </w:tabs>
            <w:rPr/>
          </w:pPr>
          <w:hyperlink w:anchor="__RefHeading___Toc51103_3066934455">
            <w:r>
              <w:rPr>
                <w:webHidden/>
                <w:rStyle w:val="IndexLink"/>
              </w:rPr>
              <w:t>5.5 Configuration</w:t>
              <w:tab/>
              <w:t>10</w:t>
            </w:r>
          </w:hyperlink>
        </w:p>
        <w:p>
          <w:pPr>
            <w:pStyle w:val="TOC2"/>
            <w:tabs>
              <w:tab w:val="clear" w:pos="900"/>
              <w:tab w:val="clear" w:pos="9350"/>
              <w:tab w:val="right" w:pos="9025" w:leader="dot"/>
            </w:tabs>
            <w:rPr/>
          </w:pPr>
          <w:hyperlink w:anchor="__RefHeading___Toc51105_3066934455">
            <w:r>
              <w:rPr>
                <w:webHidden/>
                <w:rStyle w:val="IndexLink"/>
              </w:rPr>
              <w:t>5.6 Data migration</w:t>
              <w:tab/>
              <w:t>11</w:t>
            </w:r>
          </w:hyperlink>
        </w:p>
        <w:p>
          <w:pPr>
            <w:pStyle w:val="TOC2"/>
            <w:tabs>
              <w:tab w:val="clear" w:pos="900"/>
              <w:tab w:val="clear" w:pos="9350"/>
              <w:tab w:val="right" w:pos="9025" w:leader="dot"/>
            </w:tabs>
            <w:rPr/>
          </w:pPr>
          <w:hyperlink w:anchor="__RefHeading___Toc51107_3066934455">
            <w:r>
              <w:rPr>
                <w:webHidden/>
                <w:rStyle w:val="IndexLink"/>
              </w:rPr>
              <w:t>5.7 Integrations</w:t>
              <w:tab/>
              <w:t>11</w:t>
            </w:r>
          </w:hyperlink>
        </w:p>
        <w:p>
          <w:pPr>
            <w:pStyle w:val="TOC2"/>
            <w:tabs>
              <w:tab w:val="clear" w:pos="900"/>
              <w:tab w:val="clear" w:pos="9350"/>
              <w:tab w:val="right" w:pos="9025" w:leader="dot"/>
            </w:tabs>
            <w:rPr/>
          </w:pPr>
          <w:hyperlink w:anchor="__RefHeading___Toc51109_3066934455">
            <w:r>
              <w:rPr>
                <w:webHidden/>
                <w:rStyle w:val="IndexLink"/>
              </w:rPr>
              <w:t>5.8 Training</w:t>
              <w:tab/>
              <w:t>11</w:t>
            </w:r>
          </w:hyperlink>
        </w:p>
        <w:p>
          <w:pPr>
            <w:pStyle w:val="TOC2"/>
            <w:tabs>
              <w:tab w:val="clear" w:pos="900"/>
              <w:tab w:val="clear" w:pos="9350"/>
              <w:tab w:val="right" w:pos="9025" w:leader="dot"/>
            </w:tabs>
            <w:rPr/>
          </w:pPr>
          <w:hyperlink w:anchor="__RefHeading___Toc51111_3066934455">
            <w:r>
              <w:rPr>
                <w:webHidden/>
                <w:rStyle w:val="IndexLink"/>
              </w:rPr>
              <w:t>5.9 System integration test</w:t>
              <w:tab/>
              <w:t>12</w:t>
            </w:r>
          </w:hyperlink>
        </w:p>
        <w:p>
          <w:pPr>
            <w:pStyle w:val="TOC2"/>
            <w:tabs>
              <w:tab w:val="clear" w:pos="900"/>
              <w:tab w:val="clear" w:pos="9350"/>
              <w:tab w:val="right" w:pos="9025" w:leader="dot"/>
            </w:tabs>
            <w:rPr/>
          </w:pPr>
          <w:hyperlink w:anchor="__RefHeading___Toc51113_3066934455">
            <w:r>
              <w:rPr>
                <w:webHidden/>
                <w:rStyle w:val="IndexLink"/>
              </w:rPr>
              <w:t>5.10 User acceptance test</w:t>
              <w:tab/>
              <w:t>12</w:t>
            </w:r>
          </w:hyperlink>
        </w:p>
        <w:p>
          <w:pPr>
            <w:pStyle w:val="TOC2"/>
            <w:tabs>
              <w:tab w:val="clear" w:pos="900"/>
              <w:tab w:val="clear" w:pos="9350"/>
              <w:tab w:val="right" w:pos="9025" w:leader="dot"/>
            </w:tabs>
            <w:rPr/>
          </w:pPr>
          <w:hyperlink w:anchor="__RefHeading___Toc51115_3066934455">
            <w:r>
              <w:rPr>
                <w:webHidden/>
                <w:rStyle w:val="IndexLink"/>
              </w:rPr>
              <w:t>5.11 Cutover and go-live</w:t>
              <w:tab/>
              <w:t>12</w:t>
            </w:r>
          </w:hyperlink>
        </w:p>
        <w:p>
          <w:pPr>
            <w:pStyle w:val="TOC2"/>
            <w:tabs>
              <w:tab w:val="clear" w:pos="900"/>
              <w:tab w:val="clear" w:pos="9350"/>
              <w:tab w:val="right" w:pos="9025" w:leader="dot"/>
            </w:tabs>
            <w:rPr/>
          </w:pPr>
          <w:hyperlink w:anchor="__RefHeading___Toc51117_3066934455">
            <w:r>
              <w:rPr>
                <w:webHidden/>
                <w:rStyle w:val="IndexLink"/>
              </w:rPr>
              <w:t>5.12 Hypercare</w:t>
              <w:tab/>
              <w:t>12</w:t>
            </w:r>
          </w:hyperlink>
        </w:p>
        <w:p>
          <w:pPr>
            <w:pStyle w:val="TOC1"/>
            <w:tabs>
              <w:tab w:val="clear" w:pos="900"/>
              <w:tab w:val="clear" w:pos="9350"/>
              <w:tab w:val="right" w:pos="9025" w:leader="dot"/>
            </w:tabs>
            <w:rPr/>
          </w:pPr>
          <w:hyperlink w:anchor="__RefHeading___Toc51119_3066934455">
            <w:r>
              <w:rPr>
                <w:webHidden/>
                <w:rStyle w:val="IndexLink"/>
              </w:rPr>
              <w:t>6. Timeline: small broker (8 weeks)</w:t>
              <w:tab/>
              <w:t>13</w:t>
            </w:r>
          </w:hyperlink>
        </w:p>
        <w:p>
          <w:pPr>
            <w:pStyle w:val="TOC1"/>
            <w:tabs>
              <w:tab w:val="clear" w:pos="900"/>
              <w:tab w:val="clear" w:pos="9350"/>
              <w:tab w:val="right" w:pos="9025" w:leader="dot"/>
            </w:tabs>
            <w:rPr/>
          </w:pPr>
          <w:hyperlink w:anchor="__RefHeading___Toc51121_3066934455">
            <w:r>
              <w:rPr>
                <w:webHidden/>
                <w:rStyle w:val="IndexLink"/>
              </w:rPr>
              <w:t>7. Timeline: medium broker (12 weeks)</w:t>
              <w:tab/>
              <w:t>14</w:t>
            </w:r>
          </w:hyperlink>
        </w:p>
        <w:p>
          <w:pPr>
            <w:pStyle w:val="TOC1"/>
            <w:tabs>
              <w:tab w:val="clear" w:pos="900"/>
              <w:tab w:val="clear" w:pos="9350"/>
              <w:tab w:val="right" w:pos="9025" w:leader="dot"/>
            </w:tabs>
            <w:rPr/>
          </w:pPr>
          <w:hyperlink w:anchor="__RefHeading___Toc51123_3066934455">
            <w:r>
              <w:rPr>
                <w:webHidden/>
                <w:rStyle w:val="IndexLink"/>
              </w:rPr>
              <w:t>8. Timeline: large broker (16 to 20 weeks)</w:t>
              <w:tab/>
              <w:t>15</w:t>
            </w:r>
          </w:hyperlink>
        </w:p>
        <w:p>
          <w:pPr>
            <w:pStyle w:val="TOC1"/>
            <w:tabs>
              <w:tab w:val="clear" w:pos="900"/>
              <w:tab w:val="clear" w:pos="9350"/>
              <w:tab w:val="right" w:pos="9025" w:leader="dot"/>
            </w:tabs>
            <w:rPr/>
          </w:pPr>
          <w:hyperlink w:anchor="__RefHeading___Toc51125_3066934455">
            <w:r>
              <w:rPr>
                <w:webHidden/>
                <w:rStyle w:val="IndexLink"/>
              </w:rPr>
              <w:t>9. Roles and responsibilities</w:t>
              <w:tab/>
              <w:t>17</w:t>
            </w:r>
          </w:hyperlink>
        </w:p>
        <w:p>
          <w:pPr>
            <w:pStyle w:val="TOC2"/>
            <w:tabs>
              <w:tab w:val="clear" w:pos="900"/>
              <w:tab w:val="clear" w:pos="9350"/>
              <w:tab w:val="right" w:pos="9025" w:leader="dot"/>
            </w:tabs>
            <w:rPr/>
          </w:pPr>
          <w:hyperlink w:anchor="__RefHeading___Toc51127_3066934455">
            <w:r>
              <w:rPr>
                <w:webHidden/>
                <w:rStyle w:val="IndexLink"/>
              </w:rPr>
              <w:t>9.1 Project roles</w:t>
              <w:tab/>
              <w:t>17</w:t>
            </w:r>
          </w:hyperlink>
        </w:p>
        <w:p>
          <w:pPr>
            <w:pStyle w:val="TOC2"/>
            <w:tabs>
              <w:tab w:val="clear" w:pos="900"/>
              <w:tab w:val="clear" w:pos="9350"/>
              <w:tab w:val="right" w:pos="9025" w:leader="dot"/>
            </w:tabs>
            <w:rPr/>
          </w:pPr>
          <w:hyperlink w:anchor="__RefHeading___Toc51129_3066934455">
            <w:r>
              <w:rPr>
                <w:webHidden/>
                <w:rStyle w:val="IndexLink"/>
              </w:rPr>
              <w:t>9.2 RACI</w:t>
              <w:tab/>
              <w:t>17</w:t>
            </w:r>
          </w:hyperlink>
        </w:p>
        <w:p>
          <w:pPr>
            <w:pStyle w:val="TOC1"/>
            <w:tabs>
              <w:tab w:val="clear" w:pos="900"/>
              <w:tab w:val="clear" w:pos="9350"/>
              <w:tab w:val="right" w:pos="9025" w:leader="dot"/>
            </w:tabs>
            <w:rPr/>
          </w:pPr>
          <w:hyperlink w:anchor="__RefHeading___Toc51131_3066934455">
            <w:r>
              <w:rPr>
                <w:webHidden/>
                <w:rStyle w:val="IndexLink"/>
              </w:rPr>
              <w:t>10. Governance</w:t>
              <w:tab/>
              <w:t>19</w:t>
            </w:r>
          </w:hyperlink>
        </w:p>
        <w:p>
          <w:pPr>
            <w:pStyle w:val="TOC2"/>
            <w:tabs>
              <w:tab w:val="clear" w:pos="900"/>
              <w:tab w:val="clear" w:pos="9350"/>
              <w:tab w:val="right" w:pos="9025" w:leader="dot"/>
            </w:tabs>
            <w:rPr/>
          </w:pPr>
          <w:hyperlink w:anchor="__RefHeading___Toc51133_3066934455">
            <w:r>
              <w:rPr>
                <w:webHidden/>
                <w:rStyle w:val="IndexLink"/>
              </w:rPr>
              <w:t>10.1 Steering committee</w:t>
              <w:tab/>
              <w:t>19</w:t>
            </w:r>
          </w:hyperlink>
        </w:p>
        <w:p>
          <w:pPr>
            <w:pStyle w:val="TOC2"/>
            <w:tabs>
              <w:tab w:val="clear" w:pos="900"/>
              <w:tab w:val="clear" w:pos="9350"/>
              <w:tab w:val="right" w:pos="9025" w:leader="dot"/>
            </w:tabs>
            <w:rPr/>
          </w:pPr>
          <w:hyperlink w:anchor="__RefHeading___Toc51135_3066934455">
            <w:r>
              <w:rPr>
                <w:webHidden/>
                <w:rStyle w:val="IndexLink"/>
              </w:rPr>
              <w:t>10.2 Weekly status</w:t>
              <w:tab/>
              <w:t>19</w:t>
            </w:r>
          </w:hyperlink>
        </w:p>
        <w:p>
          <w:pPr>
            <w:pStyle w:val="TOC2"/>
            <w:tabs>
              <w:tab w:val="clear" w:pos="900"/>
              <w:tab w:val="clear" w:pos="9350"/>
              <w:tab w:val="right" w:pos="9025" w:leader="dot"/>
            </w:tabs>
            <w:rPr/>
          </w:pPr>
          <w:hyperlink w:anchor="__RefHeading___Toc51137_3066934455">
            <w:r>
              <w:rPr>
                <w:webHidden/>
                <w:rStyle w:val="IndexLink"/>
              </w:rPr>
              <w:t>10.3 RAID log</w:t>
              <w:tab/>
              <w:t>19</w:t>
            </w:r>
          </w:hyperlink>
        </w:p>
        <w:p>
          <w:pPr>
            <w:pStyle w:val="TOC1"/>
            <w:tabs>
              <w:tab w:val="clear" w:pos="900"/>
              <w:tab w:val="clear" w:pos="9350"/>
              <w:tab w:val="right" w:pos="9025" w:leader="dot"/>
            </w:tabs>
            <w:rPr/>
          </w:pPr>
          <w:hyperlink w:anchor="__RefHeading___Toc51139_3066934455">
            <w:r>
              <w:rPr>
                <w:webHidden/>
                <w:rStyle w:val="IndexLink"/>
              </w:rPr>
              <w:t>11. Deliverables and acceptance criteria</w:t>
              <w:tab/>
              <w:t>20</w:t>
            </w:r>
          </w:hyperlink>
        </w:p>
        <w:p>
          <w:pPr>
            <w:pStyle w:val="TOC1"/>
            <w:tabs>
              <w:tab w:val="clear" w:pos="900"/>
              <w:tab w:val="clear" w:pos="9350"/>
              <w:tab w:val="right" w:pos="9025" w:leader="dot"/>
            </w:tabs>
            <w:rPr/>
          </w:pPr>
          <w:hyperlink w:anchor="__RefHeading___Toc51141_3066934455">
            <w:r>
              <w:rPr>
                <w:webHidden/>
                <w:rStyle w:val="IndexLink"/>
              </w:rPr>
              <w:t>12. Assumptions</w:t>
              <w:tab/>
              <w:t>21</w:t>
            </w:r>
          </w:hyperlink>
        </w:p>
        <w:p>
          <w:pPr>
            <w:pStyle w:val="TOC1"/>
            <w:tabs>
              <w:tab w:val="clear" w:pos="900"/>
              <w:tab w:val="clear" w:pos="9350"/>
              <w:tab w:val="right" w:pos="9025" w:leader="dot"/>
            </w:tabs>
            <w:rPr/>
          </w:pPr>
          <w:hyperlink w:anchor="__RefHeading___Toc51143_3066934455">
            <w:r>
              <w:rPr>
                <w:webHidden/>
                <w:rStyle w:val="IndexLink"/>
              </w:rPr>
              <w:t>13. Exclusions</w:t>
              <w:tab/>
              <w:t>22</w:t>
            </w:r>
          </w:hyperlink>
        </w:p>
        <w:p>
          <w:pPr>
            <w:pStyle w:val="TOC1"/>
            <w:tabs>
              <w:tab w:val="clear" w:pos="900"/>
              <w:tab w:val="clear" w:pos="9350"/>
              <w:tab w:val="right" w:pos="9025" w:leader="dot"/>
            </w:tabs>
            <w:rPr/>
          </w:pPr>
          <w:hyperlink w:anchor="__RefHeading___Toc51145_3066934455">
            <w:r>
              <w:rPr>
                <w:webHidden/>
                <w:rStyle w:val="IndexLink"/>
              </w:rPr>
              <w:t>14. Dependencies on the broker</w:t>
              <w:tab/>
              <w:t>23</w:t>
            </w:r>
          </w:hyperlink>
        </w:p>
        <w:p>
          <w:pPr>
            <w:pStyle w:val="TOC1"/>
            <w:tabs>
              <w:tab w:val="clear" w:pos="900"/>
              <w:tab w:val="clear" w:pos="9350"/>
              <w:tab w:val="right" w:pos="9025" w:leader="dot"/>
            </w:tabs>
            <w:rPr/>
          </w:pPr>
          <w:hyperlink w:anchor="__RefHeading___Toc51147_3066934455">
            <w:r>
              <w:rPr>
                <w:webHidden/>
                <w:rStyle w:val="IndexLink"/>
              </w:rPr>
              <w:t>15. Risks and mitigations</w:t>
              <w:tab/>
              <w:t>24</w:t>
            </w:r>
          </w:hyperlink>
        </w:p>
        <w:p>
          <w:pPr>
            <w:pStyle w:val="TOC1"/>
            <w:tabs>
              <w:tab w:val="clear" w:pos="900"/>
              <w:tab w:val="clear" w:pos="9350"/>
              <w:tab w:val="right" w:pos="9025" w:leader="dot"/>
            </w:tabs>
            <w:rPr/>
          </w:pPr>
          <w:hyperlink w:anchor="__RefHeading___Toc51149_3066934455">
            <w:r>
              <w:rPr>
                <w:webHidden/>
                <w:rStyle w:val="IndexLink"/>
              </w:rPr>
              <w:t>16. Change request process</w:t>
              <w:tab/>
              <w:t>25</w:t>
            </w:r>
          </w:hyperlink>
        </w:p>
        <w:p>
          <w:pPr>
            <w:pStyle w:val="TOC1"/>
            <w:tabs>
              <w:tab w:val="clear" w:pos="900"/>
              <w:tab w:val="clear" w:pos="9350"/>
              <w:tab w:val="right" w:pos="9025" w:leader="dot"/>
            </w:tabs>
            <w:rPr/>
          </w:pPr>
          <w:hyperlink w:anchor="__RefHeading___Toc51151_3066934455">
            <w:r>
              <w:rPr>
                <w:webHidden/>
                <w:rStyle w:val="IndexLink"/>
                <w:i w:val="false"/>
                <w:iCs w:val="false"/>
              </w:rPr>
              <w:t>17.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1073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1075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Steering committee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1077_3066934455"/>
      <w:bookmarkEnd w:id="6"/>
      <w:r>
        <w:rPr>
          <w:rFonts w:eastAsia="Segoe UI" w:cs="Segoe UI" w:ascii="Segoe UI" w:hAnsi="Segoe UI"/>
          <w:b/>
          <w:color w:val="0F4761"/>
          <w:sz w:val="32"/>
        </w:rPr>
        <w:t>3.  Introduction</w:t>
      </w:r>
    </w:p>
    <w:p>
      <w:pPr>
        <w:pStyle w:val="Heading2"/>
        <w:rPr/>
      </w:pPr>
      <w:bookmarkStart w:id="7" w:name="__RefHeading___Toc51079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Consolas" w:cs="Consolas" w:ascii="Consolas" w:hAnsi="Consolas"/>
          <w:color w:val="101820"/>
          <w:sz w:val="19"/>
        </w:rPr>
        <w:t>BrokerVerse_Implementation_Plan.xlsx</w:t>
      </w:r>
      <w:r>
        <w:rPr>
          <w:rFonts w:eastAsia="Segoe UI" w:cs="Segoe UI" w:ascii="Segoe UI" w:hAnsi="Segoe UI"/>
          <w:color w:val="101820"/>
          <w:sz w:val="21"/>
        </w:rPr>
        <w:t xml:space="preserve"> holds the three timelines as Gantt charts and the full RACI matrix.</w:t>
      </w:r>
    </w:p>
    <w:p>
      <w:pPr>
        <w:pStyle w:val="Heading2"/>
        <w:rPr/>
      </w:pPr>
      <w:bookmarkStart w:id="8" w:name="__RefHeading___Toc51081_3066934455"/>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rPr/>
      </w:pPr>
      <w:bookmarkStart w:id="9" w:name="__RefHeading___Toc51083_3066934455"/>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templates, load sequence, reconciliation, cutover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Training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per role, curriculum, train-the-trainer,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after hypercare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system supports the broker's obligations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docs/package/05_Delivery</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for every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set-up (</w:t>
            </w:r>
            <w:r>
              <w:rPr>
                <w:rFonts w:eastAsia="Consolas" w:cs="Consolas" w:ascii="Consolas" w:hAnsi="Consolas"/>
                <w:color w:val="101820"/>
                <w:kern w:val="0"/>
                <w:sz w:val="16"/>
                <w:szCs w:val="24"/>
                <w:lang w:val="en-US" w:eastAsia="ja-JP" w:bidi="ar-SA"/>
              </w:rPr>
              <w:t>docs/onboarding/GO_LIVE_DATA_SETUP.md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order of set-up from company to first month-end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8 scenarios per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 database, secrets, e-mail, health checks, rollback</w:t>
            </w:r>
          </w:p>
        </w:tc>
      </w:tr>
    </w:tbl>
    <w:p>
      <w:pPr>
        <w:pStyle w:val="Heading1"/>
        <w:rPr/>
      </w:pPr>
      <w:r>
        <w:br w:type="page"/>
      </w:r>
      <w:bookmarkStart w:id="10" w:name="__RefHeading___Toc51085_3066934455"/>
      <w:bookmarkEnd w:id="10"/>
      <w:r>
        <w:rPr>
          <w:rFonts w:eastAsia="Segoe UI" w:cs="Segoe UI" w:ascii="Segoe UI" w:hAnsi="Segoe UI"/>
          <w:b/>
          <w:color w:val="0F4761"/>
          <w:sz w:val="32"/>
        </w:rPr>
        <w:t>4.  Implementation approach</w:t>
      </w:r>
    </w:p>
    <w:p>
      <w:pPr>
        <w:pStyle w:val="Heading2"/>
        <w:rPr/>
      </w:pPr>
      <w:bookmarkStart w:id="11" w:name="__RefHeading___Toc51087_3066934455"/>
      <w:bookmarkEnd w:id="11"/>
      <w:r>
        <w:rPr>
          <w:rFonts w:eastAsia="Segoe UI" w:cs="Segoe UI"/>
          <w:b/>
          <w:color w:val="0F4761"/>
          <w:sz w:val="26"/>
        </w:rPr>
        <w:t>4.1  Configure, do not customise</w:t>
      </w:r>
    </w:p>
    <w:p>
      <w:pPr>
        <w:pStyle w:val="Normal"/>
        <w:spacing w:lineRule="auto" w:line="276" w:before="0" w:after="120"/>
        <w:rPr/>
      </w:pPr>
      <w:r>
        <w:rPr>
          <w:rFonts w:eastAsia="Segoe UI" w:cs="Segoe UI" w:ascii="Segoe UI" w:hAnsi="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pStyle w:val="Normal"/>
        <w:spacing w:lineRule="auto" w:line="276" w:before="0" w:after="120"/>
        <w:rPr/>
      </w:pPr>
      <w:r>
        <w:rPr>
          <w:rFonts w:eastAsia="Segoe UI" w:cs="Segoe UI" w:ascii="Segoe UI" w:hAnsi="Segoe UI"/>
          <w:color w:val="101820"/>
          <w:sz w:val="21"/>
        </w:rPr>
        <w:t>What the broker can set without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branches, departments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Master &gt; System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the seven delivered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Role, User Access Matrix, Authority Matrix, Delegations, Segregation of Duties, Access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 billing mode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covers, vehicles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(CTPL and Auto Passenger PA), rating, acceptance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and referrer sharing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LGU rates, tax codes with BIR ATC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Premium Taxes &amp; LGU Rates; Master &gt; Finance &gt; Taxation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 Account Determination, Posting Rules, 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(61 series)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limits, maker-checker switches, security policy, e-mail texts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statement formats,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Statement Formats, Bank Transaction Types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rPr/>
      </w:pPr>
      <w:bookmarkStart w:id="12" w:name="__RefHeading___Toc51089_3066934455"/>
      <w:bookmarkEnd w:id="12"/>
      <w:r>
        <w:rPr>
          <w:rFonts w:eastAsia="Segoe UI" w:cs="Segoe UI"/>
          <w:b/>
          <w:color w:val="0F4761"/>
          <w:sz w:val="26"/>
        </w:rPr>
        <w:t>4.2  Principles</w:t>
      </w:r>
    </w:p>
    <w:p>
      <w:pPr>
        <w:pStyle w:val="Normal"/>
        <w:numPr>
          <w:ilvl w:val="0"/>
          <w:numId w:val="1"/>
        </w:numPr>
        <w:spacing w:before="0" w:after="60"/>
        <w:rPr/>
      </w:pPr>
      <w:r>
        <w:rPr>
          <w:rFonts w:eastAsia="Segoe UI" w:cs="Segoe UI" w:ascii="Segoe UI" w:hAnsi="Segoe UI"/>
          <w:b/>
          <w:color w:val="101820"/>
          <w:sz w:val="21"/>
        </w:rPr>
        <w:t>Product first.</w:t>
      </w:r>
      <w:r>
        <w:rPr>
          <w:rFonts w:eastAsia="Segoe UI" w:cs="Segoe UI" w:ascii="Segoe UI" w:hAnsi="Segoe UI"/>
          <w:color w:val="101820"/>
          <w:sz w:val="21"/>
        </w:rPr>
        <w:t xml:space="preserve"> The process walk-throughs use the delivered screens with the broker's own examples. The broker adapts a procedure before anyone asks for a change.</w:t>
      </w:r>
    </w:p>
    <w:p>
      <w:pPr>
        <w:pStyle w:val="Normal"/>
        <w:numPr>
          <w:ilvl w:val="0"/>
          <w:numId w:val="1"/>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of the effort sits with the broker's data: insurer agreements, commission rates, the chart of accounts, in-force policies, open receivables and the trial balance. Requests for data go out in week 1.</w:t>
      </w:r>
    </w:p>
    <w:p>
      <w:pPr>
        <w:pStyle w:val="Normal"/>
        <w:numPr>
          <w:ilvl w:val="0"/>
          <w:numId w:val="1"/>
        </w:numPr>
        <w:spacing w:before="0" w:after="60"/>
        <w:rPr/>
      </w:pPr>
      <w:r>
        <w:rPr>
          <w:rFonts w:eastAsia="Segoe UI" w:cs="Segoe UI" w:ascii="Segoe UI" w:hAnsi="Segoe UI"/>
          <w:b/>
          <w:color w:val="101820"/>
          <w:sz w:val="21"/>
        </w:rPr>
        <w:t>Key users own the result.</w:t>
      </w:r>
      <w:r>
        <w:rPr>
          <w:rFonts w:eastAsia="Segoe UI" w:cs="Segoe UI" w:ascii="Segoe UI" w:hAnsi="Segoe UI"/>
          <w:color w:val="101820"/>
          <w:sz w:val="21"/>
        </w:rPr>
        <w:t xml:space="preserve"> Each team names one key user who takes part in discovery, tests the configuration, runs the UAT scripts and trains the team.</w:t>
      </w:r>
    </w:p>
    <w:p>
      <w:pPr>
        <w:pStyle w:val="Normal"/>
        <w:numPr>
          <w:ilvl w:val="0"/>
          <w:numId w:val="1"/>
        </w:numPr>
        <w:spacing w:before="0" w:after="60"/>
        <w:rPr/>
      </w:pPr>
      <w:r>
        <w:rPr>
          <w:rFonts w:eastAsia="Segoe UI" w:cs="Segoe UI" w:ascii="Segoe UI" w:hAnsi="Segoe UI"/>
          <w:b/>
          <w:color w:val="101820"/>
          <w:sz w:val="21"/>
        </w:rPr>
        <w:t>Repeatable loads.</w:t>
      </w:r>
      <w:r>
        <w:rPr>
          <w:rFonts w:eastAsia="Segoe UI" w:cs="Segoe UI" w:ascii="Segoe UI" w:hAnsi="Segoe UI"/>
          <w:color w:val="101820"/>
          <w:sz w:val="21"/>
        </w:rPr>
        <w:t xml:space="preserve"> Every data load uses the delivered upload templates (</w:t>
      </w:r>
      <w:r>
        <w:rPr>
          <w:rFonts w:eastAsia="Consolas" w:cs="Consolas" w:ascii="Consolas" w:hAnsi="Consolas"/>
          <w:color w:val="101820"/>
          <w:sz w:val="19"/>
        </w:rPr>
        <w:t>docs/package/05_Delivery/Upload_Templates</w:t>
      </w:r>
      <w:r>
        <w:rPr>
          <w:rFonts w:eastAsia="Segoe UI" w:cs="Segoe UI" w:ascii="Segoe UI" w:hAnsi="Segoe UI"/>
          <w:color w:val="101820"/>
          <w:sz w:val="21"/>
        </w:rPr>
        <w:t>) and is rehearsed at least twice before cutover.</w:t>
      </w:r>
    </w:p>
    <w:p>
      <w:pPr>
        <w:pStyle w:val="Normal"/>
        <w:numPr>
          <w:ilvl w:val="0"/>
          <w:numId w:val="1"/>
        </w:numPr>
        <w:spacing w:before="0" w:after="60"/>
        <w:rPr/>
      </w:pPr>
      <w:r>
        <w:rPr>
          <w:rFonts w:eastAsia="Segoe UI" w:cs="Segoe UI" w:ascii="Segoe UI" w:hAnsi="Segoe UI"/>
          <w:b/>
          <w:color w:val="101820"/>
          <w:sz w:val="21"/>
        </w:rPr>
        <w:t>Evidence for every acceptance.</w:t>
      </w:r>
      <w:r>
        <w:rPr>
          <w:rFonts w:eastAsia="Segoe UI" w:cs="Segoe UI" w:ascii="Segoe UI" w:hAnsi="Segoe UI"/>
          <w:color w:val="101820"/>
          <w:sz w:val="21"/>
        </w:rPr>
        <w:t xml:space="preserve"> Each phase ends with named deliverables and acceptance criteria (chapter 11). Sign-off is written.</w:t>
      </w:r>
    </w:p>
    <w:p>
      <w:pPr>
        <w:pStyle w:val="Heading2"/>
        <w:rPr/>
      </w:pPr>
      <w:bookmarkStart w:id="13" w:name="__RefHeading___Toc51091_3066934455"/>
      <w:bookmarkEnd w:id="13"/>
      <w:r>
        <w:rPr>
          <w:rFonts w:eastAsia="Segoe UI" w:cs="Segoe UI"/>
          <w:b/>
          <w:color w:val="0F4761"/>
          <w:sz w:val="26"/>
        </w:rPr>
        <w:t>4.3  Implementation sizes</w:t>
      </w:r>
    </w:p>
    <w:p>
      <w:pPr>
        <w:pStyle w:val="Normal"/>
        <w:spacing w:lineRule="auto" w:line="276" w:before="0" w:after="120"/>
        <w:rPr/>
      </w:pPr>
      <w:r>
        <w:rPr>
          <w:rFonts w:eastAsia="Segoe UI" w:cs="Segoe UI" w:ascii="Segoe UI" w:hAnsi="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248"/>
        <w:gridCol w:w="28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52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(assumption)</w:t>
            </w:r>
          </w:p>
        </w:tc>
        <w:tc>
          <w:tcPr>
            <w:tcW w:w="28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 one or two bank accounts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 co-insurance in use</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many insurers, more than 25,000 in-force policies, several bank accounts and referrer networks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 import file holds at most 20,000 data rows (</w:t>
      </w:r>
      <w:r>
        <w:rPr>
          <w:rFonts w:eastAsia="Consolas" w:cs="Consolas" w:ascii="Consolas" w:hAnsi="Consolas"/>
          <w:color w:val="101820"/>
          <w:sz w:val="19"/>
        </w:rPr>
        <w:t>IMPORT_MAX_ROWS</w:t>
      </w:r>
      <w:r>
        <w:rPr>
          <w:rFonts w:eastAsia="Segoe UI" w:cs="Segoe UI" w:ascii="Segoe UI" w:hAnsi="Segoe UI"/>
          <w:color w:val="101820"/>
          <w:sz w:val="21"/>
        </w:rPr>
        <w:t>). Larger books are loaded in several files, which the large plan allows for.</w:t>
      </w:r>
      <w:r>
        <w:br w:type="page"/>
      </w:r>
    </w:p>
    <w:p>
      <w:pPr>
        <w:pStyle w:val="Heading1"/>
        <w:rPr/>
      </w:pPr>
      <w:bookmarkStart w:id="14" w:name="__RefHeading___Toc51093_3066934455"/>
      <w:bookmarkEnd w:id="14"/>
      <w:r>
        <w:rPr>
          <w:rFonts w:eastAsia="Segoe UI" w:cs="Segoe UI" w:ascii="Segoe UI" w:hAnsi="Segoe UI"/>
          <w:b/>
          <w:color w:val="0F4761"/>
          <w:sz w:val="32"/>
        </w:rPr>
        <w:t>5.  Phases</w:t>
      </w:r>
    </w:p>
    <w:p>
      <w:pPr>
        <w:pStyle w:val="Heading2"/>
        <w:rPr/>
      </w:pPr>
      <w:bookmarkStart w:id="15" w:name="__RefHeading___Toc51095_3066934455"/>
      <w:bookmarkEnd w:id="15"/>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and Production; SIT as well for a large broker),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p>
    <w:p>
      <w:pPr>
        <w:pStyle w:val="Heading2"/>
        <w:rPr/>
      </w:pPr>
      <w:bookmarkStart w:id="16" w:name="__RefHeading___Toc51097_3066934455"/>
      <w:bookmarkEnd w:id="16"/>
      <w:r>
        <w:rPr>
          <w:rFonts w:eastAsia="Segoe UI" w:cs="Segoe UI"/>
          <w:b/>
          <w:color w:val="0F4761"/>
          <w:sz w:val="26"/>
        </w:rPr>
        <w:t>5.2  Mobilisation</w:t>
      </w:r>
    </w:p>
    <w:p>
      <w:pPr>
        <w:pStyle w:val="Normal"/>
        <w:numPr>
          <w:ilvl w:val="0"/>
          <w:numId w:val="1"/>
        </w:numPr>
        <w:spacing w:before="0" w:after="60"/>
        <w:rPr/>
      </w:pPr>
      <w:r>
        <w:rPr>
          <w:rFonts w:eastAsia="Segoe UI" w:cs="Segoe UI" w:ascii="Segoe UI" w:hAnsi="Segoe UI"/>
          <w:color w:val="101820"/>
          <w:sz w:val="21"/>
        </w:rPr>
        <w:t>Kick-off meeting with the sponsor, the broker's project manager, the key users and the iorta TechNXT team.</w:t>
      </w:r>
    </w:p>
    <w:p>
      <w:pPr>
        <w:pStyle w:val="Normal"/>
        <w:numPr>
          <w:ilvl w:val="0"/>
          <w:numId w:val="1"/>
        </w:numPr>
        <w:spacing w:before="0" w:after="60"/>
        <w:rPr/>
      </w:pPr>
      <w:r>
        <w:rPr>
          <w:rFonts w:eastAsia="Segoe UI" w:cs="Segoe UI" w:ascii="Segoe UI" w:hAnsi="Segoe UI"/>
          <w:color w:val="101820"/>
          <w:sz w:val="21"/>
        </w:rPr>
        <w:t>Confirm the implementation size, the plan, the go-live date and the hypercare window.</w:t>
      </w:r>
    </w:p>
    <w:p>
      <w:pPr>
        <w:pStyle w:val="Normal"/>
        <w:numPr>
          <w:ilvl w:val="0"/>
          <w:numId w:val="1"/>
        </w:numPr>
        <w:spacing w:before="0" w:after="60"/>
        <w:rPr/>
      </w:pPr>
      <w:r>
        <w:rPr>
          <w:rFonts w:eastAsia="Segoe UI" w:cs="Segoe UI" w:ascii="Segoe UI" w:hAnsi="Segoe UI"/>
          <w:color w:val="101820"/>
          <w:sz w:val="21"/>
        </w:rPr>
        <w:t>Set up the steering committee, the weekly status meeting and the RAID log (chapter 10).</w:t>
      </w:r>
    </w:p>
    <w:p>
      <w:pPr>
        <w:pStyle w:val="Normal"/>
        <w:numPr>
          <w:ilvl w:val="0"/>
          <w:numId w:val="1"/>
        </w:numPr>
        <w:spacing w:before="0" w:after="60"/>
        <w:rPr/>
      </w:pPr>
      <w:r>
        <w:rPr>
          <w:rFonts w:eastAsia="Segoe UI" w:cs="Segoe UI" w:ascii="Segoe UI" w:hAnsi="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pStyle w:val="Normal"/>
        <w:numPr>
          <w:ilvl w:val="0"/>
          <w:numId w:val="1"/>
        </w:numPr>
        <w:spacing w:before="0" w:after="60"/>
        <w:rPr/>
      </w:pPr>
      <w:r>
        <w:rPr>
          <w:rFonts w:eastAsia="Segoe UI" w:cs="Segoe UI" w:ascii="Segoe UI" w:hAnsi="Segoe UI"/>
          <w:color w:val="101820"/>
          <w:sz w:val="21"/>
        </w:rPr>
        <w:t>Order the environments (phase 3).</w:t>
      </w:r>
    </w:p>
    <w:p>
      <w:pPr>
        <w:pStyle w:val="Heading2"/>
        <w:rPr/>
      </w:pPr>
      <w:bookmarkStart w:id="17" w:name="__RefHeading___Toc51099_3066934455"/>
      <w:bookmarkEnd w:id="17"/>
      <w:r>
        <w:rPr>
          <w:rFonts w:eastAsia="Segoe UI" w:cs="Segoe UI"/>
          <w:b/>
          <w:color w:val="0F4761"/>
          <w:sz w:val="26"/>
        </w:rPr>
        <w:t>5.3  Discovery and fit-gap</w:t>
      </w:r>
    </w:p>
    <w:p>
      <w:pPr>
        <w:pStyle w:val="Normal"/>
        <w:spacing w:lineRule="auto" w:line="276" w:before="0" w:after="120"/>
        <w:rPr/>
      </w:pPr>
      <w:r>
        <w:rPr>
          <w:rFonts w:eastAsia="Segoe UI" w:cs="Segoe UI" w:ascii="Segoe UI" w:hAnsi="Segoe UI"/>
          <w:color w:val="101820"/>
          <w:sz w:val="21"/>
        </w:rPr>
        <w:t>Discovery is limited to configuration. Each workshop shows the delivered screens with the broker's own examples and records the decisions in the configuration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42"/>
        <w:gridCol w:w="2642"/>
        <w:gridCol w:w="3730"/>
      </w:tblGrid>
      <w:tr>
        <w:trPr>
          <w:tblHeader w:val="true"/>
        </w:trPr>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Workshop</w:t>
            </w:r>
          </w:p>
        </w:tc>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Participants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Decisions recorded</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access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System Administrator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branches, departments, users per role, two-step verification roles, security policy</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placement</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 (</w:t>
            </w:r>
            <w:r>
              <w:rPr>
                <w:rFonts w:eastAsia="Consolas" w:cs="Consolas" w:ascii="Consolas" w:hAnsi="Consolas"/>
                <w:color w:val="101820"/>
                <w:kern w:val="0"/>
                <w:sz w:val="16"/>
                <w:szCs w:val="24"/>
                <w:lang w:val="en-US" w:eastAsia="ja-JP" w:bidi="ar-SA"/>
              </w:rPr>
              <w:t>placement.journey</w:t>
            </w:r>
            <w:r>
              <w:rPr>
                <w:rFonts w:eastAsia="Segoe UI" w:cs="Segoe UI" w:ascii="Segoe UI" w:hAnsi="Segoe UI"/>
                <w:color w:val="101820"/>
                <w:kern w:val="0"/>
                <w:sz w:val="18"/>
                <w:szCs w:val="24"/>
                <w:lang w:val="en-US" w:eastAsia="ja-JP" w:bidi="ar-SA"/>
              </w:rPr>
              <w:t>), quotation validity, maker-checker on quotations, product templates in use</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 and renewals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handling, renewal timetable (pipeline 90 days, notices at 60, 30 and 15 days), renewal maker-checker</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controls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SLA days), claim letters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remittance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 per insurer, premium payment warranty days, remittance terms, remittance approval levels, direct bill settings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rate matrix, referrer withholding rates, payout conditions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and close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 fiscal year, close checklist, period control, bank reconciliation</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tax adviser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ATC, premium taxes and LGU rates, BIR settings for the forms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rPr/>
      </w:pPr>
      <w:bookmarkStart w:id="18" w:name="__RefHeading___Toc51101_3066934455"/>
      <w:bookmarkEnd w:id="18"/>
      <w:r>
        <w:rPr>
          <w:rFonts w:eastAsia="Segoe UI" w:cs="Segoe UI"/>
          <w:b/>
          <w:color w:val="0F4761"/>
          <w:sz w:val="26"/>
        </w:rPr>
        <w:t>5.4  Environment set-up</w:t>
      </w:r>
    </w:p>
    <w:p>
      <w:pPr>
        <w:pStyle w:val="Normal"/>
        <w:numPr>
          <w:ilvl w:val="0"/>
          <w:numId w:val="1"/>
        </w:numPr>
        <w:spacing w:before="0" w:after="60"/>
        <w:rPr/>
      </w:pPr>
      <w:r>
        <w:rPr>
          <w:rFonts w:eastAsia="Segoe UI" w:cs="Segoe UI" w:ascii="Segoe UI" w:hAnsi="Segoe UI"/>
          <w:color w:val="101820"/>
          <w:sz w:val="21"/>
        </w:rPr>
        <w:t xml:space="preserve">iorta TechNXT provisions the environment set of the broker size following </w:t>
      </w:r>
      <w:r>
        <w:rPr>
          <w:rFonts w:eastAsia="Consolas" w:cs="Consolas" w:ascii="Consolas" w:hAnsi="Consolas"/>
          <w:color w:val="101820"/>
          <w:sz w:val="19"/>
        </w:rPr>
        <w:t>deploy/README.md</w:t>
      </w:r>
      <w:r>
        <w:rPr>
          <w:rFonts w:eastAsia="Segoe UI" w:cs="Segoe UI" w:ascii="Segoe UI" w:hAnsi="Segoe UI"/>
          <w:color w:val="101820"/>
          <w:sz w:val="21"/>
        </w:rPr>
        <w:t xml:space="preserve"> and the Environment Strategy and Production Rollout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3862"/>
        <w:gridCol w:w="3864"/>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 size</w:t>
            </w:r>
          </w:p>
        </w:tc>
        <w:tc>
          <w:tcPr>
            <w:tcW w:w="3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Environments</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system integration test in Dev (synthetic data only); mock loads, training and UAT in UAT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integration in Dev; configuration, system integration test and the first mock loads in SIT; later mock loads, training and UAT in UAT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size</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temporary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from a Production backup for the cutover rehearsal in the last two weeks before go-live; removed after hypercare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Assumption: iorta TechNXT hosts the environments on AWS in region ap-southeast-1, priced per environment in the Rate Card; a broker-hosted installation is a separate option and provides the same set.</w:t>
      </w:r>
    </w:p>
    <w:p>
      <w:pPr>
        <w:pStyle w:val="Normal"/>
        <w:numPr>
          <w:ilvl w:val="0"/>
          <w:numId w:val="1"/>
        </w:numPr>
        <w:spacing w:before="0" w:after="60"/>
        <w:rPr/>
      </w:pPr>
      <w:r>
        <w:rPr>
          <w:rFonts w:eastAsia="Segoe UI" w:cs="Segoe UI" w:ascii="Segoe UI" w:hAnsi="Segoe UI"/>
          <w:color w:val="101820"/>
          <w:sz w:val="21"/>
        </w:rPr>
        <w:t>Production starts with reference data only (</w:t>
      </w:r>
      <w:r>
        <w:rPr>
          <w:rFonts w:eastAsia="Consolas" w:cs="Consolas" w:ascii="Consolas" w:hAnsi="Consolas"/>
          <w:color w:val="101820"/>
          <w:sz w:val="19"/>
        </w:rPr>
        <w:t>SEED_SAMPLE_DATA=false</w:t>
      </w:r>
      <w:r>
        <w:rPr>
          <w:rFonts w:eastAsia="Segoe UI" w:cs="Segoe UI" w:ascii="Segoe UI" w:hAnsi="Segoe UI"/>
          <w:color w:val="101820"/>
          <w:sz w:val="21"/>
        </w:rPr>
        <w:t>). Dev and UAT may carry the delivered sample data for training until the first mock load.</w:t>
      </w:r>
    </w:p>
    <w:p>
      <w:pPr>
        <w:pStyle w:val="Normal"/>
        <w:numPr>
          <w:ilvl w:val="0"/>
          <w:numId w:val="1"/>
        </w:numPr>
        <w:spacing w:before="0" w:after="60"/>
        <w:rPr/>
      </w:pPr>
      <w:r>
        <w:rPr>
          <w:rFonts w:eastAsia="Segoe UI" w:cs="Segoe UI" w:ascii="Segoe UI" w:hAnsi="Segoe UI"/>
          <w:color w:val="101820"/>
          <w:sz w:val="21"/>
        </w:rPr>
        <w:t>Database time zone Asia/Manila, daily database snapshots with at least 30 days' retention, backup of the upload volume and the encryption key, a restore test before go-live.</w:t>
      </w:r>
    </w:p>
    <w:p>
      <w:pPr>
        <w:pStyle w:val="Normal"/>
        <w:numPr>
          <w:ilvl w:val="0"/>
          <w:numId w:val="1"/>
        </w:numPr>
        <w:spacing w:before="0" w:after="60"/>
        <w:rPr/>
      </w:pPr>
      <w:r>
        <w:rPr>
          <w:rFonts w:eastAsia="Segoe UI" w:cs="Segoe UI" w:ascii="Segoe UI" w:hAnsi="Segoe UI"/>
          <w:color w:val="101820"/>
          <w:sz w:val="21"/>
        </w:rPr>
        <w:t>Health checks (</w:t>
      </w:r>
      <w:r>
        <w:rPr>
          <w:rFonts w:eastAsia="Consolas" w:cs="Consolas" w:ascii="Consolas" w:hAnsi="Consolas"/>
          <w:color w:val="101820"/>
          <w:sz w:val="19"/>
        </w:rPr>
        <w:t>/api/health</w:t>
      </w:r>
      <w:r>
        <w:rPr>
          <w:rFonts w:eastAsia="Segoe UI" w:cs="Segoe UI" w:ascii="Segoe UI" w:hAnsi="Segoe UI"/>
          <w:color w:val="101820"/>
          <w:sz w:val="21"/>
        </w:rPr>
        <w:t xml:space="preserve">, </w:t>
      </w:r>
      <w:r>
        <w:rPr>
          <w:rFonts w:eastAsia="Consolas" w:cs="Consolas" w:ascii="Consolas" w:hAnsi="Consolas"/>
          <w:color w:val="101820"/>
          <w:sz w:val="19"/>
        </w:rPr>
        <w:t>/api/health/live</w:t>
      </w:r>
      <w:r>
        <w:rPr>
          <w:rFonts w:eastAsia="Segoe UI" w:cs="Segoe UI" w:ascii="Segoe UI" w:hAnsi="Segoe UI"/>
          <w:color w:val="101820"/>
          <w:sz w:val="21"/>
        </w:rPr>
        <w:t>) wired to the load balancer and monitoring.</w:t>
      </w:r>
    </w:p>
    <w:p>
      <w:pPr>
        <w:pStyle w:val="Normal"/>
        <w:numPr>
          <w:ilvl w:val="0"/>
          <w:numId w:val="1"/>
        </w:numPr>
        <w:spacing w:before="0" w:after="60"/>
        <w:rPr/>
      </w:pPr>
      <w:r>
        <w:rPr>
          <w:rFonts w:eastAsia="Segoe UI" w:cs="Segoe UI" w:ascii="Segoe UI" w:hAnsi="Segoe UI"/>
          <w:color w:val="101820"/>
          <w:sz w:val="21"/>
        </w:rPr>
        <w:t>SMTP mailbox for outgoing e-mail.</w:t>
      </w:r>
    </w:p>
    <w:p>
      <w:pPr>
        <w:pStyle w:val="Normal"/>
        <w:numPr>
          <w:ilvl w:val="0"/>
          <w:numId w:val="1"/>
        </w:numPr>
        <w:spacing w:before="0" w:after="60"/>
        <w:rPr/>
      </w:pPr>
      <w:r>
        <w:rPr>
          <w:rFonts w:eastAsia="Segoe UI" w:cs="Segoe UI" w:ascii="Segoe UI" w:hAnsi="Segoe UI"/>
          <w:color w:val="101820"/>
          <w:sz w:val="21"/>
        </w:rPr>
        <w:t>Smoke test of section 4 of the deployment checklist on each environment.</w:t>
      </w:r>
    </w:p>
    <w:p>
      <w:pPr>
        <w:pStyle w:val="Heading2"/>
        <w:rPr/>
      </w:pPr>
      <w:bookmarkStart w:id="19" w:name="__RefHeading___Toc51103_3066934455"/>
      <w:bookmarkEnd w:id="19"/>
      <w:r>
        <w:rPr>
          <w:rFonts w:eastAsia="Segoe UI" w:cs="Segoe UI"/>
          <w:b/>
          <w:color w:val="0F4761"/>
          <w:sz w:val="26"/>
        </w:rPr>
        <w:t>5.5  Configuration</w:t>
      </w:r>
    </w:p>
    <w:p>
      <w:pPr>
        <w:pStyle w:val="Normal"/>
        <w:spacing w:lineRule="auto" w:line="276" w:before="0" w:after="120"/>
        <w:rPr/>
      </w:pPr>
      <w:r>
        <w:rPr>
          <w:rFonts w:eastAsia="Segoe UI" w:cs="Segoe UI" w:ascii="Segoe UI" w:hAnsi="Segoe UI"/>
          <w:color w:val="101820"/>
          <w:sz w:val="21"/>
        </w:rPr>
        <w:t xml:space="preserve">Configuration follows the order of </w:t>
      </w:r>
      <w:r>
        <w:rPr>
          <w:rFonts w:eastAsia="Consolas" w:cs="Consolas" w:ascii="Consolas" w:hAnsi="Consolas"/>
          <w:color w:val="101820"/>
          <w:sz w:val="19"/>
        </w:rPr>
        <w:t>GO_LIVE_DATA_SETUP.md</w:t>
      </w:r>
      <w:r>
        <w:rPr>
          <w:rFonts w:eastAsia="Segoe UI" w:cs="Segoe UI" w:ascii="Segoe UI" w:hAnsi="Segoe UI"/>
          <w:color w:val="101820"/>
          <w:sz w:val="21"/>
        </w:rPr>
        <w:t>, steps 1 to 10, first in Dev (small and medium broker) or SIT (large broker), and is promoted to UAT with the configuration workbook. Once frozen and accepted in UAT, the same values are applied to production, by upload where a template exists and on the screen otherwise.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name and logo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Department_Upload_Template.xlsx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Master &gt; Configuration &gt; Security &amp; Access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w:t>
            </w:r>
            <w:r>
              <w:rPr>
                <w:rFonts w:eastAsia="Segoe UI" w:cs="Segoe UI" w:ascii="Segoe UI" w:hAnsi="Segoe UI"/>
                <w:color w:val="101820"/>
                <w:kern w:val="0"/>
                <w:sz w:val="18"/>
                <w:szCs w:val="24"/>
                <w:lang w:val="en-US" w:eastAsia="ja-JP" w:bidi="ar-SA"/>
              </w:rPr>
              <w:t xml:space="preserve"> templates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rating, acceptance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(approval limits: 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 Premium Taxes &amp;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Posting Rules (Simulate),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Insurance Management &gt;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Bank_Account_…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(switches and remittance approval levels);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texts, notification recipients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delivered data already holds Philippine lines of business, products, covers, vehicle makes, the 2025 motor tariff, the tax codes (VAT 12%, DST PHP 0.50 per PHP 4.00 or fraction, LGT 0.75% and expanded withholding codes with ATC) and a Philippine broker chart of accounts. Configuration therefore reviews and adjusts more than it builds. The broker's accountant and tax adviser confirm tax rates, ATC and GL accounts.</w:t>
      </w:r>
    </w:p>
    <w:p>
      <w:pPr>
        <w:pStyle w:val="Heading2"/>
        <w:rPr/>
      </w:pPr>
      <w:bookmarkStart w:id="20" w:name="__RefHeading___Toc51105_3066934455"/>
      <w:bookmarkEnd w:id="20"/>
      <w:r>
        <w:rPr>
          <w:rFonts w:eastAsia="Segoe UI" w:cs="Segoe UI"/>
          <w:b/>
          <w:color w:val="0F4761"/>
          <w:sz w:val="26"/>
        </w:rPr>
        <w:t>5.6  Data migration</w:t>
      </w:r>
    </w:p>
    <w:p>
      <w:pPr>
        <w:pStyle w:val="Normal"/>
        <w:spacing w:lineRule="auto" w:line="276" w:before="0" w:after="120"/>
        <w:rPr/>
      </w:pPr>
      <w:r>
        <w:rPr>
          <w:rFonts w:eastAsia="Segoe UI" w:cs="Segoe UI" w:ascii="Segoe UI" w:hAnsi="Segoe UI"/>
          <w:color w:val="101820"/>
          <w:sz w:val="21"/>
        </w:rPr>
        <w:t>The detail is in the Data Migration and Cutover Plan. In outline:</w:t>
      </w:r>
    </w:p>
    <w:p>
      <w:pPr>
        <w:pStyle w:val="Normal"/>
        <w:numPr>
          <w:ilvl w:val="0"/>
          <w:numId w:val="1"/>
        </w:numPr>
        <w:spacing w:before="0" w:after="60"/>
        <w:rPr/>
      </w:pPr>
      <w:r>
        <w:rPr>
          <w:rFonts w:eastAsia="Segoe UI" w:cs="Segoe UI" w:ascii="Segoe UI" w:hAnsi="Segoe UI"/>
          <w:color w:val="101820"/>
          <w:sz w:val="21"/>
        </w:rPr>
        <w:t>Masters, in-force policies and clients, open premium receivables, GL opening balances (which carry the amounts due to insurers), and optionally leads and quotations in progress.</w:t>
      </w:r>
    </w:p>
    <w:p>
      <w:pPr>
        <w:pStyle w:val="Normal"/>
        <w:numPr>
          <w:ilvl w:val="0"/>
          <w:numId w:val="1"/>
        </w:numPr>
        <w:spacing w:before="0" w:after="60"/>
        <w:rPr/>
      </w:pPr>
      <w:r>
        <w:rPr>
          <w:rFonts w:eastAsia="Segoe UI" w:cs="Segoe UI" w:ascii="Segoe UI" w:hAnsi="Segoe UI"/>
          <w:color w:val="101820"/>
          <w:sz w:val="21"/>
        </w:rPr>
        <w:t>The broker extracts and cleanses the data; iorta TechNXT advises on mapping, runs the loads with the broker and checks the results.</w:t>
      </w:r>
    </w:p>
    <w:p>
      <w:pPr>
        <w:pStyle w:val="Normal"/>
        <w:numPr>
          <w:ilvl w:val="0"/>
          <w:numId w:val="1"/>
        </w:numPr>
        <w:spacing w:before="0" w:after="60"/>
        <w:rPr/>
      </w:pPr>
      <w:r>
        <w:rPr>
          <w:rFonts w:eastAsia="Segoe UI" w:cs="Segoe UI" w:ascii="Segoe UI" w:hAnsi="Segoe UI"/>
          <w:color w:val="101820"/>
          <w:sz w:val="21"/>
        </w:rPr>
        <w:t>Mock loads in UAT (small and medium) or SIT and UAT (large), each reconciled on counts and totals: two for small brokers, followed by the cutover rehearsal as a third load; three for medium brokers and four for large brokers, the last one being the cutover rehearsal. The cutover rehearsal always runs in the temporary Pre-Prod.</w:t>
      </w:r>
    </w:p>
    <w:p>
      <w:pPr>
        <w:pStyle w:val="Heading2"/>
        <w:rPr/>
      </w:pPr>
      <w:bookmarkStart w:id="21" w:name="__RefHeading___Toc51107_3066934455"/>
      <w:bookmarkEnd w:id="21"/>
      <w:r>
        <w:rPr>
          <w:rFonts w:eastAsia="Segoe UI" w:cs="Segoe UI"/>
          <w:b/>
          <w:color w:val="0F4761"/>
          <w:sz w:val="26"/>
        </w:rPr>
        <w:t>5.7  Integrations</w:t>
      </w:r>
    </w:p>
    <w:p>
      <w:pPr>
        <w:pStyle w:val="Normal"/>
        <w:spacing w:lineRule="auto" w:line="276" w:before="0" w:after="120"/>
        <w:rPr/>
      </w:pPr>
      <w:r>
        <w:rPr>
          <w:rFonts w:eastAsia="Segoe UI" w:cs="Segoe UI" w:ascii="Segoe UI" w:hAnsi="Segoe UI"/>
          <w:color w:val="101820"/>
          <w:sz w:val="21"/>
        </w:rPr>
        <w:t>The OOTB integrations are configured, not built.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delivered</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work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mail through an SMTP mailbox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queued in the E-mail Outbox and sent every 5 minutes; texts and recipients in Master &gt; 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Mailbox and credentials from the broker, sender name, texts, test of password reset and quotation approval link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in Accounts &gt; Bank Reconciliation with the delivered formats BDO-SAMPLE, BPI-SAMPLE, MBT-SAMPLE and GENERIC; remittance bank transactions import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sample statement per bank account; adjust the format columns in Master &gt; Finance &gt; Bank Statement Formats if a bank's export differs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with the providers PayMongo and Dragonpay, plus a sandbox provider; a confirmed payment posts the official receipt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merchant account and credentials (kept in the secret store), notification address registered with the provider, sandbox test then a live test payment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rPr/>
      </w:pPr>
      <w:bookmarkStart w:id="22" w:name="__RefHeading___Toc51109_3066934455"/>
      <w:bookmarkEnd w:id="22"/>
      <w:r>
        <w:rPr>
          <w:rFonts w:eastAsia="Segoe UI" w:cs="Segoe UI"/>
          <w:b/>
          <w:color w:val="0F4761"/>
          <w:sz w:val="26"/>
        </w:rPr>
        <w:t>5.8  Training</w:t>
      </w:r>
    </w:p>
    <w:p>
      <w:pPr>
        <w:pStyle w:val="Normal"/>
        <w:spacing w:lineRule="auto" w:line="276" w:before="0" w:after="120"/>
        <w:rPr/>
      </w:pPr>
      <w:r>
        <w:rPr>
          <w:rFonts w:eastAsia="Segoe UI" w:cs="Segoe UI" w:ascii="Segoe UI" w:hAnsi="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eastAsia="Consolas" w:cs="Consolas" w:ascii="Consolas" w:hAnsi="Consolas"/>
          <w:color w:val="101820"/>
          <w:sz w:val="19"/>
        </w:rPr>
        <w:t>docs/decks</w:t>
      </w:r>
      <w:r>
        <w:rPr>
          <w:rFonts w:eastAsia="Segoe UI" w:cs="Segoe UI" w:ascii="Segoe UI" w:hAnsi="Segoe UI"/>
          <w:color w:val="101820"/>
          <w:sz w:val="21"/>
        </w:rPr>
        <w:t>.</w:t>
      </w:r>
    </w:p>
    <w:p>
      <w:pPr>
        <w:pStyle w:val="Heading2"/>
        <w:rPr/>
      </w:pPr>
      <w:bookmarkStart w:id="23" w:name="__RefHeading___Toc51111_3066934455"/>
      <w:bookmarkEnd w:id="23"/>
      <w:r>
        <w:rPr>
          <w:rFonts w:eastAsia="Segoe UI" w:cs="Segoe UI"/>
          <w:b/>
          <w:color w:val="0F4761"/>
          <w:sz w:val="26"/>
        </w:rPr>
        <w:t>5.9  System integration test</w:t>
      </w:r>
    </w:p>
    <w:p>
      <w:pPr>
        <w:pStyle w:val="Normal"/>
        <w:spacing w:lineRule="auto" w:line="276" w:before="0" w:after="120"/>
        <w:rPr/>
      </w:pPr>
      <w:r>
        <w:rPr>
          <w:rFonts w:eastAsia="Segoe UI" w:cs="Segoe UI" w:ascii="Segoe UI" w:hAnsi="Segoe UI"/>
          <w:color w:val="101820"/>
          <w:sz w:val="21"/>
        </w:rPr>
        <w:t xml:space="preserve">iorta TechNXT runs the end-to-end flows across all roles with the configured masters: in Dev with synthetic data for a small or medium broker, in SIT with the migrated data of the latest mock load for a large broker. The test follows the end-to-end plan in </w:t>
      </w:r>
      <w:r>
        <w:rPr>
          <w:rFonts w:eastAsia="Consolas" w:cs="Consolas" w:ascii="Consolas" w:hAnsi="Consolas"/>
          <w:color w:val="101820"/>
          <w:sz w:val="19"/>
        </w:rPr>
        <w:t>docs/e2e/E2E_TEST_PLAN.md</w:t>
      </w:r>
      <w:r>
        <w:rPr>
          <w:rFonts w:eastAsia="Segoe UI" w:cs="Segoe UI" w:ascii="Segoe UI" w:hAnsi="Segoe UI"/>
          <w:color w:val="101820"/>
          <w:sz w:val="21"/>
        </w:rPr>
        <w:t xml:space="preserve"> (one motor policy through its whole life, plus a co-insured placement and the month-end close) and the scripted scenario </w:t>
      </w:r>
      <w:r>
        <w:rPr>
          <w:rFonts w:eastAsia="Consolas" w:cs="Consolas" w:ascii="Consolas" w:hAnsi="Consolas"/>
          <w:color w:val="101820"/>
          <w:sz w:val="19"/>
        </w:rPr>
        <w:t>backend/scripts/uat-scenario.js</w:t>
      </w:r>
      <w:r>
        <w:rPr>
          <w:rFonts w:eastAsia="Segoe UI" w:cs="Segoe UI" w:ascii="Segoe UI" w:hAnsi="Segoe UI"/>
          <w:color w:val="101820"/>
          <w:sz w:val="21"/>
        </w:rPr>
        <w:t>, which drives the full broking cycle through the API with one user per role. Defects are logged with the request ID shown in error messages.</w:t>
      </w:r>
    </w:p>
    <w:p>
      <w:pPr>
        <w:pStyle w:val="Heading2"/>
        <w:rPr/>
      </w:pPr>
      <w:bookmarkStart w:id="24" w:name="__RefHeading___Toc51113_3066934455"/>
      <w:bookmarkEnd w:id="24"/>
      <w:r>
        <w:rPr>
          <w:rFonts w:eastAsia="Segoe UI" w:cs="Segoe UI"/>
          <w:b/>
          <w:color w:val="0F4761"/>
          <w:sz w:val="26"/>
        </w:rPr>
        <w:t>5.10  User acceptance test</w:t>
      </w:r>
    </w:p>
    <w:p>
      <w:pPr>
        <w:pStyle w:val="Normal"/>
        <w:spacing w:lineRule="auto" w:line="276" w:before="0" w:after="120"/>
        <w:rPr/>
      </w:pPr>
      <w:r>
        <w:rPr>
          <w:rFonts w:eastAsia="Segoe UI" w:cs="Segoe UI" w:ascii="Segoe UI" w:hAnsi="Segoe UI"/>
          <w:color w:val="101820"/>
          <w:sz w:val="21"/>
        </w:rPr>
        <w:t xml:space="preserve">Key users run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rPr/>
      </w:pPr>
      <w:bookmarkStart w:id="25" w:name="__RefHeading___Toc51115_3066934455"/>
      <w:bookmarkEnd w:id="25"/>
      <w:r>
        <w:rPr>
          <w:rFonts w:eastAsia="Segoe UI" w:cs="Segoe UI"/>
          <w:b/>
          <w:color w:val="0F4761"/>
          <w:sz w:val="26"/>
        </w:rPr>
        <w:t>5.11  Cutover and go-live</w:t>
      </w:r>
    </w:p>
    <w:p>
      <w:pPr>
        <w:pStyle w:val="Normal"/>
        <w:spacing w:lineRule="auto" w:line="276" w:before="0" w:after="120"/>
        <w:rPr/>
      </w:pPr>
      <w:r>
        <w:rPr>
          <w:rFonts w:eastAsia="Segoe UI" w:cs="Segoe UI" w:ascii="Segoe UI" w:hAnsi="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rPr/>
      </w:pPr>
      <w:bookmarkStart w:id="26" w:name="__RefHeading___Toc51117_3066934455"/>
      <w:bookmarkEnd w:id="26"/>
      <w:r>
        <w:rPr>
          <w:rFonts w:eastAsia="Segoe UI" w:cs="Segoe UI"/>
          <w:b/>
          <w:color w:val="0F4761"/>
          <w:sz w:val="26"/>
        </w:rPr>
        <w:t>5.12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r>
        <w:br w:type="page"/>
      </w:r>
    </w:p>
    <w:p>
      <w:pPr>
        <w:pStyle w:val="Heading1"/>
        <w:rPr/>
      </w:pPr>
      <w:bookmarkStart w:id="27" w:name="__RefHeading___Toc51119_3066934455"/>
      <w:bookmarkEnd w:id="27"/>
      <w:r>
        <w:rPr>
          <w:rFonts w:eastAsia="Segoe UI" w:cs="Segoe UI" w:ascii="Segoe UI" w:hAnsi="Segoe UI"/>
          <w:b/>
          <w:color w:val="0F4761"/>
          <w:sz w:val="32"/>
        </w:rPr>
        <w:t>6.  Timeline: small broker (8 weeks)</w:t>
      </w:r>
    </w:p>
    <w:p>
      <w:pPr>
        <w:pStyle w:val="Normal"/>
        <w:spacing w:lineRule="auto" w:line="276" w:before="0" w:after="120"/>
        <w:rPr/>
      </w:pPr>
      <w:r>
        <w:rPr>
          <w:rFonts w:eastAsia="Segoe UI" w:cs="Segoe UI" w:ascii="Segoe UI" w:hAnsi="Segoe UI"/>
          <w:color w:val="101820"/>
          <w:sz w:val="21"/>
        </w:rPr>
        <w:t>Go-live is at the start of week 7. Hypercare runs in weeks 7 and 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set up; data requests issued; Dev and UAT provisioned; discovery workshops start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 plan and go-live date confirmed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 completed; production environment provisioned; configuration of company, branches, users, insurers, commission</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motor tariff, taxes, chart of accounts, account determination, posting rules, numbering, approvals; e-mail set-up; bank statement formats; configuration promoted from Dev to UAT; mock load 1 in UAT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payment gateway sandbox test; SIT in Dev;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configuration frozen for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with the UAT scripts; end-user training; configuration fixes; mock load 2 in UAT; release and frozen configuration promoted to production; production smoke test; Pre-Prod created from a production backup</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 trained users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cutover rehearsal in Pre-Prod; go/no-go; cutover at the close of the last day of week 6</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rehearsal reconciled;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first official receipts, remittances and bank imports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weekly review; knowledge transfer to support; handover; Pre-Prod removed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(or extension to the first month-end)</w:t>
            </w:r>
          </w:p>
        </w:tc>
      </w:tr>
    </w:tbl>
    <w:p>
      <w:pPr>
        <w:pStyle w:val="Heading1"/>
        <w:rPr/>
      </w:pPr>
      <w:r>
        <w:br w:type="page"/>
      </w:r>
      <w:bookmarkStart w:id="28" w:name="__RefHeading___Toc51121_3066934455"/>
      <w:bookmarkEnd w:id="28"/>
      <w:r>
        <w:rPr>
          <w:rFonts w:eastAsia="Segoe UI" w:cs="Segoe UI" w:ascii="Segoe UI" w:hAnsi="Segoe UI"/>
          <w:b/>
          <w:color w:val="0F4761"/>
          <w:sz w:val="32"/>
        </w:rPr>
        <w:t>7.  Timeline: medium broker (12 weeks)</w:t>
      </w:r>
    </w:p>
    <w:p>
      <w:pPr>
        <w:pStyle w:val="Normal"/>
        <w:spacing w:lineRule="auto" w:line="276" w:before="0" w:after="120"/>
        <w:rPr/>
      </w:pPr>
      <w:r>
        <w:rPr>
          <w:rFonts w:eastAsia="Segoe UI" w:cs="Segoe UI" w:ascii="Segoe UI" w:hAnsi="Segoe UI"/>
          <w:color w:val="101820"/>
          <w:sz w:val="21"/>
        </w:rPr>
        <w:t>Go-live is at the start of week 10. Hypercare runs in weeks 10 to 12.</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Dev and UAT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(organisation, sales and placement, servicing, claims);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(billing, remittance, commission, ledger, tax); fit-gap register; configuration of organisation, users, insurers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product templates, motor tariff, commission, taxes; data mapping to templates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approvals, schedules; e-mail; configuration promoted from Dev to UAT; mock load 1 in UAT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bank statement formats; payment gateway sandbox; SIT cycle 1 in Dev</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in Dev; mock load 2 in UAT;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starts; release and frozen configuration promoted to production; production smoke test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and sign-off; end-user training completed; Pre-Prod created from a production backup; mock load 3 as the cutover rehearsal in Pre-Prod; go/no-go; cutover at the close of week 9</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 and bank reconciliations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where it falls; knowledge transfer; handover; Pre-Prod removed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Heading1"/>
        <w:rPr/>
      </w:pPr>
      <w:r>
        <w:br w:type="page"/>
      </w:r>
      <w:bookmarkStart w:id="29" w:name="__RefHeading___Toc51123_3066934455"/>
      <w:bookmarkEnd w:id="29"/>
      <w:r>
        <w:rPr>
          <w:rFonts w:eastAsia="Segoe UI" w:cs="Segoe UI" w:ascii="Segoe UI" w:hAnsi="Segoe UI"/>
          <w:b/>
          <w:color w:val="0F4761"/>
          <w:sz w:val="32"/>
        </w:rPr>
        <w:t>8.  Timeline: large broker (16 to 20 weeks)</w:t>
      </w:r>
    </w:p>
    <w:p>
      <w:pPr>
        <w:pStyle w:val="Normal"/>
        <w:spacing w:lineRule="auto" w:line="276" w:before="0" w:after="120"/>
        <w:rPr/>
      </w:pPr>
      <w:r>
        <w:rPr>
          <w:rFonts w:eastAsia="Segoe UI" w:cs="Segoe UI" w:ascii="Segoe UI" w:hAnsi="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Dev, SIT, UAT and production environments ordered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completed; Dev and SIT provisioned; discovery starts (organisation and access)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baselined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sales, placement, co-insurance, servicing, claims, renewals; UAT and the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billing, remittance, direct bill, commission and incentives, ledger, close, tax; configuration of organisation and users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completed; configuration of insurers, commission, products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 templates, motor tariff, rating, acceptance rules; data mapping; e-mail set-up</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mock load 1 in SIT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approvals, authority matrix, schedules, bank accounts and statement formats; payment gateway sandbox</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in SIT; train-the-trainer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configuration promoted from SIT to UAT; train-the-trainer completed; UAT preparation with broker-specific scenarios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(head office)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mock load 3 in UAT; end-user training (branches); release and frozen configuration promoted to production; production smoke test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created from a production backup; mock load 4 as the cutover rehearsal in Pre-Prod; go/no-go; cutover at the close of week 14</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at head office; floor walkers in the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runs and bank reconciliations across all bank accounts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collection, commission payout and renewal cycles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(timing depends on the go-live date)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BIR working papers of the first month; settings review after the first close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review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to production support; Pre-Prod removed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one office cluster and a simple product mix can follow a 16-week variant: discovery ends in week 4, configuration in week 8, three mock loads (the last one as the cutover rehearsal in Pre-Prod), go-live at the start of week 13 and hypercare in weeks 13 to 16 (extended to the first month-end close if needed).</w:t>
      </w:r>
      <w:r>
        <w:br w:type="page"/>
      </w:r>
    </w:p>
    <w:p>
      <w:pPr>
        <w:pStyle w:val="Heading1"/>
        <w:rPr/>
      </w:pPr>
      <w:bookmarkStart w:id="30" w:name="__RefHeading___Toc51125_3066934455"/>
      <w:bookmarkEnd w:id="30"/>
      <w:r>
        <w:rPr>
          <w:rFonts w:eastAsia="Segoe UI" w:cs="Segoe UI" w:ascii="Segoe UI" w:hAnsi="Segoe UI"/>
          <w:b/>
          <w:color w:val="0F4761"/>
          <w:sz w:val="32"/>
        </w:rPr>
        <w:t>9.  Roles and responsibilities</w:t>
      </w:r>
    </w:p>
    <w:p>
      <w:pPr>
        <w:pStyle w:val="Heading2"/>
        <w:rPr/>
      </w:pPr>
      <w:bookmarkStart w:id="31" w:name="__RefHeading___Toc51127_3066934455"/>
      <w:bookmarkEnd w:id="31"/>
      <w:r>
        <w:rPr>
          <w:rFonts w:eastAsia="Segoe UI" w:cs="Segoe UI"/>
          <w:b/>
          <w:color w:val="0F4761"/>
          <w:sz w:val="26"/>
        </w:rPr>
        <w:t>9.1  Project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6"/>
        <w:gridCol w:w="1317"/>
        <w:gridCol w:w="4862"/>
      </w:tblGrid>
      <w:tr>
        <w:trPr>
          <w:tblHeader w:val="true"/>
        </w:trPr>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broker's work, obtains data and decisions, runs UAT and training logistics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of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 coordination of the iorta TechNXT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bl>
    <w:p>
      <w:pPr>
        <w:pStyle w:val="Normal"/>
        <w:spacing w:before="0" w:after="80"/>
        <w:rPr/>
      </w:pPr>
      <w:r>
        <w:rPr/>
      </w:r>
    </w:p>
    <w:p>
      <w:pPr>
        <w:pStyle w:val="Heading2"/>
        <w:rPr/>
      </w:pPr>
      <w:bookmarkStart w:id="32" w:name="__RefHeading___Toc51129_3066934455"/>
      <w:bookmarkEnd w:id="32"/>
      <w:r>
        <w:rPr>
          <w:rFonts w:eastAsia="Segoe UI" w:cs="Segoe UI"/>
          <w:b/>
          <w:color w:val="0F4761"/>
          <w:sz w:val="26"/>
        </w:rPr>
        <w:t>9.2  RACI</w:t>
      </w:r>
    </w:p>
    <w:p>
      <w:pPr>
        <w:pStyle w:val="Normal"/>
        <w:spacing w:lineRule="auto" w:line="276" w:before="0" w:after="120"/>
        <w:rPr/>
      </w:pPr>
      <w:r>
        <w:rPr>
          <w:rFonts w:eastAsia="Segoe UI" w:cs="Segoe UI" w:ascii="Segoe UI" w:hAnsi="Segoe UI"/>
          <w:color w:val="101820"/>
          <w:sz w:val="21"/>
        </w:rPr>
        <w:t>R = Responsible, A = Accountable, C = Consulted, I = Informed. The full matrix with each activity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9"/>
        <w:gridCol w:w="1254"/>
        <w:gridCol w:w="1412"/>
        <w:gridCol w:w="1646"/>
        <w:gridCol w:w="1803"/>
      </w:tblGrid>
      <w:tr>
        <w:trPr>
          <w:tblHeader w:val="true"/>
        </w:trPr>
        <w:tc>
          <w:tcPr>
            <w:tcW w:w="2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sponsor and PM</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key users and IT</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I</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Heading1"/>
        <w:rPr/>
      </w:pPr>
      <w:r>
        <w:br w:type="page"/>
      </w:r>
      <w:bookmarkStart w:id="33" w:name="__RefHeading___Toc51131_3066934455"/>
      <w:bookmarkEnd w:id="33"/>
      <w:r>
        <w:rPr>
          <w:rFonts w:eastAsia="Segoe UI" w:cs="Segoe UI" w:ascii="Segoe UI" w:hAnsi="Segoe UI"/>
          <w:b/>
          <w:color w:val="0F4761"/>
          <w:sz w:val="32"/>
        </w:rPr>
        <w:t>10.  Governance</w:t>
      </w:r>
    </w:p>
    <w:p>
      <w:pPr>
        <w:pStyle w:val="Heading2"/>
        <w:rPr/>
      </w:pPr>
      <w:bookmarkStart w:id="34" w:name="__RefHeading___Toc51133_3066934455"/>
      <w:bookmarkEnd w:id="34"/>
      <w:r>
        <w:rPr>
          <w:rFonts w:eastAsia="Segoe UI" w:cs="Segoe UI"/>
          <w:b/>
          <w:color w:val="0F4761"/>
          <w:sz w:val="26"/>
        </w:rPr>
        <w:t>10.1  Steering committee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Members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(chair), broker project manager, Accounting Manager, a business head; iorta TechNXT account manager and project manager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plus a meeting for each go/no-go</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report, milestone tracker, RAID log extract, change requests for decision</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change requests, plan changes, phase acceptance, go/no-go, hypercare exit</w:t>
            </w:r>
          </w:p>
        </w:tc>
      </w:tr>
    </w:tbl>
    <w:p>
      <w:pPr>
        <w:pStyle w:val="Normal"/>
        <w:spacing w:before="0" w:after="80"/>
        <w:rPr/>
      </w:pPr>
      <w:r>
        <w:rPr/>
      </w:r>
    </w:p>
    <w:p>
      <w:pPr>
        <w:pStyle w:val="Heading2"/>
        <w:rPr/>
      </w:pPr>
      <w:bookmarkStart w:id="35" w:name="__RefHeading___Toc51135_3066934455"/>
      <w:bookmarkEnd w:id="35"/>
      <w:r>
        <w:rPr>
          <w:rFonts w:eastAsia="Segoe UI" w:cs="Segoe UI"/>
          <w:b/>
          <w:color w:val="0F4761"/>
          <w:sz w:val="26"/>
        </w:rPr>
        <w:t>10.2  Weekly status</w:t>
      </w:r>
    </w:p>
    <w:p>
      <w:pPr>
        <w:pStyle w:val="Normal"/>
        <w:spacing w:lineRule="auto" w:line="276" w:before="0" w:after="120"/>
        <w:rPr/>
      </w:pPr>
      <w:r>
        <w:rPr>
          <w:rFonts w:eastAsia="Segoe UI" w:cs="Segoe UI" w:ascii="Segoe UI" w:hAnsi="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rPr/>
      </w:pPr>
      <w:bookmarkStart w:id="36" w:name="__RefHeading___Toc51137_3066934455"/>
      <w:bookmarkEnd w:id="36"/>
      <w:r>
        <w:rPr>
          <w:rFonts w:eastAsia="Segoe UI" w:cs="Segoe UI"/>
          <w:b/>
          <w:color w:val="0F4761"/>
          <w:sz w:val="26"/>
        </w:rPr>
        <w:t>10.3  RAID log</w:t>
      </w:r>
    </w:p>
    <w:p>
      <w:pPr>
        <w:pStyle w:val="Normal"/>
        <w:spacing w:lineRule="auto" w:line="276" w:before="0" w:after="120"/>
        <w:rPr/>
      </w:pPr>
      <w:r>
        <w:rPr>
          <w:rFonts w:eastAsia="Segoe UI" w:cs="Segoe UI" w:ascii="Segoe UI" w:hAnsi="Segoe UI"/>
          <w:color w:val="101820"/>
          <w:sz w:val="21"/>
        </w:rPr>
        <w:t>One shared log of risks, assumptions, issues and dependencies, kept by the iorta TechNXT project manager and reviewed in every weekly status meeting.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 A, I or D with a running number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is and its effect on scope, time or quality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named person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medium or low (probability and impact for risks)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and due date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Mitigation or resolution and when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in progress, closed; closure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Items rated high go to the steering committee.</w:t>
      </w:r>
      <w:r>
        <w:br w:type="page"/>
      </w:r>
    </w:p>
    <w:p>
      <w:pPr>
        <w:pStyle w:val="Heading1"/>
        <w:rPr/>
      </w:pPr>
      <w:bookmarkStart w:id="37" w:name="__RefHeading___Toc51139_3066934455"/>
      <w:bookmarkEnd w:id="37"/>
      <w:r>
        <w:rPr>
          <w:rFonts w:eastAsia="Segoe UI" w:cs="Segoe UI" w:ascii="Segoe UI" w:hAnsi="Segoe UI"/>
          <w:b/>
          <w:color w:val="0F4761"/>
          <w:sz w:val="32"/>
        </w:rPr>
        <w:t>11.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Production; SIT for a large broker), environment sheet (addresses, backups, monitoring)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 on each; restore test done once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Dev (small, medium) or SIT (large) environment, promoted to UAT; configuration workbook updated with the values set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workbook item set and checked as in </w:t>
            </w:r>
            <w:r>
              <w:rPr>
                <w:rFonts w:eastAsia="Consolas" w:cs="Consolas" w:ascii="Consolas" w:hAnsi="Consolas"/>
                <w:color w:val="101820"/>
                <w:kern w:val="0"/>
                <w:sz w:val="16"/>
                <w:szCs w:val="24"/>
                <w:lang w:val="en-US" w:eastAsia="ja-JP" w:bidi="ar-SA"/>
              </w:rPr>
              <w:t>GO_LIVE_DATA_SETUP.md</w:t>
            </w:r>
            <w:r>
              <w:rPr>
                <w:rFonts w:eastAsia="Segoe UI" w:cs="Segoe UI" w:ascii="Segoe UI" w:hAnsi="Segoe UI"/>
                <w:color w:val="101820"/>
                <w:kern w:val="0"/>
                <w:sz w:val="18"/>
                <w:szCs w:val="24"/>
                <w:lang w:val="en-US" w:eastAsia="ja-JP" w:bidi="ar-SA"/>
              </w:rPr>
              <w:t xml:space="preserve"> steps 1 to 10;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with a balancing preview;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test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with times and owners,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met (Data Migration and Cutover Plan)</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deliverable is deemed accepted when the broker has not raised a written objection within 5 business days of submission (assumption, to be agreed in the contract).</w:t>
      </w:r>
      <w:r>
        <w:br w:type="page"/>
      </w:r>
    </w:p>
    <w:p>
      <w:pPr>
        <w:pStyle w:val="Heading1"/>
        <w:rPr/>
      </w:pPr>
      <w:bookmarkStart w:id="38" w:name="__RefHeading___Toc51141_3066934455"/>
      <w:bookmarkEnd w:id="38"/>
      <w:r>
        <w:rPr>
          <w:rFonts w:eastAsia="Segoe UI" w:cs="Segoe UI" w:ascii="Segoe UI" w:hAnsi="Segoe UI"/>
          <w:b/>
          <w:color w:val="0F4761"/>
          <w:sz w:val="32"/>
        </w:rPr>
        <w:t>12.  Assumptions</w:t>
      </w:r>
    </w:p>
    <w:p>
      <w:pPr>
        <w:pStyle w:val="Normal"/>
        <w:numPr>
          <w:ilvl w:val="0"/>
          <w:numId w:val="1"/>
        </w:numPr>
        <w:spacing w:before="0" w:after="60"/>
        <w:rPr/>
      </w:pPr>
      <w:r>
        <w:rPr>
          <w:rFonts w:eastAsia="Segoe UI" w:cs="Segoe UI" w:ascii="Segoe UI" w:hAnsi="Segoe UI"/>
          <w:color w:val="101820"/>
          <w:sz w:val="21"/>
        </w:rPr>
        <w:t>The implementation is OOTB: the broker uses the delivered screens, workflows, reports and printed documents.</w:t>
      </w:r>
    </w:p>
    <w:p>
      <w:pPr>
        <w:pStyle w:val="Normal"/>
        <w:numPr>
          <w:ilvl w:val="0"/>
          <w:numId w:val="1"/>
        </w:numPr>
        <w:spacing w:before="0" w:after="60"/>
        <w:rPr/>
      </w:pPr>
      <w:r>
        <w:rPr>
          <w:rFonts w:eastAsia="Segoe UI" w:cs="Segoe UI" w:ascii="Segoe UI" w:hAnsi="Segoe UI"/>
          <w:color w:val="101820"/>
          <w:sz w:val="21"/>
        </w:rPr>
        <w:t>The broker names a project manager and one key user per team, available at least 50% of their time during discovery, UAT and cutover, and an Accounting Manager available for the ledger, tax and opening balance decisions.</w:t>
      </w:r>
    </w:p>
    <w:p>
      <w:pPr>
        <w:pStyle w:val="Normal"/>
        <w:numPr>
          <w:ilvl w:val="0"/>
          <w:numId w:val="1"/>
        </w:numPr>
        <w:spacing w:before="0" w:after="60"/>
        <w:rPr/>
      </w:pPr>
      <w:r>
        <w:rPr>
          <w:rFonts w:eastAsia="Segoe UI" w:cs="Segoe UI" w:ascii="Segoe UI" w:hAnsi="Segoe UI"/>
          <w:color w:val="101820"/>
          <w:sz w:val="21"/>
        </w:rPr>
        <w:t>The broker provides complete and cleansed data in the delivered templates by the dates in the plan.</w:t>
      </w:r>
    </w:p>
    <w:p>
      <w:pPr>
        <w:pStyle w:val="Normal"/>
        <w:numPr>
          <w:ilvl w:val="0"/>
          <w:numId w:val="1"/>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
        </w:numPr>
        <w:spacing w:before="0" w:after="60"/>
        <w:rPr/>
      </w:pPr>
      <w:r>
        <w:rPr>
          <w:rFonts w:eastAsia="Segoe UI" w:cs="Segoe UI" w:ascii="Segoe UI" w:hAnsi="Segoe UI"/>
          <w:color w:val="101820"/>
          <w:sz w:val="21"/>
        </w:rPr>
        <w:t>iorta TechNXT hosts the environment set of the broker size and the temporary Pre-Prod on AWS (region ap-southeast-1), priced per environment. Other hosting is priced separately.</w:t>
      </w:r>
    </w:p>
    <w:p>
      <w:pPr>
        <w:pStyle w:val="Normal"/>
        <w:numPr>
          <w:ilvl w:val="0"/>
          <w:numId w:val="1"/>
        </w:numPr>
        <w:spacing w:before="0" w:after="60"/>
        <w:rPr/>
      </w:pPr>
      <w:r>
        <w:rPr>
          <w:rFonts w:eastAsia="Segoe UI" w:cs="Segoe UI" w:ascii="Segoe UI" w:hAnsi="Segoe UI"/>
          <w:color w:val="101820"/>
          <w:sz w:val="21"/>
        </w:rPr>
        <w:t>Workshops and training are delivered on site in Metro Manila or online, in English, during Philippine business hours.</w:t>
      </w:r>
    </w:p>
    <w:p>
      <w:pPr>
        <w:pStyle w:val="Normal"/>
        <w:numPr>
          <w:ilvl w:val="0"/>
          <w:numId w:val="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1"/>
        </w:numPr>
        <w:spacing w:before="0" w:after="60"/>
        <w:rPr/>
      </w:pPr>
      <w:r>
        <w:rPr>
          <w:rFonts w:eastAsia="Segoe UI" w:cs="Segoe UI" w:ascii="Segoe UI" w:hAnsi="Segoe UI"/>
          <w:color w:val="101820"/>
          <w:sz w:val="21"/>
        </w:rPr>
        <w:t>The broker uses the delivered roles: System Administrator, Sales &amp; Marketing, Processing Team, Operations, Claims, Accounting and Accounting Manager.</w:t>
      </w:r>
    </w:p>
    <w:p>
      <w:pPr>
        <w:pStyle w:val="Normal"/>
        <w:numPr>
          <w:ilvl w:val="0"/>
          <w:numId w:val="1"/>
        </w:numPr>
        <w:spacing w:before="0" w:after="60"/>
        <w:rPr/>
      </w:pPr>
      <w:r>
        <w:rPr>
          <w:rFonts w:eastAsia="Segoe UI" w:cs="Segoe UI" w:ascii="Segoe UI" w:hAnsi="Segoe UI"/>
          <w:color w:val="101820"/>
          <w:sz w:val="21"/>
        </w:rPr>
        <w:t>The delivered tax codes, rates and BIR working papers are confirmed by the broker's tax adviser before go-live.</w:t>
      </w:r>
    </w:p>
    <w:p>
      <w:pPr>
        <w:pStyle w:val="Normal"/>
        <w:numPr>
          <w:ilvl w:val="0"/>
          <w:numId w:val="1"/>
        </w:numPr>
        <w:spacing w:before="0" w:after="60"/>
        <w:rPr/>
      </w:pPr>
      <w:r>
        <w:rPr>
          <w:rFonts w:eastAsia="Segoe UI" w:cs="Segoe UI" w:ascii="Segoe UI" w:hAnsi="Segoe UI"/>
          <w:color w:val="101820"/>
          <w:sz w:val="21"/>
        </w:rPr>
        <w:t>Testing uses Dev, SIT (large broker), UAT and the temporary Pre-Prod; production receives the release and the frozen configuration before the cutover rehearsal and is used for business only after the go decision.</w:t>
      </w:r>
      <w:r>
        <w:br w:type="page"/>
      </w:r>
    </w:p>
    <w:p>
      <w:pPr>
        <w:pStyle w:val="Heading1"/>
        <w:rPr/>
      </w:pPr>
      <w:bookmarkStart w:id="39" w:name="__RefHeading___Toc51143_3066934455"/>
      <w:bookmarkEnd w:id="39"/>
      <w:r>
        <w:rPr>
          <w:rFonts w:eastAsia="Segoe UI" w:cs="Segoe UI" w:ascii="Segoe UI" w:hAnsi="Segoe UI"/>
          <w:b/>
          <w:color w:val="0F4761"/>
          <w:sz w:val="32"/>
        </w:rPr>
        <w:t>13.  Exclusions</w:t>
      </w:r>
    </w:p>
    <w:p>
      <w:pPr>
        <w:pStyle w:val="Normal"/>
        <w:spacing w:lineRule="auto" w:line="276" w:before="0" w:after="120"/>
        <w:rPr/>
      </w:pPr>
      <w:r>
        <w:rPr>
          <w:rFonts w:eastAsia="Segoe UI" w:cs="Segoe UI" w:ascii="Segoe UI" w:hAnsi="Segoe UI"/>
          <w:color w:val="101820"/>
          <w:sz w:val="21"/>
        </w:rPr>
        <w:t>The following are outside the OOTB implementation. Any of them can be quoted separately through a change request.</w:t>
      </w:r>
    </w:p>
    <w:p>
      <w:pPr>
        <w:pStyle w:val="Normal"/>
        <w:numPr>
          <w:ilvl w:val="0"/>
          <w:numId w:val="1"/>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
        </w:numPr>
        <w:spacing w:before="0" w:after="60"/>
        <w:rPr/>
      </w:pPr>
      <w:r>
        <w:rPr>
          <w:rFonts w:eastAsia="Segoe UI" w:cs="Segoe UI" w:ascii="Segoe UI" w:hAnsi="Segoe UI"/>
          <w:color w:val="101820"/>
          <w:sz w:val="21"/>
        </w:rPr>
        <w:t>Data cleansing, de-duplication and enrichment of the broker's data, and extraction from the old system.</w:t>
      </w:r>
    </w:p>
    <w:p>
      <w:pPr>
        <w:pStyle w:val="Normal"/>
        <w:numPr>
          <w:ilvl w:val="0"/>
          <w:numId w:val="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1"/>
        </w:numPr>
        <w:spacing w:before="0" w:after="60"/>
        <w:rPr/>
      </w:pPr>
      <w:r>
        <w:rPr>
          <w:rFonts w:eastAsia="Segoe UI" w:cs="Segoe UI" w:ascii="Segoe UI" w:hAnsi="Segoe UI"/>
          <w:color w:val="101820"/>
          <w:sz w:val="21"/>
        </w:rPr>
        <w:t>Third-party licences and fees: cloud subscriptions beyond the agreed hosting, Microsoft 365 or other mailbox, payment gateway merchant fees, SSL certificates for broker-owned domains.</w:t>
      </w:r>
    </w:p>
    <w:p>
      <w:pPr>
        <w:pStyle w:val="Normal"/>
        <w:numPr>
          <w:ilvl w:val="0"/>
          <w:numId w:val="1"/>
        </w:numPr>
        <w:spacing w:before="0" w:after="60"/>
        <w:rPr/>
      </w:pPr>
      <w:r>
        <w:rPr>
          <w:rFonts w:eastAsia="Segoe UI" w:cs="Segoe UI" w:ascii="Segoe UI" w:hAnsi="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pStyle w:val="Normal"/>
        <w:numPr>
          <w:ilvl w:val="0"/>
          <w:numId w:val="1"/>
        </w:numPr>
        <w:spacing w:before="0" w:after="60"/>
        <w:rPr/>
      </w:pPr>
      <w:r>
        <w:rPr>
          <w:rFonts w:eastAsia="Segoe UI" w:cs="Segoe UI" w:ascii="Segoe UI" w:hAnsi="Segoe UI"/>
          <w:color w:val="101820"/>
          <w:sz w:val="21"/>
        </w:rPr>
        <w:t>Tax, legal, actuarial or audit advice.</w:t>
      </w:r>
    </w:p>
    <w:p>
      <w:pPr>
        <w:pStyle w:val="Normal"/>
        <w:numPr>
          <w:ilvl w:val="0"/>
          <w:numId w:val="1"/>
        </w:numPr>
        <w:spacing w:before="0" w:after="60"/>
        <w:rPr/>
      </w:pPr>
      <w:r>
        <w:rPr>
          <w:rFonts w:eastAsia="Segoe UI" w:cs="Segoe UI" w:ascii="Segoe UI" w:hAnsi="Segoe UI"/>
          <w:color w:val="101820"/>
          <w:sz w:val="21"/>
        </w:rPr>
        <w:t>Translation of the screens (Filipino has no translation file in this release).</w:t>
      </w:r>
    </w:p>
    <w:p>
      <w:pPr>
        <w:pStyle w:val="Normal"/>
        <w:numPr>
          <w:ilvl w:val="0"/>
          <w:numId w:val="1"/>
        </w:numPr>
        <w:spacing w:before="0" w:after="60"/>
        <w:rPr/>
      </w:pPr>
      <w:r>
        <w:rPr>
          <w:rFonts w:eastAsia="Segoe UI" w:cs="Segoe UI" w:ascii="Segoe UI" w:hAnsi="Segoe UI"/>
          <w:color w:val="101820"/>
          <w:sz w:val="21"/>
        </w:rPr>
        <w:t>Training beyond the curriculum of the Training Plan and training of users added after go-live.</w:t>
      </w:r>
    </w:p>
    <w:p>
      <w:pPr>
        <w:pStyle w:val="Normal"/>
        <w:numPr>
          <w:ilvl w:val="0"/>
          <w:numId w:val="1"/>
        </w:numPr>
        <w:spacing w:before="0" w:after="60"/>
        <w:rPr/>
      </w:pPr>
      <w:r>
        <w:rPr>
          <w:rFonts w:eastAsia="Segoe UI" w:cs="Segoe UI" w:ascii="Segoe UI" w:hAnsi="Segoe UI"/>
          <w:color w:val="101820"/>
          <w:sz w:val="21"/>
        </w:rPr>
        <w:t>Support after hypercare, which is covered by the production support agreement.</w:t>
      </w:r>
      <w:r>
        <w:br w:type="page"/>
      </w:r>
    </w:p>
    <w:p>
      <w:pPr>
        <w:pStyle w:val="Heading1"/>
        <w:rPr/>
      </w:pPr>
      <w:bookmarkStart w:id="40" w:name="__RefHeading___Toc51145_3066934455"/>
      <w:bookmarkEnd w:id="40"/>
      <w:r>
        <w:rPr>
          <w:rFonts w:eastAsia="Segoe UI" w:cs="Segoe UI" w:ascii="Segoe UI" w:hAnsi="Segoe UI"/>
          <w:b/>
          <w:color w:val="0F4761"/>
          <w:sz w:val="32"/>
        </w:rPr>
        <w:t>14.  Dependencies on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50"/>
        <w:gridCol w:w="3863"/>
      </w:tblGrid>
      <w:tr>
        <w:trPr>
          <w:tblHeader w:val="true"/>
        </w:trPr>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and Accounting Manager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configuration of the ledger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the agreed time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Heading1"/>
        <w:rPr/>
      </w:pPr>
      <w:r>
        <w:br w:type="page"/>
      </w:r>
      <w:bookmarkStart w:id="41" w:name="__RefHeading___Toc51147_3066934455"/>
      <w:bookmarkEnd w:id="41"/>
      <w:r>
        <w:rPr>
          <w:rFonts w:eastAsia="Segoe UI" w:cs="Segoe UI" w:ascii="Segoe UI" w:hAnsi="Segoe UI"/>
          <w:b/>
          <w:color w:val="0F4761"/>
          <w:sz w:val="32"/>
        </w:rPr>
        <w:t>15.  Risks and mitigations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arrives late or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slip; go-live moves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templates handed out at kick-off; data readiness tracked weekly; steering committee escalation after one week of delay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Poor data quality in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rows; receivables or balances do not reconcile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to four mock loads with reconciliation; the broker cleanses at source; rejected-row reports from each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and timeline grow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Configure-first principle; fit-gap classes; change request process with steering committee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unavailable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late; weak UAT and training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key users with committed time; backups named; workshops scheduled at kick-off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and open items do not agree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wrong from day 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 balance must equal open item total; Due to Insurers reconciled to insurer statements; Accounting Manager signs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or ATC not confirmed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Wrong VAT or withholding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review in the configuration phase; VAT Summary checked in UAT (F8)</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numbering out of line with the Authority to Print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set from the last number used; checked in UAT (A6, F1)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payment gateway credentials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links, password resets and online payments not working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in mobilisation; the system works without the gateway; sandbox first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not ready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and slow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training, assessment, floor walkers in the first week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hypercare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issues found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extends to the first close</w:t>
            </w:r>
          </w:p>
        </w:tc>
      </w:tr>
    </w:tbl>
    <w:p>
      <w:pPr>
        <w:pStyle w:val="Heading1"/>
        <w:rPr/>
      </w:pPr>
      <w:r>
        <w:br w:type="page"/>
      </w:r>
      <w:bookmarkStart w:id="42" w:name="__RefHeading___Toc51149_3066934455"/>
      <w:bookmarkEnd w:id="42"/>
      <w:r>
        <w:rPr>
          <w:rFonts w:eastAsia="Segoe UI" w:cs="Segoe UI" w:ascii="Segoe UI" w:hAnsi="Segoe UI"/>
          <w:b/>
          <w:color w:val="0F4761"/>
          <w:sz w:val="32"/>
        </w:rPr>
        <w:t>16.  Change request process</w:t>
      </w:r>
    </w:p>
    <w:p>
      <w:pPr>
        <w:pStyle w:val="Normal"/>
        <w:spacing w:lineRule="auto" w:line="276" w:before="0" w:after="120"/>
        <w:rPr/>
      </w:pPr>
      <w:r>
        <w:rPr>
          <w:rFonts w:eastAsia="Segoe UI" w:cs="Segoe UI" w:ascii="Segoe UI" w:hAnsi="Segoe UI"/>
          <w:color w:val="101820"/>
          <w:sz w:val="21"/>
        </w:rPr>
        <w:t>A change request covers any change to the agreed scope, plan or deliverables, including any gap from the fit-gap register.</w:t>
      </w:r>
    </w:p>
    <w:p>
      <w:pPr>
        <w:pStyle w:val="Normal"/>
        <w:numPr>
          <w:ilvl w:val="0"/>
          <w:numId w:val="4"/>
        </w:numPr>
        <w:spacing w:before="0" w:after="60"/>
        <w:rPr/>
      </w:pPr>
      <w:r>
        <w:rPr>
          <w:rFonts w:eastAsia="Segoe UI" w:cs="Segoe UI" w:ascii="Segoe UI" w:hAnsi="Segoe UI"/>
          <w:color w:val="101820"/>
          <w:sz w:val="21"/>
        </w:rPr>
        <w:t>The requester writes the change request: description, reason, business impact, priority.</w:t>
      </w:r>
    </w:p>
    <w:p>
      <w:pPr>
        <w:pStyle w:val="Normal"/>
        <w:numPr>
          <w:ilvl w:val="0"/>
          <w:numId w:val="2"/>
        </w:numPr>
        <w:spacing w:before="0" w:after="60"/>
        <w:rPr/>
      </w:pPr>
      <w:r>
        <w:rPr>
          <w:rFonts w:eastAsia="Segoe UI" w:cs="Segoe UI" w:ascii="Segoe UI" w:hAnsi="Segoe UI"/>
          <w:color w:val="101820"/>
          <w:sz w:val="21"/>
        </w:rPr>
        <w:t>The iorta TechNXT project manager logs it and, within 5 business days, returns an impact assessment: effort, cost, effect on the timeline and on other deliverables, and whether it can be met by configuration instead.</w:t>
      </w:r>
    </w:p>
    <w:p>
      <w:pPr>
        <w:pStyle w:val="Normal"/>
        <w:numPr>
          <w:ilvl w:val="0"/>
          <w:numId w:val="2"/>
        </w:numPr>
        <w:spacing w:before="0" w:after="60"/>
        <w:rPr/>
      </w:pPr>
      <w:r>
        <w:rPr>
          <w:rFonts w:eastAsia="Segoe UI" w:cs="Segoe UI" w:ascii="Segoe UI" w:hAnsi="Segoe UI"/>
          <w:color w:val="101820"/>
          <w:sz w:val="21"/>
        </w:rPr>
        <w:t>The broker project manager reviews the assessment with the process owner.</w:t>
      </w:r>
    </w:p>
    <w:p>
      <w:pPr>
        <w:pStyle w:val="Normal"/>
        <w:numPr>
          <w:ilvl w:val="0"/>
          <w:numId w:val="2"/>
        </w:numPr>
        <w:spacing w:before="0" w:after="60"/>
        <w:rPr/>
      </w:pPr>
      <w:r>
        <w:rPr>
          <w:rFonts w:eastAsia="Segoe UI" w:cs="Segoe UI" w:ascii="Segoe UI" w:hAnsi="Segoe UI"/>
          <w:color w:val="101820"/>
          <w:sz w:val="21"/>
        </w:rPr>
        <w:t>The steering committee approves, rejects or defers it. Changes that affect cost or the go-live date need the sponsor's written approval.</w:t>
      </w:r>
    </w:p>
    <w:p>
      <w:pPr>
        <w:pStyle w:val="Normal"/>
        <w:numPr>
          <w:ilvl w:val="0"/>
          <w:numId w:val="2"/>
        </w:numPr>
        <w:spacing w:before="0" w:after="60"/>
        <w:rPr/>
      </w:pPr>
      <w:r>
        <w:rPr>
          <w:rFonts w:eastAsia="Segoe UI" w:cs="Segoe UI" w:ascii="Segoe UI" w:hAnsi="Segoe UI"/>
          <w:color w:val="101820"/>
          <w:sz w:val="21"/>
        </w:rPr>
        <w:t>An approved change request is added to the plan and the RAID log and is tracked to closure.</w:t>
      </w:r>
    </w:p>
    <w:p>
      <w:pPr>
        <w:pStyle w:val="Normal"/>
        <w:numPr>
          <w:ilvl w:val="0"/>
          <w:numId w:val="2"/>
        </w:numPr>
        <w:spacing w:before="0" w:after="60"/>
        <w:rPr/>
      </w:pPr>
      <w:r>
        <w:rPr>
          <w:rFonts w:eastAsia="Segoe UI" w:cs="Segoe UI" w:ascii="Segoe UI" w:hAnsi="Segoe UI"/>
          <w:color w:val="101820"/>
          <w:sz w:val="21"/>
        </w:rPr>
        <w:t>A rejected or deferred change request stays in the log with the reason.</w:t>
      </w:r>
    </w:p>
    <w:p>
      <w:pPr>
        <w:pStyle w:val="Normal"/>
        <w:spacing w:lineRule="auto" w:line="276" w:before="0" w:after="120"/>
        <w:rPr/>
      </w:pPr>
      <w:r>
        <w:rPr>
          <w:rFonts w:eastAsia="Segoe UI" w:cs="Segoe UI" w:ascii="Segoe UI" w:hAnsi="Segoe UI"/>
          <w:color w:val="101820"/>
          <w:sz w:val="21"/>
        </w:rPr>
        <w:t>Customisation approved through a change request is built, tested and released under the release process of the Production Support Approach and Standards, and may be scheduled after go-live so the OOTB go-live date holds.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51151_3066934455"/>
      <w:bookmarkStart w:id="44" w:name="_Toc233203395"/>
      <w:bookmarkEnd w:id="43"/>
      <w:r>
        <w:rPr>
          <w:rStyle w:val="BookTitle"/>
          <w:bCs w:val="false"/>
          <w:i w:val="false"/>
          <w:iCs w:val="false"/>
          <w:spacing w:val="0"/>
        </w:rPr>
        <w:t>17.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2026-10-04T05:42:05Z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