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2CD8" w14:textId="0D544CAB" w:rsidR="00DD7430" w:rsidRDefault="004E4690" w:rsidP="3B384731">
      <w:r>
        <w:rPr>
          <w:noProof/>
        </w:rPr>
        <w:drawing>
          <wp:anchor distT="0" distB="0" distL="114300" distR="114300" simplePos="0" relativeHeight="251658241" behindDoc="1" locked="0" layoutInCell="1" allowOverlap="1" wp14:anchorId="7FDD2D24" wp14:editId="42CB1C55">
            <wp:simplePos x="0" y="0"/>
            <wp:positionH relativeFrom="margin">
              <wp:posOffset>-914400</wp:posOffset>
            </wp:positionH>
            <wp:positionV relativeFrom="margin">
              <wp:posOffset>-914426</wp:posOffset>
            </wp:positionV>
            <wp:extent cx="7553960" cy="10685198"/>
            <wp:effectExtent l="0" t="0" r="8890" b="1905"/>
            <wp:wrapNone/>
            <wp:docPr id="205315688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3E1FE75-9233-4911-9AF8-8DA8FB5453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56881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10685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7A1">
        <w:rPr>
          <w:noProof/>
        </w:rPr>
        <w:drawing>
          <wp:anchor distT="0" distB="0" distL="114300" distR="114300" simplePos="0" relativeHeight="251658247" behindDoc="1" locked="0" layoutInCell="1" allowOverlap="1" wp14:anchorId="68FBBCEA" wp14:editId="760DF883">
            <wp:simplePos x="0" y="0"/>
            <wp:positionH relativeFrom="margin">
              <wp:align>center</wp:align>
            </wp:positionH>
            <wp:positionV relativeFrom="margin">
              <wp:posOffset>244432</wp:posOffset>
            </wp:positionV>
            <wp:extent cx="2000250" cy="568367"/>
            <wp:effectExtent l="0" t="0" r="0" b="3175"/>
            <wp:wrapNone/>
            <wp:docPr id="94063927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3627AEF-EF2A-408D-AEDD-9163B59054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39279" name="Picture 9406392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68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FD2E5" w14:textId="7C6911E0" w:rsidR="00DD7430" w:rsidRDefault="003F0D95">
      <w:r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204C02CC" wp14:editId="65DFA600">
                <wp:simplePos x="0" y="0"/>
                <wp:positionH relativeFrom="margin">
                  <wp:align>center</wp:align>
                </wp:positionH>
                <wp:positionV relativeFrom="paragraph">
                  <wp:posOffset>1979157</wp:posOffset>
                </wp:positionV>
                <wp:extent cx="4528820" cy="337820"/>
                <wp:effectExtent l="0" t="0" r="0" b="5080"/>
                <wp:wrapSquare wrapText="bothSides"/>
                <wp:docPr id="1294513242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23173A-31B4-4C1A-9AA6-993E5CA1A44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8820" cy="337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A1EBF" w14:textId="6A6CA9D8" w:rsidR="00913938" w:rsidRPr="00851AA2" w:rsidRDefault="002D24EB" w:rsidP="00913938">
                            <w:pPr>
                              <w:rPr>
                                <w:b/>
                                <w:bCs/>
                                <w:color w:val="071B2C"/>
                                <w:sz w:val="36"/>
                                <w:szCs w:val="36"/>
                              </w:rPr>
                            </w:pPr>
                            <w:r w:rsidRPr="00851AA2">
                              <w:rPr>
                                <w:b/>
                                <w:bCs/>
                                <w:color w:val="071B2C"/>
                                <w:sz w:val="36"/>
                                <w:szCs w:val="36"/>
                              </w:rPr>
                              <w:t>iNXT BrokerVerse OOTB documents by folder, audience and lifecycle stage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4C02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55.85pt;width:122.25pt;height:26.6pt;z-index:25165824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" filled="f" stroked="f">
                <v:textbox>
                  <w:txbxContent>
                    <w:p w14:paraId="54FA1EBF" w14:textId="6A6CA9D8" w:rsidR="00913938" w:rsidRPr="00851AA2" w:rsidRDefault="002D24EB" w:rsidP="00913938">
                      <w:pPr>
                        <w:rPr>
                          <w:b/>
                          <w:bCs/>
                          <w:color w:val="071B2C"/>
                          <w:sz w:val="36"/>
                          <w:szCs w:val="36"/>
                        </w:rPr>
                      </w:pPr>
                      <w:r w:rsidRPr="00851AA2">
                        <w:rPr>
                          <w:b/>
                          <w:bCs/>
                          <w:color w:val="071B2C"/>
                          <w:sz w:val="36"/>
                          <w:szCs w:val="36"/>
                        </w:rPr>
                        <w:t>iNXT BrokerVerse OOTB documents by folder, audience and lifecycle stage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01DE2BF4" wp14:editId="07BA52AE">
                <wp:simplePos x="0" y="0"/>
                <wp:positionH relativeFrom="margin">
                  <wp:align>center</wp:align>
                </wp:positionH>
                <wp:positionV relativeFrom="paragraph">
                  <wp:posOffset>1291590</wp:posOffset>
                </wp:positionV>
                <wp:extent cx="4528820" cy="1250000"/>
                <wp:effectExtent l="0" t="0" r="0" b="0"/>
                <wp:wrapSquare wrapText="bothSides"/>
                <wp:docPr id="578771272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7603B8-5035-4623-849E-672EC358E0B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8820" cy="125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9063F1" w14:textId="4B04DDEF" w:rsidR="003F0D95" w:rsidRPr="00E75E19" w:rsidRDefault="003F0D95" w:rsidP="003F0D95">
                            <w:pPr>
                              <w:rPr>
                                <w:b/>
                                <w:bCs/>
                                <w:color w:val="1D74BA"/>
                                <w:sz w:val="36"/>
                                <w:szCs w:val="36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D74BA"/>
                                <w:sz w:val="36"/>
                                <w:szCs w:val="36"/>
                                <w:lang w:val="en-MY"/>
                              </w:rPr>
                              <w:t>Documentation Pack Index</w:t>
                            </w:r>
                            <w:r w:rsidRPr="00E75E19">
                              <w:rPr>
                                <w:b/>
                                <w:bCs/>
                                <w:color w:val="1D74BA"/>
                                <w:sz w:val="36"/>
                                <w:szCs w:val="36"/>
                                <w:lang w:val="en-MY"/>
                              </w:rPr>
                              <w:t xml:space="preserve"/>
                            </w:r>
                          </w:p>
                          <w:p w14:paraId="4B8244AC" w14:textId="7CD00658" w:rsidR="002F15FD" w:rsidRPr="001D3CAE" w:rsidRDefault="002F15FD" w:rsidP="003C3BF4">
                            <w:pPr>
                              <w:rPr>
                                <w:b/>
                                <w:bCs/>
                                <w:color w:val="1D74BA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E2BF4" id="_x0000_s1027" type="#_x0000_t202" style="position:absolute;margin-left:0;margin-top:101.7pt;width:356.6pt;height:37.55pt;z-index:25165824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" filled="f" stroked="f">
                <v:textbox>
                  <w:txbxContent>
                    <w:p w14:paraId="539063F1" w14:textId="4B04DDEF" w:rsidR="003F0D95" w:rsidRPr="00E75E19" w:rsidRDefault="003F0D95" w:rsidP="003F0D95">
                      <w:pPr>
                        <w:rPr>
                          <w:b/>
                          <w:bCs/>
                          <w:color w:val="1D74BA"/>
                          <w:sz w:val="36"/>
                          <w:szCs w:val="36"/>
                          <w:lang w:val="en-MY"/>
                        </w:rPr>
                      </w:pPr>
                      <w:r>
                        <w:rPr>
                          <w:b/>
                          <w:bCs/>
                          <w:color w:val="1D74BA"/>
                          <w:sz w:val="36"/>
                          <w:szCs w:val="36"/>
                          <w:lang w:val="en-MY"/>
                        </w:rPr>
                        <w:t>Documentation Pack Index</w:t>
                      </w:r>
                      <w:r w:rsidRPr="00E75E19">
                        <w:rPr>
                          <w:b/>
                          <w:bCs/>
                          <w:color w:val="1D74BA"/>
                          <w:sz w:val="36"/>
                          <w:szCs w:val="36"/>
                          <w:lang w:val="en-MY"/>
                        </w:rPr>
                        <w:t xml:space="preserve"/>
                      </w:r>
                    </w:p>
                    <w:p w14:paraId="4B8244AC" w14:textId="7CD00658" w:rsidR="002F15FD" w:rsidRPr="001D3CAE" w:rsidRDefault="002F15FD" w:rsidP="003C3BF4">
                      <w:pPr>
                        <w:rPr>
                          <w:b/>
                          <w:bCs/>
                          <w:color w:val="1D74BA"/>
                          <w:sz w:val="56"/>
                          <w:szCs w:val="5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3BF4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1BF25123" wp14:editId="646212E8">
                <wp:simplePos x="0" y="0"/>
                <wp:positionH relativeFrom="page">
                  <wp:posOffset>4992625</wp:posOffset>
                </wp:positionH>
                <wp:positionV relativeFrom="paragraph">
                  <wp:posOffset>4124960</wp:posOffset>
                </wp:positionV>
                <wp:extent cx="2400000" cy="266700"/>
                <wp:effectExtent l="0" t="0" r="0" b="0"/>
                <wp:wrapSquare wrapText="bothSides"/>
                <wp:docPr id="2121288187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CA37AE-CBDC-4F83-9202-1C48F3B8FDC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4779C" w14:textId="169D6E01" w:rsidR="003C3BF4" w:rsidRPr="002F15FD" w:rsidRDefault="0064254C" w:rsidP="003C3BF4">
                            <w:pPr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 w:rsidRPr="002F15FD">
                              <w:rPr>
                                <w:color w:val="1D74BA"/>
                              </w:rPr>
                              <w:t xml:space="preserve">Date - </w:t>
                            </w:r>
                            <w:r w:rsidRPr="002F15FD">
                              <w:rPr>
                                <w:b/>
                                <w:bCs/>
                                <w:color w:val="1D74BA"/>
                              </w:rPr>
                              <w:t>04 October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25123" id="_x0000_s1028" type="#_x0000_t202" style="position:absolute;margin-left:453.75pt;margin-top:324.8pt;width:128.25pt;height:21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" filled="f" stroked="f">
                <v:textbox>
                  <w:txbxContent>
                    <w:p w14:paraId="3064779C" w14:textId="169D6E01" w:rsidR="003C3BF4" w:rsidRPr="002F15FD" w:rsidRDefault="0064254C" w:rsidP="003C3BF4">
                      <w:pPr>
                        <w:rPr>
                          <w:b/>
                          <w:bCs/>
                          <w:color w:val="1D74BA"/>
                        </w:rPr>
                      </w:pPr>
                      <w:r w:rsidRPr="002F15FD">
                        <w:rPr>
                          <w:color w:val="1D74BA"/>
                        </w:rPr>
                        <w:t xml:space="preserve">Date - </w:t>
                      </w:r>
                      <w:r w:rsidRPr="002F15FD">
                        <w:rPr>
                          <w:b/>
                          <w:bCs/>
                          <w:color w:val="1D74BA"/>
                        </w:rPr>
                        <w:t>04 October 2026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C3BF4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58C23128" wp14:editId="498091B1">
                <wp:simplePos x="0" y="0"/>
                <wp:positionH relativeFrom="page">
                  <wp:posOffset>3095180</wp:posOffset>
                </wp:positionH>
                <wp:positionV relativeFrom="paragraph">
                  <wp:posOffset>4124960</wp:posOffset>
                </wp:positionV>
                <wp:extent cx="1600000" cy="266700"/>
                <wp:effectExtent l="0" t="0" r="0" b="0"/>
                <wp:wrapSquare wrapText="bothSides"/>
                <wp:docPr id="728187958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24D743-A85E-4208-9BF2-3E490CC7E55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BCAB9" w14:textId="1233059B" w:rsidR="003C3BF4" w:rsidRPr="002F15FD" w:rsidRDefault="003C3BF4" w:rsidP="003C3BF4">
                            <w:pPr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 w:rsidRPr="002F15FD">
                              <w:rPr>
                                <w:color w:val="1D74BA"/>
                              </w:rPr>
                              <w:t xml:space="preserve">Version - </w:t>
                            </w:r>
                            <w:r w:rsidR="00EC1FCB">
                              <w:rPr>
                                <w:b/>
                                <w:bCs/>
                                <w:color w:val="1D74BA"/>
                              </w:rPr>
                              <w:t>1</w:t>
                            </w:r>
                            <w:r w:rsidRPr="002F15FD">
                              <w:rPr>
                                <w:b/>
                                <w:bCs/>
                                <w:color w:val="1D74BA"/>
                              </w:rPr>
                              <w:t>.</w:t>
                            </w:r>
                            <w:r w:rsidR="00EC1FCB">
                              <w:rPr>
                                <w:b/>
                                <w:bCs/>
                                <w:color w:val="1D74B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23128" id="_x0000_s1029" type="#_x0000_t202" style="position:absolute;margin-left:263.4pt;margin-top:324.8pt;width:86.6pt;height:21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Z+p+wEAANQDAAAOAAAAZHJzL2Uyb0RvYy54bWysU11v2yAUfZ+0/4B4X+xkSZpYIVXXrtOk&#10;7kNq9wMIxjEacBmQ2Nmv3wW7abS9VfMDAl/uufece9hc90aTo/RBgWV0OikpkVZAreye0R9P9+9W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" filled="f" stroked="f">
                <v:textbox>
                  <w:txbxContent>
                    <w:p w14:paraId="1A3BCAB9" w14:textId="1233059B" w:rsidR="003C3BF4" w:rsidRPr="002F15FD" w:rsidRDefault="003C3BF4" w:rsidP="003C3BF4">
                      <w:pPr>
                        <w:rPr>
                          <w:b/>
                          <w:bCs/>
                          <w:color w:val="1D74BA"/>
                        </w:rPr>
                      </w:pPr>
                      <w:r w:rsidRPr="002F15FD">
                        <w:rPr>
                          <w:color w:val="1D74BA"/>
                        </w:rPr>
                        <w:t xml:space="preserve">Version - </w:t>
                      </w:r>
                      <w:r w:rsidR="00EC1FCB">
                        <w:rPr>
                          <w:b/>
                          <w:bCs/>
                          <w:color w:val="1D74BA"/>
                        </w:rPr>
                        <w:t>1</w:t>
                      </w:r>
                      <w:r w:rsidRPr="002F15FD">
                        <w:rPr>
                          <w:b/>
                          <w:bCs/>
                          <w:color w:val="1D74BA"/>
                        </w:rPr>
                        <w:t>.</w:t>
                      </w:r>
                      <w:r w:rsidR="00EC1FCB">
                        <w:rPr>
                          <w:b/>
                          <w:bCs/>
                          <w:color w:val="1D74BA"/>
                        </w:rPr>
                        <w:t>1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C0DBF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D43415C" wp14:editId="2B893344">
                <wp:simplePos x="0" y="0"/>
                <wp:positionH relativeFrom="page">
                  <wp:posOffset>194310</wp:posOffset>
                </wp:positionH>
                <wp:positionV relativeFrom="paragraph">
                  <wp:posOffset>4124960</wp:posOffset>
                </wp:positionV>
                <wp:extent cx="2600000" cy="266700"/>
                <wp:effectExtent l="0" t="0" r="0" b="0"/>
                <wp:wrapSquare wrapText="bothSides"/>
                <wp:docPr id="217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4E5FFD-7012-4F5C-89A4-E2F28B264C9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F8422" w14:textId="69B19D89" w:rsidR="00EC0DBF" w:rsidRPr="002F15FD" w:rsidRDefault="00EC0DBF" w:rsidP="00EC0DBF">
                            <w:pPr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 w:rsidRPr="002F15FD">
                              <w:rPr>
                                <w:color w:val="1D74BA"/>
                              </w:rPr>
                              <w:t xml:space="preserve">Prepared by </w:t>
                            </w:r>
                            <w:r w:rsidR="007B02D5" w:rsidRPr="002F15FD">
                              <w:rPr>
                                <w:color w:val="1D74BA"/>
                              </w:rPr>
                              <w:t>–</w:t>
                            </w:r>
                            <w:r w:rsidRPr="002F15FD">
                              <w:rPr>
                                <w:color w:val="1D74BA"/>
                              </w:rPr>
                              <w:t xml:space="preserve"> </w:t>
                            </w:r>
                            <w:r w:rsidR="00EC1FCB">
                              <w:rPr>
                                <w:b/>
                                <w:bCs/>
                                <w:color w:val="1D74BA"/>
                              </w:rPr>
                              <w:t>iorta TechNXT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3415C" id="_x0000_s1030" type="#_x0000_t202" style="position:absolute;margin-left:15.3pt;margin-top:324.8pt;width:144.35pt;height:21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" filled="f" stroked="f">
                <v:textbox>
                  <w:txbxContent>
                    <w:p w14:paraId="5ABF8422" w14:textId="69B19D89" w:rsidR="00EC0DBF" w:rsidRPr="002F15FD" w:rsidRDefault="00EC0DBF" w:rsidP="00EC0DBF">
                      <w:pPr>
                        <w:rPr>
                          <w:b/>
                          <w:bCs/>
                          <w:color w:val="1D74BA"/>
                        </w:rPr>
                      </w:pPr>
                      <w:r w:rsidRPr="002F15FD">
                        <w:rPr>
                          <w:color w:val="1D74BA"/>
                        </w:rPr>
                        <w:t xml:space="preserve">Prepared by </w:t>
                      </w:r>
                      <w:r w:rsidR="007B02D5" w:rsidRPr="002F15FD">
                        <w:rPr>
                          <w:color w:val="1D74BA"/>
                        </w:rPr>
                        <w:t>–</w:t>
                      </w:r>
                      <w:r w:rsidRPr="002F15FD">
                        <w:rPr>
                          <w:color w:val="1D74BA"/>
                        </w:rPr>
                        <w:t xml:space="preserve"> </w:t>
                      </w:r>
                      <w:r w:rsidR="00EC1FCB">
                        <w:rPr>
                          <w:b/>
                          <w:bCs/>
                          <w:color w:val="1D74BA"/>
                        </w:rPr>
                        <w:t>iorta TechNXT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D7430">
        <w:br w:type="page"/>
      </w:r>
    </w:p>
    <w:p w14:paraId="11016166" w14:textId="77777777" w:rsidR="002B183A" w:rsidRPr="00F52543" w:rsidRDefault="002B183A" w:rsidP="002B183A">
      <w:pPr>
        <w:pStyle w:val="TOCHeading"/>
        <w:tabs>
          <w:tab w:val="left" w:pos="1991"/>
          <w:tab w:val="center" w:pos="4725"/>
          <w:tab w:val="right" w:pos="9450"/>
        </w:tabs>
        <w:rPr>
          <w:rFonts w:ascii="Segoe UI" w:hAnsi="Segoe UI" w:cs="Segoe UI"/>
          <w:b/>
          <w:color w:val="003399"/>
        </w:rPr>
      </w:pPr>
      <w:r w:rsidRPr="00F52543">
        <w:rPr>
          <w:rFonts w:ascii="Segoe UI" w:eastAsia="Arial" w:hAnsi="Segoe UI" w:cs="Segoe UI"/>
          <w:b/>
          <w:color w:val="003399"/>
        </w:rPr>
        <w:lastRenderedPageBreak/>
        <w:t>TABLE OF CONTENTS</w:t>
      </w:r>
    </w:p>
    <w:p w14:paraId="7D024777" w14:textId="77777777" w:rsidR="002B183A" w:rsidRPr="009876A6" w:rsidRDefault="002B183A" w:rsidP="002B183A">
      <w:pPr>
        <w:rPr>
          <w:rFonts w:ascii="Segoe UI" w:hAnsi="Segoe UI" w:cs="Segoe UI"/>
          <w:color w:val="101820"/>
        </w:rPr>
      </w:pP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Right-click and choose Update Field to refresh the contents.</w:t>
      </w:r>
      <w:r>
        <w:fldChar w:fldCharType="end"/>
      </w:r>
    </w:p>
    <w:p w14:paraId="375D9C08" w14:textId="77777777" w:rsidR="002B183A" w:rsidRPr="00465CAB" w:rsidRDefault="002B183A" w:rsidP="002B183A">
      <w:pPr>
        <w:pStyle w:val="Heading1"/>
        <w:pageBreakBefore/>
        <w:tabs>
          <w:tab w:val="num" w:pos="360"/>
        </w:tabs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r w:rsidRPr="00DD3BAA">
        <w:rPr>
          <w:rStyle w:val="Hyperlink"/>
          <w:rFonts w:eastAsia="Calibri" w:cs="Segoe UI"/>
          <w:b/>
          <w:bCs/>
          <w:color w:val="101820"/>
          <w:szCs w:val="20"/>
        </w:rPr>
        <w:lastRenderedPageBreak/>
        <w:fldChar w:fldCharType="end"/>
      </w:r>
      <w:bookmarkStart w:id="0" w:name="_Toc11824118"/>
      <w:bookmarkStart w:id="1" w:name="_Toc48319687"/>
      <w:r w:rsidRPr="00212D69">
        <w:rPr>
          <w:rStyle w:val="BookTitle"/>
          <w:b w:val="0"/>
        </w:rPr>
        <w:t xml:space="preserve"> </w:t>
      </w:r>
      <w:bookmarkStart w:id="2" w:name="_Toc233203387"/>
      <w:r w:rsidRPr="00465CAB">
        <w:rPr>
          <w:rStyle w:val="BookTitle"/>
          <w:bCs w:val="0"/>
          <w:i w:val="0"/>
          <w:iCs w:val="0"/>
          <w:spacing w:val="0"/>
        </w:rPr>
        <w:t>1.  Document Control</w:t>
      </w:r>
      <w:bookmarkEnd w:id="0"/>
      <w:bookmarkEnd w:id="1"/>
      <w:bookmarkEnd w:id="2"/>
    </w:p>
    <w:p w14:paraId="1D37A198" w14:textId="77777777" w:rsidR="002B183A" w:rsidRPr="00CF07C4" w:rsidRDefault="002B183A" w:rsidP="002B183A">
      <w:pPr>
        <w:ind w:right="-180"/>
        <w:rPr>
          <w:rFonts w:ascii="Segoe UI" w:eastAsia="Arial" w:hAnsi="Segoe UI" w:cs="Segoe UI"/>
          <w:color w:val="FF5100"/>
          <w:sz w:val="18"/>
          <w:szCs w:val="18"/>
        </w:rPr>
      </w:pPr>
    </w:p>
    <w:tbl>
      <w:tblPr>
        <w:tblStyle w:val="TableGrid"/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53"/>
        <w:gridCol w:w="784"/>
        <w:gridCol w:w="1607"/>
        <w:gridCol w:w="1690"/>
        <w:gridCol w:w="1694"/>
        <w:gridCol w:w="1689"/>
      </w:tblGrid>
      <w:tr w:rsidR="002B183A" w14:paraId="4E198CD6" w14:textId="77777777" w:rsidTr="002923F3">
        <w:trPr>
          <w:trHeight w:val="440"/>
        </w:trPr>
        <w:tc>
          <w:tcPr>
            <w:tcW w:w="823" w:type="pct"/>
            <w:vAlign w:val="center"/>
          </w:tcPr>
          <w:p w14:paraId="7A3F1104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Date</w:t>
            </w:r>
          </w:p>
        </w:tc>
        <w:tc>
          <w:tcPr>
            <w:tcW w:w="414" w:type="pct"/>
            <w:vAlign w:val="center"/>
          </w:tcPr>
          <w:p w14:paraId="607CCD9F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Version</w:t>
            </w:r>
          </w:p>
        </w:tc>
        <w:tc>
          <w:tcPr>
            <w:tcW w:w="906" w:type="pct"/>
            <w:vAlign w:val="center"/>
          </w:tcPr>
          <w:p w14:paraId="2EE940AD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Author &amp; Business Unit Info</w:t>
            </w:r>
          </w:p>
        </w:tc>
        <w:tc>
          <w:tcPr>
            <w:tcW w:w="952" w:type="pct"/>
            <w:vAlign w:val="center"/>
          </w:tcPr>
          <w:p w14:paraId="4563069D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Reviewed By &amp; Business Unit Info</w:t>
            </w:r>
          </w:p>
        </w:tc>
        <w:tc>
          <w:tcPr>
            <w:tcW w:w="954" w:type="pct"/>
            <w:vAlign w:val="center"/>
          </w:tcPr>
          <w:p w14:paraId="03017FBE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Approved By &amp; Business Unit Info</w:t>
            </w:r>
          </w:p>
        </w:tc>
        <w:tc>
          <w:tcPr>
            <w:tcW w:w="951" w:type="pct"/>
            <w:vAlign w:val="center"/>
          </w:tcPr>
          <w:p w14:paraId="6B8E532B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Change History</w:t>
            </w:r>
          </w:p>
        </w:tc>
      </w:tr>
      <w:tr w:rsidR="002B183A" w:rsidRPr="00BB346A" w14:paraId="0CC92F71" w14:textId="77777777" w:rsidTr="002923F3">
        <w:trPr>
          <w:trHeight w:val="449"/>
        </w:trPr>
        <w:tc>
          <w:tcPr>
            <w:tcW w:w="823" w:type="pct"/>
            <w:vAlign w:val="center"/>
          </w:tcPr>
          <w:p w14:paraId="453CD405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proofErr w:type="spellStart"/>
            <w:proofErr w:type="spellEnd"/>
            <w:r>
              <w:rPr>
                <w:rFonts w:ascii="Segoe UI" w:hAnsi="Segoe UI" w:cs="Segoe UI" w:eastAsia="Segoe UI"/>
                <w:color w:val="101820"/>
                <w:sz w:val="16"/>
              </w:rPr>
              <w:t>04 October 2026</w:t>
            </w:r>
          </w:p>
        </w:tc>
        <w:tc>
          <w:tcPr>
            <w:tcW w:w="414" w:type="pct"/>
            <w:vAlign w:val="center"/>
          </w:tcPr>
          <w:p w14:paraId="499E9B55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1.1</w:t>
            </w:r>
          </w:p>
        </w:tc>
        <w:tc>
          <w:tcPr>
            <w:tcW w:w="906" w:type="pct"/>
            <w:vAlign w:val="center"/>
          </w:tcPr>
          <w:p w14:paraId="64B9EBB6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iorta TechNXT</w:t>
            </w:r>
          </w:p>
        </w:tc>
        <w:tc>
          <w:tcPr>
            <w:tcW w:w="952" w:type="pct"/>
            <w:vAlign w:val="center"/>
          </w:tcPr>
          <w:p w14:paraId="4B948B2B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</w:r>
          </w:p>
        </w:tc>
        <w:tc>
          <w:tcPr>
            <w:tcW w:w="954" w:type="pct"/>
            <w:vAlign w:val="center"/>
          </w:tcPr>
          <w:p w14:paraId="1CABD999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</w:r>
          </w:p>
        </w:tc>
        <w:tc>
          <w:tcPr>
            <w:tcW w:w="951" w:type="pct"/>
            <w:vAlign w:val="center"/>
          </w:tcPr>
          <w:p w14:paraId="07C7886B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Initial issue</w:t>
            </w:r>
          </w:p>
        </w:tc>
      </w:tr>
    </w:tbl>
    <w:p w14:paraId="1D2DA8DE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7BB40391" w14:textId="77777777" w:rsidR="002B183A" w:rsidRPr="00AB16B9" w:rsidRDefault="002B183A" w:rsidP="002B183A">
      <w:pPr>
        <w:ind w:right="90"/>
        <w:rPr>
          <w:rFonts w:ascii="Segoe UI" w:eastAsia="Arial" w:hAnsi="Segoe UI" w:cs="Segoe UI"/>
          <w:b/>
          <w:color w:val="D74E0F"/>
          <w:sz w:val="28"/>
        </w:rPr>
      </w:pPr>
    </w:p>
    <w:p w14:paraId="43F9D759" w14:textId="77777777" w:rsidR="002B183A" w:rsidRPr="00AB16B9" w:rsidRDefault="002B183A" w:rsidP="002B183A">
      <w:pPr>
        <w:spacing w:before="60"/>
        <w:rPr>
          <w:rFonts w:ascii="Segoe UI" w:eastAsia="Arial" w:hAnsi="Segoe UI" w:cs="Segoe UI"/>
          <w:b/>
          <w:color w:val="D74E0F"/>
          <w:sz w:val="28"/>
        </w:rPr>
      </w:pPr>
    </w:p>
    <w:p w14:paraId="62C74CF8" w14:textId="77777777" w:rsidR="002B183A" w:rsidRPr="00AB16B9" w:rsidRDefault="002B183A" w:rsidP="002B183A">
      <w:pPr>
        <w:ind w:right="90"/>
        <w:rPr>
          <w:rFonts w:ascii="Segoe UI" w:eastAsia="Arial" w:hAnsi="Segoe UI" w:cs="Segoe UI"/>
          <w:b/>
          <w:color w:val="D74E0F"/>
          <w:sz w:val="28"/>
        </w:rPr>
      </w:pPr>
    </w:p>
    <w:p w14:paraId="12E0A58E" w14:textId="77777777" w:rsidR="002B183A" w:rsidRPr="00465CAB" w:rsidRDefault="002B183A" w:rsidP="002B183A">
      <w:pPr>
        <w:pStyle w:val="Heading1"/>
        <w:tabs>
          <w:tab w:val="num" w:pos="360"/>
        </w:tabs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3" w:name="_Toc233203388"/>
      <w:r>
        <w:rPr>
          <w:rStyle w:val="BookTitle"/>
          <w:bCs w:val="0"/>
          <w:i w:val="0"/>
          <w:iCs w:val="0"/>
          <w:spacing w:val="0"/>
        </w:rPr>
        <w:t>2.  Acronyms</w:t>
      </w:r>
      <w:bookmarkEnd w:id="3"/>
    </w:p>
    <w:p w14:paraId="4F3BFBCC" w14:textId="77777777" w:rsidR="002B183A" w:rsidRPr="00CF07C4" w:rsidRDefault="002B183A" w:rsidP="002B183A">
      <w:pPr>
        <w:ind w:right="-180"/>
        <w:rPr>
          <w:rFonts w:ascii="Segoe UI" w:eastAsia="Arial" w:hAnsi="Segoe UI" w:cs="Segoe UI"/>
          <w:color w:val="FF5100"/>
          <w:sz w:val="18"/>
          <w:szCs w:val="18"/>
        </w:rPr>
      </w:pPr>
    </w:p>
    <w:tbl>
      <w:tblPr>
        <w:tblStyle w:val="TableGrid"/>
        <w:tblW w:w="348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534"/>
        <w:gridCol w:w="3742"/>
      </w:tblGrid>
      <w:tr w:rsidR="002B183A" w14:paraId="388F227F" w14:textId="77777777" w:rsidTr="002923F3">
        <w:trPr>
          <w:trHeight w:val="440"/>
        </w:trPr>
        <w:tc>
          <w:tcPr>
            <w:tcW w:w="2019" w:type="pct"/>
            <w:vAlign w:val="center"/>
          </w:tcPr>
          <w:p w14:paraId="4B379853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Acronym / Symbol</w:t>
            </w:r>
          </w:p>
        </w:tc>
        <w:tc>
          <w:tcPr>
            <w:tcW w:w="2981" w:type="pct"/>
            <w:vAlign w:val="center"/>
          </w:tcPr>
          <w:p w14:paraId="2EDB927A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Definition / Meaning</w:t>
            </w:r>
          </w:p>
        </w:tc>
      </w:tr>
      <w:tr w:rsidR="002B183A" w:rsidRPr="00BB346A" w14:paraId="73CFB63E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OOTB</w:t>
            </w:r>
          </w:p>
        </w:tc>
        <w:tc>
          <w:tcPr>
            <w:tcW w:w="2981" w:type="pct"/>
            <w:vAlign w:val="center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Out of the box</w:t>
            </w:r>
          </w:p>
        </w:tc>
      </w:tr>
      <w:tr w:rsidR="002B183A" w:rsidRPr="00BB346A" w14:paraId="1D8D9412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028F5493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DPO</w:t>
            </w:r>
          </w:p>
        </w:tc>
        <w:tc>
          <w:tcPr>
            <w:tcW w:w="2981" w:type="pct"/>
            <w:vAlign w:val="center"/>
          </w:tcPr>
          <w:p w14:paraId="4FAC3C2E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Data protection officer</w:t>
            </w:r>
          </w:p>
        </w:tc>
      </w:tr>
      <w:tr w:rsidR="002B183A" w:rsidRPr="00BB346A" w14:paraId="2DB2DE8A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5B763B79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NDA</w:t>
            </w:r>
          </w:p>
        </w:tc>
        <w:tc>
          <w:tcPr>
            <w:tcW w:w="2981" w:type="pct"/>
            <w:vAlign w:val="center"/>
          </w:tcPr>
          <w:p w14:paraId="61D46EFE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Non-disclosure agreement</w:t>
            </w:r>
          </w:p>
        </w:tc>
      </w:tr>
      <w:tr w:rsidR="002B183A" w:rsidRPr="00BB346A" w14:paraId="4866AFE9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42102CE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PIA</w:t>
            </w:r>
          </w:p>
        </w:tc>
        <w:tc>
          <w:tcPr>
            <w:tcW w:w="2981" w:type="pct"/>
            <w:vAlign w:val="center"/>
          </w:tcPr>
          <w:p w14:paraId="01983CF2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Privacy impact assessment</w:t>
            </w:r>
          </w:p>
        </w:tc>
      </w:tr>
      <w:tr w:rsidR="002B183A" w:rsidRPr="00BB346A" w14:paraId="6C77840B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267746A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RAID</w:t>
            </w:r>
          </w:p>
        </w:tc>
        <w:tc>
          <w:tcPr>
            <w:tcW w:w="2981" w:type="pct"/>
            <w:vAlign w:val="center"/>
          </w:tcPr>
          <w:p w14:paraId="48DD4A48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Risks, assumptions, issues and dependencies</w:t>
            </w:r>
          </w:p>
        </w:tc>
      </w:tr>
      <w:tr w:rsidR="002B183A" w:rsidRPr="00BB346A" w14:paraId="649EEC4F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40119CA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RACI</w:t>
            </w:r>
          </w:p>
        </w:tc>
        <w:tc>
          <w:tcPr>
            <w:tcW w:w="2981" w:type="pct"/>
            <w:vAlign w:val="center"/>
          </w:tcPr>
          <w:p w14:paraId="7EB443EE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Responsible, Accountable, Consulted, Informed</w:t>
            </w:r>
          </w:p>
        </w:tc>
      </w:tr>
      <w:tr w:rsidR="002B183A" w:rsidRPr="00BB346A" w14:paraId="649EEC4F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40119CA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ROI</w:t>
            </w:r>
          </w:p>
        </w:tc>
        <w:tc>
          <w:tcPr>
            <w:tcW w:w="2981" w:type="pct"/>
            <w:vAlign w:val="center"/>
          </w:tcPr>
          <w:p w14:paraId="7EB443EE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Return on investment</w:t>
            </w:r>
          </w:p>
        </w:tc>
      </w:tr>
      <w:tr w:rsidR="002B183A" w:rsidRPr="00BB346A" w14:paraId="649EEC4F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40119CA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SLA</w:t>
            </w:r>
          </w:p>
        </w:tc>
        <w:tc>
          <w:tcPr>
            <w:tcW w:w="2981" w:type="pct"/>
            <w:vAlign w:val="center"/>
          </w:tcPr>
          <w:p w14:paraId="7EB443EE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Service level agreement</w:t>
            </w:r>
          </w:p>
        </w:tc>
      </w:tr>
      <w:tr w:rsidR="002B183A" w:rsidRPr="00BB346A" w14:paraId="649EEC4F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40119CA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UAT</w:t>
            </w:r>
          </w:p>
        </w:tc>
        <w:tc>
          <w:tcPr>
            <w:tcW w:w="2981" w:type="pct"/>
            <w:vAlign w:val="center"/>
          </w:tcPr>
          <w:p w14:paraId="7EB443EE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User acceptance test</w:t>
            </w:r>
          </w:p>
        </w:tc>
      </w:tr>
      <w:tr w:rsidR="002B183A" w:rsidRPr="00BB346A" w14:paraId="649EEC4F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40119CA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DR</w:t>
            </w:r>
          </w:p>
        </w:tc>
        <w:tc>
          <w:tcPr>
            <w:tcW w:w="2981" w:type="pct"/>
            <w:vAlign w:val="center"/>
          </w:tcPr>
          <w:p w14:paraId="7EB443EE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Disaster recovery</w:t>
            </w:r>
          </w:p>
        </w:tc>
      </w:tr>
      <w:tr w:rsidR="002B183A" w:rsidRPr="00BB346A" w14:paraId="649EEC4F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40119CA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SaaS</w:t>
            </w:r>
          </w:p>
        </w:tc>
        <w:tc>
          <w:tcPr>
            <w:tcW w:w="2981" w:type="pct"/>
            <w:vAlign w:val="center"/>
          </w:tcPr>
          <w:p w14:paraId="7EB443EE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Software as a service</w:t>
            </w:r>
          </w:p>
        </w:tc>
      </w:tr>
    </w:tbl>
    <w:p w14:paraId="3FDC6D70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065F3A42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0E4A9DEB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5F98ECBA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08BE89CB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10B8EBA5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2134C394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003FC5CF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29943CCA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36ECD9C4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376B07E6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>
      <w:pPr>
        <w:pStyle w:val="Heading1"/>
        <w:pageBreakBefore w:val="0"/>
      </w:pPr>
      <w:r>
        <w:rPr>
          <w:rFonts w:ascii="Segoe UI" w:hAnsi="Segoe UI" w:cs="Segoe UI" w:eastAsia="Segoe UI"/>
          <w:b/>
          <w:color w:val="0F4761"/>
          <w:sz w:val="32"/>
        </w:rPr>
        <w:t>3.  How to use this index</w:t>
      </w:r>
    </w:p>
    <w:p>
      <w:pPr>
        <w:spacing w:after="120" w:line="276" w:lineRule="auto"/>
      </w:pPr>
      <w:r>
        <w:rPr>
          <w:rFonts w:ascii="Segoe UI" w:hAnsi="Segoe UI" w:cs="Segoe UI" w:eastAsia="Segoe UI"/>
          <w:color w:val="101820"/>
          <w:sz w:val="21"/>
        </w:rPr>
        <w:t>The BrokerVerse OOTB documentation pack holds every document iorta TechNXT uses to sell, contract, implement, run and support iNXT BrokerVerse OOTB for a Philippine non-life broker. This index lists each file by folder, with its purpose, its audience and the stage of the customer lifecycle in which it is used.</w:t>
      </w:r>
    </w:p>
    <w:p>
      <w:pPr>
        <w:spacing w:after="60"/>
        <w:numPr>
          <w:ilvl w:val="0"/>
          <w:numId w:val="3"/>
        </w:numPr>
      </w:pPr>
      <w:r>
        <w:rPr>
          <w:rFonts w:ascii="Segoe UI" w:hAnsi="Segoe UI" w:cs="Segoe UI" w:eastAsia="Segoe UI"/>
          <w:b/>
          <w:color w:val="101820"/>
          <w:sz w:val="21"/>
        </w:rPr>
        <w:t>Client-facing</w:t>
      </w:r>
      <w:r>
        <w:rPr>
          <w:rFonts w:ascii="Segoe UI" w:hAnsi="Segoe UI" w:cs="Segoe UI" w:eastAsia="Segoe UI"/>
          <w:color w:val="101820"/>
          <w:sz w:val="21"/>
        </w:rPr>
        <w:t xml:space="preserve"> files may be given to the broker, normally from the stage shown.</w:t>
      </w:r>
    </w:p>
    <w:p>
      <w:pPr>
        <w:spacing w:after="60"/>
        <w:numPr>
          <w:ilvl w:val="0"/>
          <w:numId w:val="3"/>
        </w:numPr>
      </w:pPr>
      <w:r>
        <w:rPr>
          <w:rFonts w:ascii="Segoe UI" w:hAnsi="Segoe UI" w:cs="Segoe UI" w:eastAsia="Segoe UI"/>
          <w:b/>
          <w:color w:val="101820"/>
          <w:sz w:val="21"/>
        </w:rPr>
        <w:t>INTERNAL</w:t>
      </w:r>
      <w:r>
        <w:rPr>
          <w:rFonts w:ascii="Segoe UI" w:hAnsi="Segoe UI" w:cs="Segoe UI" w:eastAsia="Segoe UI"/>
          <w:color w:val="101820"/>
          <w:sz w:val="21"/>
        </w:rPr>
        <w:t xml:space="preserve"> files are for iorta TechNXT staff only. They hold pricing logic, discount limits, competitor positioning or internal strategy and are never sent to a broker or attached to a proposal. Their file names end in </w:t>
      </w:r>
      <w:r>
        <w:rPr>
          <w:rFonts w:ascii="Consolas" w:hAnsi="Consolas" w:cs="Consolas" w:eastAsia="Consolas"/>
          <w:color w:val="101820"/>
          <w:sz w:val="19"/>
        </w:rPr>
        <w:t>_INTERNAL</w:t>
      </w:r>
      <w:r>
        <w:rPr>
          <w:rFonts w:ascii="Segoe UI" w:hAnsi="Segoe UI" w:cs="Segoe UI" w:eastAsia="Segoe UI"/>
          <w:color w:val="101820"/>
          <w:sz w:val="21"/>
        </w:rPr>
        <w:t xml:space="preserve"> where the document is a sales tool.</w:t>
      </w:r>
    </w:p>
    <w:p>
      <w:pPr>
        <w:spacing w:after="60"/>
        <w:numPr>
          <w:ilvl w:val="0"/>
          <w:numId w:val="3"/>
        </w:numPr>
      </w:pPr>
      <w:r>
        <w:rPr>
          <w:rFonts w:ascii="Segoe UI" w:hAnsi="Segoe UI" w:cs="Segoe UI" w:eastAsia="Segoe UI"/>
          <w:color w:val="101820"/>
          <w:sz w:val="21"/>
        </w:rPr>
        <w:t>Audiences: Sales (account managers and presales), Delivery (implementation project managers and consultants), Development (product engineering), Support (L2 and L3 application support), Management (iorta TechNXT management, and the broker's management for client-facing files).</w:t>
      </w:r>
    </w:p>
    <w:p>
      <w:pPr>
        <w:spacing w:after="60"/>
        <w:numPr>
          <w:ilvl w:val="0"/>
          <w:numId w:val="3"/>
        </w:numPr>
      </w:pPr>
      <w:r>
        <w:rPr>
          <w:rFonts w:ascii="Segoe UI" w:hAnsi="Segoe UI" w:cs="Segoe UI" w:eastAsia="Segoe UI"/>
          <w:color w:val="101820"/>
          <w:sz w:val="21"/>
        </w:rPr>
        <w:t>Lifecycle stages: Pre-sales, Contracting, Implementation, Go-live, Support.</w:t>
      </w:r>
    </w:p>
    <w:p>
      <w:pPr>
        <w:spacing w:after="120" w:line="276" w:lineRule="auto"/>
      </w:pPr>
      <w:r>
        <w:rPr>
          <w:rFonts w:ascii="Segoe UI" w:hAnsi="Segoe UI" w:cs="Segoe UI" w:eastAsia="Segoe UI"/>
          <w:color w:val="101820"/>
          <w:sz w:val="21"/>
        </w:rPr>
        <w:t xml:space="preserve">The files are kept in </w:t>
      </w:r>
      <w:r>
        <w:rPr>
          <w:rFonts w:ascii="Consolas" w:hAnsi="Consolas" w:cs="Consolas" w:eastAsia="Consolas"/>
          <w:color w:val="101820"/>
          <w:sz w:val="19"/>
        </w:rPr>
        <w:t>docs/package</w:t>
      </w:r>
      <w:r>
        <w:rPr>
          <w:rFonts w:ascii="Segoe UI" w:hAnsi="Segoe UI" w:cs="Segoe UI" w:eastAsia="Segoe UI"/>
          <w:color w:val="101820"/>
          <w:sz w:val="21"/>
        </w:rPr>
        <w:t xml:space="preserve">, one folder per purpose in the order of the customer lifecycle, and each file is kept once. </w:t>
      </w:r>
      <w:r>
        <w:rPr>
          <w:rFonts w:ascii="Consolas" w:hAnsi="Consolas" w:cs="Consolas" w:eastAsia="Consolas"/>
          <w:color w:val="101820"/>
          <w:sz w:val="19"/>
        </w:rPr>
        <w:t>source/</w:t>
      </w:r>
      <w:r>
        <w:rPr>
          <w:rFonts w:ascii="Segoe UI" w:hAnsi="Segoe UI" w:cs="Segoe UI" w:eastAsia="Segoe UI"/>
          <w:color w:val="101820"/>
          <w:sz w:val="21"/>
        </w:rPr>
        <w:t xml:space="preserve"> holds the text sources and </w:t>
      </w:r>
      <w:r>
        <w:rPr>
          <w:rFonts w:ascii="Consolas" w:hAnsi="Consolas" w:cs="Consolas" w:eastAsia="Consolas"/>
          <w:color w:val="101820"/>
          <w:sz w:val="19"/>
        </w:rPr>
        <w:t>tools/</w:t>
      </w:r>
      <w:r>
        <w:rPr>
          <w:rFonts w:ascii="Segoe UI" w:hAnsi="Segoe UI" w:cs="Segoe UI" w:eastAsia="Segoe UI"/>
          <w:color w:val="101820"/>
          <w:sz w:val="21"/>
        </w:rPr>
        <w:t xml:space="preserve"> the builders.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3018"/>
        <w:gridCol w:w="5089"/>
        <w:gridCol w:w="907"/>
      </w:tblGrid>
      <w:tr>
        <w:trPr>
          <w:tblHeader w:val="true"/>
        </w:trPr>
        <w:tc>
          <w:tcPr>
            <w:tcW w:type="dxa" w:w="3018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Folder</w:t>
            </w:r>
          </w:p>
        </w:tc>
        <w:tc>
          <w:tcPr>
            <w:tcW w:type="dxa" w:w="5089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What it holds</w:t>
            </w:r>
          </w:p>
        </w:tc>
        <w:tc>
          <w:tcPr>
            <w:tcW w:type="dxa" w:w="90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Count</w:t>
            </w:r>
          </w:p>
        </w:tc>
      </w:tr>
      <w:tr>
        <w:tc>
          <w:tcPr>
            <w:tcW w:type="dxa" w:w="3018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01_Sales/</w:t>
            </w:r>
          </w:p>
        </w:tc>
        <w:tc>
          <w:tcPr>
            <w:tcW w:type="dxa" w:w="508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Material for prospects and the sales team: brochures, presentation, functionality, demo, FAQ, e-mails, ROI calculator and the competitive battlecard.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10</w:t>
            </w:r>
          </w:p>
        </w:tc>
      </w:tr>
      <w:tr>
        <w:tc>
          <w:tcPr>
            <w:tcW w:type="dxa" w:w="3018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02_Commercials/</w:t>
            </w:r>
          </w:p>
        </w:tc>
        <w:tc>
          <w:tcPr>
            <w:tcW w:type="dxa" w:w="508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Prices and the commercial proposal: the rate card given to the broker, and the internal pricing model, price book, proposal note and negotiation playbook.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5</w:t>
            </w:r>
          </w:p>
        </w:tc>
      </w:tr>
      <w:tr>
        <w:tc>
          <w:tcPr>
            <w:tcW w:type="dxa" w:w="3018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03_Contracts/</w:t>
            </w:r>
          </w:p>
        </w:tc>
        <w:tc>
          <w:tcPr>
            <w:tcW w:type="dxa" w:w="508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The contract pack, from the NDA to the hypercare exit certificate, including the UAT and go-live acceptance certificates.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18</w:t>
            </w:r>
          </w:p>
        </w:tc>
      </w:tr>
      <w:tr>
        <w:tc>
          <w:tcPr>
            <w:tcW w:type="dxa" w:w="3018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04_Onboarding_and_Go_Live/</w:t>
            </w:r>
          </w:p>
        </w:tc>
        <w:tc>
          <w:tcPr>
            <w:tcW w:type="dxa" w:w="508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What the broker completes or reviews to onboard and go live: security due diligence, discovery and configuration, privacy impact assessment, data migration and cutover, and the go-live data workbooks.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6</w:t>
            </w:r>
          </w:p>
        </w:tc>
      </w:tr>
      <w:tr>
        <w:tc>
          <w:tcPr>
            <w:tcW w:type="dxa" w:w="3018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05_Delivery/</w:t>
            </w:r>
          </w:p>
        </w:tc>
        <w:tc>
          <w:tcPr>
            <w:tcW w:type="dxa" w:w="508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 xml:space="preserve">The implementation project: approach and plan, project control templates, training, user manual, reports, communications, schedules, tests and the regulatory compliance matrix. The standard upload templates are kept in the sub-folder </w:t>
            </w:r>
            <w:r>
              <w:rPr>
                <w:rFonts w:ascii="Consolas" w:hAnsi="Consolas" w:cs="Consolas" w:eastAsia="Consolas"/>
                <w:color w:val="101820"/>
                <w:sz w:val="16"/>
              </w:rPr>
              <w:t>Upload_Templates/</w:t>
            </w:r>
            <w:r>
              <w:rPr>
                <w:rFonts w:ascii="Segoe UI" w:hAnsi="Segoe UI" w:cs="Segoe UI" w:eastAsia="Segoe UI"/>
                <w:color w:val="101820"/>
                <w:sz w:val="18"/>
              </w:rPr>
              <w:t>.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14</w:t>
            </w:r>
          </w:p>
        </w:tc>
      </w:tr>
      <w:tr>
        <w:tc>
          <w:tcPr>
            <w:tcW w:type="dxa" w:w="3018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06_Support/</w:t>
            </w:r>
          </w:p>
        </w:tc>
        <w:tc>
          <w:tcPr>
            <w:tcW w:type="dxa" w:w="508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Production support, business continuity and disaster recovery, and releases.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4</w:t>
            </w:r>
          </w:p>
        </w:tc>
      </w:tr>
      <w:tr>
        <w:tc>
          <w:tcPr>
            <w:tcW w:type="dxa" w:w="3018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07_Technical/</w:t>
            </w:r>
          </w:p>
        </w:tc>
        <w:tc>
          <w:tcPr>
            <w:tcW w:type="dxa" w:w="508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Architecture, infrastructure, security and privacy, technical reference, API catalogue and data dictionary.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4</w:t>
            </w:r>
          </w:p>
        </w:tc>
      </w:tr>
      <w:tr>
        <w:tc>
          <w:tcPr>
            <w:tcW w:type="dxa" w:w="3018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08_Management/</w:t>
            </w:r>
          </w:p>
        </w:tc>
        <w:tc>
          <w:tcPr>
            <w:tcW w:type="dxa" w:w="508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Release recommendation and management register, OOTB strategy and this index.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3</w:t>
            </w:r>
          </w:p>
        </w:tc>
      </w:tr>
    </w:tbl>
    <w:p>
      <w:pPr>
        <w:pStyle w:val="Heading1"/>
        <w:pageBreakBefore/>
      </w:pPr>
      <w:r>
        <w:rPr>
          <w:rFonts w:ascii="Segoe UI" w:hAnsi="Segoe UI" w:cs="Segoe UI" w:eastAsia="Segoe UI"/>
          <w:b/>
          <w:color w:val="0F4761"/>
          <w:sz w:val="32"/>
        </w:rPr>
        <w:t>4.  Index by audience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3005"/>
        <w:gridCol w:w="6009"/>
      </w:tblGrid>
      <w:tr>
        <w:trPr>
          <w:tblHeader w:val="true"/>
        </w:trPr>
        <w:tc>
          <w:tcPr>
            <w:tcW w:type="dxa" w:w="3005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Audience</w:t>
            </w:r>
          </w:p>
        </w:tc>
        <w:tc>
          <w:tcPr>
            <w:tcW w:type="dxa" w:w="6009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Start with</w:t>
            </w:r>
          </w:p>
        </w:tc>
      </w:tr>
      <w:tr>
        <w:tc>
          <w:tcPr>
            <w:tcW w:type="dxa" w:w="300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 (26 entries)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Product Functionality, Demo Script, FAQ and Objection Handling, Rate Card, Battlecard (INTERNAL), Negotiation Playbook (INTERNAL)</w:t>
            </w:r>
          </w:p>
        </w:tc>
      </w:tr>
      <w:tr>
        <w:tc>
          <w:tcPr>
            <w:tcW w:type="dxa" w:w="300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 (33 entries)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 Approach and Plan, Discovery Workbook Guide, Fit-Gap Register, RAID Log, Data Migration and Cutover Plan, User Manual</w:t>
            </w:r>
          </w:p>
        </w:tc>
      </w:tr>
      <w:tr>
        <w:tc>
          <w:tcPr>
            <w:tcW w:type="dxa" w:w="300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Development (11 entries)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Technical Reference, API and Dependency Catalogue, Data Dictionary, Release Notes Template</w:t>
            </w:r>
          </w:p>
        </w:tc>
      </w:tr>
      <w:tr>
        <w:tc>
          <w:tcPr>
            <w:tcW w:type="dxa" w:w="300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Support (22 entries)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Production Support Approach and Standards, Schedules and Batch Jobs, Business Continuity and Disaster Recovery Plan, Communication Templates</w:t>
            </w:r>
          </w:p>
        </w:tc>
      </w:tr>
      <w:tr>
        <w:tc>
          <w:tcPr>
            <w:tcW w:type="dxa" w:w="300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Management (39 entries)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Go/No-Go and Management Register (INTERNAL), OOTB Strategy and Playbook (INTERNAL), Commercial Proposal Note (INTERNAL), Release Notes and Roadmap</w:t>
            </w:r>
          </w:p>
        </w:tc>
      </w:tr>
    </w:tbl>
    <w:p>
      <w:pPr>
        <w:pStyle w:val="Heading1"/>
        <w:pageBreakBefore/>
      </w:pPr>
      <w:r>
        <w:rPr>
          <w:rFonts w:ascii="Segoe UI" w:hAnsi="Segoe UI" w:cs="Segoe UI" w:eastAsia="Segoe UI"/>
          <w:b/>
          <w:color w:val="0F4761"/>
          <w:sz w:val="32"/>
        </w:rPr>
        <w:t>5.  Index by lifecycle stage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2035"/>
        <w:gridCol w:w="6979"/>
      </w:tblGrid>
      <w:tr>
        <w:trPr>
          <w:tblHeader w:val="true"/>
        </w:trPr>
        <w:tc>
          <w:tcPr>
            <w:tcW w:type="dxa" w:w="2035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Stage</w:t>
            </w:r>
          </w:p>
        </w:tc>
        <w:tc>
          <w:tcPr>
            <w:tcW w:type="dxa" w:w="6979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Documents used</w:t>
            </w:r>
          </w:p>
        </w:tc>
      </w:tr>
      <w:tr>
        <w:tc>
          <w:tcPr>
            <w:tcW w:type="dxa" w:w="203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</w:t>
            </w:r>
          </w:p>
        </w:tc>
        <w:tc>
          <w:tcPr>
            <w:tcW w:type="dxa" w:w="697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Brochure; One Page Brochure; Client Presentation; Product Functionality; Demo Script; FAQ and Objection Handling; Prospect Email Templates; Prospect Email Templates; ROI Calculator; Competitive Battlecard INTERNAL (INTERNAL); Commercial Proposal Rate Card; Commercials and Pricing (INTERNAL); Price Book (INTERNAL); Commercial Proposal Note (INTERNAL); Mutual Non Disclosure Agreement; Security Due Diligence Questionnaire; Implementation Approach and Plan; Test Summary Report; Philippine Regulatory Compliance Matrix; Release Notes and Roadmap; Architecture Infrastructure Security and Privacy; OOTB Strategy and Playbook INTERNAL (INTERNAL); OOTB Documentation Pack Index</w:t>
            </w:r>
          </w:p>
        </w:tc>
      </w:tr>
      <w:tr>
        <w:tc>
          <w:tcPr>
            <w:tcW w:type="dxa" w:w="203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</w:t>
            </w:r>
          </w:p>
        </w:tc>
        <w:tc>
          <w:tcPr>
            <w:tcW w:type="dxa" w:w="697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Prospect Email Templates; Prospect Email Templates; Commercial Proposal Rate Card; Commercials and Pricing (INTERNAL); Price Book (INTERNAL); Commercial Proposal Note (INTERNAL); Negotiation Playbook INTERNAL (INTERNAL); Contract Pack Index and Cover Letter; Letter of Award and Proposal Acceptance; Master Services Agreement; Order Form; Perpetual Software Licence Agreement; Software Subscription Agreement; Implementation Statement of Work; Annual Maintenance Support and SLA; Hosting and Infrastructure Services Agreement; Data Processing Agreement; Service Catalogue and Rate Annex; Customer Responsibilities and RACI Annex; Change Request Procedure and Form; Source Code Escrow Agreement; Exit and Transition Plan; Security Due Diligence Questionnaire; Production Support Approach and Standards; Business Continuity and Disaster Recovery Plan; Architecture Infrastructure Security and Privacy; OOTB Strategy and Playbook INTERNAL (INTERNAL); OOTB Documentation Pack Index</w:t>
            </w:r>
          </w:p>
        </w:tc>
      </w:tr>
      <w:tr>
        <w:tc>
          <w:tcPr>
            <w:tcW w:type="dxa" w:w="203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</w:t>
            </w:r>
          </w:p>
        </w:tc>
        <w:tc>
          <w:tcPr>
            <w:tcW w:type="dxa" w:w="697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 Statement of Work; Customer Responsibilities and RACI Annex; Change Request Procedure and Form; Discovery Workbook Guide; Discovery and Configuration Workbook; Data Migration and Cutover Plan; Environment Strategy and Production Rollout; Privacy Impact Assessment and Records of Processing Templates; Implementation Approach and Plan; Implementation Plan; Fit Gap Register; RAID Log Template; Project Status Report Template; Training Plan; User Manual; Reports Book; Communication Templates and Touchpoints; Communication Touchpoints; Schedules and Batch Jobs; Test Cases; Philippine Regulatory Compliance Matrix; Architecture Infrastructure Security and Privacy; Technical Reference; API and Dependency Catalogue; Data Dictionary; OOTB Strategy and Playbook INTERNAL (INTERNAL); OOTB Documentation Pack Index; Upload Templates</w:t>
            </w:r>
          </w:p>
        </w:tc>
      </w:tr>
      <w:tr>
        <w:tc>
          <w:tcPr>
            <w:tcW w:type="dxa" w:w="203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Go-live</w:t>
            </w:r>
          </w:p>
        </w:tc>
        <w:tc>
          <w:tcPr>
            <w:tcW w:type="dxa" w:w="697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UAT and Go Live Acceptance Certificates; Hypercare Exit and Handover Certificate; Data Migration and Cutover Plan; Environment Strategy and Production Rollout; Privacy Impact Assessment and Records of Processing Templates; RAID Log Template; Project Status Report Template; User Manual; Schedules and Batch Jobs; Test Cases; Test Summary Report; Production Support Approach and Standards; Release Notes and Roadmap; Go No Go and Management Register (INTERNAL); OOTB Strategy and Playbook INTERNAL (INTERNAL); OOTB Documentation Pack Index; Upload Templates</w:t>
            </w:r>
          </w:p>
        </w:tc>
      </w:tr>
      <w:tr>
        <w:tc>
          <w:tcPr>
            <w:tcW w:type="dxa" w:w="203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Support</w:t>
            </w:r>
          </w:p>
        </w:tc>
        <w:tc>
          <w:tcPr>
            <w:tcW w:type="dxa" w:w="697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Annual Maintenance Support and SLA; Hosting and Infrastructure Services Agreement; Service Catalogue and Rate Annex; Change Request Procedure and Form; Exit and Transition Plan; Hypercare Exit and Handover Certificate; User Manual; Reports Book; Communication Templates and Touchpoints; Communication Touchpoints; Schedules and Batch Jobs; Production Support Approach and Standards; Business Continuity and Disaster Recovery Plan; Release Notes and Roadmap; Release Notes Template; Technical Reference; API and Dependency Catalogue; Data Dictionary; OOTB Strategy and Playbook INTERNAL (INTERNAL); OOTB Documentation Pack Index</w:t>
            </w:r>
          </w:p>
        </w:tc>
      </w:tr>
    </w:tbl>
    <w:p>
      <w:pPr>
        <w:pStyle w:val="Heading1"/>
        <w:pageBreakBefore/>
      </w:pPr>
      <w:r>
        <w:rPr>
          <w:rFonts w:ascii="Segoe UI" w:hAnsi="Segoe UI" w:cs="Segoe UI" w:eastAsia="Segoe UI"/>
          <w:b/>
          <w:color w:val="0F4761"/>
          <w:sz w:val="32"/>
        </w:rPr>
        <w:t>6.  File list by folder</w:t>
      </w: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6.1  Sales (01_Sales)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3016"/>
        <w:gridCol w:w="3014"/>
        <w:gridCol w:w="1599"/>
        <w:gridCol w:w="1386"/>
      </w:tblGrid>
      <w:tr>
        <w:trPr>
          <w:tblHeader w:val="true"/>
        </w:trPr>
        <w:tc>
          <w:tcPr>
            <w:tcW w:type="dxa" w:w="3016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File and formats</w:t>
            </w:r>
          </w:p>
        </w:tc>
        <w:tc>
          <w:tcPr>
            <w:tcW w:type="dxa" w:w="3014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Purpose</w:t>
            </w:r>
          </w:p>
        </w:tc>
        <w:tc>
          <w:tcPr>
            <w:tcW w:type="dxa" w:w="1599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Audience and distribution</w:t>
            </w:r>
          </w:p>
        </w:tc>
        <w:tc>
          <w:tcPr>
            <w:tcW w:type="dxa" w:w="1386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Used in</w:t>
            </w:r>
          </w:p>
        </w:tc>
      </w:tr>
      <w:tr>
        <w:tc>
          <w:tcPr>
            <w:tcW w:type="dxa" w:w="3016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iNXT_BrokerVerse_Brochure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30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Two-page product brochure</w:t>
            </w:r>
          </w:p>
        </w:tc>
        <w:tc>
          <w:tcPr>
            <w:tcW w:type="dxa" w:w="159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38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</w:t>
            </w:r>
          </w:p>
        </w:tc>
      </w:tr>
      <w:tr>
        <w:tc>
          <w:tcPr>
            <w:tcW w:type="dxa" w:w="3016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iNXT_BrokerVerse_One_Page_Brochure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pdf, png</w:t>
            </w:r>
          </w:p>
        </w:tc>
        <w:tc>
          <w:tcPr>
            <w:tcW w:type="dxa" w:w="30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One-page summary for a first e-mail or a trade event</w:t>
            </w:r>
          </w:p>
        </w:tc>
        <w:tc>
          <w:tcPr>
            <w:tcW w:type="dxa" w:w="159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38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</w:t>
            </w:r>
          </w:p>
        </w:tc>
      </w:tr>
      <w:tr>
        <w:tc>
          <w:tcPr>
            <w:tcW w:type="dxa" w:w="3016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iNXT_BrokerVerse_Client_Presentation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pptx, pdf</w:t>
            </w:r>
          </w:p>
        </w:tc>
        <w:tc>
          <w:tcPr>
            <w:tcW w:type="dxa" w:w="30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Client presentation deck for the first meeting</w:t>
            </w:r>
          </w:p>
        </w:tc>
        <w:tc>
          <w:tcPr>
            <w:tcW w:type="dxa" w:w="159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38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</w:t>
            </w:r>
          </w:p>
        </w:tc>
      </w:tr>
      <w:tr>
        <w:tc>
          <w:tcPr>
            <w:tcW w:type="dxa" w:w="3016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iNXT_BrokerVerse_Product_Functionality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30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What the product does, module by module, with the vendor comparison checklist</w:t>
            </w:r>
          </w:p>
        </w:tc>
        <w:tc>
          <w:tcPr>
            <w:tcW w:type="dxa" w:w="159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Sales, Delivery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38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</w:t>
            </w:r>
          </w:p>
        </w:tc>
      </w:tr>
      <w:tr>
        <w:tc>
          <w:tcPr>
            <w:tcW w:type="dxa" w:w="3016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iNXT_BrokerVerse_Demo_Script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30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Scripted product demonstration with personas, data and timings</w:t>
            </w:r>
          </w:p>
        </w:tc>
        <w:tc>
          <w:tcPr>
            <w:tcW w:type="dxa" w:w="159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38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</w:t>
            </w:r>
          </w:p>
        </w:tc>
      </w:tr>
      <w:tr>
        <w:tc>
          <w:tcPr>
            <w:tcW w:type="dxa" w:w="3016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iNXT_BrokerVerse_FAQ_and_Objection_Handling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30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Answers to common questions and objections; known limits to disclose</w:t>
            </w:r>
          </w:p>
        </w:tc>
        <w:tc>
          <w:tcPr>
            <w:tcW w:type="dxa" w:w="159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38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</w:t>
            </w:r>
          </w:p>
        </w:tc>
      </w:tr>
      <w:tr>
        <w:tc>
          <w:tcPr>
            <w:tcW w:type="dxa" w:w="3016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iNXT_BrokerVerse_Prospect_Email_Templates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30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E-mails from first contact to the welcome after signing</w:t>
            </w:r>
          </w:p>
        </w:tc>
        <w:tc>
          <w:tcPr>
            <w:tcW w:type="dxa" w:w="159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38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Pre-sales, Contracting</w:t>
            </w:r>
          </w:p>
        </w:tc>
      </w:tr>
      <w:tr>
        <w:tc>
          <w:tcPr>
            <w:tcW w:type="dxa" w:w="3016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Prospect_Email_Templates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txt</w:t>
            </w:r>
          </w:p>
        </w:tc>
        <w:tc>
          <w:tcPr>
            <w:tcW w:type="dxa" w:w="30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Plain-text copy of the prospect e-mails for pasting into a mail client</w:t>
            </w:r>
          </w:p>
        </w:tc>
        <w:tc>
          <w:tcPr>
            <w:tcW w:type="dxa" w:w="159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38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Pre-sales, Contracting</w:t>
            </w:r>
          </w:p>
        </w:tc>
      </w:tr>
      <w:tr>
        <w:tc>
          <w:tcPr>
            <w:tcW w:type="dxa" w:w="3016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iNXT_BrokerVerse_ROI_Calculator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xlsx</w:t>
            </w:r>
          </w:p>
        </w:tc>
        <w:tc>
          <w:tcPr>
            <w:tcW w:type="dxa" w:w="30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Return on investment calculator filled in with the broker</w:t>
            </w:r>
          </w:p>
        </w:tc>
        <w:tc>
          <w:tcPr>
            <w:tcW w:type="dxa" w:w="159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38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</w:t>
            </w:r>
          </w:p>
        </w:tc>
      </w:tr>
      <w:tr>
        <w:tc>
          <w:tcPr>
            <w:tcW w:type="dxa" w:w="3016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iNXT_BrokerVerse_Competitive_Battlecard_INTERNAL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30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Competitor positioning and proof points</w:t>
            </w:r>
          </w:p>
        </w:tc>
        <w:tc>
          <w:tcPr>
            <w:tcW w:type="dxa" w:w="159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</w:t>
            </w:r>
          </w:p>
          <w:p>
            <w:r>
              <w:rPr>
                <w:rFonts w:ascii="Segoe UI" w:hAnsi="Segoe UI" w:cs="Segoe UI" w:eastAsia="Segoe UI"/>
                <w:b/>
                <w:color w:val="101820"/>
                <w:sz w:val="18"/>
              </w:rPr>
              <w:t>INTERNAL</w:t>
            </w:r>
          </w:p>
        </w:tc>
        <w:tc>
          <w:tcPr>
            <w:tcW w:type="dxa" w:w="138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6.2  Commercials (02_Commercials)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3016"/>
        <w:gridCol w:w="3014"/>
        <w:gridCol w:w="1599"/>
        <w:gridCol w:w="1386"/>
      </w:tblGrid>
      <w:tr>
        <w:trPr>
          <w:tblHeader w:val="true"/>
        </w:trPr>
        <w:tc>
          <w:tcPr>
            <w:tcW w:type="dxa" w:w="3016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File and formats</w:t>
            </w:r>
          </w:p>
        </w:tc>
        <w:tc>
          <w:tcPr>
            <w:tcW w:type="dxa" w:w="3014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Purpose</w:t>
            </w:r>
          </w:p>
        </w:tc>
        <w:tc>
          <w:tcPr>
            <w:tcW w:type="dxa" w:w="1599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Audience and distribution</w:t>
            </w:r>
          </w:p>
        </w:tc>
        <w:tc>
          <w:tcPr>
            <w:tcW w:type="dxa" w:w="1386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Used in</w:t>
            </w:r>
          </w:p>
        </w:tc>
      </w:tr>
      <w:tr>
        <w:tc>
          <w:tcPr>
            <w:tcW w:type="dxa" w:w="3016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iNXT_BrokerVerse_Commercial_Proposal_Rate_Card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30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Rate card and commercial proposal given to the broker</w:t>
            </w:r>
          </w:p>
        </w:tc>
        <w:tc>
          <w:tcPr>
            <w:tcW w:type="dxa" w:w="159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38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Pre-sales, Contracting</w:t>
            </w:r>
          </w:p>
        </w:tc>
      </w:tr>
      <w:tr>
        <w:tc>
          <w:tcPr>
            <w:tcW w:type="dxa" w:w="3016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BrokerVerse_Commercials_and_Pricing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xlsx</w:t>
            </w:r>
          </w:p>
        </w:tc>
        <w:tc>
          <w:tcPr>
            <w:tcW w:type="dxa" w:w="30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Formula-driven pricing model behind the rate card</w:t>
            </w:r>
          </w:p>
        </w:tc>
        <w:tc>
          <w:tcPr>
            <w:tcW w:type="dxa" w:w="159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Management, Sales</w:t>
            </w:r>
          </w:p>
          <w:p>
            <w:r>
              <w:rPr>
                <w:rFonts w:ascii="Segoe UI" w:hAnsi="Segoe UI" w:cs="Segoe UI" w:eastAsia="Segoe UI"/>
                <w:b/>
                <w:color w:val="101820"/>
                <w:sz w:val="18"/>
              </w:rPr>
              <w:t>INTERNAL</w:t>
            </w:r>
          </w:p>
        </w:tc>
        <w:tc>
          <w:tcPr>
            <w:tcW w:type="dxa" w:w="138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Pre-sales, Contracting</w:t>
            </w:r>
          </w:p>
        </w:tc>
      </w:tr>
      <w:tr>
        <w:tc>
          <w:tcPr>
            <w:tcW w:type="dxa" w:w="3016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iNXT_BrokerVerse_Price_Book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xlsx</w:t>
            </w:r>
          </w:p>
        </w:tc>
        <w:tc>
          <w:tcPr>
            <w:tcW w:type="dxa" w:w="30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Price book with quick quote, packages and negotiation limits</w:t>
            </w:r>
          </w:p>
        </w:tc>
        <w:tc>
          <w:tcPr>
            <w:tcW w:type="dxa" w:w="159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Sales, Management</w:t>
            </w:r>
          </w:p>
          <w:p>
            <w:r>
              <w:rPr>
                <w:rFonts w:ascii="Segoe UI" w:hAnsi="Segoe UI" w:cs="Segoe UI" w:eastAsia="Segoe UI"/>
                <w:b/>
                <w:color w:val="101820"/>
                <w:sz w:val="18"/>
              </w:rPr>
              <w:t>INTERNAL</w:t>
            </w:r>
          </w:p>
        </w:tc>
        <w:tc>
          <w:tcPr>
            <w:tcW w:type="dxa" w:w="138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Pre-sales, Contracting</w:t>
            </w:r>
          </w:p>
        </w:tc>
      </w:tr>
      <w:tr>
        <w:tc>
          <w:tcPr>
            <w:tcW w:type="dxa" w:w="3016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BrokerVerse_Commercial_Proposal_Note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30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Pricing rationale, market positioning and commercial assumptions</w:t>
            </w:r>
          </w:p>
        </w:tc>
        <w:tc>
          <w:tcPr>
            <w:tcW w:type="dxa" w:w="159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Management, Sales</w:t>
            </w:r>
          </w:p>
          <w:p>
            <w:r>
              <w:rPr>
                <w:rFonts w:ascii="Segoe UI" w:hAnsi="Segoe UI" w:cs="Segoe UI" w:eastAsia="Segoe UI"/>
                <w:b/>
                <w:color w:val="101820"/>
                <w:sz w:val="18"/>
              </w:rPr>
              <w:t>INTERNAL</w:t>
            </w:r>
          </w:p>
        </w:tc>
        <w:tc>
          <w:tcPr>
            <w:tcW w:type="dxa" w:w="138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Pre-sales, Contracting</w:t>
            </w:r>
          </w:p>
        </w:tc>
      </w:tr>
      <w:tr>
        <w:tc>
          <w:tcPr>
            <w:tcW w:type="dxa" w:w="3016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iNXT_BrokerVerse_Negotiation_Playbook_INTERNAL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30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Discount limits, trade-offs and approval rules in negotiation</w:t>
            </w:r>
          </w:p>
        </w:tc>
        <w:tc>
          <w:tcPr>
            <w:tcW w:type="dxa" w:w="159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Sales, Management</w:t>
            </w:r>
          </w:p>
          <w:p>
            <w:r>
              <w:rPr>
                <w:rFonts w:ascii="Segoe UI" w:hAnsi="Segoe UI" w:cs="Segoe UI" w:eastAsia="Segoe UI"/>
                <w:b/>
                <w:color w:val="101820"/>
                <w:sz w:val="18"/>
              </w:rPr>
              <w:t>INTERNAL</w:t>
            </w:r>
          </w:p>
        </w:tc>
        <w:tc>
          <w:tcPr>
            <w:tcW w:type="dxa" w:w="138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6.3  Contracts (03_Contracts)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2687"/>
        <w:gridCol w:w="2687"/>
        <w:gridCol w:w="1624"/>
        <w:gridCol w:w="2016"/>
      </w:tblGrid>
      <w:tr>
        <w:trPr>
          <w:tblHeader w:val="true"/>
        </w:trPr>
        <w:tc>
          <w:tcPr>
            <w:tcW w:type="dxa" w:w="268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File and formats</w:t>
            </w:r>
          </w:p>
        </w:tc>
        <w:tc>
          <w:tcPr>
            <w:tcW w:type="dxa" w:w="268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Purpose</w:t>
            </w:r>
          </w:p>
        </w:tc>
        <w:tc>
          <w:tcPr>
            <w:tcW w:type="dxa" w:w="1624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Audience and distribution</w:t>
            </w:r>
          </w:p>
        </w:tc>
        <w:tc>
          <w:tcPr>
            <w:tcW w:type="dxa" w:w="2016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Used in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iNXT_BrokerVerse_Contract_Pack_Index_and_Cover_Letter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Index of the contract pack and cover letter to the broker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iNXT_BrokerVerse_Mutual_Non_Disclosure_Agreement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Mutual NDA before detailed discussions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iNXT_BrokerVerse_Letter_of_Award_and_Proposal_Acceptance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Broker letter of award and acceptance of the proposal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iNXT_BrokerVerse_Master_Services_Agreement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Master Services Agreement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iNXT_BrokerVerse_Order_Form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Order Form: size, model, prices, hosting and dates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iNXT_BrokerVerse_Perpetual_Software_Licence_Agreement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Licence schedule for the perpetual model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iNXT_BrokerVerse_Software_Subscription_Agreement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Subscription schedule for the SaaS model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iNXT_BrokerVerse_Implementation_Statement_of_Work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 scope, milestones, acceptance and governance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Contracting, Implementation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iNXT_BrokerVerse_Annual_Maintenance_Support_and_SLA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Annual maintenance, support and service levels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Support,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Contracting, Support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iNXT_BrokerVerse_Hosting_and_Infrastructure_Services_Agreement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Hosting services, data location, backups and recovery objectives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Support,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Contracting, Support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iNXT_BrokerVerse_Data_Processing_Agreement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Data processing agreement under the Data Privacy Act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Management, Support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iNXT_BrokerVerse_Service_Catalogue_and_Rate_Annex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Optional services and day rates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Contracting, Support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iNXT_BrokerVerse_Customer_Responsibilities_and_RACI_Annex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What the broker provides and who does what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Contracting, Implementation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iNXT_BrokerVerse_Change_Request_Procedure_and_Form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Change request procedure and form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Contracting, Implementation, Support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iNXT_BrokerVerse_Source_Code_Escrow_Agreement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Optional source code escrow with the perpetual licence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iNXT_BrokerVerse_Exit_and_Transition_Plan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Data return and transition at the end of the contract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Management, Support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Contracting, Support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iNXT_BrokerVerse_UAT_and_Go_Live_Acceptance_Certificates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UAT and go-live acceptance certificates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Go-live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iNXT_BrokerVerse_Hypercare_Exit_and_Handover_Certificate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Hypercare exit and handover to support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Support,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Go-live, Support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6.4  Onboarding and go-live (04_Onboarding_and_Go_Live)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2577"/>
        <w:gridCol w:w="2555"/>
        <w:gridCol w:w="2266"/>
        <w:gridCol w:w="1616"/>
      </w:tblGrid>
      <w:tr>
        <w:trPr>
          <w:tblHeader w:val="true"/>
        </w:trPr>
        <w:tc>
          <w:tcPr>
            <w:tcW w:type="dxa" w:w="257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File and formats</w:t>
            </w:r>
          </w:p>
        </w:tc>
        <w:tc>
          <w:tcPr>
            <w:tcW w:type="dxa" w:w="2555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Purpose</w:t>
            </w:r>
          </w:p>
        </w:tc>
        <w:tc>
          <w:tcPr>
            <w:tcW w:type="dxa" w:w="2266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Audience and distribution</w:t>
            </w:r>
          </w:p>
        </w:tc>
        <w:tc>
          <w:tcPr>
            <w:tcW w:type="dxa" w:w="1616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Used in</w:t>
            </w:r>
          </w:p>
        </w:tc>
      </w:tr>
      <w:tr>
        <w:tc>
          <w:tcPr>
            <w:tcW w:type="dxa" w:w="257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BrokerVerse_Security_Due_Diligence_Questionnaire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pdf, xlsx</w:t>
            </w:r>
          </w:p>
        </w:tc>
        <w:tc>
          <w:tcPr>
            <w:tcW w:type="dxa" w:w="255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Pre-answered security and outsourcing due diligence questionnaire</w:t>
            </w:r>
          </w:p>
        </w:tc>
        <w:tc>
          <w:tcPr>
            <w:tcW w:type="dxa" w:w="226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Sales, Delivery,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6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Pre-sales, Contracting</w:t>
            </w:r>
          </w:p>
        </w:tc>
      </w:tr>
      <w:tr>
        <w:tc>
          <w:tcPr>
            <w:tcW w:type="dxa" w:w="257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BrokerVerse_Discovery_Workbook_Guide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55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How to run the discovery and configuration workshops</w:t>
            </w:r>
          </w:p>
        </w:tc>
        <w:tc>
          <w:tcPr>
            <w:tcW w:type="dxa" w:w="226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6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</w:t>
            </w:r>
          </w:p>
        </w:tc>
      </w:tr>
      <w:tr>
        <w:tc>
          <w:tcPr>
            <w:tcW w:type="dxa" w:w="257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BrokerVerse_Discovery_and_Configuration_Workbook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xlsx</w:t>
            </w:r>
          </w:p>
        </w:tc>
        <w:tc>
          <w:tcPr>
            <w:tcW w:type="dxa" w:w="255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Configuration decisions captured in discovery</w:t>
            </w:r>
          </w:p>
        </w:tc>
        <w:tc>
          <w:tcPr>
            <w:tcW w:type="dxa" w:w="226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6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</w:t>
            </w:r>
          </w:p>
        </w:tc>
      </w:tr>
      <w:tr>
        <w:tc>
          <w:tcPr>
            <w:tcW w:type="dxa" w:w="257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BrokerVerse_Data_Migration_and_Cutover_Plan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55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Go-live data, templates, mock loads, reconciliation and cutover</w:t>
            </w:r>
          </w:p>
        </w:tc>
        <w:tc>
          <w:tcPr>
            <w:tcW w:type="dxa" w:w="226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6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Implementation, Go-live</w:t>
            </w:r>
          </w:p>
        </w:tc>
      </w:tr>
      <w:tr>
        <w:tc>
          <w:tcPr>
            <w:tcW w:type="dxa" w:w="257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BrokerVerse_Environment_Strategy_and_Production_Rollout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55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Environments, promotion of code, scripts and configuration, cutover runbook and RACI</w:t>
            </w:r>
          </w:p>
        </w:tc>
        <w:tc>
          <w:tcPr>
            <w:tcW w:type="dxa" w:w="226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Development, Support,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6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Implementation, Go-live</w:t>
            </w:r>
          </w:p>
        </w:tc>
      </w:tr>
      <w:tr>
        <w:tc>
          <w:tcPr>
            <w:tcW w:type="dxa" w:w="257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BrokerVerse_Privacy_Impact_Assessment_and_Records_of_Processing_Templates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55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PIA and records of processing pre-filled for the broker DPO</w:t>
            </w:r>
          </w:p>
        </w:tc>
        <w:tc>
          <w:tcPr>
            <w:tcW w:type="dxa" w:w="226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6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Implementation, Go-live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6.5  Delivery (05_Delivery)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2687"/>
        <w:gridCol w:w="2687"/>
        <w:gridCol w:w="1848"/>
        <w:gridCol w:w="1792"/>
      </w:tblGrid>
      <w:tr>
        <w:trPr>
          <w:tblHeader w:val="true"/>
        </w:trPr>
        <w:tc>
          <w:tcPr>
            <w:tcW w:type="dxa" w:w="268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File and formats</w:t>
            </w:r>
          </w:p>
        </w:tc>
        <w:tc>
          <w:tcPr>
            <w:tcW w:type="dxa" w:w="268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Purpose</w:t>
            </w:r>
          </w:p>
        </w:tc>
        <w:tc>
          <w:tcPr>
            <w:tcW w:type="dxa" w:w="1848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Audience and distribution</w:t>
            </w:r>
          </w:p>
        </w:tc>
        <w:tc>
          <w:tcPr>
            <w:tcW w:type="dxa" w:w="1792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Used in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BrokerVerse_Implementation_Approach_and_Plan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Method, phases, plans by size, roles, governance and risks</w:t>
            </w:r>
          </w:p>
        </w:tc>
        <w:tc>
          <w:tcPr>
            <w:tcW w:type="dxa" w:w="184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79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Pre-sales, Implementation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BrokerVerse_Implementation_Plan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xlsx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Gantt plans for the three sizes and the RACI matrix</w:t>
            </w:r>
          </w:p>
        </w:tc>
        <w:tc>
          <w:tcPr>
            <w:tcW w:type="dxa" w:w="184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79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BrokerVerse_Fit_Gap_Register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xlsx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Register of requirements classed Fit, Configure, Procedure or Gap</w:t>
            </w:r>
          </w:p>
        </w:tc>
        <w:tc>
          <w:tcPr>
            <w:tcW w:type="dxa" w:w="184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79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BrokerVerse_RAID_Log_Template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xlsx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Risks, assumptions, issues and dependencies with scoring and summary</w:t>
            </w:r>
          </w:p>
        </w:tc>
        <w:tc>
          <w:tcPr>
            <w:tcW w:type="dxa" w:w="184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79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Implementation, Go-live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BrokerVerse_Project_Status_Report_Template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Weekly or fortnightly status and steering committee report</w:t>
            </w:r>
          </w:p>
        </w:tc>
        <w:tc>
          <w:tcPr>
            <w:tcW w:type="dxa" w:w="184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79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Implementation, Go-live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BrokerVerse_Training_Plan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Training and change management by role</w:t>
            </w:r>
          </w:p>
        </w:tc>
        <w:tc>
          <w:tcPr>
            <w:tcW w:type="dxa" w:w="184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79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BrokerVerse_User_Manual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User manual for the seven roles</w:t>
            </w:r>
          </w:p>
        </w:tc>
        <w:tc>
          <w:tcPr>
            <w:tcW w:type="dxa" w:w="184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Support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79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Implementation, Go-live, Support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BrokerVerse_Reports_Book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pdf, xlsx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Every report, dashboard and export with its columns and rules</w:t>
            </w:r>
          </w:p>
        </w:tc>
        <w:tc>
          <w:tcPr>
            <w:tcW w:type="dxa" w:w="184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Support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79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Implementation, Support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BrokerVerse_Communication_Templates_and_Touchpoints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Every e-mail, notification and printed document the system sends</w:t>
            </w:r>
          </w:p>
        </w:tc>
        <w:tc>
          <w:tcPr>
            <w:tcW w:type="dxa" w:w="184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Support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79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Implementation, Support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BrokerVerse_Communication_Touchpoints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xlsx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Companion workbook of the communication templates</w:t>
            </w:r>
          </w:p>
        </w:tc>
        <w:tc>
          <w:tcPr>
            <w:tcW w:type="dxa" w:w="184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Support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79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Implementation, Support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BrokerVerse_Schedules_and_Batch_Jobs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Scheduled jobs, batch processes and the operational run book</w:t>
            </w:r>
          </w:p>
        </w:tc>
        <w:tc>
          <w:tcPr>
            <w:tcW w:type="dxa" w:w="184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Support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79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Implementation, Go-live, Support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BrokerVerse_Test_Cases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xlsx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Release test cases, traceability and defects</w:t>
            </w:r>
          </w:p>
        </w:tc>
        <w:tc>
          <w:tcPr>
            <w:tcW w:type="dxa" w:w="184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Development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79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Implementation, Go-live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BrokerVerse_Test_Summary_Report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Results of the release test</w:t>
            </w:r>
          </w:p>
        </w:tc>
        <w:tc>
          <w:tcPr>
            <w:tcW w:type="dxa" w:w="184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Development,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79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Pre-sales, Go-live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BrokerVerse_Philippine_Regulatory_Compliance_Matrix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How the product supports IC, BIR, premium tax, CTPL, DPA and AMLA obligations</w:t>
            </w:r>
          </w:p>
        </w:tc>
        <w:tc>
          <w:tcPr>
            <w:tcW w:type="dxa" w:w="184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Sales, Delivery,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79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Pre-sales, Implementation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Upload_Templates/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folder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Standard upload templates for the go-live data, one per master or opening balance</w:t>
            </w:r>
          </w:p>
        </w:tc>
        <w:tc>
          <w:tcPr>
            <w:tcW w:type="dxa" w:w="184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79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Implementation, Go-live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6.6  Support (06_Support)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2687"/>
        <w:gridCol w:w="2687"/>
        <w:gridCol w:w="2016"/>
        <w:gridCol w:w="1624"/>
      </w:tblGrid>
      <w:tr>
        <w:trPr>
          <w:tblHeader w:val="true"/>
        </w:trPr>
        <w:tc>
          <w:tcPr>
            <w:tcW w:type="dxa" w:w="268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File and formats</w:t>
            </w:r>
          </w:p>
        </w:tc>
        <w:tc>
          <w:tcPr>
            <w:tcW w:type="dxa" w:w="268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Purpose</w:t>
            </w:r>
          </w:p>
        </w:tc>
        <w:tc>
          <w:tcPr>
            <w:tcW w:type="dxa" w:w="2016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Audience and distribution</w:t>
            </w:r>
          </w:p>
        </w:tc>
        <w:tc>
          <w:tcPr>
            <w:tcW w:type="dxa" w:w="1624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Used in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BrokerVerse_Production_Support_Approach_and_Standards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Support model, severities, change and release management, monitoring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Support,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Contracting, Go-live, Support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BrokerVerse_Business_Continuity_and_Disaster_Recovery_Plan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Backups, recovery objectives, scenarios and DR tests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Support,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Contracting, Support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BrokerVerse_Release_Notes_and_Roadmap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What release 1.0 delivers, known limitations, versioning policy and indicative roadmap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Sales, Delivery, Support,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Pre-sales, Go-live, Support</w:t>
            </w:r>
          </w:p>
        </w:tc>
      </w:tr>
      <w:tr>
        <w:tc>
          <w:tcPr>
            <w:tcW w:type="dxa" w:w="2687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BrokerVerse_Release_Notes_Template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68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Release notes for each patch, minor or major release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Development, Support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Support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6.7  Technical (07_Technical)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2458"/>
        <w:gridCol w:w="2458"/>
        <w:gridCol w:w="2151"/>
        <w:gridCol w:w="1946"/>
      </w:tblGrid>
      <w:tr>
        <w:trPr>
          <w:tblHeader w:val="true"/>
        </w:trPr>
        <w:tc>
          <w:tcPr>
            <w:tcW w:type="dxa" w:w="2458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File and formats</w:t>
            </w:r>
          </w:p>
        </w:tc>
        <w:tc>
          <w:tcPr>
            <w:tcW w:type="dxa" w:w="2458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Purpose</w:t>
            </w:r>
          </w:p>
        </w:tc>
        <w:tc>
          <w:tcPr>
            <w:tcW w:type="dxa" w:w="2151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Audience and distribution</w:t>
            </w:r>
          </w:p>
        </w:tc>
        <w:tc>
          <w:tcPr>
            <w:tcW w:type="dxa" w:w="1946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Used in</w:t>
            </w:r>
          </w:p>
        </w:tc>
      </w:tr>
      <w:tr>
        <w:tc>
          <w:tcPr>
            <w:tcW w:type="dxa" w:w="2458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BrokerVerse_Architecture_Infrastructure_Security_and_Privacy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45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Architecture, hosting options, security controls and data privacy</w:t>
            </w:r>
          </w:p>
        </w:tc>
        <w:tc>
          <w:tcPr>
            <w:tcW w:type="dxa" w:w="2151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Development, Support,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94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Pre-sales, Contracting, Implementation</w:t>
            </w:r>
          </w:p>
        </w:tc>
      </w:tr>
      <w:tr>
        <w:tc>
          <w:tcPr>
            <w:tcW w:type="dxa" w:w="2458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BrokerVerse_Technical_Reference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45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Code base, modules, security implementation and how to extend</w:t>
            </w:r>
          </w:p>
        </w:tc>
        <w:tc>
          <w:tcPr>
            <w:tcW w:type="dxa" w:w="2151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Development, Support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94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Implementation, Support</w:t>
            </w:r>
          </w:p>
        </w:tc>
      </w:tr>
      <w:tr>
        <w:tc>
          <w:tcPr>
            <w:tcW w:type="dxa" w:w="2458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BrokerVerse_API_and_Dependency_Catalogue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xlsx</w:t>
            </w:r>
          </w:p>
        </w:tc>
        <w:tc>
          <w:tcPr>
            <w:tcW w:type="dxa" w:w="245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Every API route with its permission and the screens that call it</w:t>
            </w:r>
          </w:p>
        </w:tc>
        <w:tc>
          <w:tcPr>
            <w:tcW w:type="dxa" w:w="2151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Development, Support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94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Implementation, Support</w:t>
            </w:r>
          </w:p>
        </w:tc>
      </w:tr>
      <w:tr>
        <w:tc>
          <w:tcPr>
            <w:tcW w:type="dxa" w:w="2458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BrokerVerse_Data_Dictionary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pdf, xlsx</w:t>
            </w:r>
          </w:p>
        </w:tc>
        <w:tc>
          <w:tcPr>
            <w:tcW w:type="dxa" w:w="245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Tables, columns, relationships, personal data and retention</w:t>
            </w:r>
          </w:p>
        </w:tc>
        <w:tc>
          <w:tcPr>
            <w:tcW w:type="dxa" w:w="2151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Delivery, Development, Support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194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Implementation, Support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6.8  Management (08_Management)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2254"/>
        <w:gridCol w:w="2254"/>
        <w:gridCol w:w="2254"/>
        <w:gridCol w:w="2254"/>
      </w:tblGrid>
      <w:tr>
        <w:trPr>
          <w:tblHeader w:val="true"/>
        </w:trPr>
        <w:tc>
          <w:tcPr>
            <w:tcW w:type="dxa" w:w="2254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File and formats</w:t>
            </w:r>
          </w:p>
        </w:tc>
        <w:tc>
          <w:tcPr>
            <w:tcW w:type="dxa" w:w="2254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Purpose</w:t>
            </w:r>
          </w:p>
        </w:tc>
        <w:tc>
          <w:tcPr>
            <w:tcW w:type="dxa" w:w="2254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Audience and distribution</w:t>
            </w:r>
          </w:p>
        </w:tc>
        <w:tc>
          <w:tcPr>
            <w:tcW w:type="dxa" w:w="2254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Used in</w:t>
            </w:r>
          </w:p>
        </w:tc>
      </w:tr>
      <w:tr>
        <w:tc>
          <w:tcPr>
            <w:tcW w:type="dxa" w:w="2254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BrokerVerse_Go_No_Go_and_Management_Register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25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Release recommendation, go-live conditions, risks, plans and decisions needed</w:t>
            </w:r>
          </w:p>
        </w:tc>
        <w:tc>
          <w:tcPr>
            <w:tcW w:type="dxa" w:w="225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Management, Delivery, Development, Support, Sales</w:t>
            </w:r>
          </w:p>
          <w:p>
            <w:r>
              <w:rPr>
                <w:rFonts w:ascii="Segoe UI" w:hAnsi="Segoe UI" w:cs="Segoe UI" w:eastAsia="Segoe UI"/>
                <w:b/>
                <w:color w:val="101820"/>
                <w:sz w:val="18"/>
              </w:rPr>
              <w:t>INTERNAL</w:t>
            </w:r>
          </w:p>
        </w:tc>
        <w:tc>
          <w:tcPr>
            <w:tcW w:type="dxa" w:w="225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Go-live</w:t>
            </w:r>
          </w:p>
        </w:tc>
      </w:tr>
      <w:tr>
        <w:tc>
          <w:tcPr>
            <w:tcW w:type="dxa" w:w="2254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iNXT_BrokerVerse_OOTB_Strategy_and_Playbook_INTERNAL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25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How iorta TechNXT sells, delivers, supports and evolves the OOTB product</w:t>
            </w:r>
          </w:p>
        </w:tc>
        <w:tc>
          <w:tcPr>
            <w:tcW w:type="dxa" w:w="225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Management, Sales, Delivery, Development, Support</w:t>
            </w:r>
          </w:p>
          <w:p>
            <w:r>
              <w:rPr>
                <w:rFonts w:ascii="Segoe UI" w:hAnsi="Segoe UI" w:cs="Segoe UI" w:eastAsia="Segoe UI"/>
                <w:b/>
                <w:color w:val="101820"/>
                <w:sz w:val="18"/>
              </w:rPr>
              <w:t>INTERNAL</w:t>
            </w:r>
          </w:p>
        </w:tc>
        <w:tc>
          <w:tcPr>
            <w:tcW w:type="dxa" w:w="225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Pre-sales, Contracting, Implementation, Go-live, Support</w:t>
            </w:r>
          </w:p>
        </w:tc>
      </w:tr>
      <w:tr>
        <w:tc>
          <w:tcPr>
            <w:tcW w:type="dxa" w:w="2254"/>
          </w:tcPr>
          <w:p>
            <w:pPr>
              <w:spacing w:after="20"/>
            </w:pPr>
            <w:r>
              <w:rPr>
                <w:rFonts w:ascii="Consolas" w:hAnsi="Consolas" w:cs="Consolas" w:eastAsia="Consolas"/>
                <w:color w:val="101820"/>
                <w:sz w:val="16"/>
              </w:rPr>
              <w:t>BrokerVerse_OOTB_Documentation_Pack_Index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docx, pdf</w:t>
            </w:r>
          </w:p>
        </w:tc>
        <w:tc>
          <w:tcPr>
            <w:tcW w:type="dxa" w:w="225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This index</w:t>
            </w:r>
          </w:p>
        </w:tc>
        <w:tc>
          <w:tcPr>
            <w:tcW w:type="dxa" w:w="225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Sales, Delivery, Development, Support, Management</w:t>
            </w:r>
          </w:p>
          <w:p>
            <w:r>
              <w:rPr>
                <w:rFonts w:ascii="Segoe UI" w:hAnsi="Segoe UI" w:cs="Segoe UI" w:eastAsia="Segoe UI"/>
                <w:color w:val="101820"/>
                <w:sz w:val="18"/>
              </w:rPr>
              <w:t>Client-facing</w:t>
            </w:r>
          </w:p>
        </w:tc>
        <w:tc>
          <w:tcPr>
            <w:tcW w:type="dxa" w:w="225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Pre-sales, Contracting, Implementation, Go-live, Support</w:t>
            </w:r>
          </w:p>
        </w:tc>
      </w:tr>
    </w:tbl>
    <w:p>
      <w:pPr>
        <w:pStyle w:val="Heading1"/>
        <w:pageBreakBefore/>
      </w:pPr>
      <w:r>
        <w:rPr>
          <w:rFonts w:ascii="Segoe UI" w:hAnsi="Segoe UI" w:cs="Segoe UI" w:eastAsia="Segoe UI"/>
          <w:b/>
          <w:color w:val="0F4761"/>
          <w:sz w:val="32"/>
        </w:rPr>
        <w:t>7.  INTERNAL documents</w:t>
      </w:r>
    </w:p>
    <w:p>
      <w:pPr>
        <w:spacing w:after="120" w:line="276" w:lineRule="auto"/>
      </w:pPr>
      <w:r>
        <w:rPr>
          <w:rFonts w:ascii="Segoe UI" w:hAnsi="Segoe UI" w:cs="Segoe UI" w:eastAsia="Segoe UI"/>
          <w:color w:val="101820"/>
          <w:sz w:val="21"/>
        </w:rPr>
        <w:t>These files never leave iorta TechNXT:</w:t>
      </w:r>
    </w:p>
    <w:p>
      <w:pPr>
        <w:spacing w:after="60"/>
        <w:numPr>
          <w:ilvl w:val="0"/>
          <w:numId w:val="3"/>
        </w:numPr>
      </w:pPr>
      <w:r>
        <w:rPr>
          <w:rFonts w:ascii="Consolas" w:hAnsi="Consolas" w:cs="Consolas" w:eastAsia="Consolas"/>
          <w:color w:val="101820"/>
          <w:sz w:val="19"/>
        </w:rPr>
        <w:t>01_Sales/iNXT_BrokerVerse_Competitive_Battlecard_INTERNAL</w:t>
      </w:r>
      <w:r>
        <w:rPr>
          <w:rFonts w:ascii="Segoe UI" w:hAnsi="Segoe UI" w:cs="Segoe UI" w:eastAsia="Segoe UI"/>
          <w:color w:val="101820"/>
          <w:sz w:val="21"/>
        </w:rPr>
        <w:t xml:space="preserve"> (docx, pdf): Competitor positioning and proof points.</w:t>
      </w:r>
    </w:p>
    <w:p>
      <w:pPr>
        <w:spacing w:after="60"/>
        <w:numPr>
          <w:ilvl w:val="0"/>
          <w:numId w:val="3"/>
        </w:numPr>
      </w:pPr>
      <w:r>
        <w:rPr>
          <w:rFonts w:ascii="Consolas" w:hAnsi="Consolas" w:cs="Consolas" w:eastAsia="Consolas"/>
          <w:color w:val="101820"/>
          <w:sz w:val="19"/>
        </w:rPr>
        <w:t>02_Commercials/BrokerVerse_Commercials_and_Pricing</w:t>
      </w:r>
      <w:r>
        <w:rPr>
          <w:rFonts w:ascii="Segoe UI" w:hAnsi="Segoe UI" w:cs="Segoe UI" w:eastAsia="Segoe UI"/>
          <w:color w:val="101820"/>
          <w:sz w:val="21"/>
        </w:rPr>
        <w:t xml:space="preserve"> (xlsx): Formula-driven pricing model behind the rate card.</w:t>
      </w:r>
    </w:p>
    <w:p>
      <w:pPr>
        <w:spacing w:after="60"/>
        <w:numPr>
          <w:ilvl w:val="0"/>
          <w:numId w:val="3"/>
        </w:numPr>
      </w:pPr>
      <w:r>
        <w:rPr>
          <w:rFonts w:ascii="Consolas" w:hAnsi="Consolas" w:cs="Consolas" w:eastAsia="Consolas"/>
          <w:color w:val="101820"/>
          <w:sz w:val="19"/>
        </w:rPr>
        <w:t>02_Commercials/iNXT_BrokerVerse_Price_Book</w:t>
      </w:r>
      <w:r>
        <w:rPr>
          <w:rFonts w:ascii="Segoe UI" w:hAnsi="Segoe UI" w:cs="Segoe UI" w:eastAsia="Segoe UI"/>
          <w:color w:val="101820"/>
          <w:sz w:val="21"/>
        </w:rPr>
        <w:t xml:space="preserve"> (xlsx): Price book with quick quote, packages and negotiation limits.</w:t>
      </w:r>
    </w:p>
    <w:p>
      <w:pPr>
        <w:spacing w:after="60"/>
        <w:numPr>
          <w:ilvl w:val="0"/>
          <w:numId w:val="3"/>
        </w:numPr>
      </w:pPr>
      <w:r>
        <w:rPr>
          <w:rFonts w:ascii="Consolas" w:hAnsi="Consolas" w:cs="Consolas" w:eastAsia="Consolas"/>
          <w:color w:val="101820"/>
          <w:sz w:val="19"/>
        </w:rPr>
        <w:t>02_Commercials/BrokerVerse_Commercial_Proposal_Note</w:t>
      </w:r>
      <w:r>
        <w:rPr>
          <w:rFonts w:ascii="Segoe UI" w:hAnsi="Segoe UI" w:cs="Segoe UI" w:eastAsia="Segoe UI"/>
          <w:color w:val="101820"/>
          <w:sz w:val="21"/>
        </w:rPr>
        <w:t xml:space="preserve"> (docx, pdf): Pricing rationale, market positioning and commercial assumptions.</w:t>
      </w:r>
    </w:p>
    <w:p>
      <w:pPr>
        <w:spacing w:after="60"/>
        <w:numPr>
          <w:ilvl w:val="0"/>
          <w:numId w:val="3"/>
        </w:numPr>
      </w:pPr>
      <w:r>
        <w:rPr>
          <w:rFonts w:ascii="Consolas" w:hAnsi="Consolas" w:cs="Consolas" w:eastAsia="Consolas"/>
          <w:color w:val="101820"/>
          <w:sz w:val="19"/>
        </w:rPr>
        <w:t>02_Commercials/iNXT_BrokerVerse_Negotiation_Playbook_INTERNAL</w:t>
      </w:r>
      <w:r>
        <w:rPr>
          <w:rFonts w:ascii="Segoe UI" w:hAnsi="Segoe UI" w:cs="Segoe UI" w:eastAsia="Segoe UI"/>
          <w:color w:val="101820"/>
          <w:sz w:val="21"/>
        </w:rPr>
        <w:t xml:space="preserve"> (docx, pdf): Discount limits, trade-offs and approval rules in negotiation.</w:t>
      </w:r>
    </w:p>
    <w:p>
      <w:pPr>
        <w:spacing w:after="60"/>
        <w:numPr>
          <w:ilvl w:val="0"/>
          <w:numId w:val="3"/>
        </w:numPr>
      </w:pPr>
      <w:r>
        <w:rPr>
          <w:rFonts w:ascii="Consolas" w:hAnsi="Consolas" w:cs="Consolas" w:eastAsia="Consolas"/>
          <w:color w:val="101820"/>
          <w:sz w:val="19"/>
        </w:rPr>
        <w:t>08_Management/BrokerVerse_Go_No_Go_and_Management_Register</w:t>
      </w:r>
      <w:r>
        <w:rPr>
          <w:rFonts w:ascii="Segoe UI" w:hAnsi="Segoe UI" w:cs="Segoe UI" w:eastAsia="Segoe UI"/>
          <w:color w:val="101820"/>
          <w:sz w:val="21"/>
        </w:rPr>
        <w:t xml:space="preserve"> (docx, pdf): Release recommendation, go-live conditions, risks, plans and decisions needed.</w:t>
      </w:r>
    </w:p>
    <w:p>
      <w:pPr>
        <w:spacing w:after="60"/>
        <w:numPr>
          <w:ilvl w:val="0"/>
          <w:numId w:val="3"/>
        </w:numPr>
      </w:pPr>
      <w:r>
        <w:rPr>
          <w:rFonts w:ascii="Consolas" w:hAnsi="Consolas" w:cs="Consolas" w:eastAsia="Consolas"/>
          <w:color w:val="101820"/>
          <w:sz w:val="19"/>
        </w:rPr>
        <w:t>08_Management/iNXT_BrokerVerse_OOTB_Strategy_and_Playbook_INTERNAL</w:t>
      </w:r>
      <w:r>
        <w:rPr>
          <w:rFonts w:ascii="Segoe UI" w:hAnsi="Segoe UI" w:cs="Segoe UI" w:eastAsia="Segoe UI"/>
          <w:color w:val="101820"/>
          <w:sz w:val="21"/>
        </w:rPr>
        <w:t xml:space="preserve"> (docx, pdf): How iorta TechNXT sells, delivers, supports and evolves the OOTB product.</w:t>
      </w:r>
    </w:p>
    <w:p>
      <w:pPr>
        <w:pStyle w:val="Heading1"/>
        <w:pageBreakBefore/>
      </w:pPr>
      <w:r>
        <w:rPr>
          <w:rFonts w:ascii="Segoe UI" w:hAnsi="Segoe UI" w:cs="Segoe UI" w:eastAsia="Segoe UI"/>
          <w:b/>
          <w:color w:val="0F4761"/>
          <w:sz w:val="32"/>
        </w:rPr>
        <w:t>8.  Building the documents</w:t>
      </w:r>
    </w:p>
    <w:p>
      <w:pPr>
        <w:spacing w:after="120" w:line="276" w:lineRule="auto"/>
      </w:pPr>
      <w:r>
        <w:rPr>
          <w:rFonts w:ascii="Segoe UI" w:hAnsi="Segoe UI" w:cs="Segoe UI" w:eastAsia="Segoe UI"/>
          <w:color w:val="101820"/>
          <w:sz w:val="21"/>
        </w:rPr>
        <w:t xml:space="preserve">Each Word and PDF document is built from its text source in </w:t>
      </w:r>
      <w:r>
        <w:rPr>
          <w:rFonts w:ascii="Consolas" w:hAnsi="Consolas" w:cs="Consolas" w:eastAsia="Consolas"/>
          <w:color w:val="101820"/>
          <w:sz w:val="19"/>
        </w:rPr>
        <w:t>source/</w:t>
      </w:r>
      <w:r>
        <w:rPr>
          <w:rFonts w:ascii="Segoe UI" w:hAnsi="Segoe UI" w:cs="Segoe UI" w:eastAsia="Segoe UI"/>
          <w:color w:val="101820"/>
          <w:sz w:val="21"/>
        </w:rPr>
        <w:t xml:space="preserve"> into the iorta TechNXT template. The table of sources, folders and file names is kept in one place, </w:t>
      </w:r>
      <w:r>
        <w:rPr>
          <w:rFonts w:ascii="Consolas" w:hAnsi="Consolas" w:cs="Consolas" w:eastAsia="Consolas"/>
          <w:color w:val="101820"/>
          <w:sz w:val="19"/>
        </w:rPr>
        <w:t>tools/build_all.py</w:t>
      </w:r>
      <w:r>
        <w:rPr>
          <w:rFonts w:ascii="Segoe UI" w:hAnsi="Segoe UI" w:cs="Segoe UI" w:eastAsia="Segoe UI"/>
          <w:color w:val="101820"/>
          <w:sz w:val="21"/>
        </w:rPr>
        <w:t>:</w:t>
      </w:r>
    </w:p>
    <w:p>
      <w:pPr>
        <w:shd w:val="clear" w:color="auto" w:fill="F3F4F6"/>
        <w:spacing w:after="0"/>
        <w:ind w:left="170"/>
      </w:pPr>
      <w:r>
        <w:rPr>
          <w:rFonts w:ascii="Consolas" w:hAnsi="Consolas" w:cs="Consolas" w:eastAsia="Consolas"/>
          <w:color w:val="101820"/>
          <w:sz w:val="17"/>
        </w:rPr>
        <w:t>cd docs/package/tools</w:t>
      </w:r>
    </w:p>
    <w:p>
      <w:pPr>
        <w:shd w:val="clear" w:color="auto" w:fill="F3F4F6"/>
        <w:spacing w:after="0"/>
        <w:ind w:left="170"/>
      </w:pPr>
      <w:r>
        <w:rPr>
          <w:rFonts w:ascii="Consolas" w:hAnsi="Consolas" w:cs="Consolas" w:eastAsia="Consolas"/>
          <w:color w:val="101820"/>
          <w:sz w:val="17"/>
        </w:rPr>
        <w:t>python3 build_all.py --list                (which source becomes which file)</w:t>
      </w:r>
    </w:p>
    <w:p>
      <w:pPr>
        <w:shd w:val="clear" w:color="auto" w:fill="F3F4F6"/>
        <w:spacing w:after="0"/>
        <w:ind w:left="170"/>
      </w:pPr>
      <w:r>
        <w:rPr>
          <w:rFonts w:ascii="Consolas" w:hAnsi="Consolas" w:cs="Consolas" w:eastAsia="Consolas"/>
          <w:color w:val="101820"/>
          <w:sz w:val="17"/>
        </w:rPr>
        <w:t>python3 build_all.py                       (every document: .docx, contents page and .pdf)</w:t>
      </w:r>
    </w:p>
    <w:p>
      <w:pPr>
        <w:shd w:val="clear" w:color="auto" w:fill="F3F4F6"/>
        <w:spacing w:after="0"/>
        <w:ind w:left="170"/>
      </w:pPr>
      <w:r>
        <w:rPr>
          <w:rFonts w:ascii="Consolas" w:hAnsi="Consolas" w:cs="Consolas" w:eastAsia="Consolas"/>
          <w:color w:val="101820"/>
          <w:sz w:val="17"/>
        </w:rPr>
        <w:t>python3 build_all.py user-manual           (one document)</w:t>
      </w:r>
    </w:p>
    <w:p>
      <w:pPr>
        <w:shd w:val="clear" w:color="auto" w:fill="F3F4F6"/>
        <w:spacing w:after="0"/>
        <w:ind w:left="170"/>
      </w:pPr>
      <w:r>
        <w:rPr>
          <w:rFonts w:ascii="Consolas" w:hAnsi="Consolas" w:cs="Consolas" w:eastAsia="Consolas"/>
          <w:color w:val="101820"/>
          <w:sz w:val="17"/>
        </w:rPr>
        <w:t>python3 build_all.py --sales --workbooks   (also brochures, presentation and workbooks)</w:t>
      </w:r>
    </w:p>
    <w:p>
      <w:pPr>
        <w:spacing w:after="80"/>
      </w:pPr>
    </w:p>
    <w:p>
      <w:pPr>
        <w:spacing w:after="120" w:line="276" w:lineRule="auto"/>
      </w:pPr>
      <w:r>
        <w:rPr>
          <w:rFonts w:ascii="Consolas" w:hAnsi="Consolas" w:cs="Consolas" w:eastAsia="Consolas"/>
          <w:color w:val="101820"/>
          <w:sz w:val="19"/>
        </w:rPr>
        <w:t>build_all.py</w:t>
      </w:r>
      <w:r>
        <w:rPr>
          <w:rFonts w:ascii="Segoe UI" w:hAnsi="Segoe UI" w:cs="Segoe UI" w:eastAsia="Segoe UI"/>
          <w:color w:val="101820"/>
          <w:sz w:val="21"/>
        </w:rPr>
        <w:t xml:space="preserve"> runs </w:t>
      </w:r>
      <w:r>
        <w:rPr>
          <w:rFonts w:ascii="Consolas" w:hAnsi="Consolas" w:cs="Consolas" w:eastAsia="Consolas"/>
          <w:color w:val="101820"/>
          <w:sz w:val="19"/>
        </w:rPr>
        <w:t>build_doc.py</w:t>
      </w:r>
      <w:r>
        <w:rPr>
          <w:rFonts w:ascii="Segoe UI" w:hAnsi="Segoe UI" w:cs="Segoe UI" w:eastAsia="Segoe UI"/>
          <w:color w:val="101820"/>
          <w:sz w:val="21"/>
        </w:rPr>
        <w:t xml:space="preserve"> (text to .docx), the post-processing step where one is needed (</w:t>
      </w:r>
      <w:r>
        <w:rPr>
          <w:rFonts w:ascii="Consolas" w:hAnsi="Consolas" w:cs="Consolas" w:eastAsia="Consolas"/>
          <w:color w:val="101820"/>
          <w:sz w:val="19"/>
        </w:rPr>
        <w:t>brochure/widths.py</w:t>
      </w:r>
      <w:r>
        <w:rPr>
          <w:rFonts w:ascii="Segoe UI" w:hAnsi="Segoe UI" w:cs="Segoe UI" w:eastAsia="Segoe UI"/>
          <w:color w:val="101820"/>
          <w:sz w:val="21"/>
        </w:rPr>
        <w:t xml:space="preserve"> for the Product Functionality document) and </w:t>
      </w:r>
      <w:r>
        <w:rPr>
          <w:rFonts w:ascii="Consolas" w:hAnsi="Consolas" w:cs="Consolas" w:eastAsia="Consolas"/>
          <w:color w:val="101820"/>
          <w:sz w:val="19"/>
        </w:rPr>
        <w:t>refresh.py</w:t>
      </w:r>
      <w:r>
        <w:rPr>
          <w:rFonts w:ascii="Segoe UI" w:hAnsi="Segoe UI" w:cs="Segoe UI" w:eastAsia="Segoe UI"/>
          <w:color w:val="101820"/>
          <w:sz w:val="21"/>
        </w:rPr>
        <w:t xml:space="preserve"> (contents page and PDF with LibreOffice). The workbooks have their own builders: </w:t>
      </w:r>
      <w:r>
        <w:rPr>
          <w:rFonts w:ascii="Consolas" w:hAnsi="Consolas" w:cs="Consolas" w:eastAsia="Consolas"/>
          <w:color w:val="101820"/>
          <w:sz w:val="19"/>
        </w:rPr>
        <w:t>build_pricing.py</w:t>
      </w:r>
      <w:r>
        <w:rPr>
          <w:rFonts w:ascii="Segoe UI" w:hAnsi="Segoe UI" w:cs="Segoe UI" w:eastAsia="Segoe UI"/>
          <w:color w:val="101820"/>
          <w:sz w:val="21"/>
        </w:rPr>
        <w:t xml:space="preserve">, </w:t>
      </w:r>
      <w:r>
        <w:rPr>
          <w:rFonts w:ascii="Consolas" w:hAnsi="Consolas" w:cs="Consolas" w:eastAsia="Consolas"/>
          <w:color w:val="101820"/>
          <w:sz w:val="19"/>
        </w:rPr>
        <w:t>build_price_book.py</w:t>
      </w:r>
      <w:r>
        <w:rPr>
          <w:rFonts w:ascii="Segoe UI" w:hAnsi="Segoe UI" w:cs="Segoe UI" w:eastAsia="Segoe UI"/>
          <w:color w:val="101820"/>
          <w:sz w:val="21"/>
        </w:rPr>
        <w:t xml:space="preserve">, </w:t>
      </w:r>
      <w:r>
        <w:rPr>
          <w:rFonts w:ascii="Consolas" w:hAnsi="Consolas" w:cs="Consolas" w:eastAsia="Consolas"/>
          <w:color w:val="101820"/>
          <w:sz w:val="19"/>
        </w:rPr>
        <w:t>build_roi.py</w:t>
      </w:r>
      <w:r>
        <w:rPr>
          <w:rFonts w:ascii="Segoe UI" w:hAnsi="Segoe UI" w:cs="Segoe UI" w:eastAsia="Segoe UI"/>
          <w:color w:val="101820"/>
          <w:sz w:val="21"/>
        </w:rPr>
        <w:t xml:space="preserve">, </w:t>
      </w:r>
      <w:r>
        <w:rPr>
          <w:rFonts w:ascii="Consolas" w:hAnsi="Consolas" w:cs="Consolas" w:eastAsia="Consolas"/>
          <w:color w:val="101820"/>
          <w:sz w:val="19"/>
        </w:rPr>
        <w:t>build_questionnaire_xlsx.py</w:t>
      </w:r>
      <w:r>
        <w:rPr>
          <w:rFonts w:ascii="Segoe UI" w:hAnsi="Segoe UI" w:cs="Segoe UI" w:eastAsia="Segoe UI"/>
          <w:color w:val="101820"/>
          <w:sz w:val="21"/>
        </w:rPr>
        <w:t xml:space="preserve">, </w:t>
      </w:r>
      <w:r>
        <w:rPr>
          <w:rFonts w:ascii="Consolas" w:hAnsi="Consolas" w:cs="Consolas" w:eastAsia="Consolas"/>
          <w:color w:val="101820"/>
          <w:sz w:val="19"/>
        </w:rPr>
        <w:t>build_discovery_workbook.py</w:t>
      </w:r>
      <w:r>
        <w:rPr>
          <w:rFonts w:ascii="Segoe UI" w:hAnsi="Segoe UI" w:cs="Segoe UI" w:eastAsia="Segoe UI"/>
          <w:color w:val="101820"/>
          <w:sz w:val="21"/>
        </w:rPr>
        <w:t xml:space="preserve">, </w:t>
      </w:r>
      <w:r>
        <w:rPr>
          <w:rFonts w:ascii="Consolas" w:hAnsi="Consolas" w:cs="Consolas" w:eastAsia="Consolas"/>
          <w:color w:val="101820"/>
          <w:sz w:val="19"/>
        </w:rPr>
        <w:t>build_plan_xlsx.py</w:t>
      </w:r>
      <w:r>
        <w:rPr>
          <w:rFonts w:ascii="Segoe UI" w:hAnsi="Segoe UI" w:cs="Segoe UI" w:eastAsia="Segoe UI"/>
          <w:color w:val="101820"/>
          <w:sz w:val="21"/>
        </w:rPr>
        <w:t xml:space="preserve">, </w:t>
      </w:r>
      <w:r>
        <w:rPr>
          <w:rFonts w:ascii="Consolas" w:hAnsi="Consolas" w:cs="Consolas" w:eastAsia="Consolas"/>
          <w:color w:val="101820"/>
          <w:sz w:val="19"/>
        </w:rPr>
        <w:t>build_project_templates_xlsx.py</w:t>
      </w:r>
      <w:r>
        <w:rPr>
          <w:rFonts w:ascii="Segoe UI" w:hAnsi="Segoe UI" w:cs="Segoe UI" w:eastAsia="Segoe UI"/>
          <w:color w:val="101820"/>
          <w:sz w:val="21"/>
        </w:rPr>
        <w:t xml:space="preserve"> (Fit-Gap Register and RAID Log), </w:t>
      </w:r>
      <w:r>
        <w:rPr>
          <w:rFonts w:ascii="Consolas" w:hAnsi="Consolas" w:cs="Consolas" w:eastAsia="Consolas"/>
          <w:color w:val="101820"/>
          <w:sz w:val="19"/>
        </w:rPr>
        <w:t>build_touchpoints_xlsx.py</w:t>
      </w:r>
      <w:r>
        <w:rPr>
          <w:rFonts w:ascii="Segoe UI" w:hAnsi="Segoe UI" w:cs="Segoe UI" w:eastAsia="Segoe UI"/>
          <w:color w:val="101820"/>
          <w:sz w:val="21"/>
        </w:rPr>
        <w:t xml:space="preserve">, </w:t>
      </w:r>
      <w:r>
        <w:rPr>
          <w:rFonts w:ascii="Consolas" w:hAnsi="Consolas" w:cs="Consolas" w:eastAsia="Consolas"/>
          <w:color w:val="101820"/>
          <w:sz w:val="19"/>
        </w:rPr>
        <w:t>build_api_catalogue.py</w:t>
      </w:r>
      <w:r>
        <w:rPr>
          <w:rFonts w:ascii="Segoe UI" w:hAnsi="Segoe UI" w:cs="Segoe UI" w:eastAsia="Segoe UI"/>
          <w:color w:val="101820"/>
          <w:sz w:val="21"/>
        </w:rPr>
        <w:t xml:space="preserve"> and </w:t>
      </w:r>
      <w:r>
        <w:rPr>
          <w:rFonts w:ascii="Consolas" w:hAnsi="Consolas" w:cs="Consolas" w:eastAsia="Consolas"/>
          <w:color w:val="101820"/>
          <w:sz w:val="19"/>
        </w:rPr>
        <w:t>data-dictionary/</w:t>
      </w:r>
      <w:r>
        <w:rPr>
          <w:rFonts w:ascii="Segoe UI" w:hAnsi="Segoe UI" w:cs="Segoe UI" w:eastAsia="Segoe UI"/>
          <w:color w:val="101820"/>
          <w:sz w:val="21"/>
        </w:rPr>
        <w:t xml:space="preserve">. The Test Cases and Reports Book workbooks are maintained directly. Writing rules: </w:t>
      </w:r>
      <w:r>
        <w:rPr>
          <w:rFonts w:ascii="Consolas" w:hAnsi="Consolas" w:cs="Consolas" w:eastAsia="Consolas"/>
          <w:color w:val="101820"/>
          <w:sz w:val="19"/>
        </w:rPr>
        <w:t>tools/WRITING_RULES.md</w:t>
      </w:r>
      <w:r>
        <w:rPr>
          <w:rFonts w:ascii="Segoe UI" w:hAnsi="Segoe UI" w:cs="Segoe UI" w:eastAsia="Segoe UI"/>
          <w:color w:val="101820"/>
          <w:sz w:val="21"/>
        </w:rPr>
        <w:t xml:space="preserve">. This index is generated by </w:t>
      </w:r>
      <w:r>
        <w:rPr>
          <w:rFonts w:ascii="Consolas" w:hAnsi="Consolas" w:cs="Consolas" w:eastAsia="Consolas"/>
          <w:color w:val="101820"/>
          <w:sz w:val="19"/>
        </w:rPr>
        <w:t>build_pack_index.py</w:t>
      </w:r>
      <w:r>
        <w:rPr>
          <w:rFonts w:ascii="Segoe UI" w:hAnsi="Segoe UI" w:cs="Segoe UI" w:eastAsia="Segoe UI"/>
          <w:color w:val="101820"/>
          <w:sz w:val="21"/>
        </w:rPr>
        <w:t>.</w:t>
      </w:r>
    </w:p>
    <w:p w14:paraId="3A19A69C" w14:textId="77777777" w:rsidR="002B183A" w:rsidRPr="00465CAB" w:rsidRDefault="002B183A" w:rsidP="002B183A">
      <w:pPr>
        <w:pStyle w:val="Heading1"/>
        <w:pageBreakBefore/>
        <w:tabs>
          <w:tab w:val="num" w:pos="360"/>
        </w:tabs>
        <w:spacing w:line="360" w:lineRule="auto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0" w:name="_Toc233203395"/>
      <w:r>
        <w:rPr>
          <w:rStyle w:val="BookTitle"/>
          <w:bCs w:val="0"/>
          <w:i w:val="0"/>
          <w:iCs w:val="0"/>
          <w:spacing w:val="0"/>
        </w:rPr>
        <w:t>9.  Document Sign-Off</w:t>
      </w:r>
      <w:bookmarkEnd w:id="10"/>
    </w:p>
    <w:p w14:paraId="05198298" w14:textId="77777777" w:rsidR="002B183A" w:rsidRDefault="002B183A" w:rsidP="002B183A">
      <w:pPr>
        <w:jc w:val="both"/>
        <w:rPr>
          <w:rFonts w:ascii="Segoe UI" w:eastAsia="Arial" w:hAnsi="Segoe UI" w:cs="Segoe UI"/>
          <w:color w:val="101820"/>
          <w:sz w:val="22"/>
        </w:rPr>
      </w:pPr>
    </w:p>
    <w:tbl>
      <w:tblPr>
        <w:tblStyle w:val="TableGrid"/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456"/>
        <w:gridCol w:w="3855"/>
        <w:gridCol w:w="1726"/>
        <w:gridCol w:w="1980"/>
      </w:tblGrid>
      <w:tr w:rsidR="002B183A" w14:paraId="0ABAE4AD" w14:textId="77777777" w:rsidTr="002923F3">
        <w:trPr>
          <w:trHeight w:val="440"/>
        </w:trPr>
        <w:tc>
          <w:tcPr>
            <w:tcW w:w="807" w:type="pct"/>
            <w:vAlign w:val="center"/>
          </w:tcPr>
          <w:p w14:paraId="3EB3C57B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lastRenderedPageBreak/>
              <w:t>Serial Number</w:t>
            </w:r>
          </w:p>
        </w:tc>
        <w:tc>
          <w:tcPr>
            <w:tcW w:w="2137" w:type="pct"/>
            <w:vAlign w:val="center"/>
          </w:tcPr>
          <w:p w14:paraId="11ABC55F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Description</w:t>
            </w:r>
          </w:p>
        </w:tc>
        <w:tc>
          <w:tcPr>
            <w:tcW w:w="957" w:type="pct"/>
            <w:vAlign w:val="center"/>
          </w:tcPr>
          <w:p w14:paraId="05BF7E25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Owner</w:t>
            </w:r>
          </w:p>
        </w:tc>
        <w:tc>
          <w:tcPr>
            <w:tcW w:w="1098" w:type="pct"/>
            <w:vAlign w:val="center"/>
          </w:tcPr>
          <w:p w14:paraId="1E570080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Status</w:t>
            </w:r>
          </w:p>
        </w:tc>
      </w:tr>
      <w:tr w:rsidR="002B183A" w:rsidRPr="00BB346A" w14:paraId="4AA02A28" w14:textId="77777777" w:rsidTr="002923F3">
        <w:trPr>
          <w:trHeight w:val="449"/>
        </w:trPr>
        <w:tc>
          <w:tcPr>
            <w:tcW w:w="807" w:type="pct"/>
            <w:vAlign w:val="center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1</w:t>
            </w:r>
          </w:p>
        </w:tc>
        <w:tc>
          <w:tcPr>
            <w:tcW w:w="2137" w:type="pct"/>
            <w:vAlign w:val="center"/>
          </w:tcPr>
          <w:p w14:paraId="38D2703A" w14:textId="77777777" w:rsidR="002B183A" w:rsidRPr="009876A6" w:rsidRDefault="002B183A" w:rsidP="002923F3">
            <w:pPr>
              <w:spacing w:before="60"/>
              <w:jc w:val="both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No open items at the time of issue</w:t>
            </w:r>
          </w:p>
        </w:tc>
        <w:tc>
          <w:tcPr>
            <w:tcW w:w="957" w:type="pct"/>
            <w:vAlign w:val="center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iorta TechNXT</w:t>
            </w:r>
          </w:p>
        </w:tc>
        <w:tc>
          <w:tcPr>
            <w:tcW w:w="1098" w:type="pct"/>
            <w:vAlign w:val="center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</w:r>
          </w:p>
        </w:tc>
      </w:tr>
      <w:tr w:rsidR="002B183A" w:rsidRPr="00BB346A" w14:paraId="441F7965" w14:textId="77777777" w:rsidTr="002923F3">
        <w:trPr>
          <w:trHeight w:val="449"/>
        </w:trPr>
        <w:tc>
          <w:tcPr>
            <w:tcW w:w="807" w:type="pct"/>
            <w:vAlign w:val="center"/>
          </w:tcPr>
          <w:p w14:paraId="7D7E1F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</w:p>
        </w:tc>
        <w:tc>
          <w:tcPr>
            <w:tcW w:w="2137" w:type="pct"/>
            <w:vAlign w:val="center"/>
          </w:tcPr>
          <w:p w14:paraId="6A7B9809" w14:textId="77777777" w:rsidR="002B183A" w:rsidRPr="00BB41CF" w:rsidRDefault="002B183A" w:rsidP="002923F3">
            <w:pPr>
              <w:spacing w:before="60"/>
              <w:jc w:val="both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</w:tc>
        <w:tc>
          <w:tcPr>
            <w:tcW w:w="957" w:type="pct"/>
            <w:vAlign w:val="center"/>
          </w:tcPr>
          <w:p w14:paraId="228473A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  <w:lang w:bidi="ar-LB"/>
              </w:rPr>
            </w:pPr>
          </w:p>
        </w:tc>
        <w:tc>
          <w:tcPr>
            <w:tcW w:w="1098" w:type="pct"/>
            <w:vAlign w:val="center"/>
          </w:tcPr>
          <w:p w14:paraId="4E55941A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</w:p>
        </w:tc>
      </w:tr>
      <w:tr w:rsidR="002B183A" w:rsidRPr="00BB346A" w14:paraId="02D59BF1" w14:textId="77777777" w:rsidTr="002923F3">
        <w:trPr>
          <w:trHeight w:val="449"/>
        </w:trPr>
        <w:tc>
          <w:tcPr>
            <w:tcW w:w="807" w:type="pct"/>
            <w:vAlign w:val="center"/>
          </w:tcPr>
          <w:p w14:paraId="0680EA44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</w:p>
        </w:tc>
        <w:tc>
          <w:tcPr>
            <w:tcW w:w="2137" w:type="pct"/>
            <w:vAlign w:val="center"/>
          </w:tcPr>
          <w:p w14:paraId="1AA7ECA0" w14:textId="77777777" w:rsidR="002B183A" w:rsidRPr="00BB41CF" w:rsidRDefault="002B183A" w:rsidP="002923F3">
            <w:pPr>
              <w:spacing w:before="60"/>
              <w:jc w:val="both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</w:tc>
        <w:tc>
          <w:tcPr>
            <w:tcW w:w="957" w:type="pct"/>
            <w:vAlign w:val="center"/>
          </w:tcPr>
          <w:p w14:paraId="372D7943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  <w:lang w:bidi="ar-LB"/>
              </w:rPr>
            </w:pPr>
          </w:p>
        </w:tc>
        <w:tc>
          <w:tcPr>
            <w:tcW w:w="1098" w:type="pct"/>
            <w:vAlign w:val="center"/>
          </w:tcPr>
          <w:p w14:paraId="6691CF9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</w:p>
        </w:tc>
      </w:tr>
    </w:tbl>
    <w:p w14:paraId="57CC15FC" w14:textId="77777777" w:rsidR="002B183A" w:rsidRDefault="002B183A" w:rsidP="002B183A">
      <w:pPr>
        <w:jc w:val="both"/>
        <w:rPr>
          <w:rFonts w:ascii="Segoe UI" w:eastAsia="Arial" w:hAnsi="Segoe UI" w:cs="Segoe UI"/>
          <w:color w:val="101820"/>
          <w:sz w:val="22"/>
        </w:rPr>
      </w:pPr>
    </w:p>
    <w:p w14:paraId="4B744F8C" w14:textId="77777777" w:rsidR="002B183A" w:rsidRDefault="002B183A" w:rsidP="002B183A">
      <w:pPr>
        <w:jc w:val="both"/>
        <w:rPr>
          <w:rFonts w:ascii="Segoe UI" w:eastAsia="Arial" w:hAnsi="Segoe UI" w:cs="Segoe UI"/>
          <w:color w:val="101820"/>
          <w:sz w:val="22"/>
        </w:rPr>
      </w:pPr>
    </w:p>
    <w:p w14:paraId="481C8706" w14:textId="77777777" w:rsidR="002B183A" w:rsidRDefault="002B183A" w:rsidP="002B183A">
      <w:pPr>
        <w:jc w:val="both"/>
        <w:rPr>
          <w:rFonts w:ascii="Segoe UI" w:eastAsia="Arial" w:hAnsi="Segoe UI" w:cs="Segoe UI"/>
          <w:color w:val="101820"/>
          <w:sz w:val="22"/>
        </w:rPr>
      </w:pPr>
    </w:p>
    <w:p w14:paraId="0974D0DE" w14:textId="77777777" w:rsidR="002B183A" w:rsidRDefault="002B183A" w:rsidP="002B183A">
      <w:pPr>
        <w:jc w:val="both"/>
        <w:rPr>
          <w:rFonts w:ascii="Segoe UI" w:eastAsia="Arial" w:hAnsi="Segoe UI" w:cs="Segoe UI"/>
          <w:color w:val="101820"/>
          <w:sz w:val="22"/>
        </w:rPr>
      </w:pPr>
    </w:p>
    <w:p w14:paraId="617D8666" w14:textId="77777777" w:rsidR="002B183A" w:rsidRDefault="002B183A" w:rsidP="002B183A">
      <w:pPr>
        <w:jc w:val="both"/>
        <w:rPr>
          <w:rFonts w:ascii="Segoe UI" w:eastAsia="Arial" w:hAnsi="Segoe UI" w:cs="Segoe UI"/>
          <w:color w:val="101820"/>
          <w:sz w:val="22"/>
        </w:rPr>
      </w:pPr>
    </w:p>
    <w:tbl>
      <w:tblPr>
        <w:tblStyle w:val="TableGrid"/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53"/>
        <w:gridCol w:w="3291"/>
        <w:gridCol w:w="1826"/>
        <w:gridCol w:w="2347"/>
      </w:tblGrid>
      <w:tr w:rsidR="002B183A" w14:paraId="731A77C7" w14:textId="77777777" w:rsidTr="002923F3">
        <w:trPr>
          <w:trHeight w:val="440"/>
        </w:trPr>
        <w:tc>
          <w:tcPr>
            <w:tcW w:w="807" w:type="pct"/>
            <w:vAlign w:val="center"/>
          </w:tcPr>
          <w:p w14:paraId="2799E846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 xml:space="preserve">Sign Off </w:t>
            </w:r>
            <w:r w:rsidRPr="00FF67C3"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Date</w:t>
            </w:r>
          </w:p>
        </w:tc>
        <w:tc>
          <w:tcPr>
            <w:tcW w:w="1843" w:type="pct"/>
            <w:vAlign w:val="center"/>
          </w:tcPr>
          <w:p w14:paraId="56708A83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Signature</w:t>
            </w:r>
          </w:p>
        </w:tc>
        <w:tc>
          <w:tcPr>
            <w:tcW w:w="1031" w:type="pct"/>
            <w:vAlign w:val="center"/>
          </w:tcPr>
          <w:p w14:paraId="367EAF90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Approved By</w:t>
            </w:r>
          </w:p>
        </w:tc>
        <w:tc>
          <w:tcPr>
            <w:tcW w:w="1319" w:type="pct"/>
            <w:vAlign w:val="center"/>
          </w:tcPr>
          <w:p w14:paraId="3521F756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Department &amp; Project Role</w:t>
            </w:r>
          </w:p>
        </w:tc>
      </w:tr>
      <w:tr w:rsidR="002B183A" w:rsidRPr="00BB346A" w14:paraId="2AD1806B" w14:textId="77777777" w:rsidTr="002923F3">
        <w:trPr>
          <w:trHeight w:val="449"/>
        </w:trPr>
        <w:tc>
          <w:tcPr>
            <w:tcW w:w="807" w:type="pct"/>
            <w:vAlign w:val="center"/>
          </w:tcPr>
          <w:p w14:paraId="59720FD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proofErr w:type="spellStart"/>
            <w:proofErr w:type="spellEnd"/>
          </w:p>
        </w:tc>
        <w:tc>
          <w:tcPr>
            <w:tcW w:w="1843" w:type="pct"/>
            <w:vAlign w:val="center"/>
          </w:tcPr>
          <w:p w14:paraId="07D5AEF4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</w:tc>
        <w:tc>
          <w:tcPr>
            <w:tcW w:w="1031" w:type="pct"/>
            <w:vAlign w:val="center"/>
          </w:tcPr>
          <w:p w14:paraId="2BA57AF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</w:tc>
        <w:tc>
          <w:tcPr>
            <w:tcW w:w="1319" w:type="pct"/>
            <w:vAlign w:val="center"/>
          </w:tcPr>
          <w:p w14:paraId="066A4127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  <w:p w14:paraId="3552213A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</w:tc>
      </w:tr>
      <w:tr w:rsidR="002B183A" w:rsidRPr="00BB346A" w14:paraId="7971AE35" w14:textId="77777777" w:rsidTr="002923F3">
        <w:trPr>
          <w:trHeight w:val="449"/>
        </w:trPr>
        <w:tc>
          <w:tcPr>
            <w:tcW w:w="807" w:type="pct"/>
            <w:vAlign w:val="center"/>
          </w:tcPr>
          <w:p w14:paraId="42385440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</w:p>
        </w:tc>
        <w:tc>
          <w:tcPr>
            <w:tcW w:w="1843" w:type="pct"/>
            <w:vAlign w:val="center"/>
          </w:tcPr>
          <w:p w14:paraId="0604EAC1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  <w:p w14:paraId="05AE96E1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  <w:p w14:paraId="15DEE206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</w:tc>
        <w:tc>
          <w:tcPr>
            <w:tcW w:w="1031" w:type="pct"/>
            <w:vAlign w:val="center"/>
          </w:tcPr>
          <w:p w14:paraId="2291C112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  <w:lang w:bidi="ar-LB"/>
              </w:rPr>
            </w:pPr>
          </w:p>
        </w:tc>
        <w:tc>
          <w:tcPr>
            <w:tcW w:w="1319" w:type="pct"/>
            <w:vAlign w:val="center"/>
          </w:tcPr>
          <w:p w14:paraId="4CA88E8E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</w:p>
        </w:tc>
      </w:tr>
      <w:tr w:rsidR="002B183A" w:rsidRPr="00BB346A" w14:paraId="4B3D09B6" w14:textId="77777777" w:rsidTr="002923F3">
        <w:trPr>
          <w:trHeight w:val="449"/>
        </w:trPr>
        <w:tc>
          <w:tcPr>
            <w:tcW w:w="807" w:type="pct"/>
            <w:vAlign w:val="center"/>
          </w:tcPr>
          <w:p w14:paraId="1935122E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  <w:p w14:paraId="240729FB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  <w:p w14:paraId="41E24FA9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</w:p>
        </w:tc>
        <w:tc>
          <w:tcPr>
            <w:tcW w:w="1843" w:type="pct"/>
            <w:vAlign w:val="center"/>
          </w:tcPr>
          <w:p w14:paraId="2216D931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</w:tc>
        <w:tc>
          <w:tcPr>
            <w:tcW w:w="1031" w:type="pct"/>
            <w:vAlign w:val="center"/>
          </w:tcPr>
          <w:p w14:paraId="6196FBA0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  <w:lang w:bidi="ar-LB"/>
              </w:rPr>
            </w:pPr>
          </w:p>
        </w:tc>
        <w:tc>
          <w:tcPr>
            <w:tcW w:w="1319" w:type="pct"/>
            <w:vAlign w:val="center"/>
          </w:tcPr>
          <w:p w14:paraId="78400642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</w:p>
        </w:tc>
      </w:tr>
      <w:tr w:rsidR="002B183A" w:rsidRPr="00BB346A" w14:paraId="350EB7EB" w14:textId="77777777" w:rsidTr="002923F3">
        <w:trPr>
          <w:trHeight w:val="449"/>
        </w:trPr>
        <w:tc>
          <w:tcPr>
            <w:tcW w:w="807" w:type="pct"/>
            <w:vAlign w:val="center"/>
          </w:tcPr>
          <w:p w14:paraId="7FAA6F25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  <w:p w14:paraId="4876CB16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  <w:p w14:paraId="1059F385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</w:tc>
        <w:tc>
          <w:tcPr>
            <w:tcW w:w="1843" w:type="pct"/>
            <w:vAlign w:val="center"/>
          </w:tcPr>
          <w:p w14:paraId="65DFF7B3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</w:tc>
        <w:tc>
          <w:tcPr>
            <w:tcW w:w="1031" w:type="pct"/>
            <w:vAlign w:val="center"/>
          </w:tcPr>
          <w:p w14:paraId="5C2E8BAE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  <w:lang w:bidi="ar-LB"/>
              </w:rPr>
            </w:pPr>
          </w:p>
        </w:tc>
        <w:tc>
          <w:tcPr>
            <w:tcW w:w="1319" w:type="pct"/>
            <w:vAlign w:val="center"/>
          </w:tcPr>
          <w:p w14:paraId="00B18382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</w:p>
        </w:tc>
      </w:tr>
    </w:tbl>
    <w:p w14:paraId="0965EE19" w14:textId="77777777" w:rsidR="00EE516B" w:rsidRDefault="00EE516B">
      <w:r>
        <w:lastRenderedPageBreak/>
        <w:br w:type="page"/>
      </w:r>
    </w:p>
    <w:p w14:paraId="1F938E87" w14:textId="77777777" w:rsidR="007B4988" w:rsidRDefault="007B4988"/>
    <w:p w14:paraId="4553482A" w14:textId="1F0B5849" w:rsidR="008501FA" w:rsidRPr="00EF479A" w:rsidRDefault="006470D1" w:rsidP="3B384731">
      <w:r>
        <w:rPr>
          <w:noProof/>
        </w:rPr>
        <w:drawing>
          <wp:anchor distT="0" distB="0" distL="114300" distR="114300" simplePos="0" relativeHeight="251658240" behindDoc="1" locked="0" layoutInCell="1" allowOverlap="1" wp14:anchorId="769CEDFB" wp14:editId="0E98DE0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48440" cy="10677525"/>
            <wp:effectExtent l="0" t="0" r="0" b="0"/>
            <wp:wrapNone/>
            <wp:docPr id="8884342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549725D-CA62-47A1-A957-457A136796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34296" name="Picture 8884342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440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01FA" w:rsidRPr="00EF479A" w:rsidSect="004477F0"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113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D9D5A" w14:textId="77777777" w:rsidR="00A242E6" w:rsidRDefault="00A242E6">
      <w:pPr>
        <w:spacing w:after="0" w:line="240" w:lineRule="auto"/>
      </w:pPr>
      <w:r>
        <w:separator/>
      </w:r>
    </w:p>
  </w:endnote>
  <w:endnote w:type="continuationSeparator" w:id="0">
    <w:p w14:paraId="749EBE52" w14:textId="77777777" w:rsidR="00A242E6" w:rsidRDefault="00A24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2981B" w14:textId="6A123F5D" w:rsidR="00EC1FCB" w:rsidRDefault="00EC1FCB">
    <w:pPr>
      <w:pStyle w:val="Footer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5915C0C7" wp14:editId="4783279C">
          <wp:simplePos x="0" y="0"/>
          <wp:positionH relativeFrom="page">
            <wp:align>left</wp:align>
          </wp:positionH>
          <wp:positionV relativeFrom="paragraph">
            <wp:posOffset>-707666</wp:posOffset>
          </wp:positionV>
          <wp:extent cx="8778222" cy="885012"/>
          <wp:effectExtent l="0" t="0" r="4445" b="0"/>
          <wp:wrapNone/>
          <wp:docPr id="1180669579" name="Picture 1180669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78222" cy="8850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E75530" w14:paraId="7DEADF60" w14:textId="77777777" w:rsidTr="2EB1E806">
      <w:trPr>
        <w:trHeight w:val="300"/>
      </w:trPr>
      <w:tc>
        <w:tcPr>
          <w:tcW w:w="3005" w:type="dxa"/>
        </w:tcPr>
        <w:p w14:paraId="1EDD45F7" w14:textId="77777777" w:rsidR="00E75530" w:rsidRDefault="00E75530" w:rsidP="2EB1E806">
          <w:pPr>
            <w:pStyle w:val="Header"/>
            <w:ind w:left="-115"/>
          </w:pPr>
        </w:p>
      </w:tc>
      <w:tc>
        <w:tcPr>
          <w:tcW w:w="3005" w:type="dxa"/>
        </w:tcPr>
        <w:p w14:paraId="29D1E92D" w14:textId="77777777" w:rsidR="00E75530" w:rsidRDefault="00E75530" w:rsidP="2EB1E806">
          <w:pPr>
            <w:pStyle w:val="Header"/>
            <w:jc w:val="center"/>
          </w:pPr>
        </w:p>
      </w:tc>
      <w:tc>
        <w:tcPr>
          <w:tcW w:w="3005" w:type="dxa"/>
        </w:tcPr>
        <w:p w14:paraId="74EB3205" w14:textId="77777777" w:rsidR="00E75530" w:rsidRDefault="00E75530" w:rsidP="2EB1E806">
          <w:pPr>
            <w:pStyle w:val="Header"/>
            <w:ind w:right="-115"/>
            <w:jc w:val="right"/>
          </w:pPr>
        </w:p>
      </w:tc>
    </w:tr>
  </w:tbl>
  <w:p w14:paraId="368865EE" w14:textId="77777777" w:rsidR="00E75530" w:rsidRDefault="00E75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557CB" w14:textId="77777777" w:rsidR="00A242E6" w:rsidRDefault="00A242E6">
      <w:pPr>
        <w:spacing w:after="0" w:line="240" w:lineRule="auto"/>
      </w:pPr>
      <w:r>
        <w:separator/>
      </w:r>
    </w:p>
  </w:footnote>
  <w:footnote w:type="continuationSeparator" w:id="0">
    <w:p w14:paraId="5971213E" w14:textId="77777777" w:rsidR="00A242E6" w:rsidRDefault="00A24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E75530" w14:paraId="1C7D462D" w14:textId="77777777" w:rsidTr="2EB1E806">
      <w:trPr>
        <w:trHeight w:val="300"/>
      </w:trPr>
      <w:tc>
        <w:tcPr>
          <w:tcW w:w="3005" w:type="dxa"/>
        </w:tcPr>
        <w:p w14:paraId="46651DEC" w14:textId="77777777" w:rsidR="00E75530" w:rsidRDefault="00E75530" w:rsidP="2EB1E806">
          <w:pPr>
            <w:pStyle w:val="Header"/>
            <w:ind w:left="-115"/>
          </w:pPr>
        </w:p>
      </w:tc>
      <w:tc>
        <w:tcPr>
          <w:tcW w:w="3005" w:type="dxa"/>
        </w:tcPr>
        <w:p w14:paraId="3039B243" w14:textId="77777777" w:rsidR="00E75530" w:rsidRDefault="00E75530" w:rsidP="2EB1E806">
          <w:pPr>
            <w:pStyle w:val="Header"/>
            <w:jc w:val="center"/>
          </w:pPr>
        </w:p>
      </w:tc>
      <w:tc>
        <w:tcPr>
          <w:tcW w:w="3005" w:type="dxa"/>
        </w:tcPr>
        <w:p w14:paraId="307891C7" w14:textId="77777777" w:rsidR="00E75530" w:rsidRDefault="00E75530" w:rsidP="2EB1E806">
          <w:pPr>
            <w:pStyle w:val="Header"/>
            <w:ind w:right="-115"/>
            <w:jc w:val="right"/>
          </w:pPr>
        </w:p>
      </w:tc>
    </w:tr>
  </w:tbl>
  <w:p w14:paraId="0CF9FFBF" w14:textId="77777777" w:rsidR="00E75530" w:rsidRDefault="00E755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60D61"/>
    <w:multiLevelType w:val="multilevel"/>
    <w:tmpl w:val="2670F7AE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 w:hint="default"/>
        <w:b/>
        <w:i w:val="0"/>
        <w:color w:val="003399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Segoe UI" w:hAnsi="Segoe UI" w:hint="default"/>
        <w:b/>
        <w:i w:val="0"/>
        <w:color w:val="003399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Segoe UI" w:hAnsi="Segoe UI" w:hint="default"/>
        <w:b/>
        <w:i w:val="0"/>
        <w:color w:val="003399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316623F"/>
    <w:multiLevelType w:val="multilevel"/>
    <w:tmpl w:val="2670F7AE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 w:hint="default"/>
        <w:b/>
        <w:i w:val="0"/>
        <w:color w:val="003399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Segoe UI" w:hAnsi="Segoe UI" w:hint="default"/>
        <w:b/>
        <w:i w:val="0"/>
        <w:color w:val="003399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Segoe UI" w:hAnsi="Segoe UI" w:hint="default"/>
        <w:b/>
        <w:i w:val="0"/>
        <w:color w:val="003399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00"/>
      </w:pPr>
    </w:lvl>
    <w:lvl w:ilvl="1">
      <w:start w:val="1"/>
      <w:numFmt w:val="bullet"/>
      <w:lvlText w:val="–"/>
      <w:lvlJc w:val="left"/>
      <w:pPr>
        <w:ind w:left="1080" w:hanging="300"/>
      </w:pPr>
    </w:lvl>
    <w:lvl w:ilvl="2">
      <w:start w:val="1"/>
      <w:numFmt w:val="bullet"/>
      <w:lvlText w:val="◦"/>
      <w:lvlJc w:val="left"/>
      <w:pPr>
        <w:ind w:left="1440" w:hanging="30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00"/>
      </w:pPr>
    </w:lvl>
    <w:lvl w:ilvl="1">
      <w:start w:val="1"/>
      <w:numFmt w:val="lowerLetter"/>
      <w:lvlText w:val="%2."/>
      <w:lvlJc w:val="left"/>
      <w:pPr>
        <w:ind w:left="1080" w:hanging="300"/>
      </w:pPr>
    </w:lvl>
    <w:lvl w:ilvl="2">
      <w:start w:val="1"/>
      <w:numFmt w:val="lowerLetter"/>
      <w:lvlText w:val="%3."/>
      <w:lvlJc w:val="left"/>
      <w:pPr>
        <w:ind w:left="1440" w:hanging="300"/>
      </w:pPr>
    </w:lvl>
  </w:abstractNum>
  <w:num w:numId="1" w16cid:durableId="1413504409">
    <w:abstractNumId w:val="0"/>
  </w:num>
  <w:num w:numId="2" w16cid:durableId="1722510407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619CAF"/>
    <w:rsid w:val="0000218A"/>
    <w:rsid w:val="00042B57"/>
    <w:rsid w:val="00052F56"/>
    <w:rsid w:val="0005688C"/>
    <w:rsid w:val="000568F1"/>
    <w:rsid w:val="00063BDA"/>
    <w:rsid w:val="000A49F2"/>
    <w:rsid w:val="000B63E5"/>
    <w:rsid w:val="000C0114"/>
    <w:rsid w:val="000C1431"/>
    <w:rsid w:val="000E2CCE"/>
    <w:rsid w:val="000E3A8A"/>
    <w:rsid w:val="000E6F4B"/>
    <w:rsid w:val="000F3FF5"/>
    <w:rsid w:val="000F41A4"/>
    <w:rsid w:val="000F4CCD"/>
    <w:rsid w:val="000F4EB5"/>
    <w:rsid w:val="00101A6A"/>
    <w:rsid w:val="00104904"/>
    <w:rsid w:val="00117C0B"/>
    <w:rsid w:val="001315CF"/>
    <w:rsid w:val="00132BD0"/>
    <w:rsid w:val="00146E08"/>
    <w:rsid w:val="00165D5A"/>
    <w:rsid w:val="0017322E"/>
    <w:rsid w:val="00175012"/>
    <w:rsid w:val="001820B4"/>
    <w:rsid w:val="0019429B"/>
    <w:rsid w:val="001A0057"/>
    <w:rsid w:val="001A0CA8"/>
    <w:rsid w:val="001A308F"/>
    <w:rsid w:val="001B5005"/>
    <w:rsid w:val="001D3CAE"/>
    <w:rsid w:val="001D5721"/>
    <w:rsid w:val="001D63DE"/>
    <w:rsid w:val="001E33AB"/>
    <w:rsid w:val="001E62E7"/>
    <w:rsid w:val="001F3059"/>
    <w:rsid w:val="0021019E"/>
    <w:rsid w:val="00217326"/>
    <w:rsid w:val="00230C12"/>
    <w:rsid w:val="002552E7"/>
    <w:rsid w:val="00266FD0"/>
    <w:rsid w:val="00267AA2"/>
    <w:rsid w:val="00277C08"/>
    <w:rsid w:val="00284E6D"/>
    <w:rsid w:val="00291400"/>
    <w:rsid w:val="00293152"/>
    <w:rsid w:val="002964A1"/>
    <w:rsid w:val="002A380B"/>
    <w:rsid w:val="002A7439"/>
    <w:rsid w:val="002B183A"/>
    <w:rsid w:val="002C210A"/>
    <w:rsid w:val="002C4C51"/>
    <w:rsid w:val="002C702D"/>
    <w:rsid w:val="002D24EB"/>
    <w:rsid w:val="002D2E94"/>
    <w:rsid w:val="002D72E9"/>
    <w:rsid w:val="002E01F0"/>
    <w:rsid w:val="002E33DD"/>
    <w:rsid w:val="002F0D17"/>
    <w:rsid w:val="002F14E6"/>
    <w:rsid w:val="002F15FD"/>
    <w:rsid w:val="002F2AB4"/>
    <w:rsid w:val="00302D80"/>
    <w:rsid w:val="003066FC"/>
    <w:rsid w:val="00332B5D"/>
    <w:rsid w:val="003352B3"/>
    <w:rsid w:val="00342678"/>
    <w:rsid w:val="00344ED2"/>
    <w:rsid w:val="0034793E"/>
    <w:rsid w:val="00347EBD"/>
    <w:rsid w:val="003508EA"/>
    <w:rsid w:val="0036406E"/>
    <w:rsid w:val="003746B4"/>
    <w:rsid w:val="00375053"/>
    <w:rsid w:val="00386071"/>
    <w:rsid w:val="003929B6"/>
    <w:rsid w:val="003A2082"/>
    <w:rsid w:val="003A560F"/>
    <w:rsid w:val="003A6145"/>
    <w:rsid w:val="003A6CCA"/>
    <w:rsid w:val="003A74E0"/>
    <w:rsid w:val="003C3BF4"/>
    <w:rsid w:val="003C514A"/>
    <w:rsid w:val="003C7B6B"/>
    <w:rsid w:val="003D05E3"/>
    <w:rsid w:val="003F0D95"/>
    <w:rsid w:val="00405DF9"/>
    <w:rsid w:val="00413CDB"/>
    <w:rsid w:val="004170F2"/>
    <w:rsid w:val="00432E0E"/>
    <w:rsid w:val="00435034"/>
    <w:rsid w:val="00435327"/>
    <w:rsid w:val="0043534B"/>
    <w:rsid w:val="0044099E"/>
    <w:rsid w:val="00442F0D"/>
    <w:rsid w:val="004477F0"/>
    <w:rsid w:val="004503D4"/>
    <w:rsid w:val="00452E5E"/>
    <w:rsid w:val="004647A1"/>
    <w:rsid w:val="00474CE6"/>
    <w:rsid w:val="004913D2"/>
    <w:rsid w:val="004A02DA"/>
    <w:rsid w:val="004A1359"/>
    <w:rsid w:val="004B2DAF"/>
    <w:rsid w:val="004B625D"/>
    <w:rsid w:val="004C7746"/>
    <w:rsid w:val="004E295B"/>
    <w:rsid w:val="004E4690"/>
    <w:rsid w:val="004F06C7"/>
    <w:rsid w:val="004F3C1D"/>
    <w:rsid w:val="0050492D"/>
    <w:rsid w:val="00506CE2"/>
    <w:rsid w:val="005117B0"/>
    <w:rsid w:val="00515DD1"/>
    <w:rsid w:val="00526F27"/>
    <w:rsid w:val="005274C4"/>
    <w:rsid w:val="00527DC4"/>
    <w:rsid w:val="00530CF1"/>
    <w:rsid w:val="00551FBB"/>
    <w:rsid w:val="00557619"/>
    <w:rsid w:val="0056723D"/>
    <w:rsid w:val="005801AB"/>
    <w:rsid w:val="00582D45"/>
    <w:rsid w:val="005965C9"/>
    <w:rsid w:val="00597C78"/>
    <w:rsid w:val="005B20F7"/>
    <w:rsid w:val="005C6A01"/>
    <w:rsid w:val="005D416F"/>
    <w:rsid w:val="005D66A3"/>
    <w:rsid w:val="005E50D8"/>
    <w:rsid w:val="005E5BDB"/>
    <w:rsid w:val="006035C8"/>
    <w:rsid w:val="0061697C"/>
    <w:rsid w:val="006205C2"/>
    <w:rsid w:val="00635465"/>
    <w:rsid w:val="00636B4E"/>
    <w:rsid w:val="0064254C"/>
    <w:rsid w:val="006470D1"/>
    <w:rsid w:val="006636A0"/>
    <w:rsid w:val="00672F40"/>
    <w:rsid w:val="006A00B9"/>
    <w:rsid w:val="006A3B4D"/>
    <w:rsid w:val="006A5A6F"/>
    <w:rsid w:val="006B0390"/>
    <w:rsid w:val="006C0479"/>
    <w:rsid w:val="006D5B1D"/>
    <w:rsid w:val="006E299A"/>
    <w:rsid w:val="006F00EA"/>
    <w:rsid w:val="006F1953"/>
    <w:rsid w:val="006F76BF"/>
    <w:rsid w:val="006F794B"/>
    <w:rsid w:val="00702A04"/>
    <w:rsid w:val="0070768E"/>
    <w:rsid w:val="00716258"/>
    <w:rsid w:val="0072222E"/>
    <w:rsid w:val="00725646"/>
    <w:rsid w:val="00732BA3"/>
    <w:rsid w:val="0073383D"/>
    <w:rsid w:val="00734A87"/>
    <w:rsid w:val="007526C4"/>
    <w:rsid w:val="00760478"/>
    <w:rsid w:val="0077617F"/>
    <w:rsid w:val="007857E1"/>
    <w:rsid w:val="00785E13"/>
    <w:rsid w:val="00792F52"/>
    <w:rsid w:val="007A4A03"/>
    <w:rsid w:val="007A633B"/>
    <w:rsid w:val="007A71F1"/>
    <w:rsid w:val="007B02D5"/>
    <w:rsid w:val="007B4988"/>
    <w:rsid w:val="007D7821"/>
    <w:rsid w:val="007F11E9"/>
    <w:rsid w:val="007F30C2"/>
    <w:rsid w:val="007F472F"/>
    <w:rsid w:val="008064DE"/>
    <w:rsid w:val="00806B12"/>
    <w:rsid w:val="00810A00"/>
    <w:rsid w:val="008115F2"/>
    <w:rsid w:val="008142DD"/>
    <w:rsid w:val="00816F52"/>
    <w:rsid w:val="0082012F"/>
    <w:rsid w:val="00822C46"/>
    <w:rsid w:val="0083379F"/>
    <w:rsid w:val="0084601F"/>
    <w:rsid w:val="00850063"/>
    <w:rsid w:val="008501FA"/>
    <w:rsid w:val="00851AA2"/>
    <w:rsid w:val="0085347F"/>
    <w:rsid w:val="0088114F"/>
    <w:rsid w:val="00883FF9"/>
    <w:rsid w:val="008962E2"/>
    <w:rsid w:val="008966B3"/>
    <w:rsid w:val="008B2159"/>
    <w:rsid w:val="008C0C77"/>
    <w:rsid w:val="008E432C"/>
    <w:rsid w:val="00905E50"/>
    <w:rsid w:val="009109A9"/>
    <w:rsid w:val="0091281E"/>
    <w:rsid w:val="00913938"/>
    <w:rsid w:val="00914989"/>
    <w:rsid w:val="00915839"/>
    <w:rsid w:val="00922A5C"/>
    <w:rsid w:val="009319BC"/>
    <w:rsid w:val="00962B66"/>
    <w:rsid w:val="009853D4"/>
    <w:rsid w:val="00995621"/>
    <w:rsid w:val="009A509A"/>
    <w:rsid w:val="009B6DDB"/>
    <w:rsid w:val="009C183B"/>
    <w:rsid w:val="009C3226"/>
    <w:rsid w:val="009C54E5"/>
    <w:rsid w:val="009D1BA6"/>
    <w:rsid w:val="009E5C44"/>
    <w:rsid w:val="009F60B4"/>
    <w:rsid w:val="00A05431"/>
    <w:rsid w:val="00A12B12"/>
    <w:rsid w:val="00A242E6"/>
    <w:rsid w:val="00A42EF2"/>
    <w:rsid w:val="00A446DF"/>
    <w:rsid w:val="00A63673"/>
    <w:rsid w:val="00A87E4D"/>
    <w:rsid w:val="00A948CA"/>
    <w:rsid w:val="00A967C0"/>
    <w:rsid w:val="00AB1D58"/>
    <w:rsid w:val="00AB415C"/>
    <w:rsid w:val="00AB5A66"/>
    <w:rsid w:val="00AB70BF"/>
    <w:rsid w:val="00AD2457"/>
    <w:rsid w:val="00AD7E84"/>
    <w:rsid w:val="00AF3120"/>
    <w:rsid w:val="00B03E51"/>
    <w:rsid w:val="00B11280"/>
    <w:rsid w:val="00B145FD"/>
    <w:rsid w:val="00B34C4C"/>
    <w:rsid w:val="00B36355"/>
    <w:rsid w:val="00B41393"/>
    <w:rsid w:val="00B55DFA"/>
    <w:rsid w:val="00B65D18"/>
    <w:rsid w:val="00B67F6B"/>
    <w:rsid w:val="00B92133"/>
    <w:rsid w:val="00BA7965"/>
    <w:rsid w:val="00BB13EB"/>
    <w:rsid w:val="00BB70EE"/>
    <w:rsid w:val="00BD09D6"/>
    <w:rsid w:val="00BD192A"/>
    <w:rsid w:val="00BE35E1"/>
    <w:rsid w:val="00BE7A2E"/>
    <w:rsid w:val="00BF0754"/>
    <w:rsid w:val="00BF0B1E"/>
    <w:rsid w:val="00BF4953"/>
    <w:rsid w:val="00C33D1A"/>
    <w:rsid w:val="00C453D8"/>
    <w:rsid w:val="00C53EE2"/>
    <w:rsid w:val="00C7250E"/>
    <w:rsid w:val="00C73E90"/>
    <w:rsid w:val="00C86161"/>
    <w:rsid w:val="00CA2181"/>
    <w:rsid w:val="00CA3397"/>
    <w:rsid w:val="00CA3752"/>
    <w:rsid w:val="00CB72C2"/>
    <w:rsid w:val="00CC174D"/>
    <w:rsid w:val="00CD4769"/>
    <w:rsid w:val="00CE291D"/>
    <w:rsid w:val="00CE412D"/>
    <w:rsid w:val="00CE55AD"/>
    <w:rsid w:val="00CE59F7"/>
    <w:rsid w:val="00CF36DA"/>
    <w:rsid w:val="00D0151B"/>
    <w:rsid w:val="00D1397F"/>
    <w:rsid w:val="00D1561E"/>
    <w:rsid w:val="00D35AD1"/>
    <w:rsid w:val="00D46CF6"/>
    <w:rsid w:val="00D63589"/>
    <w:rsid w:val="00D64521"/>
    <w:rsid w:val="00D75FF4"/>
    <w:rsid w:val="00D828C7"/>
    <w:rsid w:val="00D8334F"/>
    <w:rsid w:val="00D9094D"/>
    <w:rsid w:val="00DA62B8"/>
    <w:rsid w:val="00DB603E"/>
    <w:rsid w:val="00DC143C"/>
    <w:rsid w:val="00DC5AFC"/>
    <w:rsid w:val="00DD0B50"/>
    <w:rsid w:val="00DD20A9"/>
    <w:rsid w:val="00DD615A"/>
    <w:rsid w:val="00DD7430"/>
    <w:rsid w:val="00DF2344"/>
    <w:rsid w:val="00E06159"/>
    <w:rsid w:val="00E1122A"/>
    <w:rsid w:val="00E1377B"/>
    <w:rsid w:val="00E1476A"/>
    <w:rsid w:val="00E2456D"/>
    <w:rsid w:val="00E25350"/>
    <w:rsid w:val="00E46E45"/>
    <w:rsid w:val="00E53623"/>
    <w:rsid w:val="00E53FF8"/>
    <w:rsid w:val="00E621D8"/>
    <w:rsid w:val="00E75530"/>
    <w:rsid w:val="00E82847"/>
    <w:rsid w:val="00E92ED2"/>
    <w:rsid w:val="00EA48D7"/>
    <w:rsid w:val="00EC0DBF"/>
    <w:rsid w:val="00EC1FCB"/>
    <w:rsid w:val="00EC3C7D"/>
    <w:rsid w:val="00EE516B"/>
    <w:rsid w:val="00EF479A"/>
    <w:rsid w:val="00F00ADB"/>
    <w:rsid w:val="00F22B91"/>
    <w:rsid w:val="00F26BAF"/>
    <w:rsid w:val="00F27EC9"/>
    <w:rsid w:val="00F40452"/>
    <w:rsid w:val="00F51C7F"/>
    <w:rsid w:val="00F65143"/>
    <w:rsid w:val="00F65451"/>
    <w:rsid w:val="00F700CF"/>
    <w:rsid w:val="00F70204"/>
    <w:rsid w:val="00F709B7"/>
    <w:rsid w:val="00F77716"/>
    <w:rsid w:val="00FB21C6"/>
    <w:rsid w:val="00FB2A82"/>
    <w:rsid w:val="00FD67F2"/>
    <w:rsid w:val="00FF7FF8"/>
    <w:rsid w:val="01CA9D05"/>
    <w:rsid w:val="055BFCB9"/>
    <w:rsid w:val="0687B841"/>
    <w:rsid w:val="0E539202"/>
    <w:rsid w:val="1763029D"/>
    <w:rsid w:val="1795DE0D"/>
    <w:rsid w:val="19651ED0"/>
    <w:rsid w:val="1A2B37AE"/>
    <w:rsid w:val="1B9AC10C"/>
    <w:rsid w:val="1CF41131"/>
    <w:rsid w:val="1DE7F87D"/>
    <w:rsid w:val="22B94435"/>
    <w:rsid w:val="25F16803"/>
    <w:rsid w:val="2810A832"/>
    <w:rsid w:val="29630CD1"/>
    <w:rsid w:val="2A929015"/>
    <w:rsid w:val="2EB1E806"/>
    <w:rsid w:val="2F7DEDA7"/>
    <w:rsid w:val="3050B4C0"/>
    <w:rsid w:val="3B384731"/>
    <w:rsid w:val="41E865D3"/>
    <w:rsid w:val="423B9943"/>
    <w:rsid w:val="465B543B"/>
    <w:rsid w:val="4FD68526"/>
    <w:rsid w:val="528B570B"/>
    <w:rsid w:val="58619CAF"/>
    <w:rsid w:val="59FE61E3"/>
    <w:rsid w:val="5D67F8AB"/>
    <w:rsid w:val="5EC7D5D1"/>
    <w:rsid w:val="5F792426"/>
    <w:rsid w:val="6241B22A"/>
    <w:rsid w:val="65EF8D46"/>
    <w:rsid w:val="6BFAB9C3"/>
    <w:rsid w:val="6D706F02"/>
    <w:rsid w:val="75B95BFB"/>
    <w:rsid w:val="76E53D01"/>
    <w:rsid w:val="783C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5C7AF"/>
  <w15:chartTrackingRefBased/>
  <w15:docId w15:val="{E1FC862B-6EF8-40CD-AC6E-FBDED42DDE3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1B9AC10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1B9AC10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7526C4"/>
  </w:style>
  <w:style w:type="character" w:customStyle="1" w:styleId="FooterChar">
    <w:name w:val="Footer Char"/>
    <w:basedOn w:val="DefaultParagraphFont"/>
    <w:link w:val="Footer"/>
    <w:uiPriority w:val="99"/>
    <w:rsid w:val="007A4A03"/>
  </w:style>
  <w:style w:type="character" w:customStyle="1" w:styleId="Heading1Char">
    <w:name w:val="Heading 1 Char"/>
    <w:basedOn w:val="DefaultParagraphFont"/>
    <w:link w:val="Heading1"/>
    <w:uiPriority w:val="9"/>
    <w:rsid w:val="002B1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uiPriority w:val="99"/>
    <w:unhideWhenUsed/>
    <w:rsid w:val="002B183A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B183A"/>
    <w:pPr>
      <w:spacing w:before="480" w:line="276" w:lineRule="auto"/>
      <w:outlineLvl w:val="9"/>
    </w:pPr>
    <w:rPr>
      <w:rFonts w:ascii="Arial" w:eastAsia="Times New Roman" w:hAnsi="Arial" w:cs="Arial"/>
      <w:bCs/>
      <w:color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B183A"/>
    <w:pPr>
      <w:tabs>
        <w:tab w:val="left" w:pos="900"/>
        <w:tab w:val="right" w:leader="dot" w:pos="9350"/>
      </w:tabs>
      <w:spacing w:after="100" w:line="276" w:lineRule="auto"/>
      <w:jc w:val="both"/>
    </w:pPr>
    <w:rPr>
      <w:rFonts w:ascii="Segoe UI" w:eastAsia="Times New Roman" w:hAnsi="Segoe UI" w:cs="Times New Roman"/>
      <w:b/>
      <w:color w:val="101820"/>
      <w:sz w:val="20"/>
      <w:szCs w:val="22"/>
      <w:lang w:eastAsia="en-US"/>
    </w:rPr>
  </w:style>
  <w:style w:type="character" w:styleId="BookTitle">
    <w:name w:val="Book Title"/>
    <w:uiPriority w:val="33"/>
    <w:qFormat/>
    <w:rsid w:val="002B183A"/>
    <w:rPr>
      <w:b/>
      <w:bCs/>
      <w:i/>
      <w:iCs/>
      <w:spacing w:val="5"/>
    </w:rPr>
  </w:style>
  <w:style w:type="paragraph" w:customStyle="1" w:styleId="Heading2">
    <w:name w:val="heading 2"/>
    <w:basedOn w:val="Normal"/>
    <w:pPr>
      <w:keepNext/>
      <w:spacing w:before="240" w:after="80"/>
      <w:outlineLvl w:val="1"/>
    </w:pPr>
    <w:rPr>
      <w:rFonts w:ascii="Segoe UI" w:hAnsi="Segoe UI"/>
      <w:b/>
      <w:color w:val="0F4761"/>
      <w:sz w:val="26"/>
    </w:rPr>
  </w:style>
  <w:style w:type="paragraph" w:customStyle="1" w:styleId="Heading3">
    <w:name w:val="heading 3"/>
    <w:basedOn w:val="Normal"/>
    <w:pPr>
      <w:keepNext/>
      <w:spacing w:before="240" w:after="80"/>
      <w:outlineLvl w:val="2"/>
    </w:pPr>
    <w:rPr>
      <w:rFonts w:ascii="Segoe UI" w:hAnsi="Segoe UI"/>
      <w:b/>
      <w:color w:val="0F4761"/>
      <w:sz w:val="23"/>
    </w:rPr>
  </w:style>
  <w:style w:type="paragraph" w:customStyle="1" w:styleId="toc2">
    <w:name w:val="toc 2"/>
    <w:basedOn w:val="TOC1"/>
    <w:pPr>
      <w:ind w:left="340"/>
    </w:pPr>
  </w:style>
  <w:style w:type="paragraph" w:customStyle="1" w:styleId="toc3">
    <w:name w:val="toc 3"/>
    <w:basedOn w:val="TOC1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B5F57171CF124DA305F5F2F2C90404" ma:contentTypeVersion="10" ma:contentTypeDescription="Create a new document." ma:contentTypeScope="" ma:versionID="5fc2ae173fd82ea9f4710d62b9055a3a">
  <xsd:schema xmlns:xsd="http://www.w3.org/2001/XMLSchema" xmlns:xs="http://www.w3.org/2001/XMLSchema" xmlns:p="http://schemas.microsoft.com/office/2006/metadata/properties" xmlns:ns3="fcd4fbc6-d149-41e6-b5a3-0f2dc7078962" targetNamespace="http://schemas.microsoft.com/office/2006/metadata/properties" ma:root="true" ma:fieldsID="47065ddf53e9fb8c6afaae7654624852" ns3:_="">
    <xsd:import namespace="fcd4fbc6-d149-41e6-b5a3-0f2dc707896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4fbc6-d149-41e6-b5a3-0f2dc707896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d4fbc6-d149-41e6-b5a3-0f2dc7078962" xsi:nil="true"/>
  </documentManagement>
</p:properties>
</file>

<file path=customXml/itemProps1.xml><?xml version="1.0" encoding="utf-8"?>
<ds:datastoreItem xmlns:ds="http://schemas.openxmlformats.org/officeDocument/2006/customXml" ds:itemID="{F85506AB-341E-4DB7-9E6C-94E21EE122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CE9AF4-17E0-496B-86F7-DDAE56028F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CA43DA-C851-4C9F-AA9A-3B73EDF752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d4fbc6-d149-41e6-b5a3-0f2dc70789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CAF19BD-2A20-432E-A6D3-31F36EF57940}">
  <ds:schemaRefs>
    <ds:schemaRef ds:uri="http://schemas.microsoft.com/office/2006/metadata/properties"/>
    <ds:schemaRef ds:uri="http://schemas.microsoft.com/office/infopath/2007/PartnerControls"/>
    <ds:schemaRef ds:uri="fcd4fbc6-d149-41e6-b5a3-0f2dc70789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</dc:creator>
  <cp:keywords/>
  <dc:description/>
  <cp:lastModifiedBy>Andrew R</cp:lastModifiedBy>
  <cp:revision>6</cp:revision>
  <dcterms:created xsi:type="dcterms:W3CDTF">2026-06-24T05:58:00Z</dcterms:created>
  <dcterms:modified xsi:type="dcterms:W3CDTF">2026-06-24T06:48:00Z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0x01010010B5F57171CF124DA305F5F2F2C90404</vt:lpwstr>
  </property>
</Properties>
</file>