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TISPH Feature Catalogue and Release Tiers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Release Tiers</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How a Function Is Enabled</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Phase 1 Functions</w:t>
        </w:r>
        <w:r>
          <w:rPr>
            <w:b/>
            <w:noProof/>
          </w:rPr>
          <w:tab/>
        </w:r>
        <w:r>
          <w:rPr>
            <w:b/>
            <w:noProof/>
          </w:rPr>
          <w:t>6</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Platform Functions</w:t>
        </w:r>
        <w:r>
          <w:rPr>
            <w:b/>
            <w:noProof/>
          </w:rPr>
          <w:tab/>
        </w:r>
        <w:r>
          <w:rPr>
            <w:b/>
            <w:noProof/>
          </w:rPr>
          <w:t>9</w:t>
        </w:r>
      </w:hyperlink>
    </w:p>
    <w:p xmlns:a="http://schemas.openxmlformats.org/drawingml/2006/main" xmlns:pic="http://schemas.openxmlformats.org/drawingml/2006/picture">
      <w:pPr>
        <w:pStyle w:val="TOC1"/>
      </w:pPr>
      <w:hyperlink w:anchor="_Toc300001008" w:history="1">
        <w:r>
          <w:rPr>
            <w:b/>
            <w:noProof/>
          </w:rPr>
          <w:t xml:space="preserve">6.</w:t>
        </w:r>
        <w:r>
          <w:rPr>
            <w:b/>
            <w:noProof/>
          </w:rPr>
          <w:tab/>
        </w:r>
        <w:r>
          <w:rPr>
            <w:b/>
            <w:noProof/>
          </w:rPr>
          <w:t xml:space="preserve">Phase 2 Functions</w:t>
        </w:r>
        <w:r>
          <w:rPr>
            <w:b/>
            <w:noProof/>
          </w:rPr>
          <w:tab/>
        </w:r>
        <w:r>
          <w:rPr>
            <w:b/>
            <w:noProof/>
          </w:rPr>
          <w:t>10</w:t>
        </w:r>
      </w:hyperlink>
    </w:p>
    <w:p xmlns:a="http://schemas.openxmlformats.org/drawingml/2006/main" xmlns:pic="http://schemas.openxmlformats.org/drawingml/2006/picture">
      <w:pPr>
        <w:pStyle w:val="TOC1"/>
      </w:pPr>
      <w:hyperlink w:anchor="_Toc300001009" w:history="1">
        <w:r>
          <w:rPr>
            <w:b/>
            <w:noProof/>
          </w:rPr>
          <w:t xml:space="preserve">7.</w:t>
        </w:r>
        <w:r>
          <w:rPr>
            <w:b/>
            <w:noProof/>
          </w:rPr>
          <w:tab/>
        </w:r>
        <w:r>
          <w:rPr>
            <w:b/>
            <w:noProof/>
          </w:rPr>
          <w:t xml:space="preserve">Future Releases</w:t>
        </w:r>
        <w:r>
          <w:rPr>
            <w:b/>
            <w:noProof/>
          </w:rPr>
          <w:tab/>
        </w:r>
        <w:r>
          <w:rPr>
            <w:b/>
            <w:noProof/>
          </w:rPr>
          <w:t>11</w:t>
        </w:r>
      </w:hyperlink>
    </w:p>
    <w:p xmlns:a="http://schemas.openxmlformats.org/drawingml/2006/main" xmlns:pic="http://schemas.openxmlformats.org/drawingml/2006/picture">
      <w:pPr>
        <w:pStyle w:val="TOC1"/>
      </w:pPr>
      <w:hyperlink w:anchor="_Toc300001010" w:history="1">
        <w:r>
          <w:rPr>
            <w:b/>
            <w:noProof/>
          </w:rPr>
          <w:t xml:space="preserve">8.</w:t>
        </w:r>
        <w:r>
          <w:rPr>
            <w:b/>
            <w:noProof/>
          </w:rPr>
          <w:tab/>
        </w:r>
        <w:r>
          <w:rPr>
            <w:b/>
            <w:noProof/>
          </w:rPr>
          <w:t xml:space="preserve">Decisions for TISPH</w:t>
        </w:r>
        <w:r>
          <w:rPr>
            <w:b/>
            <w:noProof/>
          </w:rPr>
          <w:tab/>
        </w:r>
        <w:r>
          <w:rPr>
            <w:b/>
            <w:noProof/>
          </w:rPr>
          <w:t>13</w:t>
        </w:r>
      </w:hyperlink>
    </w:p>
    <w:p xmlns:a="http://schemas.openxmlformats.org/drawingml/2006/main" xmlns:pic="http://schemas.openxmlformats.org/drawingml/2006/picture">
      <w:pPr>
        <w:pStyle w:val="TOC1"/>
      </w:pPr>
      <w:hyperlink w:anchor="_Toc300001011" w:history="1">
        <w:r>
          <w:rPr>
            <w:b/>
            <w:noProof/>
          </w:rPr>
          <w:t xml:space="preserve">9.</w:t>
        </w:r>
        <w:r>
          <w:rPr>
            <w:b/>
            <w:noProof/>
          </w:rPr>
          <w:tab/>
        </w:r>
        <w:r>
          <w:rPr>
            <w:b/>
            <w:noProof/>
          </w:rPr>
          <w:t xml:space="preserve">What Phase 2 and Future Functions Control</w:t>
        </w:r>
        <w:r>
          <w:rPr>
            <w:b/>
            <w:noProof/>
          </w:rPr>
          <w:tab/>
        </w:r>
        <w:r>
          <w:rPr>
            <w:b/>
            <w:noProof/>
          </w:rPr>
          <w:t>15</w:t>
        </w:r>
      </w:hyperlink>
    </w:p>
    <w:p xmlns:a="http://schemas.openxmlformats.org/drawingml/2006/main" xmlns:pic="http://schemas.openxmlformats.org/drawingml/2006/picture">
      <w:pPr>
        <w:pStyle w:val="TOC1"/>
      </w:pPr>
      <w:hyperlink w:anchor="_Toc300001012" w:history="1">
        <w:r>
          <w:rPr>
            <w:b/>
            <w:noProof/>
          </w:rPr>
          <w:t xml:space="preserve">10.</w:t>
        </w:r>
        <w:r>
          <w:rPr>
            <w:b/>
            <w:noProof/>
          </w:rPr>
          <w:tab/>
        </w:r>
        <w:r>
          <w:rPr>
            <w:b/>
            <w:noProof/>
          </w:rPr>
          <w:t xml:space="preserve">Document Sign-Off</w:t>
        </w:r>
        <w:r>
          <w:rPr>
            <w:b/>
            <w:noProof/>
          </w:rPr>
          <w:tab/>
        </w:r>
        <w:r>
          <w:rPr>
            <w:b/>
            <w:noProof/>
          </w:rPr>
          <w:t>17</w:t>
        </w:r>
      </w:hyperlink>
    </w:p>
    <w:p xmlns:a="http://schemas.openxmlformats.org/drawingml/2006/main" xmlns:pic="http://schemas.openxmlformats.org/drawingml/2006/picture">
      <w:pPr>
        <w:pStyle w:val="TOC1"/>
      </w:pPr>
      <w:hyperlink w:anchor="_Toc300001013" w:history="1">
        <w:r>
          <w:rPr>
            <w:b/>
            <w:noProof/>
          </w:rPr>
          <w:t xml:space="preserve">11.</w:t>
        </w:r>
        <w:r>
          <w:rPr>
            <w:b/>
            <w:noProof/>
          </w:rPr>
          <w:tab/>
        </w:r>
        <w:r>
          <w:rPr>
            <w:b/>
            <w:noProof/>
          </w:rPr>
          <w:t xml:space="preserve">Pending Items</w:t>
        </w:r>
        <w:r>
          <w:rPr>
            <w:b/>
            <w:noProof/>
          </w:rPr>
          <w:tab/>
        </w:r>
        <w:r>
          <w:rPr>
            <w:b/>
            <w:noProof/>
          </w:rPr>
          <w:t>18</w:t>
        </w:r>
      </w:hyperlink>
    </w:p>
    <w:p xmlns:a="http://schemas.openxmlformats.org/drawingml/2006/main" xmlns:pic="http://schemas.openxmlformats.org/drawingml/2006/picture">
      <w:pPr>
        <w:pStyle w:val="TOC1"/>
      </w:pPr>
      <w:hyperlink w:anchor="_Toc300001014" w:history="1">
        <w:r>
          <w:rPr>
            <w:b/>
            <w:noProof/>
          </w:rPr>
          <w:t xml:space="preserve">12.</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function of the platform with its release tier, requirement IDs, dependencies and the decisions TISPH has to take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TISPH Feature Catalogue and Release Tiers</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TISPH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w:t>
            </w:r>
          </w:p>
        </w:tc>
        <w:tc>
          <w:tcPr>
            <w:tcW w:w="631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DAT</w:t>
            </w:r>
          </w:p>
        </w:tc>
        <w:tc>
          <w:tcPr>
            <w:tcW w:w="6319" w:type="dxa"/>
          </w:tcPr>
          <w:p>
            <w:pPr>
              <w:spacing w:before="40" w:after="40" w:line="240" w:lineRule="auto"/>
            </w:pPr>
            <w:r>
              <w:rPr>
                <w:rFonts w:ascii="Segoe UI" w:hAnsi="Segoe UI" w:cs="Segoe UI" w:eastAsia="Segoe UI"/>
                <w:sz w:val="16"/>
                <w:szCs w:val="16"/>
              </w:rPr>
              <w:t xml:space="preserve">BIR data file format for alphalists and relief</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EOPT</w:t>
            </w:r>
          </w:p>
        </w:tc>
        <w:tc>
          <w:tcPr>
            <w:tcW w:w="6319" w:type="dxa"/>
          </w:tcPr>
          <w:p>
            <w:pPr>
              <w:spacing w:before="40" w:after="40" w:line="240" w:lineRule="auto"/>
            </w:pPr>
            <w:r>
              <w:rPr>
                <w:rFonts w:ascii="Segoe UI" w:hAnsi="Segoe UI" w:cs="Segoe UI" w:eastAsia="Segoe UI"/>
                <w:sz w:val="16"/>
                <w:szCs w:val="16"/>
              </w:rPr>
              <w:t xml:space="preserve">Ease of Paying Taxes Act</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PA</w:t>
            </w:r>
          </w:p>
        </w:tc>
        <w:tc>
          <w:tcPr>
            <w:tcW w:w="6319" w:type="dxa"/>
          </w:tcPr>
          <w:p>
            <w:pPr>
              <w:spacing w:before="40" w:after="40" w:line="240" w:lineRule="auto"/>
            </w:pPr>
            <w:r>
              <w:rPr>
                <w:rFonts w:ascii="Segoe UI" w:hAnsi="Segoe UI" w:cs="Segoe UI" w:eastAsia="Segoe UI"/>
                <w:sz w:val="16"/>
                <w:szCs w:val="16"/>
              </w:rPr>
              <w:t xml:space="preserve">Personal accident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QAP</w:t>
            </w:r>
          </w:p>
        </w:tc>
        <w:tc>
          <w:tcPr>
            <w:tcW w:w="6319" w:type="dxa"/>
          </w:tcPr>
          <w:p>
            <w:pPr>
              <w:spacing w:before="40" w:after="40" w:line="240" w:lineRule="auto"/>
            </w:pPr>
            <w:r>
              <w:rPr>
                <w:rFonts w:ascii="Segoe UI" w:hAnsi="Segoe UI" w:cs="Segoe UI" w:eastAsia="Segoe UI"/>
                <w:sz w:val="16"/>
                <w:szCs w:val="16"/>
              </w:rPr>
              <w:t xml:space="preserve">Quarterly Alphalist of Payees</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SAWT</w:t>
            </w:r>
          </w:p>
        </w:tc>
        <w:tc>
          <w:tcPr>
            <w:tcW w:w="6319" w:type="dxa"/>
          </w:tcPr>
          <w:p>
            <w:pPr>
              <w:spacing w:before="40" w:after="40" w:line="240" w:lineRule="auto"/>
            </w:pPr>
            <w:r>
              <w:rPr>
                <w:rFonts w:ascii="Segoe UI" w:hAnsi="Segoe UI" w:cs="Segoe UI" w:eastAsia="Segoe UI"/>
                <w:sz w:val="16"/>
                <w:szCs w:val="16"/>
              </w:rPr>
              <w:t xml:space="preserve">Summary Alphalist of Withholding Taxes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SLSP</w:t>
            </w:r>
          </w:p>
        </w:tc>
        <w:tc>
          <w:tcPr>
            <w:tcW w:w="6319" w:type="dxa"/>
          </w:tcPr>
          <w:p>
            <w:pPr>
              <w:spacing w:before="40" w:after="40" w:line="240" w:lineRule="auto"/>
            </w:pPr>
            <w:r>
              <w:rPr>
                <w:rFonts w:ascii="Segoe UI" w:hAnsi="Segoe UI" w:cs="Segoe UI" w:eastAsia="Segoe UI"/>
                <w:sz w:val="16"/>
                <w:szCs w:val="16"/>
              </w:rPr>
              <w:t xml:space="preserve">Summary List of Sales and Purchases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w:t>
      </w:r>
      <w:bookmarkEnd w:id="1003"/>
    </w:p>
    <w:p xmlns:a="http://schemas.openxmlformats.org/drawingml/2006/main" xmlns:pic="http://schemas.openxmlformats.org/drawingml/2006/picture">
      <w:pPr>
        <w:jc w:val="both"/>
      </w:pPr>
      <w:r>
        <w:rPr>
          <w:rFonts w:ascii="Segoe UI" w:hAnsi="Segoe UI" w:cs="Segoe UI" w:eastAsia="Segoe UI"/>
        </w:rPr>
        <w:t xml:space="preserve">Phase 1 stays in the platform. Phase 2 functions are built and delivered off, ready to be enabled. Functions of the platform that are not part of the BRD and FRS are listed for future releases. This document lists every function with its release tier, so that TISPH can see what is enabled, what can be requested, and which decisions are open.</w:t>
      </w:r>
    </w:p>
    <w:p xmlns:a="http://schemas.openxmlformats.org/drawingml/2006/main" xmlns:pic="http://schemas.openxmlformats.org/drawingml/2006/picture">
      <w:pPr>
        <w:jc w:val="both"/>
      </w:pPr>
      <w:r>
        <w:rPr>
          <w:rFonts w:ascii="Segoe UI" w:hAnsi="Segoe UI" w:cs="Segoe UI" w:eastAsia="Segoe UI"/>
        </w:rPr>
        <w:t xml:space="preserve">Enabling replaces hiding, deactivating and switching off functions through menus or settings. Only the iorta TechNXT platform administrator enables a Phase 2 or future-release function; the administrators of TISPH see the catalogue read only (Master &gt; System Configuration &gt; Features &amp; Releases).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Release Tiers</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0"/>
        <w:gridCol w:w="3137"/>
        <w:gridCol w:w="2516"/>
        <w:gridCol w:w="1156"/>
        <w:gridCol w:w="1068"/>
      </w:tblGrid>
      <w:tr>
        <w:trPr>
          <w:cantSplit/>
          <w:tblHeader/>
          <w:trHeight w:val="400"/>
        </w:trPr>
        <w:tc>
          <w:tcPr>
            <w:tcW w:w="115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1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2516" w:type="dxa"/>
            <w:shd w:val="clear" w:color="auto" w:fill="E8F0F8"/>
            <w:vAlign w:val="center"/>
          </w:tcPr>
          <w:p>
            <w:pPr>
              <w:spacing w:before="40" w:after="40" w:line="240" w:lineRule="auto"/>
            </w:pPr>
            <w:r>
              <w:rPr>
                <w:rFonts w:ascii="Segoe UI" w:hAnsi="Segoe UI" w:cs="Segoe UI" w:eastAsia="Segoe UI"/>
                <w:b/>
                <w:bCs/>
                <w:sz w:val="16"/>
                <w:szCs w:val="16"/>
              </w:rPr>
              <w:t xml:space="preserve">State in a TISPH environment</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Features</w:t>
            </w:r>
          </w:p>
        </w:tc>
        <w:tc>
          <w:tcPr>
            <w:tcW w:w="1068" w:type="dxa"/>
            <w:shd w:val="clear" w:color="auto" w:fill="E8F0F8"/>
            <w:vAlign w:val="center"/>
          </w:tcPr>
          <w:p>
            <w:pPr>
              <w:spacing w:before="40" w:after="40" w:line="240" w:lineRule="auto"/>
            </w:pPr>
            <w:r>
              <w:rPr>
                <w:rFonts w:ascii="Segoe UI" w:hAnsi="Segoe UI" w:cs="Segoe UI" w:eastAsia="Segoe UI"/>
                <w:b/>
                <w:bCs/>
                <w:sz w:val="16"/>
                <w:szCs w:val="16"/>
              </w:rPr>
              <w:t xml:space="preserve">Menu entries</w:t>
            </w:r>
          </w:p>
        </w:tc>
      </w:tr>
      <w:tr>
        <w:trPr>
          <w:cantSplit/>
        </w:trPr>
        <w:tc>
          <w:tcPr>
            <w:tcW w:w="1150" w:type="dxa"/>
          </w:tcPr>
          <w:p>
            <w:pPr>
              <w:spacing w:before="40" w:after="40" w:line="240" w:lineRule="auto"/>
            </w:pPr>
            <w:r>
              <w:rPr>
                <w:rFonts w:ascii="Segoe UI" w:hAnsi="Segoe UI" w:cs="Segoe UI" w:eastAsia="Segoe UI"/>
                <w:sz w:val="16"/>
                <w:szCs w:val="16"/>
              </w:rPr>
              <w:t xml:space="preserve">Phase 1</w:t>
            </w:r>
          </w:p>
        </w:tc>
        <w:tc>
          <w:tcPr>
            <w:tcW w:w="3137" w:type="dxa"/>
          </w:tcPr>
          <w:p>
            <w:pPr>
              <w:spacing w:before="40" w:after="40" w:line="240" w:lineRule="auto"/>
            </w:pPr>
            <w:r>
              <w:rPr>
                <w:rFonts w:ascii="Segoe UI" w:hAnsi="Segoe UI" w:cs="Segoe UI" w:eastAsia="Segoe UI"/>
                <w:sz w:val="16"/>
                <w:szCs w:val="16"/>
              </w:rPr>
              <w:t xml:space="preserve">Core TISPH scope (BRD v2.2, FRS)</w:t>
            </w:r>
          </w:p>
        </w:tc>
        <w:tc>
          <w:tcPr>
            <w:tcW w:w="2516" w:type="dxa"/>
          </w:tcPr>
          <w:p>
            <w:pPr>
              <w:spacing w:before="40" w:after="40" w:line="240" w:lineRule="auto"/>
            </w:pPr>
            <w:r>
              <w:rPr>
                <w:rFonts w:ascii="Segoe UI" w:hAnsi="Segoe UI" w:cs="Segoe UI" w:eastAsia="Segoe UI"/>
                <w:sz w:val="16"/>
                <w:szCs w:val="16"/>
              </w:rPr>
              <w:t xml:space="preserve">Always on; cannot be switched off by TISPH</w:t>
            </w:r>
          </w:p>
        </w:tc>
        <w:tc>
          <w:tcPr>
            <w:tcW w:w="1156" w:type="dxa"/>
          </w:tcPr>
          <w:p>
            <w:pPr>
              <w:spacing w:before="40" w:after="40" w:line="240" w:lineRule="auto"/>
            </w:pPr>
            <w:r>
              <w:rPr>
                <w:rFonts w:ascii="Segoe UI" w:hAnsi="Segoe UI" w:cs="Segoe UI" w:eastAsia="Segoe UI"/>
                <w:sz w:val="16"/>
                <w:szCs w:val="16"/>
              </w:rPr>
              <w:t xml:space="preserve">29</w:t>
            </w:r>
          </w:p>
        </w:tc>
        <w:tc>
          <w:tcPr>
            <w:tcW w:w="1068" w:type="dxa"/>
          </w:tcPr>
          <w:p>
            <w:pPr>
              <w:spacing w:before="40" w:after="40" w:line="240" w:lineRule="auto"/>
            </w:pPr>
            <w:r>
              <w:rPr>
                <w:rFonts w:ascii="Segoe UI" w:hAnsi="Segoe UI" w:cs="Segoe UI" w:eastAsia="Segoe UI"/>
                <w:sz w:val="16"/>
                <w:szCs w:val="16"/>
              </w:rPr>
              <w:t xml:space="preserve">136</w:t>
            </w:r>
          </w:p>
        </w:tc>
      </w:tr>
      <w:tr>
        <w:trPr>
          <w:cantSplit/>
        </w:trPr>
        <w:tc>
          <w:tcPr>
            <w:tcW w:w="1150" w:type="dxa"/>
          </w:tcPr>
          <w:p>
            <w:pPr>
              <w:spacing w:before="40" w:after="40" w:line="240" w:lineRule="auto"/>
            </w:pPr>
            <w:r>
              <w:rPr>
                <w:rFonts w:ascii="Segoe UI" w:hAnsi="Segoe UI" w:cs="Segoe UI" w:eastAsia="Segoe UI"/>
                <w:sz w:val="16"/>
                <w:szCs w:val="16"/>
              </w:rPr>
              <w:t xml:space="preserve">Platform</w:t>
            </w:r>
          </w:p>
        </w:tc>
        <w:tc>
          <w:tcPr>
            <w:tcW w:w="3137" w:type="dxa"/>
          </w:tcPr>
          <w:p>
            <w:pPr>
              <w:spacing w:before="40" w:after="40" w:line="240" w:lineRule="auto"/>
            </w:pPr>
            <w:r>
              <w:rPr>
                <w:rFonts w:ascii="Segoe UI" w:hAnsi="Segoe UI" w:cs="Segoe UI" w:eastAsia="Segoe UI"/>
                <w:sz w:val="16"/>
                <w:szCs w:val="16"/>
              </w:rPr>
              <w:t xml:space="preserve">Supporting functions: users and roles, configuration, audit trail, schedules, organisation masters</w:t>
            </w:r>
          </w:p>
        </w:tc>
        <w:tc>
          <w:tcPr>
            <w:tcW w:w="2516" w:type="dxa"/>
          </w:tcPr>
          <w:p>
            <w:pPr>
              <w:spacing w:before="40" w:after="40" w:line="240" w:lineRule="auto"/>
            </w:pPr>
            <w:r>
              <w:rPr>
                <w:rFonts w:ascii="Segoe UI" w:hAnsi="Segoe UI" w:cs="Segoe UI" w:eastAsia="Segoe UI"/>
                <w:sz w:val="16"/>
                <w:szCs w:val="16"/>
              </w:rPr>
              <w:t xml:space="preserve">Always on</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28</w:t>
            </w:r>
          </w:p>
        </w:tc>
      </w:tr>
      <w:tr>
        <w:trPr>
          <w:cantSplit/>
        </w:trPr>
        <w:tc>
          <w:tcPr>
            <w:tcW w:w="1150" w:type="dxa"/>
          </w:tcPr>
          <w:p>
            <w:pPr>
              <w:spacing w:before="40" w:after="40" w:line="240" w:lineRule="auto"/>
            </w:pPr>
            <w:r>
              <w:rPr>
                <w:rFonts w:ascii="Segoe UI" w:hAnsi="Segoe UI" w:cs="Segoe UI" w:eastAsia="Segoe UI"/>
                <w:sz w:val="16"/>
                <w:szCs w:val="16"/>
              </w:rPr>
              <w:t xml:space="preserve">Phase 2</w:t>
            </w:r>
          </w:p>
        </w:tc>
        <w:tc>
          <w:tcPr>
            <w:tcW w:w="3137" w:type="dxa"/>
          </w:tcPr>
          <w:p>
            <w:pPr>
              <w:spacing w:before="40" w:after="40" w:line="240" w:lineRule="auto"/>
            </w:pPr>
            <w:r>
              <w:rPr>
                <w:rFonts w:ascii="Segoe UI" w:hAnsi="Segoe UI" w:cs="Segoe UI" w:eastAsia="Segoe UI"/>
                <w:sz w:val="16"/>
                <w:szCs w:val="16"/>
              </w:rPr>
              <w:t xml:space="preserve">Built; Phase 2 of the BRD</w:t>
            </w:r>
          </w:p>
        </w:tc>
        <w:tc>
          <w:tcPr>
            <w:tcW w:w="2516" w:type="dxa"/>
          </w:tcPr>
          <w:p>
            <w:pPr>
              <w:spacing w:before="40" w:after="40" w:line="240" w:lineRule="auto"/>
            </w:pPr>
            <w:r>
              <w:rPr>
                <w:rFonts w:ascii="Segoe UI" w:hAnsi="Segoe UI" w:cs="Segoe UI" w:eastAsia="Segoe UI"/>
                <w:sz w:val="16"/>
                <w:szCs w:val="16"/>
              </w:rPr>
              <w:t xml:space="preserve">Off until enabled by iorta TechNXT ("Enable Phase 2")</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10</w:t>
            </w:r>
          </w:p>
        </w:tc>
      </w:tr>
      <w:tr>
        <w:trPr>
          <w:cantSplit/>
        </w:trPr>
        <w:tc>
          <w:tcPr>
            <w:tcW w:w="1150" w:type="dxa"/>
          </w:tcPr>
          <w:p>
            <w:pPr>
              <w:spacing w:before="40" w:after="40" w:line="240" w:lineRule="auto"/>
            </w:pPr>
            <w:r>
              <w:rPr>
                <w:rFonts w:ascii="Segoe UI" w:hAnsi="Segoe UI" w:cs="Segoe UI" w:eastAsia="Segoe UI"/>
                <w:sz w:val="16"/>
                <w:szCs w:val="16"/>
              </w:rPr>
              <w:t xml:space="preserve">Future release</w:t>
            </w:r>
          </w:p>
        </w:tc>
        <w:tc>
          <w:tcPr>
            <w:tcW w:w="3137" w:type="dxa"/>
          </w:tcPr>
          <w:p>
            <w:pPr>
              <w:spacing w:before="40" w:after="40" w:line="240" w:lineRule="auto"/>
            </w:pPr>
            <w:r>
              <w:rPr>
                <w:rFonts w:ascii="Segoe UI" w:hAnsi="Segoe UI" w:cs="Segoe UI" w:eastAsia="Segoe UI"/>
                <w:sz w:val="16"/>
                <w:szCs w:val="16"/>
              </w:rPr>
              <w:t xml:space="preserve">In the platform, not in the BRD or FRS</w:t>
            </w:r>
          </w:p>
        </w:tc>
        <w:tc>
          <w:tcPr>
            <w:tcW w:w="2516" w:type="dxa"/>
          </w:tcPr>
          <w:p>
            <w:pPr>
              <w:spacing w:before="40" w:after="40" w:line="240" w:lineRule="auto"/>
            </w:pPr>
            <w:r>
              <w:rPr>
                <w:rFonts w:ascii="Segoe UI" w:hAnsi="Segoe UI" w:cs="Segoe UI" w:eastAsia="Segoe UI"/>
                <w:sz w:val="16"/>
                <w:szCs w:val="16"/>
              </w:rPr>
              <w:t xml:space="preserve">Off until enabled for a later release</w:t>
            </w:r>
          </w:p>
        </w:tc>
        <w:tc>
          <w:tcPr>
            <w:tcW w:w="1156" w:type="dxa"/>
          </w:tcPr>
          <w:p>
            <w:pPr>
              <w:spacing w:before="40" w:after="40" w:line="240" w:lineRule="auto"/>
            </w:pPr>
            <w:r>
              <w:rPr>
                <w:rFonts w:ascii="Segoe UI" w:hAnsi="Segoe UI" w:cs="Segoe UI" w:eastAsia="Segoe UI"/>
                <w:sz w:val="16"/>
                <w:szCs w:val="16"/>
              </w:rPr>
              <w:t xml:space="preserve">32</w:t>
            </w:r>
          </w:p>
        </w:tc>
        <w:tc>
          <w:tcPr>
            <w:tcW w:w="1068" w:type="dxa"/>
          </w:tcPr>
          <w:p>
            <w:pPr>
              <w:spacing w:before="40" w:after="40" w:line="240" w:lineRule="auto"/>
            </w:pPr>
            <w:r>
              <w:rPr>
                <w:rFonts w:ascii="Segoe UI" w:hAnsi="Segoe UI" w:cs="Segoe UI" w:eastAsia="Segoe UI"/>
                <w:sz w:val="16"/>
                <w:szCs w:val="16"/>
              </w:rPr>
              <w:t xml:space="preserve">34</w:t>
            </w:r>
          </w:p>
        </w:tc>
      </w:tr>
      <w:tr>
        <w:trPr>
          <w:cantSplit/>
        </w:trPr>
        <w:tc>
          <w:tcPr>
            <w:tcW w:w="1150" w:type="dxa"/>
          </w:tcPr>
          <w:p>
            <w:pPr>
              <w:spacing w:before="40" w:after="40" w:line="240" w:lineRule="auto"/>
            </w:pPr>
            <w:r>
              <w:rPr>
                <w:rFonts w:ascii="Segoe UI" w:hAnsi="Segoe UI" w:cs="Segoe UI" w:eastAsia="Segoe UI"/>
                <w:sz w:val="16"/>
                <w:szCs w:val="16"/>
              </w:rPr>
              <w:t xml:space="preserve">Total</w:t>
            </w:r>
          </w:p>
        </w:tc>
        <w:tc>
          <w:tcPr>
            <w:tcW w:w="3137" w:type="dxa"/>
          </w:tcPr>
          <w:p>
            <w:pPr>
              <w:spacing w:before="40" w:after="40" w:line="240" w:lineRule="auto"/>
            </w:pPr>
          </w:p>
        </w:tc>
        <w:tc>
          <w:tcPr>
            <w:tcW w:w="2516" w:type="dxa"/>
          </w:tcPr>
          <w:p>
            <w:pPr>
              <w:spacing w:before="40" w:after="40" w:line="240" w:lineRule="auto"/>
            </w:pPr>
          </w:p>
        </w:tc>
        <w:tc>
          <w:tcPr>
            <w:tcW w:w="1156" w:type="dxa"/>
          </w:tcPr>
          <w:p>
            <w:pPr>
              <w:spacing w:before="40" w:after="40" w:line="240" w:lineRule="auto"/>
            </w:pPr>
            <w:r>
              <w:rPr>
                <w:rFonts w:ascii="Segoe UI" w:hAnsi="Segoe UI" w:cs="Segoe UI" w:eastAsia="Segoe UI"/>
                <w:sz w:val="16"/>
                <w:szCs w:val="16"/>
              </w:rPr>
              <w:t xml:space="preserve">79</w:t>
            </w:r>
          </w:p>
        </w:tc>
        <w:tc>
          <w:tcPr>
            <w:tcW w:w="1068" w:type="dxa"/>
          </w:tcPr>
          <w:p>
            <w:pPr>
              <w:spacing w:before="40" w:after="40" w:line="240" w:lineRule="auto"/>
            </w:pPr>
            <w:r>
              <w:rPr>
                <w:rFonts w:ascii="Segoe UI" w:hAnsi="Segoe UI" w:cs="Segoe UI" w:eastAsia="Segoe UI"/>
                <w:sz w:val="16"/>
                <w:szCs w:val="16"/>
              </w:rPr>
              <w:t xml:space="preserve">208</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How a Function Is Enabled</w:t>
      </w:r>
      <w:bookmarkEnd w:id="1005"/>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platform administrator of iorta TechNXT selects the functions, or the whole Phase 2 bundle, on Master &gt; Platform &gt; Features &amp; Releases.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shows the impact before the request: the functions with their dependencies, the menus that appear, the roles that gain access, the scheduled jobs, the connectors and the settings to configure. A disable shows the functions that stay read-only because they hold records.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request carries a reason, the contract or change request reference and the effective date (immediately on approval or on a date).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second platform administrator approves or rejects it; the requester never approves.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On approval the function is enabled in that environment only. The audit trail records each change; TIS IT AppSupport / Admin and the General Manager receive an e-mail and a notification.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entitlements of an environment are exported and promoted to the next one (UAT to Production) as a new request, approved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Controls: a function that is not enabled is absent from the menus; its screens show "Not available in this edition"; its API answers "not enabled"; its jobs do not run; its connectors cannot be switched on; its settings cannot be changed; its manual sections are left out of the user manual. The entitlements are signed: an entitlement changed outside an approved request counts as not enabled and raises an alert. A function disabled while it holds records stays read-only: its records can be viewed and exported.</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Phase 1 Functions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1"/>
        <w:gridCol w:w="1338"/>
        <w:gridCol w:w="1656"/>
        <w:gridCol w:w="2278"/>
        <w:gridCol w:w="1066"/>
        <w:gridCol w:w="1158"/>
      </w:tblGrid>
      <w:tr>
        <w:trPr>
          <w:cantSplit/>
          <w:tblHeader/>
          <w:trHeight w:val="400"/>
        </w:trPr>
        <w:tc>
          <w:tcPr>
            <w:tcW w:w="1531"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38"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656"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27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31" w:type="dxa"/>
          </w:tcPr>
          <w:p>
            <w:pPr>
              <w:spacing w:before="40" w:after="40" w:line="240" w:lineRule="auto"/>
            </w:pPr>
            <w:r>
              <w:rPr>
                <w:rFonts w:ascii="Segoe UI" w:hAnsi="Segoe UI" w:cs="Segoe UI" w:eastAsia="Segoe UI"/>
                <w:sz w:val="16"/>
                <w:szCs w:val="16"/>
              </w:rPr>
              <w:t xml:space="preserve">Executive, processing and claims dashboards</w:t>
            </w:r>
          </w:p>
        </w:tc>
        <w:tc>
          <w:tcPr>
            <w:tcW w:w="1338" w:type="dxa"/>
          </w:tcPr>
          <w:p>
            <w:pPr>
              <w:spacing w:before="40" w:after="40" w:line="240" w:lineRule="auto"/>
            </w:pPr>
            <w:r>
              <w:rPr>
                <w:rFonts w:ascii="Segoe UI" w:hAnsi="Segoe UI" w:cs="Segoe UI" w:eastAsia="Segoe UI"/>
                <w:sz w:val="16"/>
                <w:szCs w:val="16"/>
              </w:rPr>
              <w:t xml:space="preserve">Dashboard</w:t>
            </w:r>
          </w:p>
        </w:tc>
        <w:tc>
          <w:tcPr>
            <w:tcW w:w="1656" w:type="dxa"/>
          </w:tcPr>
          <w:p>
            <w:pPr>
              <w:spacing w:before="40" w:after="40" w:line="240" w:lineRule="auto"/>
            </w:pPr>
            <w:r>
              <w:rPr>
                <w:rFonts w:ascii="Segoe UI" w:hAnsi="Segoe UI" w:cs="Segoe UI" w:eastAsia="Segoe UI"/>
                <w:sz w:val="16"/>
                <w:szCs w:val="16"/>
              </w:rPr>
              <w:t xml:space="preserve">Landing dashboards by department: book of business, items awaiting approval, processing and claims work</w:t>
            </w:r>
          </w:p>
        </w:tc>
        <w:tc>
          <w:tcPr>
            <w:tcW w:w="2278" w:type="dxa"/>
          </w:tcPr>
          <w:p>
            <w:pPr>
              <w:spacing w:before="40" w:after="40" w:line="240" w:lineRule="auto"/>
            </w:pPr>
            <w:r>
              <w:rPr>
                <w:rFonts w:ascii="Segoe UI" w:hAnsi="Segoe UI" w:cs="Segoe UI" w:eastAsia="Segoe UI"/>
                <w:sz w:val="16"/>
                <w:szCs w:val="16"/>
              </w:rPr>
              <w:t xml:space="preserve">TIS-BRD-RPT-01, TIS-BRD-RPT-03, TIS-BRD-NFR-10.1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Prospects and lead assignment</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Prospect capture and import, duplicate check, quick quote, assignment rules and reassignment, lead sources</w:t>
            </w:r>
          </w:p>
        </w:tc>
        <w:tc>
          <w:tcPr>
            <w:tcW w:w="2278" w:type="dxa"/>
          </w:tcPr>
          <w:p>
            <w:pPr>
              <w:spacing w:before="40" w:after="40" w:line="240" w:lineRule="auto"/>
            </w:pPr>
            <w:r>
              <w:rPr>
                <w:rFonts w:ascii="Segoe UI" w:hAnsi="Segoe UI" w:cs="Segoe UI" w:eastAsia="Segoe UI"/>
                <w:sz w:val="16"/>
                <w:szCs w:val="16"/>
              </w:rPr>
              <w:t xml:space="preserve">TIS-BRD-LEAD-01, TIS-BRD-LEAD-02, TIS-BRD-LEAD-03, TIS-BRD-LEAD-04, TIS-BRD-LEAD-05, TIS-BRD-LEAD-06, TIS-BRD-LEAD-07, TIS-BRD-LEAD-08, TIS-BRD-LEAD-09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Sales activities</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Calls, meetings, e-mails and visits against prospects and clients, with their types and outcomes</w:t>
            </w:r>
          </w:p>
        </w:tc>
        <w:tc>
          <w:tcPr>
            <w:tcW w:w="2278" w:type="dxa"/>
          </w:tcPr>
          <w:p>
            <w:pPr>
              <w:spacing w:before="40" w:after="40" w:line="240" w:lineRule="auto"/>
            </w:pPr>
            <w:r>
              <w:rPr>
                <w:rFonts w:ascii="Segoe UI" w:hAnsi="Segoe UI" w:cs="Segoe UI" w:eastAsia="Segoe UI"/>
                <w:sz w:val="16"/>
                <w:szCs w:val="16"/>
              </w:rPr>
              <w:t xml:space="preserve">TIS-BRD-LEAD-10</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Quotations and placement</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Motor, personal accident and credit life quotations with maker-checker, requests for quotation and placement slips to the insurer</w:t>
            </w:r>
          </w:p>
        </w:tc>
        <w:tc>
          <w:tcPr>
            <w:tcW w:w="2278" w:type="dxa"/>
          </w:tcPr>
          <w:p>
            <w:pPr>
              <w:spacing w:before="40" w:after="40" w:line="240" w:lineRule="auto"/>
            </w:pPr>
            <w:r>
              <w:rPr>
                <w:rFonts w:ascii="Segoe UI" w:hAnsi="Segoe UI" w:cs="Segoe UI" w:eastAsia="Segoe UI"/>
                <w:sz w:val="16"/>
                <w:szCs w:val="16"/>
              </w:rPr>
              <w:t xml:space="preserve">TIS-BRD-QUOT-01, TIS-BRD-QUOT-02, TIS-BRD-QUOT-03, TIS-BRD-QUOT-04, TIS-BRD-QUOT-05, TIS-BRD-QUOT-06, TIS-BRD-QUOT-08, TIS-BRD-PJRN-05, TIS-BRD-ISSUE-01, TIS-BRD-ISSUE-02, MOM-S2-PLACEMENT-DIRECT</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Dealer programmes</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Scheme 1 and 2 programmes of brand-new vehicles, dealer sales uploads and bank endorsement letters</w:t>
            </w:r>
          </w:p>
        </w:tc>
        <w:tc>
          <w:tcPr>
            <w:tcW w:w="2278" w:type="dxa"/>
          </w:tcPr>
          <w:p>
            <w:pPr>
              <w:spacing w:before="40" w:after="40" w:line="240" w:lineRule="auto"/>
            </w:pPr>
            <w:r>
              <w:rPr>
                <w:rFonts w:ascii="Segoe UI" w:hAnsi="Segoe UI" w:cs="Segoe UI" w:eastAsia="Segoe UI"/>
                <w:sz w:val="16"/>
                <w:szCs w:val="16"/>
              </w:rPr>
              <w:t xml:space="preserve">TIS-BRD-SCHM-01, TIS-BRD-SCHM-02, TIS-BRD-SCHM-03, TIS-BRD-MAS-05, TIS-BRD-PROD-15</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Clients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Single client master with KYC documents and the 360 view of proposals, policies, receipts and claims</w:t>
            </w:r>
          </w:p>
        </w:tc>
        <w:tc>
          <w:tcPr>
            <w:tcW w:w="2278" w:type="dxa"/>
          </w:tcPr>
          <w:p>
            <w:pPr>
              <w:spacing w:before="40" w:after="40" w:line="240" w:lineRule="auto"/>
            </w:pPr>
            <w:r>
              <w:rPr>
                <w:rFonts w:ascii="Segoe UI" w:hAnsi="Segoe UI" w:cs="Segoe UI" w:eastAsia="Segoe UI"/>
                <w:sz w:val="16"/>
                <w:szCs w:val="16"/>
              </w:rPr>
              <w:t xml:space="preserve">TIS-BRD-KYC-01, TIS-BRD-KYC-02, TIS-BRD-KYC-04, TIS-BRD-KYC-05, TIS-BRD-NFR-10.2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Policies, cover notes and cancellations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Policy register and lifecycle, policy payments, cover notes, endorsements and cancellations with return premium</w:t>
            </w:r>
          </w:p>
        </w:tc>
        <w:tc>
          <w:tcPr>
            <w:tcW w:w="2278" w:type="dxa"/>
          </w:tcPr>
          <w:p>
            <w:pPr>
              <w:spacing w:before="40" w:after="40" w:line="240" w:lineRule="auto"/>
            </w:pPr>
            <w:r>
              <w:rPr>
                <w:rFonts w:ascii="Segoe UI" w:hAnsi="Segoe UI" w:cs="Segoe UI" w:eastAsia="Segoe UI"/>
                <w:sz w:val="16"/>
                <w:szCs w:val="16"/>
              </w:rPr>
              <w:t xml:space="preserve">TIS-BRD-ISSUE-03, TIS-BRD-ISSUE-04, TIS-BRD-KYC-03, TIS-BRD-ENDT-01, TIS-BRD-ENDT-02, TIS-BRD-ENDT-03, TIS-BRD-CANC-01, TIS-BRD-CANC-02, TIS-BRD-CANC-03, TIS-BRD-BULK-02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Fleet schedules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Fleet schedules of vehicles under one policy, with vehicles added or deleted by endorsement</w:t>
            </w:r>
          </w:p>
        </w:tc>
        <w:tc>
          <w:tcPr>
            <w:tcW w:w="2278" w:type="dxa"/>
          </w:tcPr>
          <w:p>
            <w:pPr>
              <w:spacing w:before="40" w:after="40" w:line="240" w:lineRule="auto"/>
            </w:pPr>
            <w:r>
              <w:rPr>
                <w:rFonts w:ascii="Segoe UI" w:hAnsi="Segoe UI" w:cs="Segoe UI" w:eastAsia="Segoe UI"/>
                <w:sz w:val="16"/>
                <w:szCs w:val="16"/>
              </w:rPr>
              <w:t xml:space="preserve">TIS-BRD-ENDT-04, MOM-S9-GROUP-ENDT</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Parcel and courier open covers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Open policy for parcel and courier shipments with certificates per customer and monthly declarations</w:t>
            </w:r>
          </w:p>
        </w:tc>
        <w:tc>
          <w:tcPr>
            <w:tcW w:w="2278" w:type="dxa"/>
          </w:tcPr>
          <w:p>
            <w:pPr>
              <w:spacing w:before="40" w:after="40" w:line="240" w:lineRule="auto"/>
            </w:pPr>
            <w:r>
              <w:rPr>
                <w:rFonts w:ascii="Segoe UI" w:hAnsi="Segoe UI" w:cs="Segoe UI" w:eastAsia="Segoe UI"/>
                <w:sz w:val="16"/>
                <w:szCs w:val="16"/>
              </w:rPr>
              <w:t xml:space="preserve">TIS-BRD-PJRN-09, FR-PCL-001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Claims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Motor and credit life claims from notification to settlement, document checklist, repairs and repair shops</w:t>
            </w:r>
          </w:p>
        </w:tc>
        <w:tc>
          <w:tcPr>
            <w:tcW w:w="2278" w:type="dxa"/>
          </w:tcPr>
          <w:p>
            <w:pPr>
              <w:spacing w:before="40" w:after="40" w:line="240" w:lineRule="auto"/>
            </w:pPr>
            <w:r>
              <w:rPr>
                <w:rFonts w:ascii="Segoe UI" w:hAnsi="Segoe UI" w:cs="Segoe UI" w:eastAsia="Segoe UI"/>
                <w:sz w:val="16"/>
                <w:szCs w:val="16"/>
              </w:rPr>
              <w:t xml:space="preserve">TIS-BRD-CLAIM-01, TIS-BRD-CLAIM-02, TIS-BRD-CLAIM-03, TIS-BRD-CLAIM-04, TIS-BRD-CLAIM-05, TIS-BRD-CLAIM-06, TIS-BRD-CLAIM-07, TIS-BRD-CLAIM-08, TIS-BRD-PJRN-08</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Renewals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Renewal run, notices at 90, 60 and 30 days, renewal queue, negotiations, lapse management and lock-in accounts</w:t>
            </w:r>
          </w:p>
        </w:tc>
        <w:tc>
          <w:tcPr>
            <w:tcW w:w="2278" w:type="dxa"/>
          </w:tcPr>
          <w:p>
            <w:pPr>
              <w:spacing w:before="40" w:after="40" w:line="240" w:lineRule="auto"/>
            </w:pPr>
            <w:r>
              <w:rPr>
                <w:rFonts w:ascii="Segoe UI" w:hAnsi="Segoe UI" w:cs="Segoe UI" w:eastAsia="Segoe UI"/>
                <w:sz w:val="16"/>
                <w:szCs w:val="16"/>
              </w:rPr>
              <w:t xml:space="preserve">TIS-BRD-RENEW-01, TIS-BRD-RENEW-02, TIS-BRD-RENEW-03, TIS-BRD-RENEW-05, TIS-BRD-SCHM-03, PBSM-M24-LAP, PBSM-M15-REN-DUE</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Receipts and post-dated cheques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Official and acknowledgement receipts, allocation and matching, post-dated cheques and their deposit</w:t>
            </w:r>
          </w:p>
        </w:tc>
        <w:tc>
          <w:tcPr>
            <w:tcW w:w="2278" w:type="dxa"/>
          </w:tcPr>
          <w:p>
            <w:pPr>
              <w:spacing w:before="40" w:after="40" w:line="240" w:lineRule="auto"/>
            </w:pPr>
            <w:r>
              <w:rPr>
                <w:rFonts w:ascii="Segoe UI" w:hAnsi="Segoe UI" w:cs="Segoe UI" w:eastAsia="Segoe UI"/>
                <w:sz w:val="16"/>
                <w:szCs w:val="16"/>
              </w:rPr>
              <w:t xml:space="preserve">TIS-BRD-COLL-01, TIS-BRD-COLL-03, TIS-BRD-COLL-04, TIS-BRD-COLL-05, TIS-BRD-COLL-06, TIS-BRD-COLL-07, TIS-BRD-COLL-08, PBSM-M17v4-RECEIPTING, PBSM-M17v4-PDC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Collections and credit control</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Collections, instalment plans, premium warranty monitor and remittance ageing</w:t>
            </w:r>
          </w:p>
        </w:tc>
        <w:tc>
          <w:tcPr>
            <w:tcW w:w="2278" w:type="dxa"/>
          </w:tcPr>
          <w:p>
            <w:pPr>
              <w:spacing w:before="40" w:after="40" w:line="240" w:lineRule="auto"/>
            </w:pPr>
            <w:r>
              <w:rPr>
                <w:rFonts w:ascii="Segoe UI" w:hAnsi="Segoe UI" w:cs="Segoe UI" w:eastAsia="Segoe UI"/>
                <w:sz w:val="16"/>
                <w:szCs w:val="16"/>
              </w:rPr>
              <w:t xml:space="preserve">TIS-BRD-PROD-17, TIS-BRD-RPT-OPS-10, TIS-BRD-RPT-OPS-11, TIS-BRD-COMM-04, MOM-S3-COLL-CREDIT-TERMS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Suppliers and supplier BIR 2307</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Vendor and payee register for non-insurer payments, and the BIR Form 2307 issued to suppliers</w:t>
            </w:r>
          </w:p>
        </w:tc>
        <w:tc>
          <w:tcPr>
            <w:tcW w:w="2278" w:type="dxa"/>
          </w:tcPr>
          <w:p>
            <w:pPr>
              <w:spacing w:before="40" w:after="40" w:line="240" w:lineRule="auto"/>
            </w:pPr>
            <w:r>
              <w:rPr>
                <w:rFonts w:ascii="Segoe UI" w:hAnsi="Segoe UI" w:cs="Segoe UI" w:eastAsia="Segoe UI"/>
                <w:sz w:val="16"/>
                <w:szCs w:val="16"/>
              </w:rPr>
              <w:t xml:space="preserve">TIS-BRD-MAS-06, FGA-EN-01, TIS-BRD-TAX-03</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Disbursements and bank payment files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Payment vouchers and cheques, refund fund transfers and Metrobank payment files with maker-checker</w:t>
            </w:r>
          </w:p>
        </w:tc>
        <w:tc>
          <w:tcPr>
            <w:tcW w:w="2278" w:type="dxa"/>
          </w:tcPr>
          <w:p>
            <w:pPr>
              <w:spacing w:before="40" w:after="40" w:line="240" w:lineRule="auto"/>
            </w:pPr>
            <w:r>
              <w:rPr>
                <w:rFonts w:ascii="Segoe UI" w:hAnsi="Segoe UI" w:cs="Segoe UI" w:eastAsia="Segoe UI"/>
                <w:sz w:val="16"/>
                <w:szCs w:val="16"/>
              </w:rPr>
              <w:t xml:space="preserve">TIS-BRD-DISB-01, TIS-BRD-DISB-02, TIS-BRD-DISB-03, PBSM-M17v4-DISB, MOM-S5-DISB-MAKER-CHECKER</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Bank file interface</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Connector and outbox of the bank payment files</w:t>
            </w:r>
          </w:p>
        </w:tc>
        <w:tc>
          <w:tcPr>
            <w:tcW w:w="2278" w:type="dxa"/>
          </w:tcPr>
          <w:p>
            <w:pPr>
              <w:spacing w:before="40" w:after="40" w:line="240" w:lineRule="auto"/>
            </w:pPr>
            <w:r>
              <w:rPr>
                <w:rFonts w:ascii="Segoe UI" w:hAnsi="Segoe UI" w:cs="Segoe UI" w:eastAsia="Segoe UI"/>
                <w:sz w:val="16"/>
                <w:szCs w:val="16"/>
              </w:rPr>
              <w:t xml:space="preserve">TIS-BRD-DISB-03, TIS-BRD-NFR-09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Remittance to insurers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Weekly remittance with approvals, insurer payments, statement reconciliation, exceptions, billing, schedules and settlement</w:t>
            </w:r>
          </w:p>
        </w:tc>
        <w:tc>
          <w:tcPr>
            <w:tcW w:w="2278" w:type="dxa"/>
          </w:tcPr>
          <w:p>
            <w:pPr>
              <w:spacing w:before="40" w:after="40" w:line="240" w:lineRule="auto"/>
            </w:pPr>
            <w:r>
              <w:rPr>
                <w:rFonts w:ascii="Segoe UI" w:hAnsi="Segoe UI" w:cs="Segoe UI" w:eastAsia="Segoe UI"/>
                <w:sz w:val="16"/>
                <w:szCs w:val="16"/>
              </w:rPr>
              <w:t xml:space="preserve">TIS-BRD-COMM-01, TIS-BRD-COMM-03, TIS-BRD-COMM-04, TIS-BRD-RPT-OPS-05, TIS-BRD-RPT-OPS-06, TIS-BRD-RPT-OPS-08, TIS-BRD-RPT-OPS-09, PBSM-M15-REMIT-WEEKLY, FR-RMT-001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Journals and general ledger</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Journal vouchers with upload, correction and reversal, open entry matching, accounting queries and the daily SAP GL files</w:t>
            </w:r>
          </w:p>
        </w:tc>
        <w:tc>
          <w:tcPr>
            <w:tcW w:w="2278" w:type="dxa"/>
          </w:tcPr>
          <w:p>
            <w:pPr>
              <w:spacing w:before="40" w:after="40" w:line="240" w:lineRule="auto"/>
            </w:pPr>
            <w:r>
              <w:rPr>
                <w:rFonts w:ascii="Segoe UI" w:hAnsi="Segoe UI" w:cs="Segoe UI" w:eastAsia="Segoe UI"/>
                <w:sz w:val="16"/>
                <w:szCs w:val="16"/>
              </w:rPr>
              <w:t xml:space="preserve">TIS-BRD-NIA-05, TIS-BRD-GL-01, TIS-BRD-GL-02, TIS-BRD-GL-03, TIS-BRD-GL-06, TIS-BRD-INTG-04, FGA-JV-01, MOM-S5-AP-JV-UPLOAD, PBSM-M17v4-JV, PBSM-M17v4-REVERSALS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Bank reconciliation</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Bank statement upload and matching, reconciliations with approval, and the bank reconciliation reports</w:t>
            </w:r>
          </w:p>
        </w:tc>
        <w:tc>
          <w:tcPr>
            <w:tcW w:w="2278" w:type="dxa"/>
          </w:tcPr>
          <w:p>
            <w:pPr>
              <w:spacing w:before="40" w:after="40" w:line="240" w:lineRule="auto"/>
            </w:pPr>
            <w:r>
              <w:rPr>
                <w:rFonts w:ascii="Segoe UI" w:hAnsi="Segoe UI" w:cs="Segoe UI" w:eastAsia="Segoe UI"/>
                <w:sz w:val="16"/>
                <w:szCs w:val="16"/>
              </w:rPr>
              <w:t xml:space="preserve">TIS-BRD-COLL-09, TIS-BRD-RPT-OPS-12, TIS-BRD-RPT-OPS-13, PBSM-M17v4-RECON</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BIR 2307, sales invoices and CAS books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BIR Form 2307 certificates, sales invoices under the EOPT Act and the books and documents of the computerised accounting system</w:t>
            </w:r>
          </w:p>
        </w:tc>
        <w:tc>
          <w:tcPr>
            <w:tcW w:w="2278" w:type="dxa"/>
          </w:tcPr>
          <w:p>
            <w:pPr>
              <w:spacing w:before="40" w:after="40" w:line="240" w:lineRule="auto"/>
            </w:pPr>
            <w:r>
              <w:rPr>
                <w:rFonts w:ascii="Segoe UI" w:hAnsi="Segoe UI" w:cs="Segoe UI" w:eastAsia="Segoe UI"/>
                <w:sz w:val="16"/>
                <w:szCs w:val="16"/>
              </w:rPr>
              <w:t xml:space="preserve">TIS-BRD-TAX-01, TIS-BRD-TAX-02, TIS-BRD-TAX-03, FGA-E3, FGA-IB-06, PBSM-M17v4-INVOICES, MOM-S5-TAX-2307-BATCH</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Period end and financial statements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Period calendar, month-end and year-end close, close checklist and the financial statements</w:t>
            </w:r>
          </w:p>
        </w:tc>
        <w:tc>
          <w:tcPr>
            <w:tcW w:w="2278" w:type="dxa"/>
          </w:tcPr>
          <w:p>
            <w:pPr>
              <w:spacing w:before="40" w:after="40" w:line="240" w:lineRule="auto"/>
            </w:pPr>
            <w:r>
              <w:rPr>
                <w:rFonts w:ascii="Segoe UI" w:hAnsi="Segoe UI" w:cs="Segoe UI" w:eastAsia="Segoe UI"/>
                <w:sz w:val="16"/>
                <w:szCs w:val="16"/>
              </w:rPr>
              <w:t xml:space="preserve">TIS-BRD-GL-04, TIS-BRD-RPT-04, PBSM-M32-PERIODS, PBSM-M32-CONTROLS, MOM-S4-CLOSE-26-29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Incentives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Telesales incentive programmes, calculation with approval, statements and reports</w:t>
            </w:r>
          </w:p>
        </w:tc>
        <w:tc>
          <w:tcPr>
            <w:tcW w:w="2278" w:type="dxa"/>
          </w:tcPr>
          <w:p>
            <w:pPr>
              <w:spacing w:before="40" w:after="40" w:line="240" w:lineRule="auto"/>
            </w:pPr>
            <w:r>
              <w:rPr>
                <w:rFonts w:ascii="Segoe UI" w:hAnsi="Segoe UI" w:cs="Segoe UI" w:eastAsia="Segoe UI"/>
                <w:sz w:val="16"/>
                <w:szCs w:val="16"/>
              </w:rPr>
              <w:t xml:space="preserve">TIS-BRD-COMM-08</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Commission and referrer accounts</w:t>
            </w:r>
          </w:p>
        </w:tc>
        <w:tc>
          <w:tcPr>
            <w:tcW w:w="1338" w:type="dxa"/>
          </w:tcPr>
          <w:p>
            <w:pPr>
              <w:spacing w:before="40" w:after="40" w:line="240" w:lineRule="auto"/>
            </w:pPr>
            <w:r>
              <w:rPr>
                <w:rFonts w:ascii="Segoe UI" w:hAnsi="Segoe UI" w:cs="Segoe UI" w:eastAsia="Segoe UI"/>
                <w:sz w:val="16"/>
                <w:szCs w:val="16"/>
              </w:rPr>
              <w:t xml:space="preserve">Commission</w:t>
            </w:r>
          </w:p>
        </w:tc>
        <w:tc>
          <w:tcPr>
            <w:tcW w:w="1656" w:type="dxa"/>
          </w:tcPr>
          <w:p>
            <w:pPr>
              <w:spacing w:before="40" w:after="40" w:line="240" w:lineRule="auto"/>
            </w:pPr>
            <w:r>
              <w:rPr>
                <w:rFonts w:ascii="Segoe UI" w:hAnsi="Segoe UI" w:cs="Segoe UI" w:eastAsia="Segoe UI"/>
                <w:sz w:val="16"/>
                <w:szCs w:val="16"/>
              </w:rPr>
              <w:t xml:space="preserve">Commission dashboard and the accounts of agents, dealers and referrers with their share</w:t>
            </w:r>
          </w:p>
        </w:tc>
        <w:tc>
          <w:tcPr>
            <w:tcW w:w="2278" w:type="dxa"/>
          </w:tcPr>
          <w:p>
            <w:pPr>
              <w:spacing w:before="40" w:after="40" w:line="240" w:lineRule="auto"/>
            </w:pPr>
            <w:r>
              <w:rPr>
                <w:rFonts w:ascii="Segoe UI" w:hAnsi="Segoe UI" w:cs="Segoe UI" w:eastAsia="Segoe UI"/>
                <w:sz w:val="16"/>
                <w:szCs w:val="16"/>
              </w:rPr>
              <w:t xml:space="preserve">TIS-BRD-COMM-05, TIS-BRD-COMM-06, TIS-BRD-PROD-16, TIS-BRD-RPT-OPS-07</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Operational and financial reports</w:t>
            </w:r>
          </w:p>
        </w:tc>
        <w:tc>
          <w:tcPr>
            <w:tcW w:w="1338" w:type="dxa"/>
          </w:tcPr>
          <w:p>
            <w:pPr>
              <w:spacing w:before="40" w:after="40" w:line="240" w:lineRule="auto"/>
            </w:pPr>
            <w:r>
              <w:rPr>
                <w:rFonts w:ascii="Segoe UI" w:hAnsi="Segoe UI" w:cs="Segoe UI" w:eastAsia="Segoe UI"/>
                <w:sz w:val="16"/>
                <w:szCs w:val="16"/>
              </w:rPr>
              <w:t xml:space="preserve">Reports</w:t>
            </w:r>
          </w:p>
        </w:tc>
        <w:tc>
          <w:tcPr>
            <w:tcW w:w="1656" w:type="dxa"/>
          </w:tcPr>
          <w:p>
            <w:pPr>
              <w:spacing w:before="40" w:after="40" w:line="240" w:lineRule="auto"/>
            </w:pPr>
            <w:r>
              <w:rPr>
                <w:rFonts w:ascii="Segoe UI" w:hAnsi="Segoe UI" w:cs="Segoe UI" w:eastAsia="Segoe UI"/>
                <w:sz w:val="16"/>
                <w:szCs w:val="16"/>
              </w:rPr>
              <w:t xml:space="preserve">Report catalogue, production, claims, renewal, remittance and commission reports, receivables, ledger and financial statement reports</w:t>
            </w:r>
          </w:p>
        </w:tc>
        <w:tc>
          <w:tcPr>
            <w:tcW w:w="2278" w:type="dxa"/>
          </w:tcPr>
          <w:p>
            <w:pPr>
              <w:spacing w:before="40" w:after="40" w:line="240" w:lineRule="auto"/>
            </w:pPr>
            <w:r>
              <w:rPr>
                <w:rFonts w:ascii="Segoe UI" w:hAnsi="Segoe UI" w:cs="Segoe UI" w:eastAsia="Segoe UI"/>
                <w:sz w:val="16"/>
                <w:szCs w:val="16"/>
              </w:rPr>
              <w:t xml:space="preserve">TIS-BRD-RPT-SLS-01, TIS-BRD-RPT-SLS-02, TIS-BRD-RPT-OPS-02, TIS-BRD-RPT-OPS-03, TIS-BRD-RPT-OPS-04, TIS-BRD-RPT-CCD-01, TIS-BRD-RPT-FGA-01, TIS-BRD-RPT-FGA-02, TIS-BRD-RPT-FGA-05, TIS-BRD-RPT-FGA-06</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Report Builder</w:t>
            </w:r>
          </w:p>
        </w:tc>
        <w:tc>
          <w:tcPr>
            <w:tcW w:w="1338" w:type="dxa"/>
          </w:tcPr>
          <w:p>
            <w:pPr>
              <w:spacing w:before="40" w:after="40" w:line="240" w:lineRule="auto"/>
            </w:pPr>
            <w:r>
              <w:rPr>
                <w:rFonts w:ascii="Segoe UI" w:hAnsi="Segoe UI" w:cs="Segoe UI" w:eastAsia="Segoe UI"/>
                <w:sz w:val="16"/>
                <w:szCs w:val="16"/>
              </w:rPr>
              <w:t xml:space="preserve">Reports</w:t>
            </w:r>
          </w:p>
        </w:tc>
        <w:tc>
          <w:tcPr>
            <w:tcW w:w="1656" w:type="dxa"/>
          </w:tcPr>
          <w:p>
            <w:pPr>
              <w:spacing w:before="40" w:after="40" w:line="240" w:lineRule="auto"/>
            </w:pPr>
            <w:r>
              <w:rPr>
                <w:rFonts w:ascii="Segoe UI" w:hAnsi="Segoe UI" w:cs="Segoe UI" w:eastAsia="Segoe UI"/>
                <w:sz w:val="16"/>
                <w:szCs w:val="16"/>
              </w:rPr>
              <w:t xml:space="preserve">Reports built and scheduled by the business on the published datasets</w:t>
            </w:r>
          </w:p>
        </w:tc>
        <w:tc>
          <w:tcPr>
            <w:tcW w:w="2278" w:type="dxa"/>
          </w:tcPr>
          <w:p>
            <w:pPr>
              <w:spacing w:before="40" w:after="40" w:line="240" w:lineRule="auto"/>
            </w:pPr>
            <w:r>
              <w:rPr>
                <w:rFonts w:ascii="Segoe UI" w:hAnsi="Segoe UI" w:cs="Segoe UI" w:eastAsia="Segoe UI"/>
                <w:sz w:val="16"/>
                <w:szCs w:val="16"/>
              </w:rPr>
              <w:t xml:space="preserve">TIS-BRD-NFR-10.1, TIS-BRD-NFR-10.4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Insurance masters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Insurers, lines of business, products, covers, signatories, vehicles, short-period rates, cancellation and reason codes</w:t>
            </w:r>
          </w:p>
        </w:tc>
        <w:tc>
          <w:tcPr>
            <w:tcW w:w="2278" w:type="dxa"/>
          </w:tcPr>
          <w:p>
            <w:pPr>
              <w:spacing w:before="40" w:after="40" w:line="240" w:lineRule="auto"/>
            </w:pPr>
            <w:r>
              <w:rPr>
                <w:rFonts w:ascii="Segoe UI" w:hAnsi="Segoe UI" w:cs="Segoe UI" w:eastAsia="Segoe UI"/>
                <w:sz w:val="16"/>
                <w:szCs w:val="16"/>
              </w:rPr>
              <w:t xml:space="preserve">TIS-BRD-MAS-04, TIS-BRD-MAS-09, TIS-BRD-MAS-10, TIS-BRD-PROD-02, TIS-BRD-PROD-03, TIS-BRD-PROD-06, TIS-BRD-PROD-08, MOM-S3-9-PRODUCTS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Distribution channels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Dealers, financing banks, affinity partners and their production</w:t>
            </w:r>
          </w:p>
        </w:tc>
        <w:tc>
          <w:tcPr>
            <w:tcW w:w="2278" w:type="dxa"/>
          </w:tcPr>
          <w:p>
            <w:pPr>
              <w:spacing w:before="40" w:after="40" w:line="240" w:lineRule="auto"/>
            </w:pPr>
            <w:r>
              <w:rPr>
                <w:rFonts w:ascii="Segoe UI" w:hAnsi="Segoe UI" w:cs="Segoe UI" w:eastAsia="Segoe UI"/>
                <w:sz w:val="16"/>
                <w:szCs w:val="16"/>
              </w:rPr>
              <w:t xml:space="preserve">TIS-BRD-MAS-07, TIS-BRD-MAS-05</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Finance masters and posting rules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Chart of accounts, account determination and posting rules with approval, taxes, premium taxes, commission rates, banks, cost centres and statement formats</w:t>
            </w:r>
          </w:p>
        </w:tc>
        <w:tc>
          <w:tcPr>
            <w:tcW w:w="2278" w:type="dxa"/>
          </w:tcPr>
          <w:p>
            <w:pPr>
              <w:spacing w:before="40" w:after="40" w:line="240" w:lineRule="auto"/>
            </w:pPr>
            <w:r>
              <w:rPr>
                <w:rFonts w:ascii="Segoe UI" w:hAnsi="Segoe UI" w:cs="Segoe UI" w:eastAsia="Segoe UI"/>
                <w:sz w:val="16"/>
                <w:szCs w:val="16"/>
              </w:rPr>
              <w:t xml:space="preserve">TIS-BRD-GL-01, TIS-BRD-GL-02, TIS-BRD-TAX-01, TIS-BRD-PROD-11, TIS-BRD-PROD-16, FGA-DS-04, MOM-S9-ACC-COST-CENTRE, PBSM-M18-COA, PBSM-M23-POSTING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Product configuration</w:t>
            </w:r>
          </w:p>
        </w:tc>
        <w:tc>
          <w:tcPr>
            <w:tcW w:w="1338" w:type="dxa"/>
          </w:tcPr>
          <w:p>
            <w:pPr>
              <w:spacing w:before="40" w:after="40" w:line="240" w:lineRule="auto"/>
            </w:pPr>
            <w:r>
              <w:rPr>
                <w:rFonts w:ascii="Segoe UI" w:hAnsi="Segoe UI" w:cs="Segoe UI" w:eastAsia="Segoe UI"/>
                <w:sz w:val="16"/>
                <w:szCs w:val="16"/>
              </w:rPr>
              <w:t xml:space="preserve">Product Configurator</w:t>
            </w:r>
          </w:p>
        </w:tc>
        <w:tc>
          <w:tcPr>
            <w:tcW w:w="1656" w:type="dxa"/>
          </w:tcPr>
          <w:p>
            <w:pPr>
              <w:spacing w:before="40" w:after="40" w:line="240" w:lineRule="auto"/>
            </w:pPr>
            <w:r>
              <w:rPr>
                <w:rFonts w:ascii="Segoe UI" w:hAnsi="Segoe UI" w:cs="Segoe UI" w:eastAsia="Segoe UI"/>
                <w:sz w:val="16"/>
                <w:szCs w:val="16"/>
              </w:rPr>
              <w:t xml:space="preserve">Product templates, coverages, rating engine, acceptance rules, documents, market mapping and risk mapping</w:t>
            </w:r>
          </w:p>
        </w:tc>
        <w:tc>
          <w:tcPr>
            <w:tcW w:w="2278" w:type="dxa"/>
          </w:tcPr>
          <w:p>
            <w:pPr>
              <w:spacing w:before="40" w:after="40" w:line="240" w:lineRule="auto"/>
            </w:pPr>
            <w:r>
              <w:rPr>
                <w:rFonts w:ascii="Segoe UI" w:hAnsi="Segoe UI" w:cs="Segoe UI" w:eastAsia="Segoe UI"/>
                <w:sz w:val="16"/>
                <w:szCs w:val="16"/>
              </w:rPr>
              <w:t xml:space="preserve">TIS-BRD-PROD-01, TIS-BRD-PROD-04, TIS-BRD-PROD-07, TIS-BRD-PROD-09, TIS-BRD-PROD-10, TIS-BRD-PROD-12, TIS-BRD-PROD-13, TIS-BRD-PROD-14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Platform Functions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976"/>
        <w:gridCol w:w="1831"/>
        <w:gridCol w:w="2488"/>
        <w:gridCol w:w="1066"/>
        <w:gridCol w:w="1158"/>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8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08" w:type="dxa"/>
          </w:tcPr>
          <w:p>
            <w:pPr>
              <w:spacing w:before="40" w:after="40" w:line="240" w:lineRule="auto"/>
            </w:pPr>
            <w:r>
              <w:rPr>
                <w:rFonts w:ascii="Segoe UI" w:hAnsi="Segoe UI" w:cs="Segoe UI" w:eastAsia="Segoe UI"/>
                <w:sz w:val="16"/>
                <w:szCs w:val="16"/>
              </w:rPr>
              <w:t xml:space="preserve">My Work and notifications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Daily work queue by role, notifications, own profile, global search and the on-screen help</w:t>
            </w:r>
          </w:p>
        </w:tc>
        <w:tc>
          <w:tcPr>
            <w:tcW w:w="2488" w:type="dxa"/>
          </w:tcPr>
          <w:p>
            <w:pPr>
              <w:spacing w:before="40" w:after="40" w:line="240" w:lineRule="auto"/>
            </w:pPr>
            <w:r>
              <w:rPr>
                <w:rFonts w:ascii="Segoe UI" w:hAnsi="Segoe UI" w:cs="Segoe UI" w:eastAsia="Segoe UI"/>
                <w:sz w:val="16"/>
                <w:szCs w:val="16"/>
              </w:rPr>
              <w:t xml:space="preserve">TIS-BRD-RPT-01, PBSM-M16-NOTIFICATIONS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Users and roles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Users, roles, the user access matrix and role permissions with maker-checker</w:t>
            </w:r>
          </w:p>
        </w:tc>
        <w:tc>
          <w:tcPr>
            <w:tcW w:w="2488" w:type="dxa"/>
          </w:tcPr>
          <w:p>
            <w:pPr>
              <w:spacing w:before="40" w:after="40" w:line="240" w:lineRule="auto"/>
            </w:pPr>
            <w:r>
              <w:rPr>
                <w:rFonts w:ascii="Segoe UI" w:hAnsi="Segoe UI" w:cs="Segoe UI" w:eastAsia="Segoe UI"/>
                <w:sz w:val="16"/>
                <w:szCs w:val="16"/>
              </w:rPr>
              <w:t xml:space="preserve">TIS-BRD-SEC-01, TIS-BRD-SEC-02, TIS-BRD-SEC-05, PBSM-M17v4-RBAC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Access governance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Approval limits, segregation of duties, delegations and periodic access reviews</w:t>
            </w:r>
          </w:p>
        </w:tc>
        <w:tc>
          <w:tcPr>
            <w:tcW w:w="2488" w:type="dxa"/>
          </w:tcPr>
          <w:p>
            <w:pPr>
              <w:spacing w:before="40" w:after="40" w:line="240" w:lineRule="auto"/>
            </w:pPr>
            <w:r>
              <w:rPr>
                <w:rFonts w:ascii="Segoe UI" w:hAnsi="Segoe UI" w:cs="Segoe UI" w:eastAsia="Segoe UI"/>
                <w:sz w:val="16"/>
                <w:szCs w:val="16"/>
              </w:rPr>
              <w:t xml:space="preserve">TIS-BRD-SEC-01, TIS-BRD-SEC-03, TIS-BRD-NFR-02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Audit trail</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Record of every change with who, when, from where and the values before and after</w:t>
            </w:r>
          </w:p>
        </w:tc>
        <w:tc>
          <w:tcPr>
            <w:tcW w:w="2488" w:type="dxa"/>
          </w:tcPr>
          <w:p>
            <w:pPr>
              <w:spacing w:before="40" w:after="40" w:line="240" w:lineRule="auto"/>
            </w:pPr>
            <w:r>
              <w:rPr>
                <w:rFonts w:ascii="Segoe UI" w:hAnsi="Segoe UI" w:cs="Segoe UI" w:eastAsia="Segoe UI"/>
                <w:sz w:val="16"/>
                <w:szCs w:val="16"/>
              </w:rPr>
              <w:t xml:space="preserve">PBSM-M17v4-AUDIT, TIS-BRD-NFR-14.7, BRD-5.14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System configuration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Settings, document numbering, job schedules, e-mail and document layouts, signatures and the e-mail outbox</w:t>
            </w:r>
          </w:p>
        </w:tc>
        <w:tc>
          <w:tcPr>
            <w:tcW w:w="2488" w:type="dxa"/>
          </w:tcPr>
          <w:p>
            <w:pPr>
              <w:spacing w:before="40" w:after="40" w:line="240" w:lineRule="auto"/>
            </w:pPr>
            <w:r>
              <w:rPr>
                <w:rFonts w:ascii="Segoe UI" w:hAnsi="Segoe UI" w:cs="Segoe UI" w:eastAsia="Segoe UI"/>
                <w:sz w:val="16"/>
                <w:szCs w:val="16"/>
              </w:rPr>
              <w:t xml:space="preserve">TIS-BRD-PROD-01, TIS-BRD-NFR-08.1, TIS-BRD-DOC-01, PBSM-M17v4-IFMON, TIS-BRD-NOTIF-01, TIS-BRD-NFR-10.6, TIS-BRD-QUOT-07, TIS-BRD-INTG-01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Organisation and location masters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Company, branch, reporting hierarchy, designations, locations with holidays, and the peso as base currency</w:t>
            </w:r>
          </w:p>
        </w:tc>
        <w:tc>
          <w:tcPr>
            <w:tcW w:w="2488" w:type="dxa"/>
          </w:tcPr>
          <w:p>
            <w:pPr>
              <w:spacing w:before="40" w:after="40" w:line="240" w:lineRule="auto"/>
            </w:pPr>
            <w:r>
              <w:rPr>
                <w:rFonts w:ascii="Segoe UI" w:hAnsi="Segoe UI" w:cs="Segoe UI" w:eastAsia="Segoe UI"/>
                <w:sz w:val="16"/>
                <w:szCs w:val="16"/>
              </w:rPr>
              <w:t xml:space="preserve">TIS-BRD-MAS-01, TIS-BRD-MAS-02, TIS-BRD-MAS-03, TIS-BRD-MAS-08, PBSM-M01-M03-ORG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Product Configurator home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Entry point to the configuration studio</w:t>
            </w:r>
          </w:p>
        </w:tc>
        <w:tc>
          <w:tcPr>
            <w:tcW w:w="2488" w:type="dxa"/>
          </w:tcPr>
          <w:p>
            <w:pPr>
              <w:spacing w:before="40" w:after="40" w:line="240" w:lineRule="auto"/>
            </w:pPr>
            <w:r>
              <w:rPr>
                <w:rFonts w:ascii="Segoe UI" w:hAnsi="Segoe UI" w:cs="Segoe UI" w:eastAsia="Segoe UI"/>
                <w:sz w:val="16"/>
                <w:szCs w:val="16"/>
              </w:rPr>
              <w:t xml:space="preserve">TIS-BRD-PROD-01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Configuration promotion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Configuration workbook, master data load at cutover and comparison of environments (Dev, UAT, Production)</w:t>
            </w:r>
          </w:p>
        </w:tc>
        <w:tc>
          <w:tcPr>
            <w:tcW w:w="2488" w:type="dxa"/>
          </w:tcPr>
          <w:p>
            <w:pPr>
              <w:spacing w:before="40" w:after="40" w:line="240" w:lineRule="auto"/>
            </w:pPr>
            <w:r>
              <w:rPr>
                <w:rFonts w:ascii="Segoe UI" w:hAnsi="Segoe UI" w:cs="Segoe UI" w:eastAsia="Segoe UI"/>
                <w:sz w:val="16"/>
                <w:szCs w:val="16"/>
              </w:rPr>
              <w:t xml:space="preserve">TIS-BRD-NFR-08, PBSM-MIG-MASTERS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Features and releases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Catalogue of the functions of the platform with their release tier and status; enabling by the iorta TechNXT platform administrator</w:t>
            </w:r>
          </w:p>
        </w:tc>
        <w:tc>
          <w:tcPr>
            <w:tcW w:w="2488" w:type="dxa"/>
          </w:tcPr>
          <w:p>
            <w:pPr>
              <w:spacing w:before="40" w:after="40" w:line="240" w:lineRule="auto"/>
            </w:pPr>
            <w:r>
              <w:rPr>
                <w:rFonts w:ascii="Segoe UI" w:hAnsi="Segoe UI" w:cs="Segoe UI" w:eastAsia="Segoe UI"/>
                <w:sz w:val="16"/>
                <w:szCs w:val="16"/>
              </w:rPr>
              <w:t xml:space="preserve">TIS-BRD-NFR-8.2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Phase 2 Functions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5"/>
        <w:gridCol w:w="1159"/>
        <w:gridCol w:w="1701"/>
        <w:gridCol w:w="2417"/>
        <w:gridCol w:w="1066"/>
        <w:gridCol w:w="1159"/>
      </w:tblGrid>
      <w:tr>
        <w:trPr>
          <w:cantSplit/>
          <w:tblHeader/>
          <w:trHeight w:val="400"/>
        </w:trPr>
        <w:tc>
          <w:tcPr>
            <w:tcW w:w="152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70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1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25" w:type="dxa"/>
          </w:tcPr>
          <w:p>
            <w:pPr>
              <w:spacing w:before="40" w:after="40" w:line="240" w:lineRule="auto"/>
            </w:pPr>
            <w:r>
              <w:rPr>
                <w:rFonts w:ascii="Segoe UI" w:hAnsi="Segoe UI" w:cs="Segoe UI" w:eastAsia="Segoe UI"/>
                <w:sz w:val="16"/>
                <w:szCs w:val="16"/>
              </w:rPr>
              <w:t xml:space="preserve">Sales dashboard</w:t>
            </w:r>
          </w:p>
        </w:tc>
        <w:tc>
          <w:tcPr>
            <w:tcW w:w="1159" w:type="dxa"/>
          </w:tcPr>
          <w:p>
            <w:pPr>
              <w:spacing w:before="40" w:after="40" w:line="240" w:lineRule="auto"/>
            </w:pPr>
            <w:r>
              <w:rPr>
                <w:rFonts w:ascii="Segoe UI" w:hAnsi="Segoe UI" w:cs="Segoe UI" w:eastAsia="Segoe UI"/>
                <w:sz w:val="16"/>
                <w:szCs w:val="16"/>
              </w:rPr>
              <w:t xml:space="preserve">Dashboard</w:t>
            </w:r>
          </w:p>
        </w:tc>
        <w:tc>
          <w:tcPr>
            <w:tcW w:w="1701" w:type="dxa"/>
          </w:tcPr>
          <w:p>
            <w:pPr>
              <w:spacing w:before="40" w:after="40" w:line="240" w:lineRule="auto"/>
            </w:pPr>
            <w:r>
              <w:rPr>
                <w:rFonts w:ascii="Segoe UI" w:hAnsi="Segoe UI" w:cs="Segoe UI" w:eastAsia="Segoe UI"/>
                <w:sz w:val="16"/>
                <w:szCs w:val="16"/>
              </w:rPr>
              <w:t xml:space="preserve">Conversion, figures by sales person, premium and policies by product and the monthly trend; agent performance on the executive dashboard</w:t>
            </w:r>
          </w:p>
        </w:tc>
        <w:tc>
          <w:tcPr>
            <w:tcW w:w="2417" w:type="dxa"/>
          </w:tcPr>
          <w:p>
            <w:pPr>
              <w:spacing w:before="40" w:after="40" w:line="240" w:lineRule="auto"/>
            </w:pPr>
            <w:r>
              <w:rPr>
                <w:rFonts w:ascii="Segoe UI" w:hAnsi="Segoe UI" w:cs="Segoe UI" w:eastAsia="Segoe UI"/>
                <w:sz w:val="16"/>
                <w:szCs w:val="16"/>
              </w:rPr>
              <w:t xml:space="preserve">TIS-BRD-RPT-DSH-05, TIS-BRD-RPT-DSH-06, TIS-BRD-RPT-DSH-07, CR-17, FGA-SD-01, FGA-SD-02</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FT-D02 pending</w:t>
            </w:r>
          </w:p>
        </w:tc>
      </w:tr>
      <w:tr>
        <w:trPr>
          <w:cantSplit/>
        </w:trPr>
        <w:tc>
          <w:tcPr>
            <w:tcW w:w="1525" w:type="dxa"/>
          </w:tcPr>
          <w:p>
            <w:pPr>
              <w:spacing w:before="40" w:after="40" w:line="240" w:lineRule="auto"/>
            </w:pPr>
            <w:r>
              <w:rPr>
                <w:rFonts w:ascii="Segoe UI" w:hAnsi="Segoe UI" w:cs="Segoe UI" w:eastAsia="Segoe UI"/>
                <w:sz w:val="16"/>
                <w:szCs w:val="16"/>
              </w:rPr>
              <w:t xml:space="preserve">Fire, engineering and industrial all risks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Prospect, quotation and policy flows of fire and allied perils, engineering and industrial all risks</w:t>
            </w:r>
          </w:p>
        </w:tc>
        <w:tc>
          <w:tcPr>
            <w:tcW w:w="2417" w:type="dxa"/>
          </w:tcPr>
          <w:p>
            <w:pPr>
              <w:spacing w:before="40" w:after="40" w:line="240" w:lineRule="auto"/>
            </w:pPr>
            <w:r>
              <w:rPr>
                <w:rFonts w:ascii="Segoe UI" w:hAnsi="Segoe UI" w:cs="Segoe UI" w:eastAsia="Segoe UI"/>
                <w:sz w:val="16"/>
                <w:szCs w:val="16"/>
              </w:rPr>
              <w:t xml:space="preserve">TIS-BRD-PJRN-11, FI-01, FI-02, FI-03, FI-04, FI-05, FI-06, FI-07, FI-08, FI-09, FI-10, FI-11</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Group life and employee benefits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Employee census upload, group life and employee benefit quotations with the yearly renewal quote</w:t>
            </w:r>
          </w:p>
        </w:tc>
        <w:tc>
          <w:tcPr>
            <w:tcW w:w="2417" w:type="dxa"/>
          </w:tcPr>
          <w:p>
            <w:pPr>
              <w:spacing w:before="40" w:after="40" w:line="240" w:lineRule="auto"/>
            </w:pPr>
            <w:r>
              <w:rPr>
                <w:rFonts w:ascii="Segoe UI" w:hAnsi="Segoe UI" w:cs="Segoe UI" w:eastAsia="Segoe UI"/>
                <w:sz w:val="16"/>
                <w:szCs w:val="16"/>
              </w:rPr>
              <w:t xml:space="preserve">TIS-BRD-PJRN-10</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Bonds, liability and miscellaneous lines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Quotations of bonds, comprehensive general liability and miscellaneous lines through requests for quotation</w:t>
            </w:r>
          </w:p>
        </w:tc>
        <w:tc>
          <w:tcPr>
            <w:tcW w:w="2417" w:type="dxa"/>
          </w:tcPr>
          <w:p>
            <w:pPr>
              <w:spacing w:before="40" w:after="40" w:line="240" w:lineRule="auto"/>
            </w:pPr>
            <w:r>
              <w:rPr>
                <w:rFonts w:ascii="Segoe UI" w:hAnsi="Segoe UI" w:cs="Segoe UI" w:eastAsia="Segoe UI"/>
                <w:sz w:val="16"/>
                <w:szCs w:val="16"/>
              </w:rPr>
              <w:t xml:space="preserve">TIS-BRD-PJRN-13</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Accounts payable</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Supplier invoices with input VAT and withholding, maker-checker approval, supplier payments and AP ageing</w:t>
            </w:r>
          </w:p>
        </w:tc>
        <w:tc>
          <w:tcPr>
            <w:tcW w:w="2417" w:type="dxa"/>
          </w:tcPr>
          <w:p>
            <w:pPr>
              <w:spacing w:before="40" w:after="40" w:line="240" w:lineRule="auto"/>
            </w:pPr>
            <w:r>
              <w:rPr>
                <w:rFonts w:ascii="Segoe UI" w:hAnsi="Segoe UI" w:cs="Segoe UI" w:eastAsia="Segoe UI"/>
                <w:sz w:val="16"/>
                <w:szCs w:val="16"/>
              </w:rPr>
              <w:t xml:space="preserve">TIS-BRD-NIA-03, PBSM-M17v4-NIA</w:t>
            </w:r>
          </w:p>
        </w:tc>
        <w:tc>
          <w:tcPr>
            <w:tcW w:w="1066" w:type="dxa"/>
          </w:tcPr>
          <w:p>
            <w:pPr>
              <w:spacing w:before="40" w:after="40" w:line="240" w:lineRule="auto"/>
            </w:pPr>
            <w:r>
              <w:rPr>
                <w:rFonts w:ascii="Segoe UI" w:hAnsi="Segoe UI" w:cs="Segoe UI" w:eastAsia="Segoe UI"/>
                <w:sz w:val="16"/>
                <w:szCs w:val="16"/>
              </w:rPr>
              <w:t xml:space="preserve">Suppliers and supplier BIR 2307</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Fixed assets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Asset register by asset class, monthly straight-line depreciation and disposals</w:t>
            </w:r>
          </w:p>
        </w:tc>
        <w:tc>
          <w:tcPr>
            <w:tcW w:w="2417" w:type="dxa"/>
          </w:tcPr>
          <w:p>
            <w:pPr>
              <w:spacing w:before="40" w:after="40" w:line="240" w:lineRule="auto"/>
            </w:pPr>
            <w:r>
              <w:rPr>
                <w:rFonts w:ascii="Segoe UI" w:hAnsi="Segoe UI" w:cs="Segoe UI" w:eastAsia="Segoe UI"/>
                <w:sz w:val="16"/>
                <w:szCs w:val="16"/>
              </w:rPr>
              <w:t xml:space="preserve">TIS-BRD-NIA-07, FGA-FA-01, FGA-FA-02, FGA-FA-04, FGA-DS-08, TIS-BRD-RPT-FGA-10, PBSM-M17v4-PAFA</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FT-D01 pending</w:t>
            </w:r>
          </w:p>
        </w:tc>
      </w:tr>
      <w:tr>
        <w:trPr>
          <w:cantSplit/>
        </w:trPr>
        <w:tc>
          <w:tcPr>
            <w:tcW w:w="1525" w:type="dxa"/>
          </w:tcPr>
          <w:p>
            <w:pPr>
              <w:spacing w:before="40" w:after="40" w:line="240" w:lineRule="auto"/>
            </w:pPr>
            <w:r>
              <w:rPr>
                <w:rFonts w:ascii="Segoe UI" w:hAnsi="Segoe UI" w:cs="Segoe UI" w:eastAsia="Segoe UI"/>
                <w:sz w:val="16"/>
                <w:szCs w:val="16"/>
              </w:rPr>
              <w:t xml:space="preserve">Recurring and accrual journals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Recurring and accrual journal templates posted automatically and reversed on the first day of the next period</w:t>
            </w:r>
          </w:p>
        </w:tc>
        <w:tc>
          <w:tcPr>
            <w:tcW w:w="2417" w:type="dxa"/>
          </w:tcPr>
          <w:p>
            <w:pPr>
              <w:spacing w:before="40" w:after="40" w:line="240" w:lineRule="auto"/>
            </w:pPr>
            <w:r>
              <w:rPr>
                <w:rFonts w:ascii="Segoe UI" w:hAnsi="Segoe UI" w:cs="Segoe UI" w:eastAsia="Segoe UI"/>
                <w:sz w:val="16"/>
                <w:szCs w:val="16"/>
              </w:rPr>
              <w:t xml:space="preserve">FGA-ACR-01, TIS-BRD-NIA-06</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Insurer API integration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REST API mappings and calls to the insurers, claim status received from the insurers</w:t>
            </w:r>
          </w:p>
        </w:tc>
        <w:tc>
          <w:tcPr>
            <w:tcW w:w="2417" w:type="dxa"/>
          </w:tcPr>
          <w:p>
            <w:pPr>
              <w:spacing w:before="40" w:after="40" w:line="240" w:lineRule="auto"/>
            </w:pPr>
            <w:r>
              <w:rPr>
                <w:rFonts w:ascii="Segoe UI" w:hAnsi="Segoe UI" w:cs="Segoe UI" w:eastAsia="Segoe UI"/>
                <w:sz w:val="16"/>
                <w:szCs w:val="16"/>
              </w:rPr>
              <w:t xml:space="preserve">TIS-BRD-INTG-05</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Legacy book migration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Cutover load of in-force policies, open bills, open claims and opening balances of the legacy system</w:t>
            </w:r>
          </w:p>
        </w:tc>
        <w:tc>
          <w:tcPr>
            <w:tcW w:w="2417" w:type="dxa"/>
          </w:tcPr>
          <w:p>
            <w:pPr>
              <w:spacing w:before="40" w:after="40" w:line="240" w:lineRule="auto"/>
            </w:pPr>
            <w:r>
              <w:rPr>
                <w:rFonts w:ascii="Segoe UI" w:hAnsi="Segoe UI" w:cs="Segoe UI" w:eastAsia="Segoe UI"/>
                <w:sz w:val="16"/>
                <w:szCs w:val="16"/>
              </w:rPr>
              <w:t xml:space="preserve">TIS-BRD-MIG-01, MOM-S21-MIGRATION-PARKED</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Future Releases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7"/>
        <w:gridCol w:w="1371"/>
        <w:gridCol w:w="2038"/>
        <w:gridCol w:w="1424"/>
        <w:gridCol w:w="1375"/>
        <w:gridCol w:w="1162"/>
      </w:tblGrid>
      <w:tr>
        <w:trPr>
          <w:cantSplit/>
          <w:tblHeader/>
          <w:trHeight w:val="400"/>
        </w:trPr>
        <w:tc>
          <w:tcPr>
            <w:tcW w:w="1657"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71"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2038"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375"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62"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657" w:type="dxa"/>
          </w:tcPr>
          <w:p>
            <w:pPr>
              <w:spacing w:before="40" w:after="40" w:line="240" w:lineRule="auto"/>
            </w:pPr>
            <w:r>
              <w:rPr>
                <w:rFonts w:ascii="Segoe UI" w:hAnsi="Segoe UI" w:cs="Segoe UI" w:eastAsia="Segoe UI"/>
                <w:sz w:val="16"/>
                <w:szCs w:val="16"/>
              </w:rPr>
              <w:t xml:space="preserve">Customer satisfaction indicator</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Customer satisfaction figure among the renewal performance targets (no survey data is captured)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Regional performance</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Production and collections by region on the executive dashboard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Comparison reports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report comparing the offers of several insurers with a recommendation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Requests for quotation to several insurers</w:t>
            </w:r>
          </w:p>
        </w:tc>
        <w:tc>
          <w:tcPr>
            <w:tcW w:w="1162" w:type="dxa"/>
          </w:tcPr>
          <w:p>
            <w:pPr>
              <w:spacing w:before="40" w:after="40" w:line="240" w:lineRule="auto"/>
            </w:pPr>
            <w:r>
              <w:rPr>
                <w:rFonts w:ascii="Segoe UI" w:hAnsi="Segoe UI" w:cs="Segoe UI" w:eastAsia="Segoe UI"/>
                <w:sz w:val="16"/>
                <w:szCs w:val="16"/>
              </w:rPr>
              <w:t xml:space="preserve">FT-D03 pending</w:t>
            </w:r>
          </w:p>
        </w:tc>
      </w:tr>
      <w:tr>
        <w:trPr>
          <w:cantSplit/>
        </w:trPr>
        <w:tc>
          <w:tcPr>
            <w:tcW w:w="1657" w:type="dxa"/>
          </w:tcPr>
          <w:p>
            <w:pPr>
              <w:spacing w:before="40" w:after="40" w:line="240" w:lineRule="auto"/>
            </w:pPr>
            <w:r>
              <w:rPr>
                <w:rFonts w:ascii="Segoe UI" w:hAnsi="Segoe UI" w:cs="Segoe UI" w:eastAsia="Segoe UI"/>
                <w:sz w:val="16"/>
                <w:szCs w:val="16"/>
              </w:rPr>
              <w:t xml:space="preserve">Requests for quotation to several insurers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Submitting one request to several insurers, comparing their offers and checking the insurers approached against market mapping</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FT-D04 pending</w:t>
            </w:r>
          </w:p>
        </w:tc>
      </w:tr>
      <w:tr>
        <w:trPr>
          <w:cantSplit/>
        </w:trPr>
        <w:tc>
          <w:tcPr>
            <w:tcW w:w="1657" w:type="dxa"/>
          </w:tcPr>
          <w:p>
            <w:pPr>
              <w:spacing w:before="40" w:after="40" w:line="240" w:lineRule="auto"/>
            </w:pPr>
            <w:r>
              <w:rPr>
                <w:rFonts w:ascii="Segoe UI" w:hAnsi="Segoe UI" w:cs="Segoe UI" w:eastAsia="Segoe UI"/>
                <w:sz w:val="16"/>
                <w:szCs w:val="16"/>
              </w:rPr>
              <w:t xml:space="preserve">Marketing campaigns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E-mail campaigns to consenting clients with segments, templates and the public opt-out link</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FT-D05 pending</w:t>
            </w:r>
          </w:p>
        </w:tc>
      </w:tr>
      <w:tr>
        <w:trPr>
          <w:cantSplit/>
        </w:trPr>
        <w:tc>
          <w:tcPr>
            <w:tcW w:w="1657" w:type="dxa"/>
          </w:tcPr>
          <w:p>
            <w:pPr>
              <w:spacing w:before="40" w:after="40" w:line="240" w:lineRule="auto"/>
            </w:pPr>
            <w:r>
              <w:rPr>
                <w:rFonts w:ascii="Segoe UI" w:hAnsi="Segoe UI" w:cs="Segoe UI" w:eastAsia="Segoe UI"/>
                <w:sz w:val="16"/>
                <w:szCs w:val="16"/>
              </w:rPr>
              <w:t xml:space="preserve">Online quotation approval by the client</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approves a quotation through a public link instead of the internal approval and e-mailed PDF</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FT-D06 pending</w:t>
            </w:r>
          </w:p>
        </w:tc>
      </w:tr>
      <w:tr>
        <w:trPr>
          <w:cantSplit/>
        </w:trPr>
        <w:tc>
          <w:tcPr>
            <w:tcW w:w="1657" w:type="dxa"/>
          </w:tcPr>
          <w:p>
            <w:pPr>
              <w:spacing w:before="40" w:after="40" w:line="240" w:lineRule="auto"/>
            </w:pPr>
            <w:r>
              <w:rPr>
                <w:rFonts w:ascii="Segoe UI" w:hAnsi="Segoe UI" w:cs="Segoe UI" w:eastAsia="Segoe UI"/>
                <w:sz w:val="16"/>
                <w:szCs w:val="16"/>
              </w:rPr>
              <w:t xml:space="preserve">Product recommendation step</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Rule-based product recommendation by vehicle class inside the motor quotation wizard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FT-D07 pending</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Lead insurer with participant shares totalling 100%, amounts split by share and a slip to each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Foreign currency premium and receipts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Choice of a currency other than the peso for the premium and the receipt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Marine cargo open covers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Marine cargo as an open cover product beside parcel and courier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Parcel and courier open covers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Retention analytics and renewal performance</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Retention KPIs by product, agent and month; renewal rate, premium retention and cycle time</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At-risk renewals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Rule-based retention risk score of open renewals with recommended actions and escalation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Win-back campaigns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Campaigns, offers and links to win back lapsed renewals, with their statistics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Renewals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CTPL authentication</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COC number series, COC authentication with the accredited provider and the unauthenticated COC report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FT-D08 pending</w:t>
            </w:r>
          </w:p>
        </w:tc>
      </w:tr>
      <w:tr>
        <w:trPr>
          <w:cantSplit/>
        </w:trPr>
        <w:tc>
          <w:tcPr>
            <w:tcW w:w="1657" w:type="dxa"/>
          </w:tcPr>
          <w:p>
            <w:pPr>
              <w:spacing w:before="40" w:after="40" w:line="240" w:lineRule="auto"/>
            </w:pPr>
            <w:r>
              <w:rPr>
                <w:rFonts w:ascii="Segoe UI" w:hAnsi="Segoe UI" w:cs="Segoe UI" w:eastAsia="Segoe UI"/>
                <w:sz w:val="16"/>
                <w:szCs w:val="16"/>
              </w:rPr>
              <w:t xml:space="preserve">Client credit limits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Credit limit per client with the open broker-billed exposure and the exceptions over the limit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Collections and credit control</w:t>
            </w:r>
          </w:p>
        </w:tc>
        <w:tc>
          <w:tcPr>
            <w:tcW w:w="1162" w:type="dxa"/>
          </w:tcPr>
          <w:p>
            <w:pPr>
              <w:spacing w:before="40" w:after="40" w:line="240" w:lineRule="auto"/>
            </w:pPr>
            <w:r>
              <w:rPr>
                <w:rFonts w:ascii="Segoe UI" w:hAnsi="Segoe UI" w:cs="Segoe UI" w:eastAsia="Segoe UI"/>
                <w:sz w:val="16"/>
                <w:szCs w:val="16"/>
              </w:rPr>
              <w:t xml:space="preserve">FT-D09 pending</w:t>
            </w:r>
          </w:p>
        </w:tc>
      </w:tr>
      <w:tr>
        <w:trPr>
          <w:cantSplit/>
        </w:trPr>
        <w:tc>
          <w:tcPr>
            <w:tcW w:w="1657" w:type="dxa"/>
          </w:tcPr>
          <w:p>
            <w:pPr>
              <w:spacing w:before="40" w:after="40" w:line="240" w:lineRule="auto"/>
            </w:pPr>
            <w:r>
              <w:rPr>
                <w:rFonts w:ascii="Segoe UI" w:hAnsi="Segoe UI" w:cs="Segoe UI" w:eastAsia="Segoe UI"/>
                <w:sz w:val="16"/>
                <w:szCs w:val="16"/>
              </w:rPr>
              <w:t xml:space="preserve">Claims paid through the broker</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Insurer claim funds received by the broker and paid to the claimant, with voucher and release form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Claims</w:t>
            </w:r>
          </w:p>
        </w:tc>
        <w:tc>
          <w:tcPr>
            <w:tcW w:w="1162" w:type="dxa"/>
          </w:tcPr>
          <w:p>
            <w:pPr>
              <w:spacing w:before="40" w:after="40" w:line="240" w:lineRule="auto"/>
            </w:pPr>
            <w:r>
              <w:rPr>
                <w:rFonts w:ascii="Segoe UI" w:hAnsi="Segoe UI" w:cs="Segoe UI" w:eastAsia="Segoe UI"/>
                <w:sz w:val="16"/>
                <w:szCs w:val="16"/>
              </w:rPr>
              <w:t xml:space="preserve">FT-D10 pending</w:t>
            </w:r>
          </w:p>
        </w:tc>
      </w:tr>
      <w:tr>
        <w:trPr>
          <w:cantSplit/>
        </w:trPr>
        <w:tc>
          <w:tcPr>
            <w:tcW w:w="1657" w:type="dxa"/>
          </w:tcPr>
          <w:p>
            <w:pPr>
              <w:spacing w:before="40" w:after="40" w:line="240" w:lineRule="auto"/>
            </w:pPr>
            <w:r>
              <w:rPr>
                <w:rFonts w:ascii="Segoe UI" w:hAnsi="Segoe UI" w:cs="Segoe UI" w:eastAsia="Segoe UI"/>
                <w:sz w:val="16"/>
                <w:szCs w:val="16"/>
              </w:rPr>
              <w:t xml:space="preserve">Petty cash</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Petty cash funds, requests, disbursements, receipts and replenishment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BIR relief and summary reports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VAT summary, SAWT, QAP and the summary lists of sales and purchases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FT-D11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Withholding returns 0619-E and 1601-EQ with filing records, the annual alphalist 1604-E and the DAT files for the BIR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FT-D12 pending</w:t>
            </w:r>
          </w:p>
        </w:tc>
      </w:tr>
      <w:tr>
        <w:trPr>
          <w:cantSplit/>
        </w:trPr>
        <w:tc>
          <w:tcPr>
            <w:tcW w:w="1657" w:type="dxa"/>
          </w:tcPr>
          <w:p>
            <w:pPr>
              <w:spacing w:before="40" w:after="40" w:line="240" w:lineRule="auto"/>
            </w:pPr>
            <w:r>
              <w:rPr>
                <w:rFonts w:ascii="Segoe UI" w:hAnsi="Segoe UI" w:cs="Segoe UI" w:eastAsia="Segoe UI"/>
                <w:sz w:val="16"/>
                <w:szCs w:val="16"/>
              </w:rPr>
              <w:t xml:space="preserve">Percentage tax 2551Q</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Quarterly percentage tax return of a non-VAT broker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162" w:type="dxa"/>
          </w:tcPr>
          <w:p>
            <w:pPr>
              <w:spacing w:before="40" w:after="40" w:line="240" w:lineRule="auto"/>
            </w:pPr>
            <w:r>
              <w:rPr>
                <w:rFonts w:ascii="Segoe UI" w:hAnsi="Segoe UI" w:cs="Segoe UI" w:eastAsia="Segoe UI"/>
                <w:sz w:val="16"/>
                <w:szCs w:val="16"/>
              </w:rPr>
              <w:t xml:space="preserve">FT-D13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electronic invoicing (EIS)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Submission of sales invoices to the BIR electronic invoicing system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FT-D14 pending</w:t>
            </w:r>
          </w:p>
        </w:tc>
      </w:tr>
      <w:tr>
        <w:trPr>
          <w:cantSplit/>
        </w:trPr>
        <w:tc>
          <w:tcPr>
            <w:tcW w:w="1657" w:type="dxa"/>
          </w:tcPr>
          <w:p>
            <w:pPr>
              <w:spacing w:before="40" w:after="40" w:line="240" w:lineRule="auto"/>
            </w:pPr>
            <w:r>
              <w:rPr>
                <w:rFonts w:ascii="Segoe UI" w:hAnsi="Segoe UI" w:cs="Segoe UI" w:eastAsia="Segoe UI"/>
                <w:sz w:val="16"/>
                <w:szCs w:val="16"/>
              </w:rPr>
              <w:t xml:space="preserve">Insurer overriding commission</w:t>
            </w:r>
          </w:p>
        </w:tc>
        <w:tc>
          <w:tcPr>
            <w:tcW w:w="1371" w:type="dxa"/>
          </w:tcPr>
          <w:p>
            <w:pPr>
              <w:spacing w:before="40" w:after="40" w:line="240" w:lineRule="auto"/>
            </w:pPr>
            <w:r>
              <w:rPr>
                <w:rFonts w:ascii="Segoe UI" w:hAnsi="Segoe UI" w:cs="Segoe UI" w:eastAsia="Segoe UI"/>
                <w:sz w:val="16"/>
                <w:szCs w:val="16"/>
              </w:rPr>
              <w:t xml:space="preserve">Commission</w:t>
            </w:r>
          </w:p>
        </w:tc>
        <w:tc>
          <w:tcPr>
            <w:tcW w:w="2038" w:type="dxa"/>
          </w:tcPr>
          <w:p>
            <w:pPr>
              <w:spacing w:before="40" w:after="40" w:line="240" w:lineRule="auto"/>
            </w:pPr>
            <w:r>
              <w:rPr>
                <w:rFonts w:ascii="Segoe UI" w:hAnsi="Segoe UI" w:cs="Segoe UI" w:eastAsia="Segoe UI"/>
                <w:sz w:val="16"/>
                <w:szCs w:val="16"/>
              </w:rPr>
              <w:t xml:space="preserve">Overriding, profit and contingent commission agreements with insurers and their computations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 reports</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Co-insurance register and amounts due to insurers by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Co-insurance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 extract</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Nightly CSV extract of the datasets for an external BI tool</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Report Builder</w:t>
            </w:r>
          </w:p>
        </w:tc>
        <w:tc>
          <w:tcPr>
            <w:tcW w:w="1162" w:type="dxa"/>
          </w:tcPr>
          <w:p>
            <w:pPr>
              <w:spacing w:before="40" w:after="40" w:line="240" w:lineRule="auto"/>
            </w:pPr>
            <w:r>
              <w:rPr>
                <w:rFonts w:ascii="Segoe UI" w:hAnsi="Segoe UI" w:cs="Segoe UI" w:eastAsia="Segoe UI"/>
                <w:sz w:val="16"/>
                <w:szCs w:val="16"/>
              </w:rPr>
              <w:t xml:space="preserve">FT-D15 pending</w:t>
            </w:r>
          </w:p>
        </w:tc>
      </w:tr>
      <w:tr>
        <w:trPr>
          <w:cantSplit/>
        </w:trPr>
        <w:tc>
          <w:tcPr>
            <w:tcW w:w="1657" w:type="dxa"/>
          </w:tcPr>
          <w:p>
            <w:pPr>
              <w:spacing w:before="40" w:after="40" w:line="240" w:lineRule="auto"/>
            </w:pPr>
            <w:r>
              <w:rPr>
                <w:rFonts w:ascii="Segoe UI" w:hAnsi="Segoe UI" w:cs="Segoe UI" w:eastAsia="Segoe UI"/>
                <w:sz w:val="16"/>
                <w:szCs w:val="16"/>
              </w:rPr>
              <w:t xml:space="preserve">Exchange rates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Dated foreign exchange rates for amounts in other currencies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Foreign currency premium and receipts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Online payment links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Card and e-wallet payment links with the public checkout page and the payment gateways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Package bundles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Multi-section bundles across insurers issued under one package policy number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Insurer rate tables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Insurer rate tables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One rate per insurer and product used by packages and comparisons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FT-D16 pending</w:t>
            </w:r>
          </w:p>
        </w:tc>
      </w:tr>
      <w:tr>
        <w:trPr>
          <w:cantSplit/>
        </w:trPr>
        <w:tc>
          <w:tcPr>
            <w:tcW w:w="1657" w:type="dxa"/>
          </w:tcPr>
          <w:p>
            <w:pPr>
              <w:spacing w:before="40" w:after="40" w:line="240" w:lineRule="auto"/>
            </w:pPr>
            <w:r>
              <w:rPr>
                <w:rFonts w:ascii="Segoe UI" w:hAnsi="Segoe UI" w:cs="Segoe UI" w:eastAsia="Segoe UI"/>
                <w:sz w:val="16"/>
                <w:szCs w:val="16"/>
              </w:rPr>
              <w:t xml:space="preserve">Automated remittance master</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Earlier remittance configuration: automated remittance, statement template and settlement parameters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SMS and Viber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SMS and Viber templates, SMS renewal notices and payment reminders through the SMS connectors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Inbound integration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Public endpoint receiving signed messages pushed by third parties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Product analytics</w:t>
            </w:r>
          </w:p>
        </w:tc>
        <w:tc>
          <w:tcPr>
            <w:tcW w:w="1371" w:type="dxa"/>
          </w:tcPr>
          <w:p>
            <w:pPr>
              <w:spacing w:before="40" w:after="40" w:line="240" w:lineRule="auto"/>
            </w:pPr>
            <w:r>
              <w:rPr>
                <w:rFonts w:ascii="Segoe UI" w:hAnsi="Segoe UI" w:cs="Segoe UI" w:eastAsia="Segoe UI"/>
                <w:sz w:val="16"/>
                <w:szCs w:val="16"/>
              </w:rPr>
              <w:t xml:space="preserve">Product Configurator</w:t>
            </w:r>
          </w:p>
        </w:tc>
        <w:tc>
          <w:tcPr>
            <w:tcW w:w="2038" w:type="dxa"/>
          </w:tcPr>
          <w:p>
            <w:pPr>
              <w:spacing w:before="40" w:after="40" w:line="240" w:lineRule="auto"/>
            </w:pPr>
            <w:r>
              <w:rPr>
                <w:rFonts w:ascii="Segoe UI" w:hAnsi="Segoe UI" w:cs="Segoe UI" w:eastAsia="Segoe UI"/>
                <w:sz w:val="16"/>
                <w:szCs w:val="16"/>
              </w:rPr>
              <w:t xml:space="preserve">Top products, trends and category breakdown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Decisions for TISPH</w:t>
      </w:r>
      <w:bookmarkEnd w:id="1010"/>
    </w:p>
    <w:p xmlns:a="http://schemas.openxmlformats.org/drawingml/2006/main" xmlns:pic="http://schemas.openxmlformats.org/drawingml/2006/picture">
      <w:pPr>
        <w:jc w:val="both"/>
      </w:pPr>
      <w:r>
        <w:rPr>
          <w:rFonts w:ascii="Segoe UI" w:hAnsi="Segoe UI" w:cs="Segoe UI" w:eastAsia="Segoe UI"/>
        </w:rPr>
        <w:t xml:space="preserve">The functions below are classified on the proposal shown and flagged "Decision pending" on the Features &amp; Releases screen until TISPH answers.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805"/>
        <w:gridCol w:w="2997"/>
        <w:gridCol w:w="1922"/>
        <w:gridCol w:w="1506"/>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180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Question</w:t>
            </w:r>
          </w:p>
        </w:tc>
        <w:tc>
          <w:tcPr>
            <w:tcW w:w="1922" w:type="dxa"/>
            <w:shd w:val="clear" w:color="auto" w:fill="E8F0F8"/>
            <w:vAlign w:val="center"/>
          </w:tcPr>
          <w:p>
            <w:pPr>
              <w:spacing w:before="40" w:after="40" w:line="240" w:lineRule="auto"/>
            </w:pPr>
            <w:r>
              <w:rPr>
                <w:rFonts w:ascii="Segoe UI" w:hAnsi="Segoe UI" w:cs="Segoe UI" w:eastAsia="Segoe UI"/>
                <w:b/>
                <w:bCs/>
                <w:sz w:val="16"/>
                <w:szCs w:val="16"/>
              </w:rPr>
              <w:t xml:space="preserve">Options</w:t>
            </w:r>
          </w:p>
        </w:tc>
        <w:tc>
          <w:tcPr>
            <w:tcW w:w="1506" w:type="dxa"/>
            <w:shd w:val="clear" w:color="auto" w:fill="E8F0F8"/>
            <w:vAlign w:val="center"/>
          </w:tcPr>
          <w:p>
            <w:pPr>
              <w:spacing w:before="40" w:after="40" w:line="240" w:lineRule="auto"/>
            </w:pPr>
            <w:r>
              <w:rPr>
                <w:rFonts w:ascii="Segoe UI" w:hAnsi="Segoe UI" w:cs="Segoe UI" w:eastAsia="Segoe UI"/>
                <w:b/>
                <w:bCs/>
                <w:sz w:val="16"/>
                <w:szCs w:val="16"/>
              </w:rPr>
              <w:t xml:space="preserve">Classified as</w:t>
            </w:r>
          </w:p>
        </w:tc>
      </w:tr>
      <w:tr>
        <w:trPr>
          <w:cantSplit/>
        </w:trPr>
        <w:tc>
          <w:tcPr>
            <w:tcW w:w="797" w:type="dxa"/>
          </w:tcPr>
          <w:p>
            <w:pPr>
              <w:spacing w:before="40" w:after="40" w:line="240" w:lineRule="auto"/>
            </w:pPr>
            <w:r>
              <w:rPr>
                <w:rFonts w:ascii="Segoe UI" w:hAnsi="Segoe UI" w:cs="Segoe UI" w:eastAsia="Segoe UI"/>
                <w:sz w:val="16"/>
                <w:szCs w:val="16"/>
              </w:rPr>
              <w:t xml:space="preserve">FT-D01</w:t>
            </w:r>
          </w:p>
        </w:tc>
        <w:tc>
          <w:tcPr>
            <w:tcW w:w="1805" w:type="dxa"/>
          </w:tcPr>
          <w:p>
            <w:pPr>
              <w:spacing w:before="40" w:after="40" w:line="240" w:lineRule="auto"/>
            </w:pPr>
            <w:r>
              <w:rPr>
                <w:rFonts w:ascii="Segoe UI" w:hAnsi="Segoe UI" w:cs="Segoe UI" w:eastAsia="Segoe UI"/>
                <w:sz w:val="16"/>
                <w:szCs w:val="16"/>
              </w:rPr>
              <w:t xml:space="preserve">Fixed assets</w:t>
            </w:r>
          </w:p>
        </w:tc>
        <w:tc>
          <w:tcPr>
            <w:tcW w:w="2997" w:type="dxa"/>
          </w:tcPr>
          <w:p>
            <w:pPr>
              <w:spacing w:before="40" w:after="40" w:line="240" w:lineRule="auto"/>
            </w:pPr>
            <w:r>
              <w:rPr>
                <w:rFonts w:ascii="Segoe UI" w:hAnsi="Segoe UI" w:cs="Segoe UI" w:eastAsia="Segoe UI"/>
                <w:sz w:val="16"/>
                <w:szCs w:val="16"/>
              </w:rPr>
              <w:t xml:space="preserve">MOM-S5-AP-ASSET-MASTER (Phase 1) asks for an asset master at requisition while fixed assets (TIS-BRD-NIA-07) are Phase 2. Does the asset master go live in Phase 1?</w:t>
            </w:r>
          </w:p>
        </w:tc>
        <w:tc>
          <w:tcPr>
            <w:tcW w:w="1922" w:type="dxa"/>
          </w:tcPr>
          <w:p>
            <w:pPr>
              <w:spacing w:before="40" w:after="40" w:line="240" w:lineRule="auto"/>
            </w:pPr>
            <w:r>
              <w:rPr>
                <w:rFonts w:ascii="Segoe UI" w:hAnsi="Segoe UI" w:cs="Segoe UI" w:eastAsia="Segoe UI"/>
                <w:sz w:val="16"/>
                <w:szCs w:val="16"/>
              </w:rPr>
              <w:t xml:space="preserve">Phase 2 (enable with Phase 2); Asset master in Phase 1</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FT-D02</w:t>
            </w:r>
          </w:p>
        </w:tc>
        <w:tc>
          <w:tcPr>
            <w:tcW w:w="1805" w:type="dxa"/>
          </w:tcPr>
          <w:p>
            <w:pPr>
              <w:spacing w:before="40" w:after="40" w:line="240" w:lineRule="auto"/>
            </w:pPr>
            <w:r>
              <w:rPr>
                <w:rFonts w:ascii="Segoe UI" w:hAnsi="Segoe UI" w:cs="Segoe UI" w:eastAsia="Segoe UI"/>
                <w:sz w:val="16"/>
                <w:szCs w:val="16"/>
              </w:rPr>
              <w:t xml:space="preserve">Sales dashboard</w:t>
            </w:r>
          </w:p>
        </w:tc>
        <w:tc>
          <w:tcPr>
            <w:tcW w:w="2997" w:type="dxa"/>
          </w:tcPr>
          <w:p>
            <w:pPr>
              <w:spacing w:before="40" w:after="40" w:line="240" w:lineRule="auto"/>
            </w:pPr>
            <w:r>
              <w:rPr>
                <w:rFonts w:ascii="Segoe UI" w:hAnsi="Segoe UI" w:cs="Segoe UI" w:eastAsia="Segoe UI"/>
                <w:sz w:val="16"/>
                <w:szCs w:val="16"/>
              </w:rPr>
              <w:t xml:space="preserve">TIS-BRD-RPT-02 (Phase 1) names the same measures as the Phase 2 dashboards DSH-05 to DSH-07. Is the Sales Dashboard the Phase 1 delivery of RPT-02 (always on) or a Phase 2 dashboard?</w:t>
            </w:r>
          </w:p>
        </w:tc>
        <w:tc>
          <w:tcPr>
            <w:tcW w:w="1922" w:type="dxa"/>
          </w:tcPr>
          <w:p>
            <w:pPr>
              <w:spacing w:before="40" w:after="40" w:line="240" w:lineRule="auto"/>
            </w:pPr>
            <w:r>
              <w:rPr>
                <w:rFonts w:ascii="Segoe UI" w:hAnsi="Segoe UI" w:cs="Segoe UI" w:eastAsia="Segoe UI"/>
                <w:sz w:val="16"/>
                <w:szCs w:val="16"/>
              </w:rPr>
              <w:t xml:space="preserve">Phase 1 (RPT-02 delivery, always on); Phase 2 (enable with Phase 2)</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FT-D03</w:t>
            </w:r>
          </w:p>
        </w:tc>
        <w:tc>
          <w:tcPr>
            <w:tcW w:w="1805" w:type="dxa"/>
          </w:tcPr>
          <w:p>
            <w:pPr>
              <w:spacing w:before="40" w:after="40" w:line="240" w:lineRule="auto"/>
            </w:pPr>
            <w:r>
              <w:rPr>
                <w:rFonts w:ascii="Segoe UI" w:hAnsi="Segoe UI" w:cs="Segoe UI" w:eastAsia="Segoe UI"/>
                <w:sz w:val="16"/>
                <w:szCs w:val="16"/>
              </w:rPr>
              <w:t xml:space="preserve">Comparison reports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but TIS-BRD-PJRN-05 shares the PA quotation with every partner. Are comparison reports wanted, for PA only?</w:t>
            </w:r>
          </w:p>
        </w:tc>
        <w:tc>
          <w:tcPr>
            <w:tcW w:w="1922" w:type="dxa"/>
          </w:tcPr>
          <w:p>
            <w:pPr>
              <w:spacing w:before="40" w:after="40" w:line="240" w:lineRule="auto"/>
            </w:pPr>
            <w:r>
              <w:rPr>
                <w:rFonts w:ascii="Segoe UI" w:hAnsi="Segoe UI" w:cs="Segoe UI" w:eastAsia="Segoe UI"/>
                <w:sz w:val="16"/>
                <w:szCs w:val="16"/>
              </w:rPr>
              <w:t xml:space="preserve">Not wanted; Personal Accident only; Every line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FT-D04</w:t>
            </w:r>
          </w:p>
        </w:tc>
        <w:tc>
          <w:tcPr>
            <w:tcW w:w="1805" w:type="dxa"/>
          </w:tcPr>
          <w:p>
            <w:pPr>
              <w:spacing w:before="40" w:after="40" w:line="240" w:lineRule="auto"/>
            </w:pPr>
            <w:r>
              <w:rPr>
                <w:rFonts w:ascii="Segoe UI" w:hAnsi="Segoe UI" w:cs="Segoe UI" w:eastAsia="Segoe UI"/>
                <w:sz w:val="16"/>
                <w:szCs w:val="16"/>
              </w:rPr>
              <w:t xml:space="preserve">Requests for quotation to several insurers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Keep multi-insurer requests for quotation for Personal Accident only?</w:t>
            </w:r>
          </w:p>
        </w:tc>
        <w:tc>
          <w:tcPr>
            <w:tcW w:w="1922" w:type="dxa"/>
          </w:tcPr>
          <w:p>
            <w:pPr>
              <w:spacing w:before="40" w:after="40" w:line="240" w:lineRule="auto"/>
            </w:pPr>
            <w:r>
              <w:rPr>
                <w:rFonts w:ascii="Segoe UI" w:hAnsi="Segoe UI" w:cs="Segoe UI" w:eastAsia="Segoe UI"/>
                <w:sz w:val="16"/>
                <w:szCs w:val="16"/>
              </w:rPr>
              <w:t xml:space="preserve">Not wanted; Personal Accident only</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FT-D05</w:t>
            </w:r>
          </w:p>
        </w:tc>
        <w:tc>
          <w:tcPr>
            <w:tcW w:w="1805" w:type="dxa"/>
          </w:tcPr>
          <w:p>
            <w:pPr>
              <w:spacing w:before="40" w:after="40" w:line="240" w:lineRule="auto"/>
            </w:pPr>
            <w:r>
              <w:rPr>
                <w:rFonts w:ascii="Segoe UI" w:hAnsi="Segoe UI" w:cs="Segoe UI" w:eastAsia="Segoe UI"/>
                <w:sz w:val="16"/>
                <w:szCs w:val="16"/>
              </w:rPr>
              <w:t xml:space="preserve">Marketing campaigns</w:t>
            </w:r>
          </w:p>
        </w:tc>
        <w:tc>
          <w:tcPr>
            <w:tcW w:w="2997" w:type="dxa"/>
          </w:tcPr>
          <w:p>
            <w:pPr>
              <w:spacing w:before="40" w:after="40" w:line="240" w:lineRule="auto"/>
            </w:pPr>
            <w:r>
              <w:rPr>
                <w:rFonts w:ascii="Segoe UI" w:hAnsi="Segoe UI" w:cs="Segoe UI" w:eastAsia="Segoe UI"/>
                <w:sz w:val="16"/>
                <w:szCs w:val="16"/>
              </w:rPr>
              <w:t xml:space="preserve">No BRD or FRS requirement asks for marketing campaigns (NFR-17.1 covers consent and opt-out only). Are campaigns wanted?</w:t>
            </w:r>
          </w:p>
        </w:tc>
        <w:tc>
          <w:tcPr>
            <w:tcW w:w="1922" w:type="dxa"/>
          </w:tcPr>
          <w:p>
            <w:pPr>
              <w:spacing w:before="40" w:after="40" w:line="240" w:lineRule="auto"/>
            </w:pPr>
            <w:r>
              <w:rPr>
                <w:rFonts w:ascii="Segoe UI" w:hAnsi="Segoe UI" w:cs="Segoe UI" w:eastAsia="Segoe UI"/>
                <w:sz w:val="16"/>
                <w:szCs w:val="16"/>
              </w:rPr>
              <w:t xml:space="preserve">Not wanted; Wanted in a later release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FT-D06</w:t>
            </w:r>
          </w:p>
        </w:tc>
        <w:tc>
          <w:tcPr>
            <w:tcW w:w="1805" w:type="dxa"/>
          </w:tcPr>
          <w:p>
            <w:pPr>
              <w:spacing w:before="40" w:after="40" w:line="240" w:lineRule="auto"/>
            </w:pPr>
            <w:r>
              <w:rPr>
                <w:rFonts w:ascii="Segoe UI" w:hAnsi="Segoe UI" w:cs="Segoe UI" w:eastAsia="Segoe UI"/>
                <w:sz w:val="16"/>
                <w:szCs w:val="16"/>
              </w:rPr>
              <w:t xml:space="preserve">Online quotation approval by the client</w:t>
            </w:r>
          </w:p>
        </w:tc>
        <w:tc>
          <w:tcPr>
            <w:tcW w:w="2997" w:type="dxa"/>
          </w:tcPr>
          <w:p>
            <w:pPr>
              <w:spacing w:before="40" w:after="40" w:line="240" w:lineRule="auto"/>
            </w:pPr>
            <w:r>
              <w:rPr>
                <w:rFonts w:ascii="Segoe UI" w:hAnsi="Segoe UI" w:cs="Segoe UI" w:eastAsia="Segoe UI"/>
                <w:sz w:val="16"/>
                <w:szCs w:val="16"/>
              </w:rPr>
              <w:t xml:space="preserve">TIS-BRD-QUOT-03 asks for internal maker-checker approval and an e-mailed PDF. Should clients also approve quotations through a link?</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FT-D07</w:t>
            </w:r>
          </w:p>
        </w:tc>
        <w:tc>
          <w:tcPr>
            <w:tcW w:w="1805" w:type="dxa"/>
          </w:tcPr>
          <w:p>
            <w:pPr>
              <w:spacing w:before="40" w:after="40" w:line="240" w:lineRule="auto"/>
            </w:pPr>
            <w:r>
              <w:rPr>
                <w:rFonts w:ascii="Segoe UI" w:hAnsi="Segoe UI" w:cs="Segoe UI" w:eastAsia="Segoe UI"/>
                <w:sz w:val="16"/>
                <w:szCs w:val="16"/>
              </w:rPr>
              <w:t xml:space="preserve">Product recommendation step</w:t>
            </w:r>
          </w:p>
        </w:tc>
        <w:tc>
          <w:tcPr>
            <w:tcW w:w="2997" w:type="dxa"/>
          </w:tcPr>
          <w:p>
            <w:pPr>
              <w:spacing w:before="40" w:after="40" w:line="240" w:lineRule="auto"/>
            </w:pPr>
            <w:r>
              <w:rPr>
                <w:rFonts w:ascii="Segoe UI" w:hAnsi="Segoe UI" w:cs="Segoe UI" w:eastAsia="Segoe UI"/>
                <w:sz w:val="16"/>
                <w:szCs w:val="16"/>
              </w:rPr>
              <w:t xml:space="preserve">The motor quotation wizard offers a product recommendation step that no requirement names. Keep the step?</w:t>
            </w:r>
          </w:p>
        </w:tc>
        <w:tc>
          <w:tcPr>
            <w:tcW w:w="1922" w:type="dxa"/>
          </w:tcPr>
          <w:p>
            <w:pPr>
              <w:spacing w:before="40" w:after="40" w:line="240" w:lineRule="auto"/>
            </w:pPr>
            <w:r>
              <w:rPr>
                <w:rFonts w:ascii="Segoe UI" w:hAnsi="Segoe UI" w:cs="Segoe UI" w:eastAsia="Segoe UI"/>
                <w:sz w:val="16"/>
                <w:szCs w:val="16"/>
              </w:rPr>
              <w:t xml:space="preserve">Skip the step; Keep the step</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FT-D08</w:t>
            </w:r>
          </w:p>
        </w:tc>
        <w:tc>
          <w:tcPr>
            <w:tcW w:w="1805" w:type="dxa"/>
          </w:tcPr>
          <w:p>
            <w:pPr>
              <w:spacing w:before="40" w:after="40" w:line="240" w:lineRule="auto"/>
            </w:pPr>
            <w:r>
              <w:rPr>
                <w:rFonts w:ascii="Segoe UI" w:hAnsi="Segoe UI" w:cs="Segoe UI" w:eastAsia="Segoe UI"/>
                <w:sz w:val="16"/>
                <w:szCs w:val="16"/>
              </w:rPr>
              <w:t xml:space="preserve">CTPL authentication</w:t>
            </w:r>
          </w:p>
        </w:tc>
        <w:tc>
          <w:tcPr>
            <w:tcW w:w="2997" w:type="dxa"/>
          </w:tcPr>
          <w:p>
            <w:pPr>
              <w:spacing w:before="40" w:after="40" w:line="240" w:lineRule="auto"/>
            </w:pPr>
            <w:r>
              <w:rPr>
                <w:rFonts w:ascii="Segoe UI" w:hAnsi="Segoe UI" w:cs="Segoe UI" w:eastAsia="Segoe UI"/>
                <w:sz w:val="16"/>
                <w:szCs w:val="16"/>
              </w:rPr>
              <w:t xml:space="preserve">The broker does not issue policies (BRD 4.1) and no requirement asks for COC authentication. Is CTPL authentication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FT-D09</w:t>
            </w:r>
          </w:p>
        </w:tc>
        <w:tc>
          <w:tcPr>
            <w:tcW w:w="1805" w:type="dxa"/>
          </w:tcPr>
          <w:p>
            <w:pPr>
              <w:spacing w:before="40" w:after="40" w:line="240" w:lineRule="auto"/>
            </w:pPr>
            <w:r>
              <w:rPr>
                <w:rFonts w:ascii="Segoe UI" w:hAnsi="Segoe UI" w:cs="Segoe UI" w:eastAsia="Segoe UI"/>
                <w:sz w:val="16"/>
                <w:szCs w:val="16"/>
              </w:rPr>
              <w:t xml:space="preserve">Client credit limits</w:t>
            </w:r>
          </w:p>
        </w:tc>
        <w:tc>
          <w:tcPr>
            <w:tcW w:w="2997" w:type="dxa"/>
          </w:tcPr>
          <w:p>
            <w:pPr>
              <w:spacing w:before="40" w:after="40" w:line="240" w:lineRule="auto"/>
            </w:pPr>
            <w:r>
              <w:rPr>
                <w:rFonts w:ascii="Segoe UI" w:hAnsi="Segoe UI" w:cs="Segoe UI" w:eastAsia="Segoe UI"/>
                <w:sz w:val="16"/>
                <w:szCs w:val="16"/>
              </w:rPr>
              <w:t xml:space="preserve">MOM-S3-COLL-CREDIT-TERMS covers credit terms, not credit limits. Are client credit limits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FT-D10</w:t>
            </w:r>
          </w:p>
        </w:tc>
        <w:tc>
          <w:tcPr>
            <w:tcW w:w="1805" w:type="dxa"/>
          </w:tcPr>
          <w:p>
            <w:pPr>
              <w:spacing w:before="40" w:after="40" w:line="240" w:lineRule="auto"/>
            </w:pPr>
            <w:r>
              <w:rPr>
                <w:rFonts w:ascii="Segoe UI" w:hAnsi="Segoe UI" w:cs="Segoe UI" w:eastAsia="Segoe UI"/>
                <w:sz w:val="16"/>
                <w:szCs w:val="16"/>
              </w:rPr>
              <w:t xml:space="preserve">Claims paid through the broker</w:t>
            </w:r>
          </w:p>
        </w:tc>
        <w:tc>
          <w:tcPr>
            <w:tcW w:w="2997" w:type="dxa"/>
          </w:tcPr>
          <w:p>
            <w:pPr>
              <w:spacing w:before="40" w:after="40" w:line="240" w:lineRule="auto"/>
            </w:pPr>
            <w:r>
              <w:rPr>
                <w:rFonts w:ascii="Segoe UI" w:hAnsi="Segoe UI" w:cs="Segoe UI" w:eastAsia="Segoe UI"/>
                <w:sz w:val="16"/>
                <w:szCs w:val="16"/>
              </w:rPr>
              <w:t xml:space="preserve">TIS-BRD-CLAIM-05 covers the settlement status with the insurer. Do claim funds ever pass through TISPH?</w:t>
            </w:r>
          </w:p>
        </w:tc>
        <w:tc>
          <w:tcPr>
            <w:tcW w:w="1922" w:type="dxa"/>
          </w:tcPr>
          <w:p>
            <w:pPr>
              <w:spacing w:before="40" w:after="40" w:line="240" w:lineRule="auto"/>
            </w:pPr>
            <w:r>
              <w:rPr>
                <w:rFonts w:ascii="Segoe UI" w:hAnsi="Segoe UI" w:cs="Segoe UI" w:eastAsia="Segoe UI"/>
                <w:sz w:val="16"/>
                <w:szCs w:val="16"/>
              </w:rPr>
              <w:t xml:space="preserve">Never: not wanted; Yes: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FT-D11</w:t>
            </w:r>
          </w:p>
        </w:tc>
        <w:tc>
          <w:tcPr>
            <w:tcW w:w="1805" w:type="dxa"/>
          </w:tcPr>
          <w:p>
            <w:pPr>
              <w:spacing w:before="40" w:after="40" w:line="240" w:lineRule="auto"/>
            </w:pPr>
            <w:r>
              <w:rPr>
                <w:rFonts w:ascii="Segoe UI" w:hAnsi="Segoe UI" w:cs="Segoe UI" w:eastAsia="Segoe UI"/>
                <w:sz w:val="16"/>
                <w:szCs w:val="16"/>
              </w:rPr>
              <w:t xml:space="preserve">BIR relief and summary reports</w:t>
            </w:r>
          </w:p>
        </w:tc>
        <w:tc>
          <w:tcPr>
            <w:tcW w:w="2997" w:type="dxa"/>
          </w:tcPr>
          <w:p>
            <w:pPr>
              <w:spacing w:before="40" w:after="40" w:line="240" w:lineRule="auto"/>
            </w:pPr>
            <w:r>
              <w:rPr>
                <w:rFonts w:ascii="Segoe UI" w:hAnsi="Segoe UI" w:cs="Segoe UI" w:eastAsia="Segoe UI"/>
                <w:sz w:val="16"/>
                <w:szCs w:val="16"/>
              </w:rPr>
              <w:t xml:space="preserve">TIS-BRD-TAX-02 asks for a BIR report on criteria TISPH has not yet given (MOM s.16). Which BIR reports are wanted?</w:t>
            </w:r>
          </w:p>
        </w:tc>
        <w:tc>
          <w:tcPr>
            <w:tcW w:w="1922" w:type="dxa"/>
          </w:tcPr>
          <w:p>
            <w:pPr>
              <w:spacing w:before="40" w:after="40" w:line="240" w:lineRule="auto"/>
            </w:pPr>
            <w:r>
              <w:rPr>
                <w:rFonts w:ascii="Segoe UI" w:hAnsi="Segoe UI" w:cs="Segoe UI" w:eastAsia="Segoe UI"/>
                <w:sz w:val="16"/>
                <w:szCs w:val="16"/>
              </w:rPr>
              <w:t xml:space="preserve">VAT summary; SAWT; QAP; SLSP sales and purchases;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FT-D12</w:t>
            </w:r>
          </w:p>
        </w:tc>
        <w:tc>
          <w:tcPr>
            <w:tcW w:w="180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2997" w:type="dxa"/>
          </w:tcPr>
          <w:p>
            <w:pPr>
              <w:spacing w:before="40" w:after="40" w:line="240" w:lineRule="auto"/>
            </w:pPr>
            <w:r>
              <w:rPr>
                <w:rFonts w:ascii="Segoe UI" w:hAnsi="Segoe UI" w:cs="Segoe UI" w:eastAsia="Segoe UI"/>
                <w:sz w:val="16"/>
                <w:szCs w:val="16"/>
              </w:rPr>
              <w:t xml:space="preserve">Which BIR returns does TISPH want the system to prepare (0619-E, 1601-EQ, 1604-E, DAT files)?</w:t>
            </w:r>
          </w:p>
        </w:tc>
        <w:tc>
          <w:tcPr>
            <w:tcW w:w="1922" w:type="dxa"/>
          </w:tcPr>
          <w:p>
            <w:pPr>
              <w:spacing w:before="40" w:after="40" w:line="240" w:lineRule="auto"/>
            </w:pPr>
            <w:r>
              <w:rPr>
                <w:rFonts w:ascii="Segoe UI" w:hAnsi="Segoe UI" w:cs="Segoe UI" w:eastAsia="Segoe UI"/>
                <w:sz w:val="16"/>
                <w:szCs w:val="16"/>
              </w:rPr>
              <w:t xml:space="preserve">All; Withholding returns only;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FT-D13</w:t>
            </w:r>
          </w:p>
        </w:tc>
        <w:tc>
          <w:tcPr>
            <w:tcW w:w="1805" w:type="dxa"/>
          </w:tcPr>
          <w:p>
            <w:pPr>
              <w:spacing w:before="40" w:after="40" w:line="240" w:lineRule="auto"/>
            </w:pPr>
            <w:r>
              <w:rPr>
                <w:rFonts w:ascii="Segoe UI" w:hAnsi="Segoe UI" w:cs="Segoe UI" w:eastAsia="Segoe UI"/>
                <w:sz w:val="16"/>
                <w:szCs w:val="16"/>
              </w:rPr>
              <w:t xml:space="preserve">Percentage tax 2551Q</w:t>
            </w:r>
          </w:p>
        </w:tc>
        <w:tc>
          <w:tcPr>
            <w:tcW w:w="2997" w:type="dxa"/>
          </w:tcPr>
          <w:p>
            <w:pPr>
              <w:spacing w:before="40" w:after="40" w:line="240" w:lineRule="auto"/>
            </w:pPr>
            <w:r>
              <w:rPr>
                <w:rFonts w:ascii="Segoe UI" w:hAnsi="Segoe UI" w:cs="Segoe UI" w:eastAsia="Segoe UI"/>
                <w:sz w:val="16"/>
                <w:szCs w:val="16"/>
              </w:rPr>
              <w:t xml:space="preserve">TISPH is VAT-registered. Is the percentage tax return 2551Q ever needed?</w:t>
            </w:r>
          </w:p>
        </w:tc>
        <w:tc>
          <w:tcPr>
            <w:tcW w:w="1922" w:type="dxa"/>
          </w:tcPr>
          <w:p>
            <w:pPr>
              <w:spacing w:before="40" w:after="40" w:line="240" w:lineRule="auto"/>
            </w:pPr>
            <w:r>
              <w:rPr>
                <w:rFonts w:ascii="Segoe UI" w:hAnsi="Segoe UI" w:cs="Segoe UI" w:eastAsia="Segoe UI"/>
                <w:sz w:val="16"/>
                <w:szCs w:val="16"/>
              </w:rPr>
              <w:t xml:space="preserve">Not needed; Needed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FT-D14</w:t>
            </w:r>
          </w:p>
        </w:tc>
        <w:tc>
          <w:tcPr>
            <w:tcW w:w="1805" w:type="dxa"/>
          </w:tcPr>
          <w:p>
            <w:pPr>
              <w:spacing w:before="40" w:after="40" w:line="240" w:lineRule="auto"/>
            </w:pPr>
            <w:r>
              <w:rPr>
                <w:rFonts w:ascii="Segoe UI" w:hAnsi="Segoe UI" w:cs="Segoe UI" w:eastAsia="Segoe UI"/>
                <w:sz w:val="16"/>
                <w:szCs w:val="16"/>
              </w:rPr>
              <w:t xml:space="preserve">BIR electronic invoicing (EIS)</w:t>
            </w:r>
          </w:p>
        </w:tc>
        <w:tc>
          <w:tcPr>
            <w:tcW w:w="2997" w:type="dxa"/>
          </w:tcPr>
          <w:p>
            <w:pPr>
              <w:spacing w:before="40" w:after="40" w:line="240" w:lineRule="auto"/>
            </w:pPr>
            <w:r>
              <w:rPr>
                <w:rFonts w:ascii="Segoe UI" w:hAnsi="Segoe UI" w:cs="Segoe UI" w:eastAsia="Segoe UI"/>
                <w:sz w:val="16"/>
                <w:szCs w:val="16"/>
              </w:rPr>
              <w:t xml:space="preserve">Is TISPH required to submit invoices to the BIR EIS?</w:t>
            </w:r>
          </w:p>
        </w:tc>
        <w:tc>
          <w:tcPr>
            <w:tcW w:w="1922" w:type="dxa"/>
          </w:tcPr>
          <w:p>
            <w:pPr>
              <w:spacing w:before="40" w:after="40" w:line="240" w:lineRule="auto"/>
            </w:pPr>
            <w:r>
              <w:rPr>
                <w:rFonts w:ascii="Segoe UI" w:hAnsi="Segoe UI" w:cs="Segoe UI" w:eastAsia="Segoe UI"/>
                <w:sz w:val="16"/>
                <w:szCs w:val="16"/>
              </w:rPr>
              <w:t xml:space="preserve">Not required; Required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FT-D15</w:t>
            </w:r>
          </w:p>
        </w:tc>
        <w:tc>
          <w:tcPr>
            <w:tcW w:w="1805" w:type="dxa"/>
          </w:tcPr>
          <w:p>
            <w:pPr>
              <w:spacing w:before="40" w:after="40" w:line="240" w:lineRule="auto"/>
            </w:pPr>
            <w:r>
              <w:rPr>
                <w:rFonts w:ascii="Segoe UI" w:hAnsi="Segoe UI" w:cs="Segoe UI" w:eastAsia="Segoe UI"/>
                <w:sz w:val="16"/>
                <w:szCs w:val="16"/>
              </w:rPr>
              <w:t xml:space="preserve">BI extract</w:t>
            </w:r>
          </w:p>
        </w:tc>
        <w:tc>
          <w:tcPr>
            <w:tcW w:w="2997" w:type="dxa"/>
          </w:tcPr>
          <w:p>
            <w:pPr>
              <w:spacing w:before="40" w:after="40" w:line="240" w:lineRule="auto"/>
            </w:pPr>
            <w:r>
              <w:rPr>
                <w:rFonts w:ascii="Segoe UI" w:hAnsi="Segoe UI" w:cs="Segoe UI" w:eastAsia="Segoe UI"/>
                <w:sz w:val="16"/>
                <w:szCs w:val="16"/>
              </w:rPr>
              <w:t xml:space="preserve">TIS-BRD-RPT-DSH-01 leaves the BI tool open (Power BI or in-app). Is a nightly extract for a BI tool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FT-D16</w:t>
            </w:r>
          </w:p>
        </w:tc>
        <w:tc>
          <w:tcPr>
            <w:tcW w:w="1805" w:type="dxa"/>
          </w:tcPr>
          <w:p>
            <w:pPr>
              <w:spacing w:before="40" w:after="40" w:line="240" w:lineRule="auto"/>
            </w:pPr>
            <w:r>
              <w:rPr>
                <w:rFonts w:ascii="Segoe UI" w:hAnsi="Segoe UI" w:cs="Segoe UI" w:eastAsia="Segoe UI"/>
                <w:sz w:val="16"/>
                <w:szCs w:val="16"/>
              </w:rPr>
              <w:t xml:space="preserve">Insurer rate tables</w:t>
            </w:r>
          </w:p>
        </w:tc>
        <w:tc>
          <w:tcPr>
            <w:tcW w:w="2997" w:type="dxa"/>
          </w:tcPr>
          <w:p>
            <w:pPr>
              <w:spacing w:before="40" w:after="40" w:line="240" w:lineRule="auto"/>
            </w:pPr>
            <w:r>
              <w:rPr>
                <w:rFonts w:ascii="Segoe UI" w:hAnsi="Segoe UI" w:cs="Segoe UI" w:eastAsia="Segoe UI"/>
                <w:sz w:val="16"/>
                <w:szCs w:val="16"/>
              </w:rPr>
              <w:t xml:space="preserve">TIS-BRD-PROD-13 asks for a rate card per insurer. Is it met by the Product Configurator rating, or are insurer rate tables wanted?</w:t>
            </w:r>
          </w:p>
        </w:tc>
        <w:tc>
          <w:tcPr>
            <w:tcW w:w="1922" w:type="dxa"/>
          </w:tcPr>
          <w:p>
            <w:pPr>
              <w:spacing w:before="40" w:after="40" w:line="240" w:lineRule="auto"/>
            </w:pPr>
            <w:r>
              <w:rPr>
                <w:rFonts w:ascii="Segoe UI" w:hAnsi="Segoe UI" w:cs="Segoe UI" w:eastAsia="Segoe UI"/>
                <w:sz w:val="16"/>
                <w:szCs w:val="16"/>
              </w:rPr>
              <w:t xml:space="preserve">Met by the Product Configurator; Insurer rate tables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What Phase 2 and Future Functions Control</w:t>
      </w:r>
      <w:bookmarkEnd w:id="1011"/>
    </w:p>
    <w:p xmlns:a="http://schemas.openxmlformats.org/drawingml/2006/main" xmlns:pic="http://schemas.openxmlformats.org/drawingml/2006/picture">
      <w:pPr>
        <w:jc w:val="both"/>
      </w:pPr>
      <w:r>
        <w:rPr>
          <w:rFonts w:ascii="Segoe UI" w:hAnsi="Segoe UI" w:cs="Segoe UI" w:eastAsia="Segoe UI"/>
        </w:rPr>
        <w:t xml:space="preserve">The menus, scheduled jobs, connectors and settings that appear or are switched on together with each function.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5"/>
        <w:gridCol w:w="970"/>
        <w:gridCol w:w="2128"/>
        <w:gridCol w:w="1714"/>
        <w:gridCol w:w="2400"/>
      </w:tblGrid>
      <w:tr>
        <w:trPr>
          <w:cantSplit/>
          <w:tblHeader/>
          <w:trHeight w:val="400"/>
        </w:trPr>
        <w:tc>
          <w:tcPr>
            <w:tcW w:w="181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2128" w:type="dxa"/>
            <w:shd w:val="clear" w:color="auto" w:fill="E8F0F8"/>
            <w:vAlign w:val="center"/>
          </w:tcPr>
          <w:p>
            <w:pPr>
              <w:spacing w:before="40" w:after="40" w:line="240" w:lineRule="auto"/>
            </w:pPr>
            <w:r>
              <w:rPr>
                <w:rFonts w:ascii="Segoe UI" w:hAnsi="Segoe UI" w:cs="Segoe UI" w:eastAsia="Segoe UI"/>
                <w:b/>
                <w:bCs/>
                <w:sz w:val="16"/>
                <w:szCs w:val="16"/>
              </w:rPr>
              <w:t xml:space="preserve">Menus</w:t>
            </w:r>
          </w:p>
        </w:tc>
        <w:tc>
          <w:tcPr>
            <w:tcW w:w="1714" w:type="dxa"/>
            <w:shd w:val="clear" w:color="auto" w:fill="E8F0F8"/>
            <w:vAlign w:val="center"/>
          </w:tcPr>
          <w:p>
            <w:pPr>
              <w:spacing w:before="40" w:after="40" w:line="240" w:lineRule="auto"/>
            </w:pPr>
            <w:r>
              <w:rPr>
                <w:rFonts w:ascii="Segoe UI" w:hAnsi="Segoe UI" w:cs="Segoe UI" w:eastAsia="Segoe UI"/>
                <w:b/>
                <w:bCs/>
                <w:sz w:val="16"/>
                <w:szCs w:val="16"/>
              </w:rPr>
              <w:t xml:space="preserve">Parts of screens</w:t>
            </w:r>
          </w:p>
        </w:tc>
        <w:tc>
          <w:tcPr>
            <w:tcW w:w="2400" w:type="dxa"/>
            <w:shd w:val="clear" w:color="auto" w:fill="E8F0F8"/>
            <w:vAlign w:val="center"/>
          </w:tcPr>
          <w:p>
            <w:pPr>
              <w:spacing w:before="40" w:after="40" w:line="240" w:lineRule="auto"/>
            </w:pPr>
            <w:r>
              <w:rPr>
                <w:rFonts w:ascii="Segoe UI" w:hAnsi="Segoe UI" w:cs="Segoe UI" w:eastAsia="Segoe UI"/>
                <w:b/>
                <w:bCs/>
                <w:sz w:val="16"/>
                <w:szCs w:val="16"/>
              </w:rPr>
              <w:t xml:space="preserve">Jobs, connectors, settings</w:t>
            </w:r>
          </w:p>
        </w:tc>
      </w:tr>
      <w:tr>
        <w:trPr>
          <w:cantSplit/>
        </w:trPr>
        <w:tc>
          <w:tcPr>
            <w:tcW w:w="1815" w:type="dxa"/>
          </w:tcPr>
          <w:p>
            <w:pPr>
              <w:spacing w:before="40" w:after="40" w:line="240" w:lineRule="auto"/>
            </w:pPr>
            <w:r>
              <w:rPr>
                <w:rFonts w:ascii="Segoe UI" w:hAnsi="Segoe UI" w:cs="Segoe UI" w:eastAsia="Segoe UI"/>
                <w:sz w:val="16"/>
                <w:szCs w:val="16"/>
              </w:rPr>
              <w:t xml:space="preserve">Sales dashboard</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Dashboard &gt; Sales Dashboard</w:t>
            </w:r>
          </w:p>
        </w:tc>
        <w:tc>
          <w:tcPr>
            <w:tcW w:w="1714" w:type="dxa"/>
          </w:tcPr>
          <w:p>
            <w:pPr>
              <w:spacing w:before="40" w:after="40" w:line="240" w:lineRule="auto"/>
            </w:pPr>
            <w:r>
              <w:rPr>
                <w:rFonts w:ascii="Segoe UI" w:hAnsi="Segoe UI" w:cs="Segoe UI" w:eastAsia="Segoe UI"/>
                <w:sz w:val="16"/>
                <w:szCs w:val="16"/>
              </w:rPr>
              <w:t xml:space="preserve">Executive Dashboard: agent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Customer satisfaction indicator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Performance: customer satisfaction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Regional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Executive Dashboard: regional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Comparison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Comparison Reports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Requests for quotation to several insurers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several insurers and offer comparison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Marketing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Campaigns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campaign-dispatch; setting campaigns.conversion_window_days; setting campaigns.max_recipients</w:t>
            </w:r>
          </w:p>
        </w:tc>
      </w:tr>
      <w:tr>
        <w:trPr>
          <w:cantSplit/>
        </w:trPr>
        <w:tc>
          <w:tcPr>
            <w:tcW w:w="1815" w:type="dxa"/>
          </w:tcPr>
          <w:p>
            <w:pPr>
              <w:spacing w:before="40" w:after="40" w:line="240" w:lineRule="auto"/>
            </w:pPr>
            <w:r>
              <w:rPr>
                <w:rFonts w:ascii="Segoe UI" w:hAnsi="Segoe UI" w:cs="Segoe UI" w:eastAsia="Segoe UI"/>
                <w:sz w:val="16"/>
                <w:szCs w:val="16"/>
              </w:rPr>
              <w:t xml:space="preserve">Online quotation approval by the client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quotations.approval_link_ttl_hours</w:t>
            </w:r>
          </w:p>
        </w:tc>
      </w:tr>
      <w:tr>
        <w:trPr>
          <w:cantSplit/>
        </w:trPr>
        <w:tc>
          <w:tcPr>
            <w:tcW w:w="1815" w:type="dxa"/>
          </w:tcPr>
          <w:p>
            <w:pPr>
              <w:spacing w:before="40" w:after="40" w:line="240" w:lineRule="auto"/>
            </w:pPr>
            <w:r>
              <w:rPr>
                <w:rFonts w:ascii="Segoe UI" w:hAnsi="Segoe UI" w:cs="Segoe UI" w:eastAsia="Segoe UI"/>
                <w:sz w:val="16"/>
                <w:szCs w:val="16"/>
              </w:rPr>
              <w:t xml:space="preserve">Product recommendation step</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product recommendation step</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Quotations, placement slips and policies: co-insurance participants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Foreign currency premium and receipts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premium currency; Receipts: receipt currency</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Marine cargo open covers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Marine Open Covers: open covers on the marine cargo product (parcel and courier otherwise)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Retention analytics and renewal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Retention Analytics; Operations &gt; Renewals &gt; Performance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At-risk renewals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At-Risk Policies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Win-back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Lapse Management: win-back campaigns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CTPL authentication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CTPL Authentication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CTPL_AUTH; connector LTO_FEED; setting ctpl.register_on_issue; setting ctpl.authenticate_on_issue; setting ctpl.lto_feed</w:t>
            </w:r>
          </w:p>
        </w:tc>
      </w:tr>
      <w:tr>
        <w:trPr>
          <w:cantSplit/>
        </w:trPr>
        <w:tc>
          <w:tcPr>
            <w:tcW w:w="1815" w:type="dxa"/>
          </w:tcPr>
          <w:p>
            <w:pPr>
              <w:spacing w:before="40" w:after="40" w:line="240" w:lineRule="auto"/>
            </w:pPr>
            <w:r>
              <w:rPr>
                <w:rFonts w:ascii="Segoe UI" w:hAnsi="Segoe UI" w:cs="Segoe UI" w:eastAsia="Segoe UI"/>
                <w:sz w:val="16"/>
                <w:szCs w:val="16"/>
              </w:rPr>
              <w:t xml:space="preserve">Fire, engineering and industrial all risks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Group life and employee benefits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Bonds, liability and miscellaneous lines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bond and liability lines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Client credit limits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Credit Control &gt; Client Credit Limits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Claims paid through the broker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Claims Settlements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Accounts payable</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Payables &gt; Supplier Invoices; Accounts &gt; Payables &gt; Supplier Payments; Accounts &gt; Payables &gt; AP Ageing</w:t>
            </w:r>
          </w:p>
        </w:tc>
        <w:tc>
          <w:tcPr>
            <w:tcW w:w="1714" w:type="dxa"/>
          </w:tcPr>
          <w:p>
            <w:pPr>
              <w:spacing w:before="40" w:after="40" w:line="240" w:lineRule="auto"/>
            </w:pPr>
            <w:r>
              <w:rPr>
                <w:rFonts w:ascii="Segoe UI" w:hAnsi="Segoe UI" w:cs="Segoe UI" w:eastAsia="Segoe UI"/>
                <w:sz w:val="16"/>
                <w:szCs w:val="16"/>
              </w:rPr>
              <w:t xml:space="preserve">Accounts &gt; Payables: supplier invoices, payments and ageing (the manual section also explains the suppliers)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Fixed assets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Fixed Assets &gt; Asset Register; Accounts &gt; Fixed Assets &gt; Depreciation Run; Accounts &gt; Fixed Assets &gt; Disposals; Master &gt; Finance &gt; Asset Classes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Petty cash</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Petty Cash &gt; Initiate; Accounts &gt; Petty Cash &gt; Request; Accounts &gt; Petty Cash &gt; Disbursement; Accounts &gt; Petty Cash &gt; Receipts; Accounts &gt; Petty Cash &gt; Replenish</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relief and summary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VAT Summary; Accounts &gt; Tax &gt; SAWT; Accounts &gt; Tax &gt; QAP; Accounts &gt; Tax &gt; SLSP Sales; Accounts &gt; Tax &gt; SLSP Purchases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Withholding Returns; Accounts &gt; Tax &gt; Annual Alphalist 1604-E; Accounts &gt; Tax &gt; BIR DAT Files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Percentage tax 2551Q</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Percentage Tax 2551Q</w:t>
            </w:r>
          </w:p>
        </w:tc>
        <w:tc>
          <w:tcPr>
            <w:tcW w:w="1714" w:type="dxa"/>
          </w:tcPr>
          <w:p>
            <w:pPr>
              <w:spacing w:before="40" w:after="40" w:line="240" w:lineRule="auto"/>
            </w:pPr>
            <w:r>
              <w:rPr>
                <w:rFonts w:ascii="Segoe UI" w:hAnsi="Segoe UI" w:cs="Segoe UI" w:eastAsia="Segoe UI"/>
                <w:sz w:val="16"/>
                <w:szCs w:val="16"/>
              </w:rPr>
              <w:t xml:space="preserve">Withholding Returns: 2551Q in the returns calendar</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electronic invoicing (EIS)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E-Invoicing (EIS)</w:t>
            </w:r>
          </w:p>
        </w:tc>
        <w:tc>
          <w:tcPr>
            <w:tcW w:w="1714" w:type="dxa"/>
          </w:tcPr>
          <w:p>
            <w:pPr>
              <w:spacing w:before="40" w:after="40" w:line="240" w:lineRule="auto"/>
            </w:pPr>
            <w:r>
              <w:rPr>
                <w:rFonts w:ascii="Segoe UI" w:hAnsi="Segoe UI" w:cs="Segoe UI" w:eastAsia="Segoe UI"/>
                <w:sz w:val="16"/>
                <w:szCs w:val="16"/>
              </w:rPr>
              <w:t xml:space="preserve">Sales Invoices: EIS submission status</w:t>
            </w:r>
          </w:p>
        </w:tc>
        <w:tc>
          <w:tcPr>
            <w:tcW w:w="2400" w:type="dxa"/>
          </w:tcPr>
          <w:p>
            <w:pPr>
              <w:spacing w:before="40" w:after="40" w:line="240" w:lineRule="auto"/>
            </w:pPr>
            <w:r>
              <w:rPr>
                <w:rFonts w:ascii="Segoe UI" w:hAnsi="Segoe UI" w:cs="Segoe UI" w:eastAsia="Segoe UI"/>
                <w:sz w:val="16"/>
                <w:szCs w:val="16"/>
              </w:rPr>
              <w:t xml:space="preserve">job eis-outbox; setting eis.enabled; setting eis.submit_on_issue; setting eis.mode</w:t>
            </w:r>
          </w:p>
        </w:tc>
      </w:tr>
      <w:tr>
        <w:trPr>
          <w:cantSplit/>
        </w:trPr>
        <w:tc>
          <w:tcPr>
            <w:tcW w:w="1815" w:type="dxa"/>
          </w:tcPr>
          <w:p>
            <w:pPr>
              <w:spacing w:before="40" w:after="40" w:line="240" w:lineRule="auto"/>
            </w:pPr>
            <w:r>
              <w:rPr>
                <w:rFonts w:ascii="Segoe UI" w:hAnsi="Segoe UI" w:cs="Segoe UI" w:eastAsia="Segoe UI"/>
                <w:sz w:val="16"/>
                <w:szCs w:val="16"/>
              </w:rPr>
              <w:t xml:space="preserve">Recurring and accrual journals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Period End &gt; Recurring Journals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recurring-journals; job accrual-reversal</w:t>
            </w:r>
          </w:p>
        </w:tc>
      </w:tr>
      <w:tr>
        <w:trPr>
          <w:cantSplit/>
        </w:trPr>
        <w:tc>
          <w:tcPr>
            <w:tcW w:w="1815" w:type="dxa"/>
          </w:tcPr>
          <w:p>
            <w:pPr>
              <w:spacing w:before="40" w:after="40" w:line="240" w:lineRule="auto"/>
            </w:pPr>
            <w:r>
              <w:rPr>
                <w:rFonts w:ascii="Segoe UI" w:hAnsi="Segoe UI" w:cs="Segoe UI" w:eastAsia="Segoe UI"/>
                <w:sz w:val="16"/>
                <w:szCs w:val="16"/>
              </w:rPr>
              <w:t xml:space="preserve">Insurer overriding commission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Commission &gt; Insurer Overrides &gt; Agreements; Commission &gt; Insurer Overrides &gt; Computations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Reports &gt; Financial Reports &gt; Co-insurance Register; Reports &gt; Financial Reports &gt; Due to Insurers by Co-insurer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 extract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Report Builder: BI extract</w:t>
            </w:r>
          </w:p>
        </w:tc>
        <w:tc>
          <w:tcPr>
            <w:tcW w:w="2400" w:type="dxa"/>
          </w:tcPr>
          <w:p>
            <w:pPr>
              <w:spacing w:before="40" w:after="40" w:line="240" w:lineRule="auto"/>
            </w:pPr>
            <w:r>
              <w:rPr>
                <w:rFonts w:ascii="Segoe UI" w:hAnsi="Segoe UI" w:cs="Segoe UI" w:eastAsia="Segoe UI"/>
                <w:sz w:val="16"/>
                <w:szCs w:val="16"/>
              </w:rPr>
              <w:t xml:space="preserve">job bi-extract; setting bi.extract_datasets; setting bi.extract_folder; setting bi.extract_keep_runs</w:t>
            </w:r>
          </w:p>
        </w:tc>
      </w:tr>
      <w:tr>
        <w:trPr>
          <w:cantSplit/>
        </w:trPr>
        <w:tc>
          <w:tcPr>
            <w:tcW w:w="1815" w:type="dxa"/>
          </w:tcPr>
          <w:p>
            <w:pPr>
              <w:spacing w:before="40" w:after="40" w:line="240" w:lineRule="auto"/>
            </w:pPr>
            <w:r>
              <w:rPr>
                <w:rFonts w:ascii="Segoe UI" w:hAnsi="Segoe UI" w:cs="Segoe UI" w:eastAsia="Segoe UI"/>
                <w:sz w:val="16"/>
                <w:szCs w:val="16"/>
              </w:rPr>
              <w:t xml:space="preserve">Exchange rates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Exchange Rate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Online payment links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Payment Gateways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Package bundles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Package Bundles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payments.auto_issue_package_policies</w:t>
            </w:r>
          </w:p>
        </w:tc>
      </w:tr>
      <w:tr>
        <w:trPr>
          <w:cantSplit/>
        </w:trPr>
        <w:tc>
          <w:tcPr>
            <w:tcW w:w="1815" w:type="dxa"/>
          </w:tcPr>
          <w:p>
            <w:pPr>
              <w:spacing w:before="40" w:after="40" w:line="240" w:lineRule="auto"/>
            </w:pPr>
            <w:r>
              <w:rPr>
                <w:rFonts w:ascii="Segoe UI" w:hAnsi="Segoe UI" w:cs="Segoe UI" w:eastAsia="Segoe UI"/>
                <w:sz w:val="16"/>
                <w:szCs w:val="16"/>
              </w:rPr>
              <w:t xml:space="preserve">Insurer rate tables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Insurer Rate Tables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Automated remittance master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Remittance Master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SMS and Viber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System Configuration &gt; Message Templates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sms-renewal-notices; job sms-payment-reminders; connector SMS_SEMAPHORE; connector SMS_GLOBE_LABS; connector SMS_GENERIC; connector VIBER_BUSINESS</w:t>
            </w:r>
          </w:p>
        </w:tc>
      </w:tr>
      <w:tr>
        <w:trPr>
          <w:cantSplit/>
        </w:trPr>
        <w:tc>
          <w:tcPr>
            <w:tcW w:w="1815" w:type="dxa"/>
          </w:tcPr>
          <w:p>
            <w:pPr>
              <w:spacing w:before="40" w:after="40" w:line="240" w:lineRule="auto"/>
            </w:pPr>
            <w:r>
              <w:rPr>
                <w:rFonts w:ascii="Segoe UI" w:hAnsi="Segoe UI" w:cs="Segoe UI" w:eastAsia="Segoe UI"/>
                <w:sz w:val="16"/>
                <w:szCs w:val="16"/>
              </w:rPr>
              <w:t xml:space="preserve">Insurer API integration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Master &gt; System Configuration &gt; Insurer Integration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INSURER_API</w:t>
            </w:r>
          </w:p>
        </w:tc>
      </w:tr>
      <w:tr>
        <w:trPr>
          <w:cantSplit/>
        </w:trPr>
        <w:tc>
          <w:tcPr>
            <w:tcW w:w="1815" w:type="dxa"/>
          </w:tcPr>
          <w:p>
            <w:pPr>
              <w:spacing w:before="40" w:after="40" w:line="240" w:lineRule="auto"/>
            </w:pPr>
            <w:r>
              <w:rPr>
                <w:rFonts w:ascii="Segoe UI" w:hAnsi="Segoe UI" w:cs="Segoe UI" w:eastAsia="Segoe UI"/>
                <w:sz w:val="16"/>
                <w:szCs w:val="16"/>
              </w:rPr>
              <w:t xml:space="preserve">Inbound integration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integrations.inbound_enabled</w:t>
            </w:r>
          </w:p>
        </w:tc>
      </w:tr>
      <w:tr>
        <w:trPr>
          <w:cantSplit/>
        </w:trPr>
        <w:tc>
          <w:tcPr>
            <w:tcW w:w="1815" w:type="dxa"/>
          </w:tcPr>
          <w:p>
            <w:pPr>
              <w:spacing w:before="40" w:after="40" w:line="240" w:lineRule="auto"/>
            </w:pPr>
            <w:r>
              <w:rPr>
                <w:rFonts w:ascii="Segoe UI" w:hAnsi="Segoe UI" w:cs="Segoe UI" w:eastAsia="Segoe UI"/>
                <w:sz w:val="16"/>
                <w:szCs w:val="16"/>
              </w:rPr>
              <w:t xml:space="preserve">Legacy book migration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Product analytics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Product Configurator &gt; Product Analytics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Document Sign-Off</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139"/>
        <w:gridCol w:w="2004"/>
        <w:gridCol w:w="1141"/>
      </w:tblGrid>
      <w:tr>
        <w:trPr>
          <w:cantSplit/>
          <w:tblHeader/>
          <w:trHeight w:val="400"/>
        </w:trPr>
        <w:tc>
          <w:tcPr>
            <w:tcW w:w="474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139" w:type="dxa"/>
            <w:shd w:val="clear" w:color="auto" w:fill="E8F0F8"/>
            <w:vAlign w:val="center"/>
          </w:tcPr>
          <w:p>
            <w:pPr>
              <w:spacing w:before="40" w:after="40" w:line="240" w:lineRule="auto"/>
            </w:pPr>
            <w:r>
              <w:rPr>
                <w:rFonts w:ascii="Segoe UI" w:hAnsi="Segoe UI" w:cs="Segoe UI" w:eastAsia="Segoe UI"/>
                <w:b/>
                <w:bCs/>
                <w:sz w:val="16"/>
                <w:szCs w:val="16"/>
              </w:rPr>
              <w:t xml:space="preserve">Name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Signature</w:t>
            </w:r>
          </w:p>
        </w:tc>
        <w:tc>
          <w:tcPr>
            <w:tcW w:w="1141"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r>
      <w:tr>
        <w:trPr>
          <w:cantSplit/>
        </w:trPr>
        <w:tc>
          <w:tcPr>
            <w:tcW w:w="4743" w:type="dxa"/>
          </w:tcPr>
          <w:p>
            <w:pPr>
              <w:spacing w:before="40" w:after="40" w:line="240" w:lineRule="auto"/>
            </w:pPr>
            <w:r>
              <w:rPr>
                <w:rFonts w:ascii="Segoe UI" w:hAnsi="Segoe UI" w:cs="Segoe UI" w:eastAsia="Segoe UI"/>
                <w:sz w:val="16"/>
                <w:szCs w:val="16"/>
              </w:rPr>
              <w:t xml:space="preserve">TISPH Project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TISPH Head of IT</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iorta TechNXT Delivery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Pending Items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Document Sign-Off</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TISPH Feature Catalogue and Release Tiers</dc:title>
  <dc:subject>Toyota Insurance Services Philippines</dc:subject>
  <dc:creator>iorta TechNXT</dc:creator>
  <cp:keywords>TISPH; BrokerVerse</cp:keywords>
  <dc:description/>
  <cp:lastModifiedBy>iorta TechNXT</cp:lastModifiedBy>
  <cp:revision>1</cp:revision>
  <dcterms:created xsi:type="dcterms:W3CDTF">2026-10-10T14:35:53Z</dcterms:created>
  <dcterms:modified xsi:type="dcterms:W3CDTF">2026-10-10T14:35:53Z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