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1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Discovery Workbook Guide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Discovery Workbook Guide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Running the discovery and configuration workshops for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Running the discovery and configuration workshops for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762_290076464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764_290076464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766_2900764642">
            <w:r>
              <w:rPr>
                <w:webHidden/>
                <w:rStyle w:val="IndexLink"/>
              </w:rPr>
              <w:t>3. Introduction</w:t>
              <w:tab/>
              <w:t>4</w:t>
            </w:r>
          </w:hyperlink>
        </w:p>
        <w:p>
          <w:pPr>
            <w:pStyle w:val="TOC2"/>
            <w:tabs>
              <w:tab w:val="clear" w:pos="900"/>
              <w:tab w:val="clear" w:pos="9350"/>
              <w:tab w:val="right" w:pos="9025" w:leader="dot"/>
            </w:tabs>
            <w:rPr/>
          </w:pPr>
          <w:hyperlink w:anchor="__RefHeading___Toc1768_2900764642">
            <w:r>
              <w:rPr>
                <w:webHidden/>
                <w:rStyle w:val="IndexLink"/>
              </w:rPr>
              <w:t>3.1 Purpose</w:t>
              <w:tab/>
              <w:t>4</w:t>
            </w:r>
          </w:hyperlink>
        </w:p>
        <w:p>
          <w:pPr>
            <w:pStyle w:val="TOC2"/>
            <w:tabs>
              <w:tab w:val="clear" w:pos="900"/>
              <w:tab w:val="clear" w:pos="9350"/>
              <w:tab w:val="right" w:pos="9025" w:leader="dot"/>
            </w:tabs>
            <w:rPr/>
          </w:pPr>
          <w:hyperlink w:anchor="__RefHeading___Toc1770_2900764642">
            <w:r>
              <w:rPr>
                <w:webHidden/>
                <w:rStyle w:val="IndexLink"/>
              </w:rPr>
              <w:t>3.2 What is in the workbook</w:t>
              <w:tab/>
              <w:t>4</w:t>
            </w:r>
          </w:hyperlink>
        </w:p>
        <w:p>
          <w:pPr>
            <w:pStyle w:val="TOC1"/>
            <w:tabs>
              <w:tab w:val="clear" w:pos="900"/>
              <w:tab w:val="clear" w:pos="9350"/>
              <w:tab w:val="right" w:pos="9025" w:leader="dot"/>
            </w:tabs>
            <w:rPr/>
          </w:pPr>
          <w:hyperlink w:anchor="__RefHeading___Toc1772_2900764642">
            <w:r>
              <w:rPr>
                <w:webHidden/>
                <w:rStyle w:val="IndexLink"/>
              </w:rPr>
              <w:t>4. Before the workshops</w:t>
              <w:tab/>
              <w:t>6</w:t>
            </w:r>
          </w:hyperlink>
        </w:p>
        <w:p>
          <w:pPr>
            <w:pStyle w:val="TOC2"/>
            <w:tabs>
              <w:tab w:val="clear" w:pos="900"/>
              <w:tab w:val="clear" w:pos="9350"/>
              <w:tab w:val="right" w:pos="9025" w:leader="dot"/>
            </w:tabs>
            <w:rPr/>
          </w:pPr>
          <w:hyperlink w:anchor="__RefHeading___Toc1774_2900764642">
            <w:r>
              <w:rPr>
                <w:webHidden/>
                <w:rStyle w:val="IndexLink"/>
              </w:rPr>
              <w:t>4.1 At mobilisation (week 1)</w:t>
              <w:tab/>
              <w:t>6</w:t>
            </w:r>
          </w:hyperlink>
        </w:p>
        <w:p>
          <w:pPr>
            <w:pStyle w:val="TOC2"/>
            <w:tabs>
              <w:tab w:val="clear" w:pos="900"/>
              <w:tab w:val="clear" w:pos="9350"/>
              <w:tab w:val="right" w:pos="9025" w:leader="dot"/>
            </w:tabs>
            <w:rPr/>
          </w:pPr>
          <w:hyperlink w:anchor="__RefHeading___Toc1776_2900764642">
            <w:r>
              <w:rPr>
                <w:webHidden/>
                <w:rStyle w:val="IndexLink"/>
              </w:rPr>
              <w:t>4.2 Preparing each workshop</w:t>
              <w:tab/>
              <w:t>6</w:t>
            </w:r>
          </w:hyperlink>
        </w:p>
        <w:p>
          <w:pPr>
            <w:pStyle w:val="TOC1"/>
            <w:tabs>
              <w:tab w:val="clear" w:pos="900"/>
              <w:tab w:val="clear" w:pos="9350"/>
              <w:tab w:val="right" w:pos="9025" w:leader="dot"/>
            </w:tabs>
            <w:rPr/>
          </w:pPr>
          <w:hyperlink w:anchor="__RefHeading___Toc1778_2900764642">
            <w:r>
              <w:rPr>
                <w:webHidden/>
                <w:rStyle w:val="IndexLink"/>
              </w:rPr>
              <w:t>5. Workshop plan</w:t>
              <w:tab/>
              <w:t>7</w:t>
            </w:r>
          </w:hyperlink>
        </w:p>
        <w:p>
          <w:pPr>
            <w:pStyle w:val="TOC1"/>
            <w:tabs>
              <w:tab w:val="clear" w:pos="900"/>
              <w:tab w:val="clear" w:pos="9350"/>
              <w:tab w:val="right" w:pos="9025" w:leader="dot"/>
            </w:tabs>
            <w:rPr/>
          </w:pPr>
          <w:hyperlink w:anchor="__RefHeading___Toc1780_2900764642">
            <w:r>
              <w:rPr>
                <w:webHidden/>
                <w:rStyle w:val="IndexLink"/>
              </w:rPr>
              <w:t>6. Running a workshop</w:t>
              <w:tab/>
              <w:t>8</w:t>
            </w:r>
          </w:hyperlink>
        </w:p>
        <w:p>
          <w:pPr>
            <w:pStyle w:val="TOC2"/>
            <w:tabs>
              <w:tab w:val="clear" w:pos="900"/>
              <w:tab w:val="clear" w:pos="9350"/>
              <w:tab w:val="right" w:pos="9025" w:leader="dot"/>
            </w:tabs>
            <w:rPr/>
          </w:pPr>
          <w:hyperlink w:anchor="__RefHeading___Toc1782_2900764642">
            <w:r>
              <w:rPr>
                <w:webHidden/>
                <w:rStyle w:val="IndexLink"/>
              </w:rPr>
              <w:t>6.1 Agenda</w:t>
              <w:tab/>
              <w:t>8</w:t>
            </w:r>
          </w:hyperlink>
        </w:p>
        <w:p>
          <w:pPr>
            <w:pStyle w:val="TOC2"/>
            <w:tabs>
              <w:tab w:val="clear" w:pos="900"/>
              <w:tab w:val="clear" w:pos="9350"/>
              <w:tab w:val="right" w:pos="9025" w:leader="dot"/>
            </w:tabs>
            <w:rPr/>
          </w:pPr>
          <w:hyperlink w:anchor="__RefHeading___Toc1784_2900764642">
            <w:r>
              <w:rPr>
                <w:webHidden/>
                <w:rStyle w:val="IndexLink"/>
              </w:rPr>
              <w:t>6.2 Recording decisions</w:t>
              <w:tab/>
              <w:t>8</w:t>
            </w:r>
          </w:hyperlink>
        </w:p>
        <w:p>
          <w:pPr>
            <w:pStyle w:val="TOC2"/>
            <w:tabs>
              <w:tab w:val="clear" w:pos="900"/>
              <w:tab w:val="clear" w:pos="9350"/>
              <w:tab w:val="right" w:pos="9025" w:leader="dot"/>
            </w:tabs>
            <w:rPr/>
          </w:pPr>
          <w:hyperlink w:anchor="__RefHeading___Toc1786_2900764642">
            <w:r>
              <w:rPr>
                <w:webHidden/>
                <w:rStyle w:val="IndexLink"/>
              </w:rPr>
              <w:t>6.3 Classifying differences</w:t>
              <w:tab/>
              <w:t>8</w:t>
            </w:r>
          </w:hyperlink>
        </w:p>
        <w:p>
          <w:pPr>
            <w:pStyle w:val="TOC2"/>
            <w:tabs>
              <w:tab w:val="clear" w:pos="900"/>
              <w:tab w:val="clear" w:pos="9350"/>
              <w:tab w:val="right" w:pos="9025" w:leader="dot"/>
            </w:tabs>
            <w:rPr/>
          </w:pPr>
          <w:hyperlink w:anchor="__RefHeading___Toc1788_2900764642">
            <w:r>
              <w:rPr>
                <w:webHidden/>
                <w:rStyle w:val="IndexLink"/>
              </w:rPr>
              <w:t>6.4 Questions that need care</w:t>
              <w:tab/>
              <w:t>9</w:t>
            </w:r>
          </w:hyperlink>
        </w:p>
        <w:p>
          <w:pPr>
            <w:pStyle w:val="TOC1"/>
            <w:tabs>
              <w:tab w:val="clear" w:pos="900"/>
              <w:tab w:val="clear" w:pos="9350"/>
              <w:tab w:val="right" w:pos="9025" w:leader="dot"/>
            </w:tabs>
            <w:rPr/>
          </w:pPr>
          <w:hyperlink w:anchor="__RefHeading___Toc1790_2900764642">
            <w:r>
              <w:rPr>
                <w:webHidden/>
                <w:rStyle w:val="IndexLink"/>
              </w:rPr>
              <w:t>7. After the workshops</w:t>
              <w:tab/>
              <w:t>10</w:t>
            </w:r>
          </w:hyperlink>
        </w:p>
        <w:p>
          <w:pPr>
            <w:pStyle w:val="TOC2"/>
            <w:tabs>
              <w:tab w:val="clear" w:pos="900"/>
              <w:tab w:val="clear" w:pos="9350"/>
              <w:tab w:val="right" w:pos="9025" w:leader="dot"/>
            </w:tabs>
            <w:rPr/>
          </w:pPr>
          <w:hyperlink w:anchor="__RefHeading___Toc1792_2900764642">
            <w:r>
              <w:rPr>
                <w:webHidden/>
                <w:rStyle w:val="IndexLink"/>
              </w:rPr>
              <w:t>7.1 Sign-off</w:t>
              <w:tab/>
              <w:t>10</w:t>
            </w:r>
          </w:hyperlink>
        </w:p>
        <w:p>
          <w:pPr>
            <w:pStyle w:val="TOC2"/>
            <w:tabs>
              <w:tab w:val="clear" w:pos="900"/>
              <w:tab w:val="clear" w:pos="9350"/>
              <w:tab w:val="right" w:pos="9025" w:leader="dot"/>
            </w:tabs>
            <w:rPr/>
          </w:pPr>
          <w:hyperlink w:anchor="__RefHeading___Toc1794_2900764642">
            <w:r>
              <w:rPr>
                <w:webHidden/>
                <w:rStyle w:val="IndexLink"/>
              </w:rPr>
              <w:t>7.2 From workbook to configuration</w:t>
              <w:tab/>
              <w:t>10</w:t>
            </w:r>
          </w:hyperlink>
        </w:p>
        <w:p>
          <w:pPr>
            <w:pStyle w:val="TOC2"/>
            <w:tabs>
              <w:tab w:val="clear" w:pos="900"/>
              <w:tab w:val="clear" w:pos="9350"/>
              <w:tab w:val="right" w:pos="9025" w:leader="dot"/>
            </w:tabs>
            <w:rPr/>
          </w:pPr>
          <w:hyperlink w:anchor="__RefHeading___Toc1796_2900764642">
            <w:r>
              <w:rPr>
                <w:webHidden/>
                <w:rStyle w:val="IndexLink"/>
              </w:rPr>
              <w:t>7.3 Common pitfalls</w:t>
              <w:tab/>
              <w:t>10</w:t>
            </w:r>
          </w:hyperlink>
        </w:p>
        <w:p>
          <w:pPr>
            <w:pStyle w:val="TOC1"/>
            <w:tabs>
              <w:tab w:val="clear" w:pos="900"/>
              <w:tab w:val="clear" w:pos="9350"/>
              <w:tab w:val="right" w:pos="9025" w:leader="dot"/>
            </w:tabs>
            <w:rPr/>
          </w:pPr>
          <w:hyperlink w:anchor="__RefHeading___Toc1798_2900764642">
            <w:r>
              <w:rPr>
                <w:webHidden/>
                <w:rStyle w:val="IndexLink"/>
                <w:i w:val="false"/>
                <w:iCs w:val="false"/>
              </w:rPr>
              <w:t>8. Document Sign-Off</w:t>
            </w:r>
            <w:r>
              <w:rPr>
                <w:rStyle w:val="IndexLink"/>
              </w:rPr>
              <w:tab/>
              <w:t>11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762_290076464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764_290076464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766_2900764642"/>
      <w:bookmarkEnd w:id="6"/>
      <w:r>
        <w:rPr>
          <w:rFonts w:eastAsia="Segoe UI" w:cs="Segoe UI" w:ascii="Segoe UI" w:hAnsi="Segoe UI"/>
          <w:b/>
          <w:color w:val="0F4761"/>
          <w:sz w:val="32"/>
        </w:rPr>
        <w:t>3.  Introduction</w:t>
      </w:r>
    </w:p>
    <w:p>
      <w:pPr>
        <w:pStyle w:val="Heading2"/>
        <w:rPr/>
      </w:pPr>
      <w:bookmarkStart w:id="7" w:name="__RefHeading___Toc1768_2900764642"/>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 xml:space="preserve">This guide explains how iorta TechNXT and the broker use the </w:t>
      </w:r>
      <w:r>
        <w:rPr>
          <w:rFonts w:eastAsia="Segoe UI" w:cs="Segoe UI" w:ascii="Segoe UI" w:hAnsi="Segoe UI"/>
          <w:b/>
          <w:color w:val="101820"/>
          <w:sz w:val="21"/>
        </w:rPr>
        <w:t>BrokerVerse_Discovery_and_Configuration_Workbook.xlsx</w:t>
      </w:r>
      <w:r>
        <w:rPr>
          <w:rFonts w:eastAsia="Segoe UI" w:cs="Segoe UI" w:ascii="Segoe UI" w:hAnsi="Segoe UI"/>
          <w:color w:val="101820"/>
          <w:sz w:val="21"/>
        </w:rPr>
        <w:t xml:space="preserve"> at mobilisation and in the discovery workshops. The workbook is the configuration workbook named in the Implementation Approach and Plan: it holds every decision that turns the delivered system into the broker's system, and it is signed off at the end of discovery.</w:t>
      </w:r>
    </w:p>
    <w:p>
      <w:pPr>
        <w:pStyle w:val="Normal"/>
        <w:spacing w:lineRule="auto" w:line="276" w:before="0" w:after="120"/>
        <w:rPr/>
      </w:pPr>
      <w:r>
        <w:rPr>
          <w:rFonts w:eastAsia="Segoe UI" w:cs="Segoe UI" w:ascii="Segoe UI" w:hAnsi="Segoe UI"/>
          <w:color w:val="101820"/>
          <w:sz w:val="21"/>
        </w:rPr>
        <w:t>Discovery in an OOTB implementation is limited to configuration. Each workshop shows the delivered screens with the broker's own examples and records decisions. It does not collect requirements for new development. A need that configuration cannot meet is recorded as a gap and goes to the change request process.</w:t>
      </w:r>
    </w:p>
    <w:p>
      <w:pPr>
        <w:pStyle w:val="Heading2"/>
        <w:rPr/>
      </w:pPr>
      <w:bookmarkStart w:id="8" w:name="__RefHeading___Toc1770_2900764642"/>
      <w:bookmarkEnd w:id="8"/>
      <w:r>
        <w:rPr>
          <w:rFonts w:eastAsia="Segoe UI" w:cs="Segoe UI"/>
          <w:b/>
          <w:color w:val="0F4761"/>
          <w:sz w:val="26"/>
        </w:rPr>
        <w:t>3.2  What is in the workbook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71"/>
        <w:gridCol w:w="5536"/>
        <w:gridCol w:w="907"/>
      </w:tblGrid>
      <w:tr>
        <w:trPr>
          <w:tblHeader w:val="true"/>
        </w:trPr>
        <w:tc>
          <w:tcPr>
            <w:tcW w:w="25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Sheet</w:t>
            </w:r>
          </w:p>
        </w:tc>
        <w:tc>
          <w:tcPr>
            <w:tcW w:w="5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Instructions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to fill the workbook, columns and status values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 of items per sheet and status, percent configured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and Branches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identity, branding, branches, people, calendar, dashboards, hosting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Roles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 mapping, two-step verification, password policy, SoD, access reviews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master, credit and remittance terms, billing mode, statements, co-insurance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and LOB</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products, covers, placement journey, motor tariff, KYC, renewals, claims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matrix, referrers, sharing, withholding, payout rules, incentives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account determination, posting rules, close, opening balances, collections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and Gateways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 statement formats, payment modes, payment gateways, transfers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Numbering Series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document series with its prefix, pattern and reset rule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62</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 and Limits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maker-checker switches, remittance approval, credit limits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and Templates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Sender, client and insurer e-mails, claim letters, receipt footer, privacy notice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Taxes and LGU</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LGU rates, tax codes and ATC, VAT status, BIR documents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Sources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count and owner of each object to load, scope, mock load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bank files, payment gateway, insurer files, ledger export, network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5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 retention, report gaps and every catalogue report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row gives the question, the screen where the answer is configured (menu names as on screen), the value delivered out of the box, the broker's answer, the owner, the phase it is needed by, a due date, a status and the setting key or template.</w:t>
      </w:r>
      <w:r>
        <w:br w:type="page"/>
      </w:r>
    </w:p>
    <w:p>
      <w:pPr>
        <w:pStyle w:val="Heading1"/>
        <w:rPr/>
      </w:pPr>
      <w:bookmarkStart w:id="9" w:name="__RefHeading___Toc1772_2900764642"/>
      <w:bookmarkEnd w:id="9"/>
      <w:r>
        <w:rPr>
          <w:rFonts w:eastAsia="Segoe UI" w:cs="Segoe UI" w:ascii="Segoe UI" w:hAnsi="Segoe UI"/>
          <w:b/>
          <w:color w:val="0F4761"/>
          <w:sz w:val="32"/>
        </w:rPr>
        <w:t>4.  Before the workshops</w:t>
      </w:r>
    </w:p>
    <w:p>
      <w:pPr>
        <w:pStyle w:val="Heading2"/>
        <w:rPr/>
      </w:pPr>
      <w:bookmarkStart w:id="10" w:name="__RefHeading___Toc1774_2900764642"/>
      <w:bookmarkEnd w:id="10"/>
      <w:r>
        <w:rPr>
          <w:rFonts w:eastAsia="Segoe UI" w:cs="Segoe UI"/>
          <w:b/>
          <w:color w:val="0F4761"/>
          <w:sz w:val="26"/>
        </w:rPr>
        <w:t>4.1  At mobilisation (week 1)</w:t>
      </w:r>
    </w:p>
    <w:p>
      <w:pPr>
        <w:pStyle w:val="Normal"/>
        <w:numPr>
          <w:ilvl w:val="0"/>
          <w:numId w:val="6"/>
        </w:numPr>
        <w:spacing w:before="0" w:after="60"/>
        <w:rPr/>
      </w:pPr>
      <w:r>
        <w:rPr>
          <w:rFonts w:eastAsia="Segoe UI" w:cs="Segoe UI" w:ascii="Segoe UI" w:hAnsi="Segoe UI"/>
          <w:color w:val="101820"/>
          <w:sz w:val="21"/>
        </w:rPr>
        <w:t>The iorta TechNXT PM sends the workbook with the data request list at kick-off.</w:t>
      </w:r>
    </w:p>
    <w:p>
      <w:pPr>
        <w:pStyle w:val="Normal"/>
        <w:numPr>
          <w:ilvl w:val="0"/>
          <w:numId w:val="2"/>
        </w:numPr>
        <w:spacing w:before="0" w:after="60"/>
        <w:rPr/>
      </w:pPr>
      <w:r>
        <w:rPr>
          <w:rFonts w:eastAsia="Segoe UI" w:cs="Segoe UI" w:ascii="Segoe UI" w:hAnsi="Segoe UI"/>
          <w:color w:val="101820"/>
          <w:sz w:val="21"/>
        </w:rPr>
        <w:t>The broker's PM names an owner for each role in the Owner column (for example the Accounting Manager by name) and sets due dates from the plan of the implementation size.</w:t>
      </w:r>
    </w:p>
    <w:p>
      <w:pPr>
        <w:pStyle w:val="Normal"/>
        <w:numPr>
          <w:ilvl w:val="0"/>
          <w:numId w:val="2"/>
        </w:numPr>
        <w:spacing w:before="0" w:after="60"/>
        <w:rPr/>
      </w:pPr>
      <w:r>
        <w:rPr>
          <w:rFonts w:eastAsia="Segoe UI" w:cs="Segoe UI" w:ascii="Segoe UI" w:hAnsi="Segoe UI"/>
          <w:color w:val="101820"/>
          <w:sz w:val="21"/>
        </w:rPr>
        <w:t xml:space="preserve">Owners answer the items marked </w:t>
      </w:r>
      <w:r>
        <w:rPr>
          <w:rFonts w:eastAsia="Segoe UI" w:cs="Segoe UI" w:ascii="Segoe UI" w:hAnsi="Segoe UI"/>
          <w:b/>
          <w:color w:val="101820"/>
          <w:sz w:val="21"/>
        </w:rPr>
        <w:t>Mobilisation</w:t>
      </w:r>
      <w:r>
        <w:rPr>
          <w:rFonts w:eastAsia="Segoe UI" w:cs="Segoe UI" w:ascii="Segoe UI" w:hAnsi="Segoe UI"/>
          <w:color w:val="101820"/>
          <w:sz w:val="21"/>
        </w:rPr>
        <w:t xml:space="preserve"> in the first week: legal identity, go-live date, hosting option, user counts, volumes and the data migration sources. These fix the size and the plan.</w:t>
      </w:r>
    </w:p>
    <w:p>
      <w:pPr>
        <w:pStyle w:val="Normal"/>
        <w:numPr>
          <w:ilvl w:val="0"/>
          <w:numId w:val="2"/>
        </w:numPr>
        <w:spacing w:before="0" w:after="60"/>
        <w:rPr/>
      </w:pPr>
      <w:r>
        <w:rPr>
          <w:rFonts w:eastAsia="Segoe UI" w:cs="Segoe UI" w:ascii="Segoe UI" w:hAnsi="Segoe UI"/>
          <w:color w:val="101820"/>
          <w:sz w:val="21"/>
        </w:rPr>
        <w:t>iorta TechNXT loads the broker's legal name, logo and a few of its own products and insurers into the test environment, so the workshops show the broker's names on screen.</w:t>
      </w:r>
    </w:p>
    <w:p>
      <w:pPr>
        <w:pStyle w:val="Heading2"/>
        <w:rPr/>
      </w:pPr>
      <w:bookmarkStart w:id="11" w:name="__RefHeading___Toc1776_2900764642"/>
      <w:bookmarkEnd w:id="11"/>
      <w:r>
        <w:rPr>
          <w:rFonts w:eastAsia="Segoe UI" w:cs="Segoe UI"/>
          <w:b/>
          <w:color w:val="0F4761"/>
          <w:sz w:val="26"/>
        </w:rPr>
        <w:t>4.2  Preparing each workshop</w:t>
      </w:r>
    </w:p>
    <w:p>
      <w:pPr>
        <w:pStyle w:val="Normal"/>
        <w:numPr>
          <w:ilvl w:val="0"/>
          <w:numId w:val="1"/>
        </w:numPr>
        <w:spacing w:before="0" w:after="60"/>
        <w:rPr/>
      </w:pPr>
      <w:r>
        <w:rPr>
          <w:rFonts w:eastAsia="Segoe UI" w:cs="Segoe UI" w:ascii="Segoe UI" w:hAnsi="Segoe UI"/>
          <w:color w:val="101820"/>
          <w:sz w:val="21"/>
        </w:rPr>
        <w:t>Send the relevant sheets two working days ahead and ask owners to fill what they already know.</w:t>
      </w:r>
    </w:p>
    <w:p>
      <w:pPr>
        <w:pStyle w:val="Normal"/>
        <w:numPr>
          <w:ilvl w:val="0"/>
          <w:numId w:val="1"/>
        </w:numPr>
        <w:spacing w:before="0" w:after="60"/>
        <w:rPr/>
      </w:pPr>
      <w:r>
        <w:rPr>
          <w:rFonts w:eastAsia="Segoe UI" w:cs="Segoe UI" w:ascii="Segoe UI" w:hAnsi="Segoe UI"/>
          <w:color w:val="101820"/>
          <w:sz w:val="21"/>
        </w:rPr>
        <w:t>Ask for samples: an insurer statement, a bank statement per account, the current policy register, a commission statement, last month's trial balance, current official receipt and invoice formats with the ATP.</w:t>
      </w:r>
    </w:p>
    <w:p>
      <w:pPr>
        <w:pStyle w:val="Normal"/>
        <w:numPr>
          <w:ilvl w:val="0"/>
          <w:numId w:val="1"/>
        </w:numPr>
        <w:spacing w:before="0" w:after="60"/>
        <w:rPr/>
      </w:pPr>
      <w:r>
        <w:rPr>
          <w:rFonts w:eastAsia="Segoe UI" w:cs="Segoe UI" w:ascii="Segoe UI" w:hAnsi="Segoe UI"/>
          <w:color w:val="101820"/>
          <w:sz w:val="21"/>
        </w:rPr>
        <w:t>Prepare a scenario from the broker's own business for each workshop (for example a co-insured fire risk, a motor renewal, a direct-bill insurer).</w:t>
      </w:r>
      <w:r>
        <w:br w:type="page"/>
      </w:r>
    </w:p>
    <w:p>
      <w:pPr>
        <w:pStyle w:val="Heading1"/>
        <w:rPr/>
      </w:pPr>
      <w:bookmarkStart w:id="12" w:name="__RefHeading___Toc1778_2900764642"/>
      <w:bookmarkEnd w:id="12"/>
      <w:r>
        <w:rPr>
          <w:rFonts w:eastAsia="Segoe UI" w:cs="Segoe UI" w:ascii="Segoe UI" w:hAnsi="Segoe UI"/>
          <w:b/>
          <w:color w:val="0F4761"/>
          <w:sz w:val="32"/>
        </w:rPr>
        <w:t>5.  Workshop plan</w:t>
      </w:r>
    </w:p>
    <w:p>
      <w:pPr>
        <w:pStyle w:val="Normal"/>
        <w:spacing w:lineRule="auto" w:line="276" w:before="0" w:after="120"/>
        <w:rPr/>
      </w:pPr>
      <w:r>
        <w:rPr>
          <w:rFonts w:eastAsia="Segoe UI" w:cs="Segoe UI" w:ascii="Segoe UI" w:hAnsi="Segoe UI"/>
          <w:color w:val="101820"/>
          <w:sz w:val="21"/>
        </w:rPr>
        <w:t>The workshops follow the Implementation Approach and Plan. Durations are recommended for a medium broker; a small broker can combine workshops, a large broker may need a second session for ledger and tax.</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34"/>
        <w:gridCol w:w="2088"/>
        <w:gridCol w:w="2467"/>
        <w:gridCol w:w="171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8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Workshop</w:t>
            </w:r>
          </w:p>
        </w:tc>
        <w:tc>
          <w:tcPr>
            <w:tcW w:w="20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Participants (broker)</w:t>
            </w:r>
          </w:p>
        </w:tc>
        <w:tc>
          <w:tcPr>
            <w:tcW w:w="24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Sheets</w:t>
            </w:r>
          </w:p>
        </w:tc>
        <w:tc>
          <w:tcPr>
            <w:tcW w:w="17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(recommended)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Organisation and access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System Administrator, IT head</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Company and Branches; Users and Roles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Half 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and placement</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&amp; Marketing, Processing Team</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Products and LOB; Insurers (placement and co-insurance); E-mail and Templates (client texts)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Half 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servicing and renewals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Processing Team</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Products and LOB (renewals, KYC, endorsements)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Half 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Products and LOB (claims rows); Insurers (loss advice); E-mail and Templates (claim letters)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 hours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collection and remittance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Accounting Manager</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 (terms, billing mode); Banks and Gateways; Approvals and Limits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Half 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and incentives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Sales &amp; Marketing</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Rates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 hours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Ledger and close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Chart of Accounts; Numbering Series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Half 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 tax adviser</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Taxes and LGU; Numbering Series (BIR documents)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 hours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integrations and reports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head, data owners, report users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Migration Sources; Integrations; Reports</w:t>
            </w:r>
          </w:p>
        </w:tc>
        <w:tc>
          <w:tcPr>
            <w:tcW w:w="1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Half day</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Hold workshop 1 first, because roles and approvers are needed in every later workshop, and workshop 8 after workshop 7, because tax codes point to GL accounts.</w:t>
      </w:r>
      <w:r>
        <w:br w:type="page"/>
      </w:r>
    </w:p>
    <w:p>
      <w:pPr>
        <w:pStyle w:val="Heading1"/>
        <w:rPr/>
      </w:pPr>
      <w:bookmarkStart w:id="13" w:name="__RefHeading___Toc1780_2900764642"/>
      <w:bookmarkEnd w:id="13"/>
      <w:r>
        <w:rPr>
          <w:rFonts w:eastAsia="Segoe UI" w:cs="Segoe UI" w:ascii="Segoe UI" w:hAnsi="Segoe UI"/>
          <w:b/>
          <w:color w:val="0F4761"/>
          <w:sz w:val="32"/>
        </w:rPr>
        <w:t>6.  Running a workshop</w:t>
      </w:r>
    </w:p>
    <w:p>
      <w:pPr>
        <w:pStyle w:val="Heading2"/>
        <w:rPr/>
      </w:pPr>
      <w:bookmarkStart w:id="14" w:name="__RefHeading___Toc1782_2900764642"/>
      <w:bookmarkEnd w:id="14"/>
      <w:r>
        <w:rPr>
          <w:rFonts w:eastAsia="Segoe UI" w:cs="Segoe UI"/>
          <w:b/>
          <w:color w:val="0F4761"/>
          <w:sz w:val="26"/>
        </w:rPr>
        <w:t>6.1  Agenda</w:t>
      </w:r>
    </w:p>
    <w:p>
      <w:pPr>
        <w:pStyle w:val="Normal"/>
        <w:numPr>
          <w:ilvl w:val="0"/>
          <w:numId w:val="7"/>
        </w:numPr>
        <w:spacing w:before="0" w:after="60"/>
        <w:rPr/>
      </w:pPr>
      <w:r>
        <w:rPr>
          <w:rFonts w:eastAsia="Segoe UI" w:cs="Segoe UI" w:ascii="Segoe UI" w:hAnsi="Segoe UI"/>
          <w:color w:val="101820"/>
          <w:sz w:val="21"/>
        </w:rPr>
        <w:t>Purpose, scope and the rule "configure, do not customise" (5 minutes).</w:t>
      </w:r>
    </w:p>
    <w:p>
      <w:pPr>
        <w:pStyle w:val="Normal"/>
        <w:numPr>
          <w:ilvl w:val="0"/>
          <w:numId w:val="8"/>
        </w:numPr>
        <w:spacing w:before="0" w:after="60"/>
        <w:rPr/>
      </w:pPr>
      <w:r>
        <w:rPr>
          <w:rFonts w:eastAsia="Segoe UI" w:cs="Segoe UI" w:ascii="Segoe UI" w:hAnsi="Segoe UI"/>
          <w:color w:val="101820"/>
          <w:sz w:val="21"/>
        </w:rPr>
        <w:t>Walk through the delivered process on screen with the broker's scenario, role by role.</w:t>
      </w:r>
    </w:p>
    <w:p>
      <w:pPr>
        <w:pStyle w:val="Normal"/>
        <w:numPr>
          <w:ilvl w:val="0"/>
          <w:numId w:val="9"/>
        </w:numPr>
        <w:spacing w:before="0" w:after="60"/>
        <w:rPr/>
      </w:pPr>
      <w:r>
        <w:rPr>
          <w:rFonts w:eastAsia="Segoe UI" w:cs="Segoe UI" w:ascii="Segoe UI" w:hAnsi="Segoe UI"/>
          <w:color w:val="101820"/>
          <w:sz w:val="21"/>
        </w:rPr>
        <w:t>Go through the workbook rows of the workshop in order. For each row: show the screen, read the OOTB default, agree the answer.</w:t>
      </w:r>
    </w:p>
    <w:p>
      <w:pPr>
        <w:pStyle w:val="Normal"/>
        <w:numPr>
          <w:ilvl w:val="0"/>
          <w:numId w:val="10"/>
        </w:numPr>
        <w:spacing w:before="0" w:after="60"/>
        <w:rPr/>
      </w:pPr>
      <w:r>
        <w:rPr>
          <w:rFonts w:eastAsia="Segoe UI" w:cs="Segoe UI" w:ascii="Segoe UI" w:hAnsi="Segoe UI"/>
          <w:color w:val="101820"/>
          <w:sz w:val="21"/>
        </w:rPr>
        <w:t>Record open questions with an owner and a due date.</w:t>
      </w:r>
    </w:p>
    <w:p>
      <w:pPr>
        <w:pStyle w:val="Normal"/>
        <w:numPr>
          <w:ilvl w:val="0"/>
          <w:numId w:val="11"/>
        </w:numPr>
        <w:spacing w:before="0" w:after="60"/>
        <w:rPr/>
      </w:pPr>
      <w:r>
        <w:rPr>
          <w:rFonts w:eastAsia="Segoe UI" w:cs="Segoe UI" w:ascii="Segoe UI" w:hAnsi="Segoe UI"/>
          <w:color w:val="101820"/>
          <w:sz w:val="21"/>
        </w:rPr>
        <w:t>Read back the decisions and the gaps at the end.</w:t>
      </w:r>
    </w:p>
    <w:p>
      <w:pPr>
        <w:pStyle w:val="Heading2"/>
        <w:rPr/>
      </w:pPr>
      <w:bookmarkStart w:id="15" w:name="__RefHeading___Toc1784_2900764642"/>
      <w:bookmarkEnd w:id="15"/>
      <w:r>
        <w:rPr>
          <w:rFonts w:eastAsia="Segoe UI" w:cs="Segoe UI"/>
          <w:b/>
          <w:color w:val="0F4761"/>
          <w:sz w:val="26"/>
        </w:rPr>
        <w:t>6.2  Recording decisions</w:t>
      </w:r>
    </w:p>
    <w:p>
      <w:pPr>
        <w:pStyle w:val="Normal"/>
        <w:numPr>
          <w:ilvl w:val="0"/>
          <w:numId w:val="1"/>
        </w:numPr>
        <w:spacing w:before="0" w:after="60"/>
        <w:rPr/>
      </w:pPr>
      <w:r>
        <w:rPr>
          <w:rFonts w:eastAsia="Segoe UI" w:cs="Segoe UI" w:ascii="Segoe UI" w:hAnsi="Segoe UI"/>
          <w:color w:val="101820"/>
          <w:sz w:val="21"/>
        </w:rPr>
        <w:t xml:space="preserve">Write the decision in </w:t>
      </w:r>
      <w:r>
        <w:rPr>
          <w:rFonts w:eastAsia="Segoe UI" w:cs="Segoe UI" w:ascii="Segoe UI" w:hAnsi="Segoe UI"/>
          <w:b/>
          <w:color w:val="101820"/>
          <w:sz w:val="21"/>
        </w:rPr>
        <w:t>Client answer</w:t>
      </w:r>
      <w:r>
        <w:rPr>
          <w:rFonts w:eastAsia="Segoe UI" w:cs="Segoe UI" w:ascii="Segoe UI" w:hAnsi="Segoe UI"/>
          <w:color w:val="101820"/>
          <w:sz w:val="21"/>
        </w:rPr>
        <w:t xml:space="preserve"> in the broker's words and figures (PHP amounts, days, account codes). Where the default is kept, write "Keep default" and set the status to </w:t>
      </w:r>
      <w:r>
        <w:rPr>
          <w:rFonts w:eastAsia="Segoe UI" w:cs="Segoe UI" w:ascii="Segoe UI" w:hAnsi="Segoe UI"/>
          <w:b/>
          <w:color w:val="101820"/>
          <w:sz w:val="21"/>
        </w:rPr>
        <w:t>Confirmed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Set </w:t>
      </w:r>
      <w:r>
        <w:rPr>
          <w:rFonts w:eastAsia="Segoe UI" w:cs="Segoe UI" w:ascii="Segoe UI" w:hAnsi="Segoe UI"/>
          <w:b/>
          <w:color w:val="101820"/>
          <w:sz w:val="21"/>
        </w:rPr>
        <w:t>Status</w:t>
      </w:r>
      <w:r>
        <w:rPr>
          <w:rFonts w:eastAsia="Segoe UI" w:cs="Segoe UI" w:ascii="Segoe UI" w:hAnsi="Segoe UI"/>
          <w:color w:val="101820"/>
          <w:sz w:val="21"/>
        </w:rPr>
        <w:t>: Open, Answered, Confirmed, Configured, Not applicable or Gap (CR).</w:t>
      </w:r>
    </w:p>
    <w:p>
      <w:pPr>
        <w:pStyle w:val="Normal"/>
        <w:numPr>
          <w:ilvl w:val="0"/>
          <w:numId w:val="1"/>
        </w:numPr>
        <w:spacing w:before="0" w:after="60"/>
        <w:rPr/>
      </w:pPr>
      <w:r>
        <w:rPr>
          <w:rFonts w:eastAsia="Segoe UI" w:cs="Segoe UI" w:ascii="Segoe UI" w:hAnsi="Segoe UI"/>
          <w:color w:val="101820"/>
          <w:sz w:val="21"/>
        </w:rPr>
        <w:t xml:space="preserve">Use </w:t>
      </w:r>
      <w:r>
        <w:rPr>
          <w:rFonts w:eastAsia="Segoe UI" w:cs="Segoe UI" w:ascii="Segoe UI" w:hAnsi="Segoe UI"/>
          <w:b/>
          <w:color w:val="101820"/>
          <w:sz w:val="21"/>
        </w:rPr>
        <w:t>Notes</w:t>
      </w:r>
      <w:r>
        <w:rPr>
          <w:rFonts w:eastAsia="Segoe UI" w:cs="Segoe UI" w:ascii="Segoe UI" w:hAnsi="Segoe UI"/>
          <w:color w:val="101820"/>
          <w:sz w:val="21"/>
        </w:rPr>
        <w:t xml:space="preserve"> for the reason behind a decision, especially where it differs from the default (for example a stricter approval limit set by the board).</w:t>
      </w:r>
    </w:p>
    <w:p>
      <w:pPr>
        <w:pStyle w:val="Normal"/>
        <w:numPr>
          <w:ilvl w:val="0"/>
          <w:numId w:val="1"/>
        </w:numPr>
        <w:spacing w:before="0" w:after="60"/>
        <w:rPr/>
      </w:pPr>
      <w:r>
        <w:rPr>
          <w:rFonts w:eastAsia="Segoe UI" w:cs="Segoe UI" w:ascii="Segoe UI" w:hAnsi="Segoe UI"/>
          <w:color w:val="101820"/>
          <w:sz w:val="21"/>
        </w:rPr>
        <w:t>Add a row at the end of a sheet, with the next ID, for an item the workbook does not have. Do not change existing IDs: they are referred to in the fit-gap register and in UAT.</w:t>
      </w:r>
    </w:p>
    <w:p>
      <w:pPr>
        <w:pStyle w:val="Normal"/>
        <w:numPr>
          <w:ilvl w:val="0"/>
          <w:numId w:val="1"/>
        </w:numPr>
        <w:spacing w:before="0" w:after="60"/>
        <w:rPr/>
      </w:pPr>
      <w:r>
        <w:rPr>
          <w:rFonts w:eastAsia="Segoe UI" w:cs="Segoe UI" w:ascii="Segoe UI" w:hAnsi="Segoe UI"/>
          <w:color w:val="101820"/>
          <w:sz w:val="21"/>
        </w:rPr>
        <w:t>Do not paste personal data into the workbook. Staff lists and client extracts go into the upload templates.</w:t>
      </w:r>
    </w:p>
    <w:p>
      <w:pPr>
        <w:pStyle w:val="Heading2"/>
        <w:rPr/>
      </w:pPr>
      <w:bookmarkStart w:id="16" w:name="__RefHeading___Toc1786_2900764642"/>
      <w:bookmarkEnd w:id="16"/>
      <w:r>
        <w:rPr>
          <w:rFonts w:eastAsia="Segoe UI" w:cs="Segoe UI"/>
          <w:b/>
          <w:color w:val="0F4761"/>
          <w:sz w:val="26"/>
        </w:rPr>
        <w:t>6.3  Classifying differences</w:t>
      </w:r>
    </w:p>
    <w:p>
      <w:pPr>
        <w:pStyle w:val="Normal"/>
        <w:spacing w:lineRule="auto" w:line="276" w:before="0" w:after="120"/>
        <w:rPr/>
      </w:pPr>
      <w:r>
        <w:rPr>
          <w:rFonts w:eastAsia="Segoe UI" w:cs="Segoe UI" w:ascii="Segoe UI" w:hAnsi="Segoe UI"/>
          <w:color w:val="101820"/>
          <w:sz w:val="21"/>
        </w:rPr>
        <w:t>Every difference between the broker's way of working and the delivered system is classed in the fit-gap register.</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7"/>
        <w:gridCol w:w="3134"/>
        <w:gridCol w:w="4842"/>
      </w:tblGrid>
      <w:tr>
        <w:trPr>
          <w:tblHeader w:val="true"/>
        </w:trPr>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Class</w:t>
            </w:r>
          </w:p>
        </w:tc>
        <w:tc>
          <w:tcPr>
            <w:tcW w:w="3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48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r>
      <w:tr>
        <w:trPr/>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as it is</w:t>
            </w:r>
          </w:p>
        </w:tc>
        <w:tc>
          <w:tcPr>
            <w:tcW w:w="4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r>
      <w:tr>
        <w:trPr/>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by a setting or master data</w:t>
            </w:r>
          </w:p>
        </w:tc>
        <w:tc>
          <w:tcPr>
            <w:tcW w:w="4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in the workbook</w:t>
            </w:r>
          </w:p>
        </w:tc>
      </w:tr>
      <w:tr>
        <w:trPr/>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Procedure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changes how it works</w:t>
            </w:r>
          </w:p>
        </w:tc>
        <w:tc>
          <w:tcPr>
            <w:tcW w:w="4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the new procedure for training</w:t>
            </w:r>
          </w:p>
        </w:tc>
      </w:tr>
      <w:tr>
        <w:trPr/>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Gap</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a change to the product</w:t>
            </w:r>
          </w:p>
        </w:tc>
        <w:tc>
          <w:tcPr>
            <w:tcW w:w="4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Gap (CR); raise a change request; not in the go-live scope unless the steering committee approves it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Before classing an item as a gap, check the setting key in the Notes column and Master &gt; Configuration for the area concerned. Many apparent gaps are settings.</w:t>
      </w:r>
    </w:p>
    <w:p>
      <w:pPr>
        <w:pStyle w:val="Heading2"/>
        <w:rPr/>
      </w:pPr>
      <w:bookmarkStart w:id="17" w:name="__RefHeading___Toc1788_2900764642"/>
      <w:bookmarkEnd w:id="17"/>
      <w:r>
        <w:rPr>
          <w:rFonts w:eastAsia="Segoe UI" w:cs="Segoe UI"/>
          <w:b/>
          <w:color w:val="0F4761"/>
          <w:sz w:val="26"/>
        </w:rPr>
        <w:t>6.4  Questions that need care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11"/>
        <w:gridCol w:w="3698"/>
        <w:gridCol w:w="3005"/>
      </w:tblGrid>
      <w:tr>
        <w:trPr>
          <w:tblHeader w:val="true"/>
        </w:trPr>
        <w:tc>
          <w:tcPr>
            <w:tcW w:w="2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36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decides</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limits</w:t>
            </w:r>
          </w:p>
        </w:tc>
        <w:tc>
          <w:tcPr>
            <w:tcW w:w="36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delivered limits are examples; the board-approved signing authority replaces them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with the board resolution</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rates, ATC and GL accounts</w:t>
            </w:r>
          </w:p>
        </w:tc>
        <w:tc>
          <w:tcPr>
            <w:tcW w:w="36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Errors flow into BIR working papers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with the tax adviser</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Invoices and official receipts</w:t>
            </w:r>
          </w:p>
        </w:tc>
        <w:tc>
          <w:tcPr>
            <w:tcW w:w="36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documents are registered and how numbers continue from the old system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with the tax adviser</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 roles</w:t>
            </w:r>
          </w:p>
        </w:tc>
        <w:tc>
          <w:tcPr>
            <w:tcW w:w="36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empty; recommended for administrators and accounting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location</w:t>
            </w:r>
          </w:p>
        </w:tc>
        <w:tc>
          <w:tcPr>
            <w:tcW w:w="36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Cross-border transfer under the Data Privacy Act if outside the Philippines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with the DPO</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SoD rules</w:t>
            </w:r>
          </w:p>
        </w:tc>
        <w:tc>
          <w:tcPr>
            <w:tcW w:w="36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teams may not be able to separate every pair of roles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document compensating controls</w:t>
            </w:r>
          </w:p>
        </w:tc>
      </w:tr>
    </w:tbl>
    <w:p>
      <w:pPr>
        <w:pStyle w:val="Normal"/>
        <w:spacing w:before="0" w:after="80"/>
        <w:rPr/>
      </w:pPr>
      <w:r>
        <w:rPr/>
      </w:r>
      <w:r>
        <w:br w:type="page"/>
      </w:r>
    </w:p>
    <w:p>
      <w:pPr>
        <w:pStyle w:val="Heading1"/>
        <w:rPr/>
      </w:pPr>
      <w:bookmarkStart w:id="18" w:name="__RefHeading___Toc1790_2900764642"/>
      <w:bookmarkEnd w:id="18"/>
      <w:r>
        <w:rPr>
          <w:rFonts w:eastAsia="Segoe UI" w:cs="Segoe UI" w:ascii="Segoe UI" w:hAnsi="Segoe UI"/>
          <w:b/>
          <w:color w:val="0F4761"/>
          <w:sz w:val="32"/>
        </w:rPr>
        <w:t>7.  After the workshops</w:t>
      </w:r>
    </w:p>
    <w:p>
      <w:pPr>
        <w:pStyle w:val="Heading2"/>
        <w:rPr/>
      </w:pPr>
      <w:bookmarkStart w:id="19" w:name="__RefHeading___Toc1792_2900764642"/>
      <w:bookmarkEnd w:id="19"/>
      <w:r>
        <w:rPr>
          <w:rFonts w:eastAsia="Segoe UI" w:cs="Segoe UI"/>
          <w:b/>
          <w:color w:val="0F4761"/>
          <w:sz w:val="26"/>
        </w:rPr>
        <w:t>7.1  Sign-off</w:t>
      </w:r>
    </w:p>
    <w:p>
      <w:pPr>
        <w:pStyle w:val="Normal"/>
        <w:numPr>
          <w:ilvl w:val="0"/>
          <w:numId w:val="12"/>
        </w:numPr>
        <w:spacing w:before="0" w:after="60"/>
        <w:rPr/>
      </w:pPr>
      <w:r>
        <w:rPr>
          <w:rFonts w:eastAsia="Segoe UI" w:cs="Segoe UI" w:ascii="Segoe UI" w:hAnsi="Segoe UI"/>
          <w:color w:val="101820"/>
          <w:sz w:val="21"/>
        </w:rPr>
        <w:t>The iorta TechNXT PM checks the Summary sheet: every item is Confirmed, Not applicable or Gap (CR); no item is Open.</w:t>
      </w:r>
    </w:p>
    <w:p>
      <w:pPr>
        <w:pStyle w:val="Normal"/>
        <w:numPr>
          <w:ilvl w:val="0"/>
          <w:numId w:val="13"/>
        </w:numPr>
        <w:spacing w:before="0" w:after="60"/>
        <w:rPr/>
      </w:pPr>
      <w:r>
        <w:rPr>
          <w:rFonts w:eastAsia="Segoe UI" w:cs="Segoe UI" w:ascii="Segoe UI" w:hAnsi="Segoe UI"/>
          <w:color w:val="101820"/>
          <w:sz w:val="21"/>
        </w:rPr>
        <w:t>The broker's owners review their sheets; the sponsor signs off the workbook and the fit-gap register together.</w:t>
      </w:r>
    </w:p>
    <w:p>
      <w:pPr>
        <w:pStyle w:val="Normal"/>
        <w:numPr>
          <w:ilvl w:val="0"/>
          <w:numId w:val="14"/>
        </w:numPr>
        <w:spacing w:before="0" w:after="60"/>
        <w:rPr/>
      </w:pPr>
      <w:r>
        <w:rPr>
          <w:rFonts w:eastAsia="Segoe UI" w:cs="Segoe UI" w:ascii="Segoe UI" w:hAnsi="Segoe UI"/>
          <w:color w:val="101820"/>
          <w:sz w:val="21"/>
        </w:rPr>
        <w:t>The signed workbook is version-controlled; any later change goes through the change process of the project and is recorded in Notes with the date.</w:t>
      </w:r>
    </w:p>
    <w:p>
      <w:pPr>
        <w:pStyle w:val="Heading2"/>
        <w:rPr/>
      </w:pPr>
      <w:bookmarkStart w:id="20" w:name="__RefHeading___Toc1794_2900764642"/>
      <w:bookmarkEnd w:id="20"/>
      <w:r>
        <w:rPr>
          <w:rFonts w:eastAsia="Segoe UI" w:cs="Segoe UI"/>
          <w:b/>
          <w:color w:val="0F4761"/>
          <w:sz w:val="26"/>
        </w:rPr>
        <w:t>7.2  From workbook to configuration</w:t>
      </w:r>
    </w:p>
    <w:p>
      <w:pPr>
        <w:pStyle w:val="Normal"/>
        <w:numPr>
          <w:ilvl w:val="0"/>
          <w:numId w:val="1"/>
        </w:numPr>
        <w:spacing w:before="0" w:after="60"/>
        <w:rPr/>
      </w:pPr>
      <w:r>
        <w:rPr>
          <w:rFonts w:eastAsia="Segoe UI" w:cs="Segoe UI" w:ascii="Segoe UI" w:hAnsi="Segoe UI"/>
          <w:color w:val="101820"/>
          <w:sz w:val="21"/>
        </w:rPr>
        <w:t xml:space="preserve">iorta TechNXT configures the test environment from the workbook in the order of </w:t>
      </w:r>
      <w:r>
        <w:rPr>
          <w:rFonts w:eastAsia="Consolas" w:cs="Consolas" w:ascii="Consolas" w:hAnsi="Consolas"/>
          <w:color w:val="101820"/>
          <w:sz w:val="19"/>
        </w:rPr>
        <w:t>GO_LIVE_DATA_SETUP.md</w:t>
      </w:r>
      <w:r>
        <w:rPr>
          <w:rFonts w:eastAsia="Segoe UI" w:cs="Segoe UI" w:ascii="Segoe UI" w:hAnsi="Segoe UI"/>
          <w:color w:val="101820"/>
          <w:sz w:val="21"/>
        </w:rPr>
        <w:t xml:space="preserve">, by upload where a template exists and on the screen otherwise, and sets each row to </w:t>
      </w:r>
      <w:r>
        <w:rPr>
          <w:rFonts w:eastAsia="Segoe UI" w:cs="Segoe UI" w:ascii="Segoe UI" w:hAnsi="Segoe UI"/>
          <w:b/>
          <w:color w:val="101820"/>
          <w:sz w:val="21"/>
        </w:rPr>
        <w:t>Configured</w:t>
      </w:r>
      <w:r>
        <w:rPr>
          <w:rFonts w:eastAsia="Segoe UI" w:cs="Segoe UI" w:ascii="Segoe UI" w:hAnsi="Segoe UI"/>
          <w:color w:val="101820"/>
          <w:sz w:val="21"/>
        </w:rPr>
        <w:t xml:space="preserve"> after checking it on screen.</w:t>
      </w:r>
    </w:p>
    <w:p>
      <w:pPr>
        <w:pStyle w:val="Normal"/>
        <w:numPr>
          <w:ilvl w:val="0"/>
          <w:numId w:val="1"/>
        </w:numPr>
        <w:spacing w:before="0" w:after="60"/>
        <w:rPr/>
      </w:pPr>
      <w:r>
        <w:rPr>
          <w:rFonts w:eastAsia="Segoe UI" w:cs="Segoe UI" w:ascii="Segoe UI" w:hAnsi="Segoe UI"/>
          <w:color w:val="101820"/>
          <w:sz w:val="21"/>
        </w:rPr>
        <w:t>The key user of each team checks the configured values in the test environment before SIT.</w:t>
      </w:r>
    </w:p>
    <w:p>
      <w:pPr>
        <w:pStyle w:val="Normal"/>
        <w:numPr>
          <w:ilvl w:val="0"/>
          <w:numId w:val="1"/>
        </w:numPr>
        <w:spacing w:before="0" w:after="60"/>
        <w:rPr/>
      </w:pPr>
      <w:r>
        <w:rPr>
          <w:rFonts w:eastAsia="Segoe UI" w:cs="Segoe UI" w:ascii="Segoe UI" w:hAnsi="Segoe UI"/>
          <w:color w:val="101820"/>
          <w:sz w:val="21"/>
        </w:rPr>
        <w:t>After UAT acceptance the same values are applied to production. The workbook is the checklist for that step.</w:t>
      </w:r>
    </w:p>
    <w:p>
      <w:pPr>
        <w:pStyle w:val="Normal"/>
        <w:numPr>
          <w:ilvl w:val="0"/>
          <w:numId w:val="1"/>
        </w:numPr>
        <w:spacing w:before="0" w:after="60"/>
        <w:rPr/>
      </w:pPr>
      <w:r>
        <w:rPr>
          <w:rFonts w:eastAsia="Segoe UI" w:cs="Segoe UI" w:ascii="Segoe UI" w:hAnsi="Segoe UI"/>
          <w:color w:val="101820"/>
          <w:sz w:val="21"/>
        </w:rPr>
        <w:t>The workbook is handed to production support at hypercare exit as the record of the broker's configuration.</w:t>
      </w:r>
    </w:p>
    <w:p>
      <w:pPr>
        <w:pStyle w:val="Heading2"/>
        <w:rPr/>
      </w:pPr>
      <w:bookmarkStart w:id="21" w:name="__RefHeading___Toc1796_2900764642"/>
      <w:bookmarkEnd w:id="21"/>
      <w:r>
        <w:rPr>
          <w:rFonts w:eastAsia="Segoe UI" w:cs="Segoe UI"/>
          <w:b/>
          <w:color w:val="0F4761"/>
          <w:sz w:val="26"/>
        </w:rPr>
        <w:t>7.3  Common pitfalls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Pitfall</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Prevention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answers on insurers, commission and the chart of accounts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for them at mobilisation; they drive mock load 1</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 made by people who do not own them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 column filled by name at kick-off</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Requirements written instead of decisions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to the row's question; record a gap only after checking the settings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Defaults kept by silence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default is kept only when the owner confirms 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Placeholder values left in production (sender address, loss advice recipient, sandbox gateway)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Rows marked "replace" are checked at cutover</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2" w:name="__RefHeading___Toc1798_2900764642"/>
      <w:bookmarkStart w:id="23" w:name="_Toc233203395"/>
      <w:bookmarkEnd w:id="22"/>
      <w:r>
        <w:rPr>
          <w:rStyle w:val="BookTitle"/>
          <w:bCs w:val="false"/>
          <w:i w:val="false"/>
          <w:iCs w:val="false"/>
          <w:spacing w:val="0"/>
        </w:rPr>
        <w:t>8.  Document Sign-Off</w:t>
      </w:r>
      <w:bookmarkEnd w:id="2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num>
  <w:num w:numId="12">
    <w:abstractNumId w:val="2"/>
    <w:lvlOverride w:ilvl="0">
      <w:startOverride w:val="1"/>
    </w:lvlOverride>
  </w:num>
  <w:num w:numId="13">
    <w:abstractNumId w:val="2"/>
  </w:num>
  <w:num w:numId="14">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2026-10-03T18:46:11Z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