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1773220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48322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8322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Platform Features Proposal</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3</w:t>
        </w:r>
      </w:hyperlink>
    </w:p>
    <w:p xmlns:a="http://schemas.openxmlformats.org/drawingml/2006/main" xmlns:pic="http://schemas.openxmlformats.org/drawingml/2006/picture">
      <w:pPr>
        <w:pStyle w:val="TOC1"/>
        <w:ind w:left="0" w:hanging="0"/>
      </w:pPr>
      <w:hyperlink w:anchor="_Toc300001003" w:history="1">
        <w:r>
          <w:rPr>
            <w:b/>
            <w:noProof/>
          </w:rPr>
          <w:t xml:space="preserve">Introduction</w:t>
        </w:r>
        <w:r>
          <w:rPr>
            <w:b/>
            <w:noProof/>
          </w:rPr>
          <w:tab/>
        </w:r>
        <w:r>
          <w:rPr>
            <w:b/>
            <w:noProof/>
          </w:rPr>
          <w:t>4</w:t>
        </w:r>
      </w:hyperlink>
    </w:p>
    <w:p xmlns:a="http://schemas.openxmlformats.org/drawingml/2006/main" xmlns:pic="http://schemas.openxmlformats.org/drawingml/2006/picture">
      <w:pPr>
        <w:pStyle w:val="TOC1"/>
      </w:pPr>
      <w:hyperlink w:anchor="_Toc300001004" w:history="1">
        <w:r>
          <w:rPr>
            <w:b/>
            <w:noProof/>
          </w:rPr>
          <w:t xml:space="preserve">1.</w:t>
        </w:r>
        <w:r>
          <w:rPr>
            <w:b/>
            <w:noProof/>
          </w:rPr>
          <w:tab/>
        </w:r>
        <w:r>
          <w:rPr>
            <w:b/>
            <w:noProof/>
          </w:rPr>
          <w:t xml:space="preserve">"Hide full identifiers" in the profile menu</w:t>
        </w:r>
        <w:r>
          <w:rPr>
            <w:b/>
            <w:noProof/>
          </w:rPr>
          <w:tab/>
        </w:r>
        <w:r>
          <w:rPr>
            <w:b/>
            <w:noProof/>
          </w:rPr>
          <w:t>4</w:t>
        </w:r>
      </w:hyperlink>
    </w:p>
    <w:p xmlns:a="http://schemas.openxmlformats.org/drawingml/2006/main" xmlns:pic="http://schemas.openxmlformats.org/drawingml/2006/picture">
      <w:pPr>
        <w:pStyle w:val="TOC1"/>
      </w:pPr>
      <w:hyperlink w:anchor="_Toc300001005" w:history="1">
        <w:r>
          <w:rPr>
            <w:b/>
            <w:noProof/>
          </w:rPr>
          <w:t xml:space="preserve">2.</w:t>
        </w:r>
        <w:r>
          <w:rPr>
            <w:b/>
            <w:noProof/>
          </w:rPr>
          <w:tab/>
        </w:r>
        <w:r>
          <w:rPr>
            <w:b/>
            <w:noProof/>
          </w:rPr>
          <w:t xml:space="preserve">Why the manual is blue, and the TISPH edition</w:t>
        </w:r>
        <w:r>
          <w:rPr>
            <w:b/>
            <w:noProof/>
          </w:rPr>
          <w:tab/>
        </w:r>
        <w:r>
          <w:rPr>
            <w:b/>
            <w:noProof/>
          </w:rPr>
          <w:t>4</w:t>
        </w:r>
      </w:hyperlink>
    </w:p>
    <w:p xmlns:a="http://schemas.openxmlformats.org/drawingml/2006/main" xmlns:pic="http://schemas.openxmlformats.org/drawingml/2006/picture">
      <w:pPr>
        <w:pStyle w:val="TOC1"/>
      </w:pPr>
      <w:hyperlink w:anchor="_Toc300001006" w:history="1">
        <w:r>
          <w:rPr>
            <w:b/>
            <w:noProof/>
          </w:rPr>
          <w:t xml:space="preserve">3.</w:t>
        </w:r>
        <w:r>
          <w:rPr>
            <w:b/>
            <w:noProof/>
          </w:rPr>
          <w:tab/>
        </w:r>
        <w:r>
          <w:rPr>
            <w:b/>
            <w:noProof/>
          </w:rPr>
          <w:t xml:space="preserve">Environment Promotion</w:t>
        </w:r>
        <w:r>
          <w:rPr>
            <w:b/>
            <w:noProof/>
          </w:rPr>
          <w:tab/>
        </w:r>
        <w:r>
          <w:rPr>
            <w:b/>
            <w:noProof/>
          </w:rPr>
          <w:t>5</w:t>
        </w:r>
      </w:hyperlink>
    </w:p>
    <w:p xmlns:a="http://schemas.openxmlformats.org/drawingml/2006/main" xmlns:pic="http://schemas.openxmlformats.org/drawingml/2006/picture">
      <w:pPr>
        <w:pStyle w:val="TOC1"/>
      </w:pPr>
      <w:hyperlink w:anchor="_Toc300001007" w:history="1">
        <w:r>
          <w:rPr>
            <w:b/>
            <w:noProof/>
          </w:rPr>
          <w:t xml:space="preserve">4.</w:t>
        </w:r>
        <w:r>
          <w:rPr>
            <w:b/>
            <w:noProof/>
          </w:rPr>
          <w:tab/>
        </w:r>
        <w:r>
          <w:rPr>
            <w:b/>
            <w:noProof/>
          </w:rPr>
          <w:t xml:space="preserve">Copy of a transaction</w:t>
        </w:r>
        <w:r>
          <w:rPr>
            <w:b/>
            <w:noProof/>
          </w:rPr>
          <w:tab/>
        </w:r>
        <w:r>
          <w:rPr>
            <w:b/>
            <w:noProof/>
          </w:rPr>
          <w:t>7</w:t>
        </w:r>
      </w:hyperlink>
    </w:p>
    <w:p xmlns:a="http://schemas.openxmlformats.org/drawingml/2006/main" xmlns:pic="http://schemas.openxmlformats.org/drawingml/2006/picture">
      <w:pPr>
        <w:pStyle w:val="TOC1"/>
      </w:pPr>
      <w:hyperlink w:anchor="_Toc300001008" w:history="1">
        <w:r>
          <w:rPr>
            <w:b/>
            <w:noProof/>
          </w:rPr>
          <w:t xml:space="preserve">5.</w:t>
        </w:r>
        <w:r>
          <w:rPr>
            <w:b/>
            <w:noProof/>
          </w:rPr>
          <w:tab/>
        </w:r>
        <w:r>
          <w:rPr>
            <w:b/>
            <w:noProof/>
          </w:rPr>
          <w:t xml:space="preserve">Upload with template for every master</w:t>
        </w:r>
        <w:r>
          <w:rPr>
            <w:b/>
            <w:noProof/>
          </w:rPr>
          <w:tab/>
        </w:r>
        <w:r>
          <w:rPr>
            <w:b/>
            <w:noProof/>
          </w:rPr>
          <w:t>8</w:t>
        </w:r>
      </w:hyperlink>
    </w:p>
    <w:p xmlns:a="http://schemas.openxmlformats.org/drawingml/2006/main" xmlns:pic="http://schemas.openxmlformats.org/drawingml/2006/picture">
      <w:pPr>
        <w:pStyle w:val="TOC1"/>
      </w:pPr>
      <w:hyperlink w:anchor="_Toc300001009" w:history="1">
        <w:r>
          <w:rPr>
            <w:b/>
            <w:noProof/>
          </w:rPr>
          <w:t xml:space="preserve">6.</w:t>
        </w:r>
        <w:r>
          <w:rPr>
            <w:b/>
            <w:noProof/>
          </w:rPr>
          <w:tab/>
        </w:r>
        <w:r>
          <w:rPr>
            <w:b/>
            <w:noProof/>
          </w:rPr>
          <w:t xml:space="preserve">Risk Mapping: recommendation</w:t>
        </w:r>
        <w:r>
          <w:rPr>
            <w:b/>
            <w:noProof/>
          </w:rPr>
          <w:tab/>
        </w:r>
        <w:r>
          <w:rPr>
            <w:b/>
            <w:noProof/>
          </w:rPr>
          <w:t>9</w:t>
        </w:r>
      </w:hyperlink>
    </w:p>
    <w:p xmlns:a="http://schemas.openxmlformats.org/drawingml/2006/main" xmlns:pic="http://schemas.openxmlformats.org/drawingml/2006/picture">
      <w:pPr>
        <w:pStyle w:val="TOC1"/>
      </w:pPr>
      <w:hyperlink w:anchor="_Toc300001010" w:history="1">
        <w:r>
          <w:rPr>
            <w:b/>
            <w:noProof/>
          </w:rPr>
          <w:t xml:space="preserve">7.</w:t>
        </w:r>
        <w:r>
          <w:rPr>
            <w:b/>
            <w:noProof/>
          </w:rPr>
          <w:tab/>
        </w:r>
        <w:r>
          <w:rPr>
            <w:b/>
            <w:noProof/>
          </w:rPr>
          <w:t xml:space="preserve">Order of delivery</w:t>
        </w:r>
        <w:r>
          <w:rPr>
            <w:b/>
            <w:noProof/>
          </w:rPr>
          <w:tab/>
        </w:r>
        <w:r>
          <w:rPr>
            <w:b/>
            <w:noProof/>
          </w:rPr>
          <w:t>10</w:t>
        </w:r>
      </w:hyperlink>
    </w:p>
    <w:p xmlns:a="http://schemas.openxmlformats.org/drawingml/2006/main" xmlns:pic="http://schemas.openxmlformats.org/drawingml/2006/picture">
      <w:pPr>
        <w:pStyle w:val="TOC1"/>
      </w:pPr>
      <w:hyperlink w:anchor="_Toc300001011" w:history="1">
        <w:r>
          <w:rPr>
            <w:b/>
            <w:noProof/>
          </w:rPr>
          <w:t xml:space="preserve">8.</w:t>
        </w:r>
        <w:r>
          <w:rPr>
            <w:b/>
            <w:noProof/>
          </w:rPr>
          <w:tab/>
        </w:r>
        <w:r>
          <w:rPr>
            <w:b/>
            <w:noProof/>
          </w:rPr>
          <w:t xml:space="preserve">Decisions we need from TISPH</w:t>
        </w:r>
        <w:r>
          <w:rPr>
            <w:b/>
            <w:noProof/>
          </w:rPr>
          <w:tab/>
        </w:r>
        <w:r>
          <w:rPr>
            <w:b/>
            <w:noProof/>
          </w:rPr>
          <w:t>11</w:t>
        </w:r>
      </w:hyperlink>
    </w:p>
    <w:p xmlns:a="http://schemas.openxmlformats.org/drawingml/2006/main" xmlns:pic="http://schemas.openxmlformats.org/drawingml/2006/picture">
      <w:pPr>
        <w:pStyle w:val="TOC1"/>
      </w:pPr>
      <w:hyperlink w:anchor="_Toc300001012" w:history="1">
        <w:r>
          <w:rPr>
            <w:b/>
            <w:noProof/>
          </w:rPr>
          <w:t xml:space="preserve">9.</w:t>
        </w:r>
        <w:r>
          <w:rPr>
            <w:b/>
            <w:noProof/>
          </w:rPr>
          <w:tab/>
        </w:r>
        <w:r>
          <w:rPr>
            <w:b/>
            <w:noProof/>
          </w:rPr>
          <w:t xml:space="preserve">Document Sign-Off</w:t>
        </w:r>
        <w:r>
          <w:rPr>
            <w:b/>
            <w:noProof/>
          </w:rPr>
          <w:tab/>
        </w:r>
        <w:r>
          <w:rPr>
            <w:b/>
            <w:noProof/>
          </w:rPr>
          <w:t>12</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Initial issue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COC</w:t>
            </w:r>
          </w:p>
        </w:tc>
        <w:tc>
          <w:tcPr>
            <w:tcW w:w="6319" w:type="dxa"/>
          </w:tcPr>
          <w:p>
            <w:pPr>
              <w:spacing w:before="40" w:after="40" w:line="240" w:lineRule="auto"/>
            </w:pPr>
            <w:r>
              <w:rPr>
                <w:rFonts w:ascii="Segoe UI" w:hAnsi="Segoe UI" w:cs="Segoe UI" w:eastAsia="Segoe UI"/>
                <w:sz w:val="16"/>
                <w:szCs w:val="16"/>
              </w:rPr>
              <w:t xml:space="preserve">Certificate of cover (CTPL)</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LGU</w:t>
            </w:r>
          </w:p>
        </w:tc>
        <w:tc>
          <w:tcPr>
            <w:tcW w:w="6319" w:type="dxa"/>
          </w:tcPr>
          <w:p>
            <w:pPr>
              <w:spacing w:before="40" w:after="40" w:line="240" w:lineRule="auto"/>
            </w:pPr>
            <w:r>
              <w:rPr>
                <w:rFonts w:ascii="Segoe UI" w:hAnsi="Segoe UI" w:cs="Segoe UI" w:eastAsia="Segoe UI"/>
                <w:sz w:val="16"/>
                <w:szCs w:val="16"/>
              </w:rPr>
              <w:t xml:space="preserve">Local government unit</w:t>
            </w:r>
          </w:p>
        </w:tc>
      </w:tr>
      <w:tr>
        <w:trPr>
          <w:cantSplit/>
        </w:trPr>
        <w:tc>
          <w:tcPr>
            <w:tcW w:w="2708" w:type="dxa"/>
          </w:tcPr>
          <w:p>
            <w:pPr>
              <w:spacing w:before="40" w:after="40" w:line="240" w:lineRule="auto"/>
            </w:pPr>
            <w:r>
              <w:rPr>
                <w:rFonts w:ascii="Segoe UI" w:hAnsi="Segoe UI" w:cs="Segoe UI" w:eastAsia="Segoe UI"/>
                <w:b/>
                <w:bCs/>
                <w:sz w:val="16"/>
                <w:szCs w:val="16"/>
              </w:rPr>
              <w:t xml:space="preserve">OOTB</w:t>
            </w:r>
          </w:p>
        </w:tc>
        <w:tc>
          <w:tcPr>
            <w:tcW w:w="6319" w:type="dxa"/>
          </w:tcPr>
          <w:p>
            <w:pPr>
              <w:spacing w:before="40" w:after="40" w:line="240" w:lineRule="auto"/>
            </w:pPr>
            <w:r>
              <w:rPr>
                <w:rFonts w:ascii="Segoe UI" w:hAnsi="Segoe UI" w:cs="Segoe UI" w:eastAsia="Segoe UI"/>
                <w:sz w:val="16"/>
                <w:szCs w:val="16"/>
              </w:rPr>
              <w:t xml:space="preserve">Out of the box</w:t>
            </w:r>
          </w:p>
        </w:tc>
      </w:tr>
      <w:tr>
        <w:trPr>
          <w:cantSplit/>
        </w:trPr>
        <w:tc>
          <w:tcPr>
            <w:tcW w:w="2708" w:type="dxa"/>
          </w:tcPr>
          <w:p>
            <w:pPr>
              <w:spacing w:before="40" w:after="40" w:line="240" w:lineRule="auto"/>
            </w:pPr>
            <w:r>
              <w:rPr>
                <w:rFonts w:ascii="Segoe UI" w:hAnsi="Segoe UI" w:cs="Segoe UI" w:eastAsia="Segoe UI"/>
                <w:b/>
                <w:bCs/>
                <w:sz w:val="16"/>
                <w:szCs w:val="16"/>
              </w:rPr>
              <w:t xml:space="preserve">PA</w:t>
            </w:r>
          </w:p>
        </w:tc>
        <w:tc>
          <w:tcPr>
            <w:tcW w:w="6319" w:type="dxa"/>
          </w:tcPr>
          <w:p>
            <w:pPr>
              <w:spacing w:before="40" w:after="40" w:line="240" w:lineRule="auto"/>
            </w:pPr>
            <w:r>
              <w:rPr>
                <w:rFonts w:ascii="Segoe UI" w:hAnsi="Segoe UI" w:cs="Segoe UI" w:eastAsia="Segoe UI"/>
                <w:sz w:val="16"/>
                <w:szCs w:val="16"/>
              </w:rPr>
              <w:t xml:space="preserve">Personal accident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PDF</w:t>
            </w:r>
          </w:p>
        </w:tc>
        <w:tc>
          <w:tcPr>
            <w:tcW w:w="6319" w:type="dxa"/>
          </w:tcPr>
          <w:p>
            <w:pPr>
              <w:spacing w:before="40" w:after="40" w:line="240" w:lineRule="auto"/>
            </w:pPr>
            <w:r>
              <w:rPr>
                <w:rFonts w:ascii="Segoe UI" w:hAnsi="Segoe UI" w:cs="Segoe UI" w:eastAsia="Segoe UI"/>
                <w:sz w:val="16"/>
                <w:szCs w:val="16"/>
              </w:rPr>
              <w:t xml:space="preserve">Portable Document Format</w:t>
            </w:r>
          </w:p>
        </w:tc>
      </w:tr>
      <w:tr>
        <w:trPr>
          <w:cantSplit/>
        </w:trPr>
        <w:tc>
          <w:tcPr>
            <w:tcW w:w="2708" w:type="dxa"/>
          </w:tcPr>
          <w:p>
            <w:pPr>
              <w:spacing w:before="40" w:after="40" w:line="240" w:lineRule="auto"/>
            </w:pPr>
            <w:r>
              <w:rPr>
                <w:rFonts w:ascii="Segoe UI" w:hAnsi="Segoe UI" w:cs="Segoe UI" w:eastAsia="Segoe UI"/>
                <w:b/>
                <w:bCs/>
                <w:sz w:val="16"/>
                <w:szCs w:val="16"/>
              </w:rPr>
              <w:t xml:space="preserve">PHP</w:t>
            </w:r>
          </w:p>
        </w:tc>
        <w:tc>
          <w:tcPr>
            <w:tcW w:w="6319" w:type="dxa"/>
          </w:tcPr>
          <w:p>
            <w:pPr>
              <w:spacing w:before="40" w:after="40" w:line="240" w:lineRule="auto"/>
            </w:pPr>
            <w:r>
              <w:rPr>
                <w:rFonts w:ascii="Segoe UI" w:hAnsi="Segoe UI" w:cs="Segoe UI" w:eastAsia="Segoe UI"/>
                <w:sz w:val="16"/>
                <w:szCs w:val="16"/>
              </w:rPr>
              <w:t xml:space="preserve">Philippine peso</w:t>
            </w:r>
          </w:p>
        </w:tc>
      </w:tr>
      <w:tr>
        <w:trPr>
          <w:cantSplit/>
        </w:trPr>
        <w:tc>
          <w:tcPr>
            <w:tcW w:w="2708" w:type="dxa"/>
          </w:tcPr>
          <w:p>
            <w:pPr>
              <w:spacing w:before="40" w:after="40" w:line="240" w:lineRule="auto"/>
            </w:pPr>
            <w:r>
              <w:rPr>
                <w:rFonts w:ascii="Segoe UI" w:hAnsi="Segoe UI" w:cs="Segoe UI" w:eastAsia="Segoe UI"/>
                <w:b/>
                <w:bCs/>
                <w:sz w:val="16"/>
                <w:szCs w:val="16"/>
              </w:rPr>
              <w:t xml:space="preserve">SIT</w:t>
            </w:r>
          </w:p>
        </w:tc>
        <w:tc>
          <w:tcPr>
            <w:tcW w:w="6319" w:type="dxa"/>
          </w:tcPr>
          <w:p>
            <w:pPr>
              <w:spacing w:before="40" w:after="40" w:line="240" w:lineRule="auto"/>
            </w:pPr>
            <w:r>
              <w:rPr>
                <w:rFonts w:ascii="Segoe UI" w:hAnsi="Segoe UI" w:cs="Segoe UI" w:eastAsia="Segoe UI"/>
                <w:sz w:val="16"/>
                <w:szCs w:val="16"/>
              </w:rPr>
              <w:t xml:space="preserve">System integration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TIN</w:t>
            </w:r>
          </w:p>
        </w:tc>
        <w:tc>
          <w:tcPr>
            <w:tcW w:w="6319" w:type="dxa"/>
          </w:tcPr>
          <w:p>
            <w:pPr>
              <w:spacing w:before="40" w:after="40" w:line="240" w:lineRule="auto"/>
            </w:pPr>
            <w:r>
              <w:rPr>
                <w:rFonts w:ascii="Segoe UI" w:hAnsi="Segoe UI" w:cs="Segoe UI" w:eastAsia="Segoe UI"/>
                <w:sz w:val="16"/>
                <w:szCs w:val="16"/>
              </w:rPr>
              <w:t xml:space="preserve">Taxpayer identification number</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0"/>
        </w:numPr>
        <w:ind w:left="0" w:firstLine="0"/>
      </w:pPr>
      <w:bookmarkStart w:id="1003" w:name="_Toc300001003"/>
      <w:r>
        <w:rPr>
          <w:rFonts w:ascii="Segoe UI" w:hAnsi="Segoe UI" w:cs="Segoe UI" w:eastAsia="Segoe UI"/>
        </w:rPr>
        <w:t xml:space="preserve">Introduction</w:t>
      </w:r>
      <w:bookmarkEnd w:id="1003"/>
    </w:p>
    <w:p xmlns:a="http://schemas.openxmlformats.org/drawingml/2006/main" xmlns:pic="http://schemas.openxmlformats.org/drawingml/2006/picture">
      <w:pPr>
        <w:jc w:val="both"/>
      </w:pPr>
      <w:r>
        <w:rPr>
          <w:rFonts w:ascii="Segoe UI" w:hAnsi="Segoe UI" w:cs="Segoe UI" w:eastAsia="Segoe UI"/>
        </w:rPr>
        <w:t xml:space="preserve">Thank you for the review. This reply covers each point you raised, what we will change, and the decisions we need from TISPH. The screens you showed (Risk Mapping, the Coverage Builder information bar and the blue manual) are the first items we will correct.</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"Hide full identifiers" in the profile menu</w:t>
      </w:r>
      <w:bookmarkEnd w:id="1004"/>
    </w:p>
    <w:p xmlns:a="http://schemas.openxmlformats.org/drawingml/2006/main" xmlns:pic="http://schemas.openxmlformats.org/drawingml/2006/picture">
      <w:pPr>
        <w:jc w:val="both"/>
      </w:pPr>
      <w:r>
        <w:rPr>
          <w:rFonts w:ascii="Segoe UI" w:hAnsi="Segoe UI" w:cs="Segoe UI" w:eastAsia="Segoe UI"/>
          <w:b/>
          <w:bCs/>
        </w:rPr>
        <w:t xml:space="preserve">What it does today.</w:t>
      </w:r>
      <w:r>
        <w:rPr>
          <w:rFonts w:ascii="Segoe UI" w:hAnsi="Segoe UI" w:cs="Segoe UI" w:eastAsia="Segoe UI"/>
        </w:rPr>
        <w:t xml:space="preserve"> Users who are allowed to see personal data can use it to switch personal identifiers between masked and full for the current browser tab. The identifiers are TIN, government ID numbers, mobile number, e-mail, bank account and birth date. Your screenshot shows the switch turned on.</w:t>
      </w:r>
    </w:p>
    <w:p xmlns:a="http://schemas.openxmlformats.org/drawingml/2006/main" xmlns:pic="http://schemas.openxmlformats.org/drawingml/2006/picture">
      <w:pPr>
        <w:jc w:val="both"/>
      </w:pPr>
      <w:r>
        <w:rPr>
          <w:rFonts w:ascii="Segoe UI" w:hAnsi="Segoe UI" w:cs="Segoe UI" w:eastAsia="Segoe UI"/>
          <w:b/>
          <w:bCs/>
        </w:rPr>
        <w:t xml:space="preserve">Why it seems to do nothing.</w:t>
      </w:r>
      <w:r>
        <w:rPr>
          <w:rFonts w:ascii="Segoe UI" w:hAnsi="Segoe UI" w:cs="Segoe UI" w:eastAsia="Segoe UI"/>
        </w:rPr>
        <w:t xml:space="preserve"> TISPH runs the setting "always show full values to permitted users":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Sales, Operations, Finance and the General Manager always see full values.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Cash Control and IT AppSupport always see masked values.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 this setting the switch changes nothing, and the label means nothing to a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In the other setting ("show on request"), the switch reaches only some screens. Prospects, clients, quotations and policies stay masked even when it is on. Turning the switch on or off is not recorded.</w:t>
      </w:r>
    </w:p>
    <w:p xmlns:a="http://schemas.openxmlformats.org/drawingml/2006/main" xmlns:pic="http://schemas.openxmlformats.org/drawingml/2006/picture">
      <w:pPr>
        <w:jc w:val="both"/>
      </w:pPr>
      <w:r>
        <w:rPr>
          <w:rFonts w:ascii="Segoe UI" w:hAnsi="Segoe UI" w:cs="Segoe UI" w:eastAsia="Segoe UI"/>
        </w:rPr>
        <w:t xml:space="preserve">The protection itself is sound. The server decides who sees what on every screen, list and export, so the switch can never give anyone more access than their role allows.</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What will change.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Right away: the item is removed from the profile menu while TISPH uses "always", and a user who signs in after someone else in the same browser never starts with identifiers shown.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Security fixes, whatever TISPH decides: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after saving a record, a user without the permission sees identifiers masked;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set-up and migration downloads are masked for users without the permission;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switch works on every screen.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If TISPH chooses "show on request":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item reads </w:t>
      </w:r>
      <w:r>
        <w:rPr>
          <w:rFonts w:ascii="Segoe UI" w:hAnsi="Segoe UI" w:cs="Segoe UI" w:eastAsia="Segoe UI"/>
          <w:b/>
          <w:bCs/>
        </w:rPr>
        <w:t xml:space="preserve">"Show personal data in full"</w:t>
      </w:r>
      <w:r>
        <w:rPr>
          <w:rFonts w:ascii="Segoe UI" w:hAnsi="Segoe UI" w:cs="Segoe UI" w:eastAsia="Segoe UI"/>
        </w:rPr>
        <w:t xml:space="preserv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full values are shown for a limited time (15 minutes by default), with an optional reason;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countdown is shown at the top of the screen while full values are shown;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full values end at sign-out;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each use is recorded in the audit trail with the screens opened.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Why the manual is blue, and the TISPH edition</w:t>
      </w:r>
      <w:bookmarkEnd w:id="1005"/>
    </w:p>
    <w:p xmlns:a="http://schemas.openxmlformats.org/drawingml/2006/main" xmlns:pic="http://schemas.openxmlformats.org/drawingml/2006/picture">
      <w:pPr>
        <w:jc w:val="both"/>
      </w:pPr>
      <w:r>
        <w:rPr>
          <w:rFonts w:ascii="Segoe UI" w:hAnsi="Segoe UI" w:cs="Segoe UI" w:eastAsia="Segoe UI"/>
          <w:b/>
          <w:bCs/>
        </w:rPr>
        <w:t xml:space="preserve">Why it is blue.</w:t>
      </w:r>
      <w:r>
        <w:rPr>
          <w:rFonts w:ascii="Segoe UI" w:hAnsi="Segoe UI" w:cs="Segoe UI" w:eastAsia="Segoe UI"/>
        </w:rPr>
        <w:t xml:space="preserve"> There is only one manual today: the general product manual. It is built with the product's default blue colours and generic text: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"BrokerVerse OOTB", seven generic job roles and a chapter on a data load screen TISPH does not have;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screenshots of the generic system;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PDF in the vendor's blue template.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 TISPH environments therefore show the general manual.</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What the TISPH edition will look like.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Title "Toyota Insurance Services Philippines – User Manual", with the Toyota Insurance Services logo and your brand colours: black buttons, light grey table headers, Toyota red accent and the same font as the screens. Version, date and approval status are on every page and on the PDF cover.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Chapters: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Getting started, with Microsoft sign-in.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TISPH process end to end, from TFS and dealer leads to quotation, placement, policy, Cash Control collection, remittance, commission, claims, renewals and month-end.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One chapter for each of the 13 TISPH roles. Each chapter shows the role's menus, what the role can view, change and approve, who approves its work, and its segregation-of-duties rules.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 screen reference that covers only the screens TISPH has, then reports and a glossary.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role chapters are produced from the system's actual set-up. A change to menus or access that is not reflected in the manual stops the release.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Generic roles, withdrawn features and technical codes are removed. A check stops the release if any of them reappear.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Screenshots are retaken from the TISPH system with fictional sample data, never from a shared environment.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PDF uses a TISPH document template. In-app Help opens the section for the current screen and the chapter for the user's own role.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edition stays "Draft" until TISPH signs it off. Any later change shows it as "Draft" again until the next sign-off.</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We recommend that the manual require sign-in before Production, because it describes roles, approval rights and Cash Control procedures.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Environment Promotion</w:t>
      </w:r>
      <w:bookmarkEnd w:id="1006"/>
    </w:p>
    <w:p xmlns:a="http://schemas.openxmlformats.org/drawingml/2006/main" xmlns:pic="http://schemas.openxmlformats.org/drawingml/2006/picture">
      <w:pPr>
        <w:jc w:val="both"/>
      </w:pPr>
      <w:r>
        <w:rPr>
          <w:rFonts w:ascii="Segoe UI" w:hAnsi="Segoe UI" w:cs="Segoe UI" w:eastAsia="Segoe UI"/>
          <w:b/>
          <w:bCs/>
        </w:rPr>
        <w:t xml:space="preserve">In brief.</w:t>
      </w:r>
      <w:r>
        <w:rPr>
          <w:rFonts w:ascii="Segoe UI" w:hAnsi="Segoe UI" w:cs="Segoe UI" w:eastAsia="Segoe UI"/>
        </w:rPr>
        <w:t xml:space="preserve"> A new menu, </w:t>
      </w:r>
      <w:r>
        <w:rPr>
          <w:rFonts w:ascii="Segoe UI" w:hAnsi="Segoe UI" w:cs="Segoe UI" w:eastAsia="Segoe UI"/>
          <w:b/>
          <w:bCs/>
        </w:rPr>
        <w:t xml:space="preserve">Environment Promotion</w:t>
      </w:r>
      <w:r>
        <w:rPr>
          <w:rFonts w:ascii="Segoe UI" w:hAnsi="Segoe UI" w:cs="Segoe UI" w:eastAsia="Segoe UI"/>
        </w:rPr>
        <w:t xml:space="preserve">, for the System Administrator only, or also for IT AppSupport if TISPH confirms. It moves configuration from Dev to SIT, UAT, Pre-Prod and Production. Configuration means products and product versions, rates, rules, masters, accounting set-up, roles, documents and settings.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Export.</w:t>
      </w:r>
      <w:r>
        <w:rPr>
          <w:rFonts w:ascii="Segoe UI" w:hAnsi="Segoe UI" w:cs="Segoe UI" w:eastAsia="Segoe UI"/>
        </w:rPr>
        <w:t xml:space="preserve"> Choose areas or single items. Everything they depend on is added automatically. The package is sealed with the source environment's digital signature.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Import.</w:t>
      </w:r>
      <w:r>
        <w:rPr>
          <w:rFonts w:ascii="Segoe UI" w:hAnsi="Segoe UI" w:cs="Segoe UI" w:eastAsia="Segoe UI"/>
        </w:rPr>
        <w:t xml:space="preserve"> The package is checked first: signature, allowed route, same release, no passwords or personal data. A trial run saves nothing and shows each item as New, Changed, Unchanged, Conflict or Blocked, with field-level differences.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Approval.</w:t>
      </w:r>
      <w:r>
        <w:rPr>
          <w:rFonts w:ascii="Segoe UI" w:hAnsi="Segoe UI" w:cs="Segoe UI" w:eastAsia="Segoe UI"/>
        </w:rPr>
        <w:t xml:space="preserve"> A second administrator approves. In Production this also needs a change reference and an authenticator code.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Apply.</w:t>
      </w:r>
      <w:r>
        <w:rPr>
          <w:rFonts w:ascii="Segoe UI" w:hAnsi="Segoe UI" w:cs="Segoe UI" w:eastAsia="Segoe UI"/>
        </w:rPr>
        <w:t xml:space="preserve"> All items are applied together or none are. A snapshot is taken first so the import can be rolled back.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Never moved:</w:t>
      </w:r>
      <w:r>
        <w:rPr>
          <w:rFonts w:ascii="Segoe UI" w:hAnsi="Segoe UI" w:cs="Segoe UI" w:eastAsia="Segoe UI"/>
        </w:rPr>
        <w:t xml:space="preserve"> transactions, users' passwords, secrets, system addresses, number counters and personal or bank data.</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How you verify what you moved</w:t>
      </w:r>
      <w:r>
        <w:rPr>
          <w:rFonts w:ascii="Segoe UI" w:hAnsi="Segoe UI" w:cs="Segoe UI" w:eastAsia="Segoe UI"/>
        </w:rPr>
        <w:t xml:space="preserve"> (your follow-up question):</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Result report</w:t>
      </w:r>
      <w:r>
        <w:rPr>
          <w:rFonts w:ascii="Segoe UI" w:hAnsi="Segoe UI" w:cs="Segoe UI" w:eastAsia="Segoe UI"/>
        </w:rPr>
        <w:t xml:space="preserve">, in Excel and PDF: counts per area and per item, with the reason for every item skipped or failed.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Automatic check.</w:t>
      </w:r>
      <w:r>
        <w:rPr>
          <w:rFonts w:ascii="Segoe UI" w:hAnsi="Segoe UI" w:cs="Segoe UI" w:eastAsia="Segoe UI"/>
        </w:rPr>
        <w:t xml:space="preserve"> The receiving environment checks every item against the package and reports "n of n items match the package", listing any difference. The check can be run again at any time.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Compare at any time.</w:t>
      </w:r>
      <w:r>
        <w:rPr>
          <w:rFonts w:ascii="Segoe UI" w:hAnsi="Segoe UI" w:cs="Segoe UI" w:eastAsia="Segoe UI"/>
        </w:rPr>
        <w:t xml:space="preserve"> Compare an environment with a package, or two environments with a package from each. Differences are listed as missing, different or extra.</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Sample cases.</w:t>
      </w:r>
      <w:r>
        <w:rPr>
          <w:rFonts w:ascii="Segoe UI" w:hAnsi="Segoe UI" w:cs="Segoe UI" w:eastAsia="Segoe UI"/>
        </w:rPr>
        <w:t xml:space="preserve"> Sample cases are run again in the receiving environment, with a pass or fail for each:</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premium of a sample quotation per product;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acceptance rule outcomes;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balanced accounting entries with the expected accounts;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document printing;</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document number formats.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History.</w:t>
      </w:r>
      <w:r>
        <w:rPr>
          <w:rFonts w:ascii="Segoe UI" w:hAnsi="Segoe UI" w:cs="Segoe UI" w:eastAsia="Segoe UI"/>
        </w:rPr>
        <w:t xml:space="preserve"> Each moved record's history shows "Promoted from UAT, package no., date". Product and posting rule versions keep the source version number.</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Promotion History.</w:t>
      </w:r>
      <w:r>
        <w:rPr>
          <w:rFonts w:ascii="Segoe UI" w:hAnsi="Segoe UI" w:cs="Segoe UI" w:eastAsia="Segoe UI"/>
        </w:rPr>
        <w:t xml:space="preserve"> Every package, who exported, imported, approved and applied it, and the result.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Sign-off pack</w:t>
      </w:r>
      <w:r>
        <w:rPr>
          <w:rFonts w:ascii="Segoe UI" w:hAnsi="Segoe UI" w:cs="Segoe UI" w:eastAsia="Segoe UI"/>
        </w:rPr>
        <w:t xml:space="preserve"> in PDF, for UAT and Production sign-off. If the check fails, the import can be rolled back, with approval in Production.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Added beyond your request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Packages that cannot be edited between export and import (digital signature, with a list of trusted environments).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 package from another release version is refused.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Allowed routes only (for example, UAT cannot be skipped). An emergency change in Production is copied back to the lower environments on record.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 change made directly in the receiving environment is shown as a conflict and is never overwritten silently.</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Snapshot before every import and approved rollback, with no database restore.</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Production rules: a second administrator who did not export the package, a change reference and an authenticator code.</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Finance and access approvals still apply. Posting rules, account set-up, approval limits and role access arrive as pending changes for their usual approvers.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Pending approvals in the receiving environment are never cancelled by a package.</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Changes to rates, product versions and posting rules take effect on a business date. An import can be scheduled for a maintenance window.</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Freeze periods, for example month-end close, during which nothing is applied in Production.</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Settings that differ by environment (addresses, interface modes, folders) stay apart. New items list the values to complete in the receiving environment.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Every package is checked for passwords and personal data before it leaves and when it arrives.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Release notes from the audit trail, so the approver sees who changed what in the source.</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For any product, rate or rule: which package changed it, when and by whom.</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 warning on screen when an environment is not marked correctly, for example a Production copy restored into Pre-Prod.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An option to run the move from the deployment pipeline without a shared administrator password. Production approval stays with people.</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Pending promotions in My Work and in notifications.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Packages kept private, with every download recorded.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Imports that never block business users for long.</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One definition of each master shared by upload, promotion and comparison, so nothing can be uploaded but not promoted, or the other way round.</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Promotion records kept when test data is cleared before go-live.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Copy of a transaction</w:t>
      </w:r>
      <w:bookmarkEnd w:id="1007"/>
    </w:p>
    <w:p xmlns:a="http://schemas.openxmlformats.org/drawingml/2006/main" xmlns:pic="http://schemas.openxmlformats.org/drawingml/2006/picture">
      <w:pPr>
        <w:jc w:val="both"/>
      </w:pPr>
      <w:r>
        <w:rPr>
          <w:rFonts w:ascii="Segoe UI" w:hAnsi="Segoe UI" w:cs="Segoe UI" w:eastAsia="Segoe UI"/>
          <w:b/>
          <w:bCs/>
        </w:rPr>
        <w:t xml:space="preserve">How it works.</w:t>
      </w:r>
      <w:r>
        <w:rPr>
          <w:rFonts w:ascii="Segoe UI" w:hAnsi="Segoe UI" w:cs="Segoe UI" w:eastAsia="Segoe UI"/>
        </w:rPr>
        <w:t xml:space="preserve"> Open the record and choose </w:t>
      </w:r>
      <w:r>
        <w:rPr>
          <w:rFonts w:ascii="Segoe UI" w:hAnsi="Segoe UI" w:cs="Segoe UI" w:eastAsia="Segoe UI"/>
          <w:b/>
          <w:bCs/>
        </w:rPr>
        <w:t xml:space="preserve">Copy</w:t>
      </w:r>
      <w:r>
        <w:rPr>
          <w:rFonts w:ascii="Segoe UI" w:hAnsi="Segoe UI" w:cs="Segoe UI" w:eastAsia="Segoe UI"/>
        </w:rPr>
        <w:t xml:space="preserve">. A short dialog shows: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parts to carry over, each ticked by default and changeable;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few fields to enter for the new record;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what starts fresh;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warnings, for example "insurer no longer active, not carried over" or "premium now PHP 23,171.25 (was PHP 22,950.00)".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Confirm, and the new record opens for you to change only what differs.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new record goes through every check that a new record goes through. Premiums and taxes are always recalculated.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new record never carries: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record number, status, dates or approvals;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payments, journal entries or links to later steps;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plate, chassis and engine numbers, or COC and authentication codes;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insurer references, documents or signatures.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Personal data is copied in the system, so it is kept even when the user sees it masked.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Both records show the link: "Copied from QT-2026-00012" and "Copies".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Transactions with Copy.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11"/>
        <w:gridCol w:w="4616"/>
      </w:tblGrid>
      <w:tr>
        <w:trPr>
          <w:cantSplit/>
          <w:tblHeader/>
          <w:trHeight w:val="400"/>
        </w:trPr>
        <w:tc>
          <w:tcPr>
            <w:tcW w:w="4411" w:type="dxa"/>
            <w:shd w:val="clear" w:color="auto" w:fill="E8F0F8"/>
            <w:vAlign w:val="center"/>
          </w:tcPr>
          <w:p>
            <w:pPr>
              <w:spacing w:before="40" w:after="40" w:line="240" w:lineRule="auto"/>
            </w:pPr>
            <w:r>
              <w:rPr>
                <w:rFonts w:ascii="Segoe UI" w:hAnsi="Segoe UI" w:cs="Segoe UI" w:eastAsia="Segoe UI"/>
                <w:b/>
                <w:bCs/>
                <w:sz w:val="16"/>
                <w:szCs w:val="16"/>
              </w:rPr>
              <w:t xml:space="preserve">First release</w:t>
            </w:r>
          </w:p>
        </w:tc>
        <w:tc>
          <w:tcPr>
            <w:tcW w:w="4616" w:type="dxa"/>
            <w:shd w:val="clear" w:color="auto" w:fill="E8F0F8"/>
            <w:vAlign w:val="center"/>
          </w:tcPr>
          <w:p>
            <w:pPr>
              <w:spacing w:before="40" w:after="40" w:line="240" w:lineRule="auto"/>
            </w:pPr>
            <w:r>
              <w:rPr>
                <w:rFonts w:ascii="Segoe UI" w:hAnsi="Segoe UI" w:cs="Segoe UI" w:eastAsia="Segoe UI"/>
                <w:b/>
                <w:bCs/>
                <w:sz w:val="16"/>
                <w:szCs w:val="16"/>
              </w:rPr>
              <w:t xml:space="preserve">Second release</w:t>
            </w:r>
          </w:p>
        </w:tc>
      </w:tr>
      <w:tr>
        <w:trPr>
          <w:cantSplit/>
        </w:trPr>
        <w:tc>
          <w:tcPr>
            <w:tcW w:w="4411" w:type="dxa"/>
          </w:tcPr>
          <w:p>
            <w:pPr>
              <w:spacing w:before="40" w:after="40" w:line="240" w:lineRule="auto"/>
            </w:pPr>
            <w:r>
              <w:rPr>
                <w:rFonts w:ascii="Segoe UI" w:hAnsi="Segoe UI" w:cs="Segoe UI" w:eastAsia="Segoe UI"/>
                <w:sz w:val="16"/>
                <w:szCs w:val="16"/>
              </w:rPr>
              <w:t xml:space="preserve">Quotation (also the re-quote of an expired quotation)</w:t>
            </w:r>
          </w:p>
        </w:tc>
        <w:tc>
          <w:tcPr>
            <w:tcW w:w="4616" w:type="dxa"/>
          </w:tcPr>
          <w:p>
            <w:pPr>
              <w:spacing w:before="40" w:after="40" w:line="240" w:lineRule="auto"/>
            </w:pPr>
            <w:r>
              <w:rPr>
                <w:rFonts w:ascii="Segoe UI" w:hAnsi="Segoe UI" w:cs="Segoe UI" w:eastAsia="Segoe UI"/>
                <w:sz w:val="16"/>
                <w:szCs w:val="16"/>
              </w:rPr>
              <w:t xml:space="preserve">Journal voucher (number taken only on save)</w:t>
            </w:r>
          </w:p>
        </w:tc>
      </w:tr>
      <w:tr>
        <w:trPr>
          <w:cantSplit/>
        </w:trPr>
        <w:tc>
          <w:tcPr>
            <w:tcW w:w="4411" w:type="dxa"/>
          </w:tcPr>
          <w:p>
            <w:pPr>
              <w:spacing w:before="40" w:after="40" w:line="240" w:lineRule="auto"/>
            </w:pPr>
            <w:r>
              <w:rPr>
                <w:rFonts w:ascii="Segoe UI" w:hAnsi="Segoe UI" w:cs="Segoe UI" w:eastAsia="Segoe UI"/>
                <w:sz w:val="16"/>
                <w:szCs w:val="16"/>
              </w:rPr>
              <w:t xml:space="preserve">Policy to a new quotation (second vehicle, another product; not a renewal)</w:t>
            </w:r>
          </w:p>
        </w:tc>
        <w:tc>
          <w:tcPr>
            <w:tcW w:w="4616" w:type="dxa"/>
          </w:tcPr>
          <w:p>
            <w:pPr>
              <w:spacing w:before="40" w:after="40" w:line="240" w:lineRule="auto"/>
            </w:pPr>
            <w:r>
              <w:rPr>
                <w:rFonts w:ascii="Segoe UI" w:hAnsi="Segoe UI" w:cs="Segoe UI" w:eastAsia="Segoe UI"/>
                <w:sz w:val="16"/>
                <w:szCs w:val="16"/>
              </w:rPr>
              <w:t xml:space="preserve">Supplier invoice</w:t>
            </w:r>
          </w:p>
        </w:tc>
      </w:tr>
      <w:tr>
        <w:trPr>
          <w:cantSplit/>
        </w:trPr>
        <w:tc>
          <w:tcPr>
            <w:tcW w:w="4411" w:type="dxa"/>
          </w:tcPr>
          <w:p>
            <w:pPr>
              <w:spacing w:before="40" w:after="40" w:line="240" w:lineRule="auto"/>
            </w:pPr>
            <w:r>
              <w:rPr>
                <w:rFonts w:ascii="Segoe UI" w:hAnsi="Segoe UI" w:cs="Segoe UI" w:eastAsia="Segoe UI"/>
                <w:sz w:val="16"/>
                <w:szCs w:val="16"/>
              </w:rPr>
              <w:t xml:space="preserve">Prospect (for example TFS fleet loans for one customer)</w:t>
            </w:r>
          </w:p>
        </w:tc>
        <w:tc>
          <w:tcPr>
            <w:tcW w:w="4616" w:type="dxa"/>
          </w:tcPr>
          <w:p>
            <w:pPr>
              <w:spacing w:before="40" w:after="40" w:line="240" w:lineRule="auto"/>
            </w:pPr>
            <w:r>
              <w:rPr>
                <w:rFonts w:ascii="Segoe UI" w:hAnsi="Segoe UI" w:cs="Segoe UI" w:eastAsia="Segoe UI"/>
                <w:sz w:val="16"/>
                <w:szCs w:val="16"/>
              </w:rPr>
              <w:t xml:space="preserve">Campaign</w:t>
            </w:r>
          </w:p>
        </w:tc>
      </w:tr>
      <w:tr>
        <w:trPr>
          <w:cantSplit/>
        </w:trPr>
        <w:tc>
          <w:tcPr>
            <w:tcW w:w="4411" w:type="dxa"/>
          </w:tcPr>
          <w:p>
            <w:pPr>
              <w:spacing w:before="40" w:after="40" w:line="240" w:lineRule="auto"/>
            </w:pPr>
            <w:r>
              <w:rPr>
                <w:rFonts w:ascii="Segoe UI" w:hAnsi="Segoe UI" w:cs="Segoe UI" w:eastAsia="Segoe UI"/>
                <w:sz w:val="16"/>
                <w:szCs w:val="16"/>
              </w:rPr>
              <w:t xml:space="preserve">Request for Quotation</w:t>
            </w:r>
          </w:p>
        </w:tc>
        <w:tc>
          <w:tcPr>
            <w:tcW w:w="4616" w:type="dxa"/>
          </w:tcPr>
          <w:p>
            <w:pPr>
              <w:spacing w:before="40" w:after="40" w:line="240" w:lineRule="auto"/>
            </w:pPr>
            <w:r>
              <w:rPr>
                <w:rFonts w:ascii="Segoe UI" w:hAnsi="Segoe UI" w:cs="Segoe UI" w:eastAsia="Segoe UI"/>
                <w:sz w:val="16"/>
                <w:szCs w:val="16"/>
              </w:rPr>
              <w:t xml:space="preserve">Incentive program</w:t>
            </w:r>
          </w:p>
        </w:tc>
      </w:tr>
      <w:tr>
        <w:trPr>
          <w:cantSplit/>
        </w:trPr>
        <w:tc>
          <w:tcPr>
            <w:tcW w:w="4411" w:type="dxa"/>
          </w:tcPr>
          <w:p>
            <w:pPr>
              <w:spacing w:before="40" w:after="40" w:line="240" w:lineRule="auto"/>
            </w:pPr>
            <w:r>
              <w:rPr>
                <w:rFonts w:ascii="Segoe UI" w:hAnsi="Segoe UI" w:cs="Segoe UI" w:eastAsia="Segoe UI"/>
                <w:sz w:val="16"/>
                <w:szCs w:val="16"/>
              </w:rPr>
              <w:t xml:space="preserve">Fleet vehicle on a fleet schedule (all details except plate, chassis and engine)</w:t>
            </w:r>
          </w:p>
        </w:tc>
        <w:tc>
          <w:tcPr>
            <w:tcW w:w="4616" w:type="dxa"/>
          </w:tcPr>
          <w:p>
            <w:pPr>
              <w:spacing w:before="40" w:after="40" w:line="240" w:lineRule="auto"/>
            </w:pPr>
            <w:r>
              <w:rPr>
                <w:rFonts w:ascii="Segoe UI" w:hAnsi="Segoe UI" w:cs="Segoe UI" w:eastAsia="Segoe UI"/>
                <w:sz w:val="16"/>
                <w:szCs w:val="16"/>
              </w:rPr>
              <w:t xml:space="preserve">Product template: "Copy as new product"</w:t>
            </w:r>
          </w:p>
        </w:tc>
      </w:tr>
      <w:tr>
        <w:trPr>
          <w:cantSplit/>
        </w:trPr>
        <w:tc>
          <w:tcPr>
            <w:tcW w:w="4411" w:type="dxa"/>
          </w:tcPr>
          <w:p>
            <w:pPr>
              <w:spacing w:before="40" w:after="40" w:line="240" w:lineRule="auto"/>
            </w:pPr>
          </w:p>
        </w:tc>
        <w:tc>
          <w:tcPr>
            <w:tcW w:w="4616" w:type="dxa"/>
          </w:tcPr>
          <w:p>
            <w:pPr>
              <w:spacing w:before="40" w:after="40" w:line="240" w:lineRule="auto"/>
            </w:pPr>
            <w:r>
              <w:rPr>
                <w:rFonts w:ascii="Segoe UI" w:hAnsi="Segoe UI" w:cs="Segoe UI" w:eastAsia="Segoe UI"/>
                <w:sz w:val="16"/>
                <w:szCs w:val="16"/>
              </w:rPr>
              <w:t xml:space="preserve">Role (with its restrictions and segregation-of-duties rules)</w:t>
            </w:r>
          </w:p>
        </w:tc>
      </w:tr>
      <w:tr>
        <w:trPr>
          <w:cantSplit/>
        </w:trPr>
        <w:tc>
          <w:tcPr>
            <w:tcW w:w="4411" w:type="dxa"/>
          </w:tcPr>
          <w:p>
            <w:pPr>
              <w:spacing w:before="40" w:after="40" w:line="240" w:lineRule="auto"/>
            </w:pPr>
          </w:p>
        </w:tc>
        <w:tc>
          <w:tcPr>
            <w:tcW w:w="4616" w:type="dxa"/>
          </w:tcPr>
          <w:p>
            <w:pPr>
              <w:spacing w:before="40" w:after="40" w:line="240" w:lineRule="auto"/>
            </w:pPr>
            <w:r>
              <w:rPr>
                <w:rFonts w:ascii="Segoe UI" w:hAnsi="Segoe UI" w:cs="Segoe UI" w:eastAsia="Segoe UI"/>
                <w:sz w:val="16"/>
                <w:szCs w:val="16"/>
              </w:rPr>
              <w:t xml:space="preserve">User (roles and organisation; new password)</w:t>
            </w:r>
          </w:p>
        </w:tc>
      </w:tr>
      <w:tr>
        <w:trPr>
          <w:cantSplit/>
        </w:trPr>
        <w:tc>
          <w:tcPr>
            <w:tcW w:w="4411" w:type="dxa"/>
          </w:tcPr>
          <w:p>
            <w:pPr>
              <w:spacing w:before="40" w:after="40" w:line="240" w:lineRule="auto"/>
            </w:pPr>
          </w:p>
        </w:tc>
        <w:tc>
          <w:tcPr>
            <w:tcW w:w="4616" w:type="dxa"/>
          </w:tcPr>
          <w:p>
            <w:pPr>
              <w:spacing w:before="40" w:after="40" w:line="240" w:lineRule="auto"/>
            </w:pPr>
            <w:r>
              <w:rPr>
                <w:rFonts w:ascii="Segoe UI" w:hAnsi="Segoe UI" w:cs="Segoe UI" w:eastAsia="Segoe UI"/>
                <w:sz w:val="16"/>
                <w:szCs w:val="16"/>
              </w:rPr>
              <w:t xml:space="preserve">Approval limits, as proposals for a second administrator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Without Copy, by design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Endorsement: it changes one policy's premium on one date.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Claim: each claim is one loss event.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Receipt: risk of counting money twice.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Payment voucher: risk of paying twice.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Placement slip: one per quotation.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Policy as a policy: a policy exists only once the insurer's e-policy is booked. Use "Policy to a new quotation".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8" w:name="_Toc300001008"/>
      <w:r>
        <w:rPr>
          <w:rFonts w:ascii="Segoe UI" w:hAnsi="Segoe UI" w:cs="Segoe UI" w:eastAsia="Segoe UI"/>
        </w:rPr>
        <w:t xml:space="preserve">Upload with template for every master</w:t>
      </w:r>
      <w:bookmarkEnd w:id="1008"/>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Which masters.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59 of the 76 Master and Product Configurator screens: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organisation, insurers, products, policy types, covers and vehicles;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locations, hierarchy and designations;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users and roles with their permissions, and approval limits;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finance masters: chart of accounts, banks and bank accounts, currencies, exchange rates, transaction codes, tax codes, premium taxes and LGU rates, commission rates, insurer rate tables, package bundles, statement and bank file formats, close checklist, remittance master, incentive programs;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document signatures, message templates, schedules, numbering and settings;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product templates through a product workbook.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Five set-up lists outside the Master menu: Suppliers, Agents and Referrer Accounts, CTPL Authentication series, Dealer Programmes and Insurer Override Agreements.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Handled by Environment Promotion instead of Excel: posting rules, e-mail and document layouts, integrations and payment gateways. They hold layouts, files or environment-specific values.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How it works.</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Download:</w:t>
      </w:r>
      <w:r>
        <w:rPr>
          <w:rFonts w:ascii="Segoe UI" w:hAnsi="Segoe UI" w:cs="Segoe UI" w:eastAsia="Segoe UI"/>
        </w:rPr>
        <w:t xml:space="preserve"> a blank template or the current data. Each template has a short instruction sheet, drop-down lists for every reference field and no sample rows that could be loaded by mistake.</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Upload:</w:t>
      </w:r>
      <w:r>
        <w:rPr>
          <w:rFonts w:ascii="Segoe UI" w:hAnsi="Segoe UI" w:cs="Segoe UI" w:eastAsia="Segoe UI"/>
        </w:rPr>
        <w:t xml:space="preserve"> the file is checked first and nothing is saved. You see every row as New, Changed (old and new value), Unchanged or Error, with an errors file to download.</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Apply.</w:t>
      </w:r>
      <w:r>
        <w:rPr>
          <w:rFonts w:ascii="Segoe UI" w:hAnsi="Segoe UI" w:cs="Segoe UI" w:eastAsia="Segoe UI"/>
        </w:rPr>
        <w:t xml:space="preserve"> For masters that need a second person, the upload goes for approval instead. The same rule applies to changes made on the screen.</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Rules: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existing codes are updated and new codes are created;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an empty cell keeps the stored value;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records are deactivated, never deleted;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masked personal data never overwrites real data.</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Evidence:</w:t>
      </w:r>
      <w:r>
        <w:rPr>
          <w:rFonts w:ascii="Segoe UI" w:hAnsi="Segoe UI" w:cs="Segoe UI" w:eastAsia="Segoe UI"/>
        </w:rPr>
        <w:t xml:space="preserve"> a results report in Excel and PDF, an upload history per master, and one entry in each changed record's history. A load can be undone.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One-time set-up.</w:t>
      </w:r>
      <w:r>
        <w:rPr>
          <w:rFonts w:ascii="Segoe UI" w:hAnsi="Segoe UI" w:cs="Segoe UI" w:eastAsia="Segoe UI"/>
        </w:rPr>
        <w:t xml:space="preserve"> A </w:t>
      </w:r>
      <w:r>
        <w:rPr>
          <w:rFonts w:ascii="Segoe UI" w:hAnsi="Segoe UI" w:cs="Segoe UI" w:eastAsia="Segoe UI"/>
          <w:b/>
          <w:bCs/>
        </w:rPr>
        <w:t xml:space="preserve">Setup Workbook</w:t>
      </w:r>
      <w:r>
        <w:rPr>
          <w:rFonts w:ascii="Segoe UI" w:hAnsi="Segoe UI" w:cs="Segoe UI" w:eastAsia="Segoe UI"/>
        </w:rPr>
        <w:t xml:space="preserve"> holds every master in the right order. We will convert the master sheets TISPH has already completed (Pre-BSM) into this workbook. We load it, and TISPH signs off from the results report.</w:t>
      </w:r>
    </w:p>
    <w:p xmlns:a="http://schemas.openxmlformats.org/drawingml/2006/main" xmlns:pic="http://schemas.openxmlformats.org/drawingml/2006/picture">
      <w:pPr>
        <w:pStyle w:val="Heading1"/>
        <w:numPr>
          <w:ilvl w:val="0"/>
          <w:numId w:val="14"/>
        </w:numPr>
      </w:pPr>
      <w:bookmarkStart w:id="1009" w:name="_Toc300001009"/>
      <w:r>
        <w:rPr>
          <w:rFonts w:ascii="Segoe UI" w:hAnsi="Segoe UI" w:cs="Segoe UI" w:eastAsia="Segoe UI"/>
        </w:rPr>
        <w:t xml:space="preserve">Risk Mapping: recommendation</w:t>
      </w:r>
      <w:bookmarkEnd w:id="1009"/>
    </w:p>
    <w:p xmlns:a="http://schemas.openxmlformats.org/drawingml/2006/main" xmlns:pic="http://schemas.openxmlformats.org/drawingml/2006/picture">
      <w:pPr>
        <w:jc w:val="both"/>
      </w:pPr>
      <w:r>
        <w:rPr>
          <w:rFonts w:ascii="Segoe UI" w:hAnsi="Segoe UI" w:cs="Segoe UI" w:eastAsia="Segoe UI"/>
          <w:b/>
          <w:bCs/>
        </w:rPr>
        <w:t xml:space="preserve">Today.</w:t>
      </w:r>
      <w:r>
        <w:rPr>
          <w:rFonts w:ascii="Segoe UI" w:hAnsi="Segoe UI" w:cs="Segoe UI" w:eastAsia="Segoe UI"/>
        </w:rPr>
        <w:t xml:space="preserve"> The Risk Mapping screen drives nothing in the TISPH system. Its configuration box is not read by any prospect or quotation screen. For Personal Accident, Group PA, Travel, Credit Life and Parcel, risk details are typed as free label and value pairs on each Request for Quotation. There are no required fields, no lists and no consistent labels on printed documents.</w:t>
      </w:r>
    </w:p>
    <w:p xmlns:a="http://schemas.openxmlformats.org/drawingml/2006/main" xmlns:pic="http://schemas.openxmlformats.org/drawingml/2006/picture">
      <w:pPr>
        <w:jc w:val="both"/>
      </w:pPr>
      <w:r>
        <w:rPr>
          <w:rFonts w:ascii="Segoe UI" w:hAnsi="Segoe UI" w:cs="Segoe UI" w:eastAsia="Segoe UI"/>
          <w:b/>
          <w:bCs/>
        </w:rPr>
        <w:t xml:space="preserve">Recommendation: make it work.</w:t>
      </w:r>
      <w:r>
        <w:rPr>
          <w:rFonts w:ascii="Segoe UI" w:hAnsi="Segoe UI" w:cs="Segoe UI" w:eastAsia="Segoe UI"/>
        </w:rPr>
        <w:t xml:space="preserve"> Replace it with </w:t>
      </w:r>
      <w:r>
        <w:rPr>
          <w:rFonts w:ascii="Segoe UI" w:hAnsi="Segoe UI" w:cs="Segoe UI" w:eastAsia="Segoe UI"/>
          <w:b/>
          <w:bCs/>
        </w:rPr>
        <w:t xml:space="preserve">Risk Details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sections and fields per product, with lists of values, the stage at which a field is required (quotation or issuance), conditions for showing a field, which documents print it, and personal data protection;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versions with second-person approval and an effective date;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read and enforced by the Request for Quotation, placement, quotation and printed documents.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This meets your requirement for configurable sections, fields and lists of values (BRD PROD-07) and uses the field lists TISPH supplied in the Pre-BSM workbook.</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Now:</w:t>
      </w:r>
      <w:r>
        <w:rPr>
          <w:rFonts w:ascii="Segoe UI" w:hAnsi="Segoe UI" w:cs="Segoe UI" w:eastAsia="Segoe UI"/>
        </w:rPr>
        <w:t xml:space="preserve"> remove the current Risk Mapping screen from the menu.</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First release:</w:t>
      </w:r>
      <w:r>
        <w:rPr>
          <w:rFonts w:ascii="Segoe UI" w:hAnsi="Segoe UI" w:cs="Segoe UI" w:eastAsia="Segoe UI"/>
        </w:rPr>
        <w:t xml:space="preserve"> Risk Details for Personal Accident, Group PA, Travel, Credit Life and Parcel.</w:t>
      </w:r>
    </w:p>
    <w:p xmlns:a="http://schemas.openxmlformats.org/drawingml/2006/main" xmlns:pic="http://schemas.openxmlformats.org/drawingml/2006/picture">
      <w:pPr>
        <w:numPr>
          <w:ilvl w:val="0"/>
          <w:numId w:val="18"/>
        </w:numPr>
        <w:spacing w:after="60"/>
        <w:jc w:val="left"/>
      </w:pPr>
      <w:r>
        <w:rPr>
          <w:rFonts w:ascii="Segoe UI" w:hAnsi="Segoe UI" w:cs="Segoe UI" w:eastAsia="Segoe UI"/>
          <w:b/>
          <w:bCs/>
        </w:rPr>
        <w:t xml:space="preserve">Later:</w:t>
      </w:r>
      <w:r>
        <w:rPr>
          <w:rFonts w:ascii="Segoe UI" w:hAnsi="Segoe UI" w:cs="Segoe UI" w:eastAsia="Segoe UI"/>
        </w:rPr>
        <w:t xml:space="preserve"> the motor quotation (Transmission, Business Type, financier on the schedule, the dealer promotion once the Promo Master is agreed), then the use of these fields in acceptance and rating rules.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 alternative is to remove the screen only. This leaves the requirement undelivered and the non-motor risk details free-form.</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Coverage Builder (your screenshot).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information bars on all Product Configurator screens are removed now.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lists open on products currently on sale, so covers of withdrawn templates such as Hospitalization Benefit no longer appear unless "All templates" is chosen.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view becomes a proper record view.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Covers are chosen from the Cover master instead of being typed.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Order of delivery</w:t>
      </w:r>
      <w:bookmarkEnd w:id="1010"/>
    </w:p>
    <w:p xmlns:a="http://schemas.openxmlformats.org/drawingml/2006/main" xmlns:pic="http://schemas.openxmlformats.org/drawingml/2006/picture">
      <w:pPr>
        <w:numPr>
          <w:ilvl w:val="0"/>
          <w:numId w:val="19"/>
        </w:numPr>
        <w:spacing w:after="60"/>
        <w:jc w:val="left"/>
      </w:pPr>
      <w:r>
        <w:rPr>
          <w:rFonts w:ascii="Segoe UI" w:hAnsi="Segoe UI" w:cs="Segoe UI" w:eastAsia="Segoe UI"/>
          <w:b/>
          <w:bCs/>
        </w:rPr>
        <w:t xml:space="preserve">Now:</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Risk Mapping out of the menu;</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information bars removed;</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identifier item hidden;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environment marker protected.</w:t>
      </w:r>
    </w:p>
    <w:p xmlns:a="http://schemas.openxmlformats.org/drawingml/2006/main" xmlns:pic="http://schemas.openxmlformats.org/drawingml/2006/picture">
      <w:pPr>
        <w:numPr>
          <w:ilvl w:val="0"/>
          <w:numId w:val="19"/>
        </w:numPr>
        <w:spacing w:after="60"/>
        <w:jc w:val="left"/>
      </w:pPr>
      <w:r>
        <w:rPr>
          <w:rFonts w:ascii="Segoe UI" w:hAnsi="Segoe UI" w:cs="Segoe UI" w:eastAsia="Segoe UI"/>
          <w:b/>
          <w:bCs/>
        </w:rPr>
        <w:t xml:space="preserve">Next: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TISPH manual edition;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personal data fixes;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shared foundation for uploads, promotion and copy;</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Coverage Builder lists.</w:t>
      </w:r>
    </w:p>
    <w:p xmlns:a="http://schemas.openxmlformats.org/drawingml/2006/main" xmlns:pic="http://schemas.openxmlformats.org/drawingml/2006/picture">
      <w:pPr>
        <w:numPr>
          <w:ilvl w:val="0"/>
          <w:numId w:val="19"/>
        </w:numPr>
        <w:spacing w:after="60"/>
        <w:jc w:val="left"/>
      </w:pPr>
      <w:r>
        <w:rPr>
          <w:rFonts w:ascii="Segoe UI" w:hAnsi="Segoe UI" w:cs="Segoe UI" w:eastAsia="Segoe UI"/>
          <w:b/>
          <w:bCs/>
        </w:rPr>
        <w:t xml:space="preserve">Then: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master uploads with the Setup Workbook;</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Environment Promotion with verification;</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Copy for the front-office transactions;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Risk Details.</w:t>
      </w:r>
    </w:p>
    <w:p xmlns:a="http://schemas.openxmlformats.org/drawingml/2006/main" xmlns:pic="http://schemas.openxmlformats.org/drawingml/2006/picture">
      <w:pPr>
        <w:numPr>
          <w:ilvl w:val="0"/>
          <w:numId w:val="19"/>
        </w:numPr>
        <w:spacing w:after="60"/>
        <w:jc w:val="left"/>
      </w:pPr>
      <w:r>
        <w:rPr>
          <w:rFonts w:ascii="Segoe UI" w:hAnsi="Segoe UI" w:cs="Segoe UI" w:eastAsia="Segoe UI"/>
          <w:b/>
          <w:bCs/>
        </w:rPr>
        <w:t xml:space="preserve">Last:</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remaining masters and transactions;</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promotion from the pipeline;</w:t>
      </w:r>
    </w:p>
    <w:p xmlns:a="http://schemas.openxmlformats.org/drawingml/2006/main" xmlns:pic="http://schemas.openxmlformats.org/drawingml/2006/picture">
      <w:pPr>
        <w:numPr>
          <w:ilvl w:val="1"/>
          <w:numId w:val="12"/>
        </w:numPr>
        <w:spacing w:after="60"/>
        <w:jc w:val="left"/>
      </w:pPr>
      <w:r>
        <w:rPr>
          <w:rFonts w:ascii="Segoe UI" w:hAnsi="Segoe UI" w:cs="Segoe UI" w:eastAsia="Segoe UI"/>
        </w:rPr>
        <w:t xml:space="preserve">the final manual text and screenshots for TISPH sign-off.</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Decisions we need from TISPH</w:t>
      </w:r>
      <w:bookmarkEnd w:id="10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1</w:t>
            </w:r>
          </w:p>
        </w:tc>
        <w:tc>
          <w:tcPr>
            <w:tcW w:w="5000" w:type="dxa"/>
          </w:tcPr>
          <w:p>
            <w:pPr>
              <w:spacing w:before="40" w:after="40" w:line="240" w:lineRule="auto"/>
            </w:pPr>
            <w:r>
              <w:rPr>
                <w:rFonts w:ascii="Segoe UI" w:hAnsi="Segoe UI" w:cs="Segoe UI" w:eastAsia="Segoe UI"/>
                <w:b/>
                <w:bCs/>
                <w:sz w:val="16"/>
                <w:szCs w:val="16"/>
              </w:rPr>
              <w:t xml:space="preserve">Personal data.</w:t>
            </w:r>
            <w:r>
              <w:rPr>
                <w:rFonts w:ascii="Segoe UI" w:hAnsi="Segoe UI" w:cs="Segoe UI" w:eastAsia="Segoe UI"/>
                <w:sz w:val="16"/>
                <w:szCs w:val="16"/>
              </w:rPr>
              <w:t xml:space="preserve"> Should permitted users always see full values, as today, or only on request, for a limited time and recorded? If on request: how many minutes, is a reason required, and are exports in full during that time?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2</w:t>
            </w:r>
          </w:p>
        </w:tc>
        <w:tc>
          <w:tcPr>
            <w:tcW w:w="5000" w:type="dxa"/>
          </w:tcPr>
          <w:p>
            <w:pPr>
              <w:spacing w:before="40" w:after="40" w:line="240" w:lineRule="auto"/>
            </w:pPr>
            <w:r>
              <w:rPr>
                <w:rFonts w:ascii="Segoe UI" w:hAnsi="Segoe UI" w:cs="Segoe UI" w:eastAsia="Segoe UI"/>
                <w:b/>
                <w:bCs/>
                <w:sz w:val="16"/>
                <w:szCs w:val="16"/>
              </w:rPr>
              <w:t xml:space="preserve">Who sees full personal data.</w:t>
            </w:r>
            <w:r>
              <w:rPr>
                <w:rFonts w:ascii="Segoe UI" w:hAnsi="Segoe UI" w:cs="Segoe UI" w:eastAsia="Segoe UI"/>
                <w:sz w:val="16"/>
                <w:szCs w:val="16"/>
              </w:rPr>
              <w:t xml:space="preserve"> Today: Sales, Operations, Finance and the General Manager, but not Cash Control or IT AppSupport. Confirm.</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3</w:t>
            </w:r>
          </w:p>
        </w:tc>
        <w:tc>
          <w:tcPr>
            <w:tcW w:w="5000" w:type="dxa"/>
          </w:tcPr>
          <w:p>
            <w:pPr>
              <w:spacing w:before="40" w:after="40" w:line="240" w:lineRule="auto"/>
            </w:pPr>
            <w:r>
              <w:rPr>
                <w:rFonts w:ascii="Segoe UI" w:hAnsi="Segoe UI" w:cs="Segoe UI" w:eastAsia="Segoe UI"/>
                <w:b/>
                <w:bCs/>
                <w:sz w:val="16"/>
                <w:szCs w:val="16"/>
              </w:rPr>
              <w:t xml:space="preserve">Environments.</w:t>
            </w:r>
            <w:r>
              <w:rPr>
                <w:rFonts w:ascii="Segoe UI" w:hAnsi="Segoe UI" w:cs="Segoe UI" w:eastAsia="Segoe UI"/>
                <w:sz w:val="16"/>
                <w:szCs w:val="16"/>
              </w:rPr>
              <w:t xml:space="preserve"> Is there a separate SIT? Is Pre-Prod permanent? May UAT go straight to Production when there is no Pre-Prod?</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4</w:t>
            </w:r>
          </w:p>
        </w:tc>
        <w:tc>
          <w:tcPr>
            <w:tcW w:w="5000" w:type="dxa"/>
          </w:tcPr>
          <w:p>
            <w:pPr>
              <w:spacing w:before="40" w:after="40" w:line="240" w:lineRule="auto"/>
            </w:pPr>
            <w:r>
              <w:rPr>
                <w:rFonts w:ascii="Segoe UI" w:hAnsi="Segoe UI" w:cs="Segoe UI" w:eastAsia="Segoe UI"/>
                <w:b/>
                <w:bCs/>
                <w:sz w:val="16"/>
                <w:szCs w:val="16"/>
              </w:rPr>
              <w:t xml:space="preserve">Environment Promotion users.</w:t>
            </w:r>
            <w:r>
              <w:rPr>
                <w:rFonts w:ascii="Segoe UI" w:hAnsi="Segoe UI" w:cs="Segoe UI" w:eastAsia="Segoe UI"/>
                <w:sz w:val="16"/>
                <w:szCs w:val="16"/>
              </w:rPr>
              <w:t xml:space="preserve"> Is the menu for IT AppSupport/Admin as well as the System Administrator? Which two people approve in Production? Must Operations approve product and rate changes, and Finance approve accounting changes, as well?</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5</w:t>
            </w:r>
          </w:p>
        </w:tc>
        <w:tc>
          <w:tcPr>
            <w:tcW w:w="5000" w:type="dxa"/>
          </w:tcPr>
          <w:p>
            <w:pPr>
              <w:spacing w:before="40" w:after="40" w:line="240" w:lineRule="auto"/>
            </w:pPr>
            <w:r>
              <w:rPr>
                <w:rFonts w:ascii="Segoe UI" w:hAnsi="Segoe UI" w:cs="Segoe UI" w:eastAsia="Segoe UI"/>
                <w:b/>
                <w:bCs/>
                <w:sz w:val="16"/>
                <w:szCs w:val="16"/>
              </w:rPr>
              <w:t xml:space="preserve">Masters needing a second person's approval.</w:t>
            </w:r>
            <w:r>
              <w:rPr>
                <w:rFonts w:ascii="Segoe UI" w:hAnsi="Segoe UI" w:cs="Segoe UI" w:eastAsia="Segoe UI"/>
                <w:sz w:val="16"/>
                <w:szCs w:val="16"/>
              </w:rPr>
              <w:t xml:space="preserve"> Proposed: company, insurers, products and product templates, commission rates, premium taxes and LGU rates, tax codes, insurer rate tables, bank accounts, payee bank accounts and referrer accounts. Who uploads and who approves each group?</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6</w:t>
            </w:r>
          </w:p>
        </w:tc>
        <w:tc>
          <w:tcPr>
            <w:tcW w:w="5000" w:type="dxa"/>
          </w:tcPr>
          <w:p>
            <w:pPr>
              <w:spacing w:before="40" w:after="40" w:line="240" w:lineRule="auto"/>
            </w:pPr>
            <w:r>
              <w:rPr>
                <w:rFonts w:ascii="Segoe UI" w:hAnsi="Segoe UI" w:cs="Segoe UI" w:eastAsia="Segoe UI"/>
                <w:b/>
                <w:bCs/>
                <w:sz w:val="16"/>
                <w:szCs w:val="16"/>
              </w:rPr>
              <w:t xml:space="preserve">Risk details.</w:t>
            </w:r>
            <w:r>
              <w:rPr>
                <w:rFonts w:ascii="Segoe UI" w:hAnsi="Segoe UI" w:cs="Segoe UI" w:eastAsia="Segoe UI"/>
                <w:sz w:val="16"/>
                <w:szCs w:val="16"/>
              </w:rPr>
              <w:t xml:space="preserve"> Confirm the Pre-BSM field lists. Supply the fields for Group PA, Parcel, Credit Life Voluntary and CTPL. Which fields are required at quotation and which only at issuance? Who approves changes?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7</w:t>
            </w:r>
          </w:p>
        </w:tc>
        <w:tc>
          <w:tcPr>
            <w:tcW w:w="5000" w:type="dxa"/>
          </w:tcPr>
          <w:p>
            <w:pPr>
              <w:spacing w:before="40" w:after="40" w:line="240" w:lineRule="auto"/>
            </w:pPr>
            <w:r>
              <w:rPr>
                <w:rFonts w:ascii="Segoe UI" w:hAnsi="Segoe UI" w:cs="Segoe UI" w:eastAsia="Segoe UI"/>
                <w:b/>
                <w:bCs/>
                <w:sz w:val="16"/>
                <w:szCs w:val="16"/>
              </w:rPr>
              <w:t xml:space="preserve">Covers and benefits</w:t>
            </w:r>
            <w:r>
              <w:rPr>
                <w:rFonts w:ascii="Segoe UI" w:hAnsi="Segoe UI" w:cs="Segoe UI" w:eastAsia="Segoe UI"/>
                <w:sz w:val="16"/>
                <w:szCs w:val="16"/>
              </w:rPr>
              <w:t xml:space="preserve"> for Personal Accident, Travel and Credit Life. May the two motor templates that no quotation uses be deactivated?</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8</w:t>
            </w:r>
          </w:p>
        </w:tc>
        <w:tc>
          <w:tcPr>
            <w:tcW w:w="5000" w:type="dxa"/>
          </w:tcPr>
          <w:p>
            <w:pPr>
              <w:spacing w:before="40" w:after="40" w:line="240" w:lineRule="auto"/>
            </w:pPr>
            <w:r>
              <w:rPr>
                <w:rFonts w:ascii="Segoe UI" w:hAnsi="Segoe UI" w:cs="Segoe UI" w:eastAsia="Segoe UI"/>
                <w:b/>
                <w:bCs/>
                <w:sz w:val="16"/>
                <w:szCs w:val="16"/>
              </w:rPr>
              <w:t xml:space="preserve">Manual.</w:t>
            </w:r>
            <w:r>
              <w:rPr>
                <w:rFonts w:ascii="Segoe UI" w:hAnsi="Segoe UI" w:cs="Segoe UI" w:eastAsia="Segoe UI"/>
                <w:sz w:val="16"/>
                <w:szCs w:val="16"/>
              </w:rPr>
              <w:t xml:space="preserve"> The system name to use (Toyota Insurance Services or BrokerVerse), the TISPH reviewer and approver, the classification, the logo on the PDF, the role chapter names, and whether the manual must require sign-in.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first)</w:t>
            </w:r>
          </w:p>
        </w:tc>
      </w:tr>
      <w:tr>
        <w:trPr>
          <w:cantSplit/>
        </w:trPr>
        <w:tc>
          <w:tcPr>
            <w:tcW w:w="1250" w:type="dxa"/>
          </w:tcPr>
          <w:p>
            <w:pPr>
              <w:spacing w:before="40" w:after="40" w:line="240" w:lineRule="auto"/>
            </w:pPr>
            <w:r>
              <w:rPr>
                <w:rFonts w:ascii="Segoe UI" w:hAnsi="Segoe UI" w:cs="Segoe UI" w:eastAsia="Segoe UI"/>
                <w:sz w:val="16"/>
                <w:szCs w:val="16"/>
              </w:rPr>
              <w:t xml:space="preserve">9</w:t>
            </w:r>
          </w:p>
        </w:tc>
        <w:tc>
          <w:tcPr>
            <w:tcW w:w="5000" w:type="dxa"/>
          </w:tcPr>
          <w:p>
            <w:pPr>
              <w:spacing w:before="40" w:after="40" w:line="240" w:lineRule="auto"/>
            </w:pPr>
            <w:r>
              <w:rPr>
                <w:rFonts w:ascii="Segoe UI" w:hAnsi="Segoe UI" w:cs="Segoe UI" w:eastAsia="Segoe UI"/>
                <w:sz w:val="16"/>
                <w:szCs w:val="16"/>
              </w:rPr>
              <w:t xml:space="preserve">Change reference tool and format, for example ServiceNow, Jira or Azure DevOps.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10</w:t>
            </w:r>
          </w:p>
        </w:tc>
        <w:tc>
          <w:tcPr>
            <w:tcW w:w="5000" w:type="dxa"/>
          </w:tcPr>
          <w:p>
            <w:pPr>
              <w:spacing w:before="40" w:after="40" w:line="240" w:lineRule="auto"/>
            </w:pPr>
            <w:r>
              <w:rPr>
                <w:rFonts w:ascii="Segoe UI" w:hAnsi="Segoe UI" w:cs="Segoe UI" w:eastAsia="Segoe UI"/>
                <w:sz w:val="16"/>
                <w:szCs w:val="16"/>
              </w:rPr>
              <w:t xml:space="preserve">Pipeline: Azure DevOps or GitHub Actions. May the pipeline apply changes outside Production?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11</w:t>
            </w:r>
          </w:p>
        </w:tc>
        <w:tc>
          <w:tcPr>
            <w:tcW w:w="5000" w:type="dxa"/>
          </w:tcPr>
          <w:p>
            <w:pPr>
              <w:spacing w:before="40" w:after="40" w:line="240" w:lineRule="auto"/>
            </w:pPr>
            <w:r>
              <w:rPr>
                <w:rFonts w:ascii="Segoe UI" w:hAnsi="Segoe UI" w:cs="Segoe UI" w:eastAsia="Segoe UI"/>
                <w:sz w:val="16"/>
                <w:szCs w:val="16"/>
              </w:rPr>
              <w:t xml:space="preserve">Which of these move by promotion and which are kept separately in each environment: users, exchange rates, holiday calendar, referrer and payee bank accounts?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12</w:t>
            </w:r>
          </w:p>
        </w:tc>
        <w:tc>
          <w:tcPr>
            <w:tcW w:w="5000" w:type="dxa"/>
          </w:tcPr>
          <w:p>
            <w:pPr>
              <w:spacing w:before="40" w:after="40" w:line="240" w:lineRule="auto"/>
            </w:pPr>
            <w:r>
              <w:rPr>
                <w:rFonts w:ascii="Segoe UI" w:hAnsi="Segoe UI" w:cs="Segoe UI" w:eastAsia="Segoe UI"/>
                <w:sz w:val="16"/>
                <w:szCs w:val="16"/>
              </w:rPr>
              <w:t xml:space="preserve">Should Finance approve promoted accounting changes again, or does the promotion approval count?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13</w:t>
            </w:r>
          </w:p>
        </w:tc>
        <w:tc>
          <w:tcPr>
            <w:tcW w:w="5000" w:type="dxa"/>
          </w:tcPr>
          <w:p>
            <w:pPr>
              <w:spacing w:before="40" w:after="40" w:line="240" w:lineRule="auto"/>
            </w:pPr>
            <w:r>
              <w:rPr>
                <w:rFonts w:ascii="Segoe UI" w:hAnsi="Segoe UI" w:cs="Segoe UI" w:eastAsia="Segoe UI"/>
                <w:sz w:val="16"/>
                <w:szCs w:val="16"/>
              </w:rPr>
              <w:t xml:space="preserve">Product versions: should a new version take effect immediately or on a chosen date, and should the old version be retired automatically?</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14</w:t>
            </w:r>
          </w:p>
        </w:tc>
        <w:tc>
          <w:tcPr>
            <w:tcW w:w="5000" w:type="dxa"/>
          </w:tcPr>
          <w:p>
            <w:pPr>
              <w:spacing w:before="40" w:after="40" w:line="240" w:lineRule="auto"/>
            </w:pPr>
            <w:r>
              <w:rPr>
                <w:rFonts w:ascii="Segoe UI" w:hAnsi="Segoe UI" w:cs="Segoe UI" w:eastAsia="Segoe UI"/>
                <w:sz w:val="16"/>
                <w:szCs w:val="16"/>
              </w:rPr>
              <w:t xml:space="preserve">Emergency changes in Production: allowed? If so, within how many days must they be copied back?</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15</w:t>
            </w:r>
          </w:p>
        </w:tc>
        <w:tc>
          <w:tcPr>
            <w:tcW w:w="5000" w:type="dxa"/>
          </w:tcPr>
          <w:p>
            <w:pPr>
              <w:spacing w:before="40" w:after="40" w:line="240" w:lineRule="auto"/>
            </w:pPr>
            <w:r>
              <w:rPr>
                <w:rFonts w:ascii="Segoe UI" w:hAnsi="Segoe UI" w:cs="Segoe UI" w:eastAsia="Segoe UI"/>
                <w:sz w:val="16"/>
                <w:szCs w:val="16"/>
              </w:rPr>
              <w:t xml:space="preserve">Month-end freeze periods for Production, and how long promotion records are kept.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16</w:t>
            </w:r>
          </w:p>
        </w:tc>
        <w:tc>
          <w:tcPr>
            <w:tcW w:w="5000" w:type="dxa"/>
          </w:tcPr>
          <w:p>
            <w:pPr>
              <w:spacing w:before="40" w:after="40" w:line="240" w:lineRule="auto"/>
            </w:pPr>
            <w:r>
              <w:rPr>
                <w:rFonts w:ascii="Segoe UI" w:hAnsi="Segoe UI" w:cs="Segoe UI" w:eastAsia="Segoe UI"/>
                <w:sz w:val="16"/>
                <w:szCs w:val="16"/>
              </w:rPr>
              <w:t xml:space="preserve">Production approval check: authenticator code or Microsoft re-sign-in. Who holds and renews the package signing keys: TISPH IT security or iorta?</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17</w:t>
            </w:r>
          </w:p>
        </w:tc>
        <w:tc>
          <w:tcPr>
            <w:tcW w:w="5000" w:type="dxa"/>
          </w:tcPr>
          <w:p>
            <w:pPr>
              <w:spacing w:before="40" w:after="40" w:line="240" w:lineRule="auto"/>
            </w:pPr>
            <w:r>
              <w:rPr>
                <w:rFonts w:ascii="Segoe UI" w:hAnsi="Segoe UI" w:cs="Segoe UI" w:eastAsia="Segoe UI"/>
                <w:sz w:val="16"/>
                <w:szCs w:val="16"/>
              </w:rPr>
              <w:t xml:space="preserve">The sample cases used to verify each promotion, and their owner (for example the UAT lead).</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18</w:t>
            </w:r>
          </w:p>
        </w:tc>
        <w:tc>
          <w:tcPr>
            <w:tcW w:w="5000" w:type="dxa"/>
          </w:tcPr>
          <w:p>
            <w:pPr>
              <w:spacing w:before="40" w:after="40" w:line="240" w:lineRule="auto"/>
            </w:pPr>
            <w:r>
              <w:rPr>
                <w:rFonts w:ascii="Segoe UI" w:hAnsi="Segoe UI" w:cs="Segoe UI" w:eastAsia="Segoe UI"/>
                <w:sz w:val="16"/>
                <w:szCs w:val="16"/>
              </w:rPr>
              <w:t xml:space="preserve">Copy:</w:t>
            </w:r>
          </w:p>
          <w:p>
            <w:pPr>
              <w:numPr>
                <w:ilvl w:val="0"/>
                <w:numId w:val="12"/>
              </w:numPr>
              <w:spacing w:before="20" w:after="20" w:line="240" w:lineRule="auto"/>
              <w:ind w:left="220" w:hanging="200"/>
            </w:pPr>
            <w:r>
              <w:rPr>
                <w:rFonts w:ascii="Segoe UI" w:hAnsi="Segoe UI" w:cs="Segoe UI" w:eastAsia="Segoe UI"/>
                <w:sz w:val="16"/>
                <w:szCs w:val="16"/>
              </w:rPr>
              <w:t xml:space="preserve">confirm the transactions and exclusions;</w:t>
            </w:r>
          </w:p>
          <w:p>
            <w:pPr>
              <w:numPr>
                <w:ilvl w:val="0"/>
                <w:numId w:val="12"/>
              </w:numPr>
              <w:spacing w:before="20" w:after="20" w:line="240" w:lineRule="auto"/>
              <w:ind w:left="220" w:hanging="200"/>
            </w:pPr>
            <w:r>
              <w:rPr>
                <w:rFonts w:ascii="Segoe UI" w:hAnsi="Segoe UI" w:cs="Segoe UI" w:eastAsia="Segoe UI"/>
                <w:sz w:val="16"/>
                <w:szCs w:val="16"/>
              </w:rPr>
              <w:t xml:space="preserve">TFS fleet loan fields (loan number, verifier, value) and whether the loan number is required;</w:t>
            </w:r>
          </w:p>
          <w:p>
            <w:pPr>
              <w:numPr>
                <w:ilvl w:val="0"/>
                <w:numId w:val="12"/>
              </w:numPr>
              <w:spacing w:before="20" w:after="20" w:line="240" w:lineRule="auto"/>
              <w:ind w:left="220" w:hanging="200"/>
            </w:pPr>
            <w:r>
              <w:rPr>
                <w:rFonts w:ascii="Segoe UI" w:hAnsi="Segoe UI" w:cs="Segoe UI" w:eastAsia="Segoe UI"/>
                <w:sz w:val="16"/>
                <w:szCs w:val="16"/>
              </w:rPr>
              <w:t xml:space="preserve">should referrers and identification documents follow a copy;</w:t>
            </w:r>
          </w:p>
          <w:p>
            <w:pPr>
              <w:numPr>
                <w:ilvl w:val="0"/>
                <w:numId w:val="12"/>
              </w:numPr>
              <w:spacing w:before="20" w:after="20" w:line="240" w:lineRule="auto"/>
              <w:ind w:left="220" w:hanging="200"/>
            </w:pPr>
            <w:r>
              <w:rPr>
                <w:rFonts w:ascii="Segoe UI" w:hAnsi="Segoe UI" w:cs="Segoe UI" w:eastAsia="Segoe UI"/>
                <w:sz w:val="16"/>
                <w:szCs w:val="16"/>
              </w:rPr>
              <w:t xml:space="preserve">may a quotation be copied for another client;</w:t>
            </w:r>
          </w:p>
          <w:p>
            <w:pPr>
              <w:numPr>
                <w:ilvl w:val="0"/>
                <w:numId w:val="12"/>
              </w:numPr>
              <w:spacing w:before="20" w:after="20" w:line="240" w:lineRule="auto"/>
              <w:ind w:left="220" w:hanging="200"/>
            </w:pPr>
            <w:r>
              <w:rPr>
                <w:rFonts w:ascii="Segoe UI" w:hAnsi="Segoe UI" w:cs="Segoe UI" w:eastAsia="Segoe UI"/>
                <w:sz w:val="16"/>
                <w:szCs w:val="16"/>
              </w:rPr>
              <w:t xml:space="preserve">which statuses may be copied (expired, rejected, cancelled);</w:t>
            </w:r>
          </w:p>
          <w:p>
            <w:pPr>
              <w:numPr>
                <w:ilvl w:val="0"/>
                <w:numId w:val="12"/>
              </w:numPr>
              <w:spacing w:before="20" w:after="20" w:line="240" w:lineRule="auto"/>
              <w:ind w:left="220" w:hanging="200"/>
            </w:pPr>
            <w:r>
              <w:rPr>
                <w:rFonts w:ascii="Segoe UI" w:hAnsi="Segoe UI" w:cs="Segoe UI" w:eastAsia="Segoe UI"/>
                <w:sz w:val="16"/>
                <w:szCs w:val="16"/>
              </w:rPr>
              <w:t xml:space="preserve">should a product copied as a new product need approval;</w:t>
            </w:r>
          </w:p>
          <w:p>
            <w:pPr>
              <w:numPr>
                <w:ilvl w:val="0"/>
                <w:numId w:val="12"/>
              </w:numPr>
              <w:spacing w:before="20" w:after="20" w:line="240" w:lineRule="auto"/>
              <w:ind w:left="220" w:hanging="200"/>
            </w:pPr>
            <w:r>
              <w:rPr>
                <w:rFonts w:ascii="Segoe UI" w:hAnsi="Segoe UI" w:cs="Segoe UI" w:eastAsia="Segoe UI"/>
                <w:sz w:val="16"/>
                <w:szCs w:val="16"/>
              </w:rPr>
              <w:t xml:space="preserve">should a re-quote propose the depreciated vehicle value.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19</w:t>
            </w:r>
          </w:p>
        </w:tc>
        <w:tc>
          <w:tcPr>
            <w:tcW w:w="5000" w:type="dxa"/>
          </w:tcPr>
          <w:p>
            <w:pPr>
              <w:spacing w:before="40" w:after="40" w:line="240" w:lineRule="auto"/>
            </w:pPr>
            <w:r>
              <w:rPr>
                <w:rFonts w:ascii="Segoe UI" w:hAnsi="Segoe UI" w:cs="Segoe UI" w:eastAsia="Segoe UI"/>
                <w:sz w:val="16"/>
                <w:szCs w:val="16"/>
              </w:rPr>
              <w:t xml:space="preserve">Uploads:</w:t>
            </w:r>
          </w:p>
          <w:p>
            <w:pPr>
              <w:numPr>
                <w:ilvl w:val="0"/>
                <w:numId w:val="12"/>
              </w:numPr>
              <w:spacing w:before="20" w:after="20" w:line="240" w:lineRule="auto"/>
              <w:ind w:left="220" w:hanging="200"/>
            </w:pPr>
            <w:r>
              <w:rPr>
                <w:rFonts w:ascii="Segoe UI" w:hAnsi="Segoe UI" w:cs="Segoe UI" w:eastAsia="Segoe UI"/>
                <w:sz w:val="16"/>
                <w:szCs w:val="16"/>
              </w:rPr>
              <w:t xml:space="preserve">may an upload deactivate records missing from a full list;</w:t>
            </w:r>
          </w:p>
          <w:p>
            <w:pPr>
              <w:numPr>
                <w:ilvl w:val="0"/>
                <w:numId w:val="12"/>
              </w:numPr>
              <w:spacing w:before="20" w:after="20" w:line="240" w:lineRule="auto"/>
              <w:ind w:left="220" w:hanging="200"/>
            </w:pPr>
            <w:r>
              <w:rPr>
                <w:rFonts w:ascii="Segoe UI" w:hAnsi="Segoe UI" w:cs="Segoe UI" w:eastAsia="Segoe UI"/>
                <w:sz w:val="16"/>
                <w:szCs w:val="16"/>
              </w:rPr>
              <w:t xml:space="preserve">expected volumes;</w:t>
            </w:r>
          </w:p>
          <w:p>
            <w:pPr>
              <w:numPr>
                <w:ilvl w:val="0"/>
                <w:numId w:val="12"/>
              </w:numPr>
              <w:spacing w:before="20" w:after="20" w:line="240" w:lineRule="auto"/>
              <w:ind w:left="220" w:hanging="200"/>
            </w:pPr>
            <w:r>
              <w:rPr>
                <w:rFonts w:ascii="Segoe UI" w:hAnsi="Segoe UI" w:cs="Segoe UI" w:eastAsia="Segoe UI"/>
                <w:sz w:val="16"/>
                <w:szCs w:val="16"/>
              </w:rPr>
              <w:t xml:space="preserve">how long uploaded files are kept;</w:t>
            </w:r>
          </w:p>
          <w:p>
            <w:pPr>
              <w:numPr>
                <w:ilvl w:val="0"/>
                <w:numId w:val="12"/>
              </w:numPr>
              <w:spacing w:before="20" w:after="20" w:line="240" w:lineRule="auto"/>
              <w:ind w:left="220" w:hanging="200"/>
            </w:pPr>
            <w:r>
              <w:rPr>
                <w:rFonts w:ascii="Segoe UI" w:hAnsi="Segoe UI" w:cs="Segoe UI" w:eastAsia="Segoe UI"/>
                <w:sz w:val="16"/>
                <w:szCs w:val="16"/>
              </w:rPr>
              <w:t xml:space="preserve">may users be uploaded in Production;</w:t>
            </w:r>
          </w:p>
          <w:p>
            <w:pPr>
              <w:numPr>
                <w:ilvl w:val="0"/>
                <w:numId w:val="12"/>
              </w:numPr>
              <w:spacing w:before="20" w:after="20" w:line="240" w:lineRule="auto"/>
              <w:ind w:left="220" w:hanging="200"/>
            </w:pPr>
            <w:r>
              <w:rPr>
                <w:rFonts w:ascii="Segoe UI" w:hAnsi="Segoe UI" w:cs="Segoe UI" w:eastAsia="Segoe UI"/>
                <w:sz w:val="16"/>
                <w:szCs w:val="16"/>
              </w:rPr>
              <w:t xml:space="preserve">should the masters without a screen (holidays, salutations and others) get one;</w:t>
            </w:r>
          </w:p>
          <w:p>
            <w:pPr>
              <w:numPr>
                <w:ilvl w:val="0"/>
                <w:numId w:val="12"/>
              </w:numPr>
              <w:spacing w:before="20" w:after="20" w:line="240" w:lineRule="auto"/>
              <w:ind w:left="220" w:hanging="200"/>
            </w:pPr>
            <w:r>
              <w:rPr>
                <w:rFonts w:ascii="Segoe UI" w:hAnsi="Segoe UI" w:cs="Segoe UI" w:eastAsia="Segoe UI"/>
                <w:sz w:val="16"/>
                <w:szCs w:val="16"/>
              </w:rPr>
              <w:t xml:space="preserve">should the Pre-BSM lists without a master (endorsement types, claim causes and others) become masters;</w:t>
            </w:r>
          </w:p>
          <w:p>
            <w:pPr>
              <w:numPr>
                <w:ilvl w:val="0"/>
                <w:numId w:val="12"/>
              </w:numPr>
              <w:spacing w:before="20" w:after="20" w:line="240" w:lineRule="auto"/>
              <w:ind w:left="220" w:hanging="200"/>
            </w:pPr>
            <w:r>
              <w:rPr>
                <w:rFonts w:ascii="Segoe UI" w:hAnsi="Segoe UI" w:cs="Segoe UI" w:eastAsia="Segoe UI"/>
                <w:sz w:val="16"/>
                <w:szCs w:val="16"/>
              </w:rPr>
              <w:t xml:space="preserve">should referrer accounts and suppliers get a system-issued code.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r>
        <w:trPr>
          <w:cantSplit/>
        </w:trPr>
        <w:tc>
          <w:tcPr>
            <w:tcW w:w="1250" w:type="dxa"/>
          </w:tcPr>
          <w:p>
            <w:pPr>
              <w:spacing w:before="40" w:after="40" w:line="240" w:lineRule="auto"/>
            </w:pPr>
            <w:r>
              <w:rPr>
                <w:rFonts w:ascii="Segoe UI" w:hAnsi="Segoe UI" w:cs="Segoe UI" w:eastAsia="Segoe UI"/>
                <w:sz w:val="16"/>
                <w:szCs w:val="16"/>
              </w:rPr>
              <w:t xml:space="preserve">20</w:t>
            </w:r>
          </w:p>
        </w:tc>
        <w:tc>
          <w:tcPr>
            <w:tcW w:w="5000" w:type="dxa"/>
          </w:tcPr>
          <w:p>
            <w:pPr>
              <w:spacing w:before="40" w:after="40" w:line="240" w:lineRule="auto"/>
            </w:pPr>
            <w:r>
              <w:rPr>
                <w:rFonts w:ascii="Segoe UI" w:hAnsi="Segoe UI" w:cs="Segoe UI" w:eastAsia="Segoe UI"/>
                <w:sz w:val="16"/>
                <w:szCs w:val="16"/>
              </w:rPr>
              <w:t xml:space="preserve">Manual:</w:t>
            </w:r>
          </w:p>
          <w:p>
            <w:pPr>
              <w:numPr>
                <w:ilvl w:val="0"/>
                <w:numId w:val="12"/>
              </w:numPr>
              <w:spacing w:before="20" w:after="20" w:line="240" w:lineRule="auto"/>
              <w:ind w:left="220" w:hanging="200"/>
            </w:pPr>
            <w:r>
              <w:rPr>
                <w:rFonts w:ascii="Segoe UI" w:hAnsi="Segoe UI" w:cs="Segoe UI" w:eastAsia="Segoe UI"/>
                <w:sz w:val="16"/>
                <w:szCs w:val="16"/>
              </w:rPr>
              <w:t xml:space="preserve">Help Desk contacts for the Help panel;</w:t>
            </w:r>
          </w:p>
          <w:p>
            <w:pPr>
              <w:numPr>
                <w:ilvl w:val="0"/>
                <w:numId w:val="12"/>
              </w:numPr>
              <w:spacing w:before="20" w:after="20" w:line="240" w:lineRule="auto"/>
              <w:ind w:left="220" w:hanging="200"/>
            </w:pPr>
            <w:r>
              <w:rPr>
                <w:rFonts w:ascii="Segoe UI" w:hAnsi="Segoe UI" w:cs="Segoe UI" w:eastAsia="Segoe UI"/>
                <w:sz w:val="16"/>
                <w:szCs w:val="16"/>
              </w:rPr>
              <w:t xml:space="preserve">who maintains Account Category, Main and Sub Account, Remittance Master and Incentive Programs in Production (no TISPH role opens them today);</w:t>
            </w:r>
          </w:p>
          <w:p>
            <w:pPr>
              <w:numPr>
                <w:ilvl w:val="0"/>
                <w:numId w:val="12"/>
              </w:numPr>
              <w:spacing w:before="20" w:after="20" w:line="240" w:lineRule="auto"/>
              <w:ind w:left="220" w:hanging="200"/>
            </w:pPr>
            <w:r>
              <w:rPr>
                <w:rFonts w:ascii="Segoe UI" w:hAnsi="Segoe UI" w:cs="Segoe UI" w:eastAsia="Segoe UI"/>
                <w:sz w:val="16"/>
                <w:szCs w:val="16"/>
              </w:rPr>
              <w:t xml:space="preserve">who receives the access matrix of all roles;</w:t>
            </w:r>
          </w:p>
          <w:p>
            <w:pPr>
              <w:numPr>
                <w:ilvl w:val="0"/>
                <w:numId w:val="12"/>
              </w:numPr>
              <w:spacing w:before="20" w:after="20" w:line="240" w:lineRule="auto"/>
              <w:ind w:left="220" w:hanging="200"/>
            </w:pPr>
            <w:r>
              <w:rPr>
                <w:rFonts w:ascii="Segoe UI" w:hAnsi="Segoe UI" w:cs="Segoe UI" w:eastAsia="Segoe UI"/>
                <w:sz w:val="16"/>
                <w:szCs w:val="16"/>
              </w:rPr>
              <w:t xml:space="preserve">English only, or other languages too.</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 (needed during the build)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2" w:name="_Toc300001012"/>
      <w:r>
        <w:rPr>
          <w:rFonts w:ascii="Segoe UI" w:hAnsi="Segoe UI" w:cs="Segoe UI" w:eastAsia="Segoe UI"/>
        </w:rPr>
        <w:t xml:space="preserve">Document Sign-Off</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 xmlns:a="http://schemas.openxmlformats.org/drawingml/2006/main" xmlns:pic="http://schemas.openxmlformats.org/drawingml/2006/picture" w:numId="17">
    <w:abstractNumId w:val="12"/>
    <w:lvlOverride w:ilvl="0">
      <w:startOverride w:val="1"/>
    </w:lvlOverride>
  </w:num>
  <w:num xmlns:a="http://schemas.openxmlformats.org/drawingml/2006/main" xmlns:pic="http://schemas.openxmlformats.org/drawingml/2006/picture" w:numId="18">
    <w:abstractNumId w:val="12"/>
    <w:lvlOverride w:ilvl="0">
      <w:startOverride w:val="1"/>
    </w:lvlOverride>
  </w:num>
  <w:num xmlns:a="http://schemas.openxmlformats.org/drawingml/2006/main" xmlns:pic="http://schemas.openxmlformats.org/drawingml/2006/picture" w:numId="1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Features Proposal</dc:title>
  <dc:subject>Toyota Insurance Services Philippines</dc:subject>
  <dc:creator>iorta TechNXT</dc:creator>
  <cp:keywords>TISPH; BrokerVerse</cp:keywords>
  <dc:description/>
  <cp:lastModifiedBy>iorta TechNXT</cp:lastModifiedBy>
  <cp:revision>1</cp:revision>
  <dcterms:created xsi:type="dcterms:W3CDTF">2026-10-10T04:21:38Z</dcterms:created>
  <dcterms:modified xsi:type="dcterms:W3CDTF">2026-10-10T04:21:38Z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