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460_265103268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462_265103268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464_2651032681">
            <w:r>
              <w:rPr>
                <w:webHidden/>
                <w:rStyle w:val="IndexLink"/>
              </w:rPr>
              <w:t>3. Introduction</w:t>
              <w:tab/>
              <w:t>5</w:t>
            </w:r>
          </w:hyperlink>
        </w:p>
        <w:p>
          <w:pPr>
            <w:pStyle w:val="TOC2"/>
            <w:tabs>
              <w:tab w:val="clear" w:pos="900"/>
              <w:tab w:val="clear" w:pos="9350"/>
              <w:tab w:val="right" w:pos="9025" w:leader="dot"/>
            </w:tabs>
            <w:rPr/>
          </w:pPr>
          <w:hyperlink w:anchor="__RefHeading___Toc7466_2651032681">
            <w:r>
              <w:rPr>
                <w:webHidden/>
                <w:rStyle w:val="IndexLink"/>
              </w:rPr>
              <w:t>3.1 Purpose and readers</w:t>
              <w:tab/>
              <w:t>5</w:t>
            </w:r>
          </w:hyperlink>
        </w:p>
        <w:p>
          <w:pPr>
            <w:pStyle w:val="TOC2"/>
            <w:tabs>
              <w:tab w:val="clear" w:pos="900"/>
              <w:tab w:val="clear" w:pos="9350"/>
              <w:tab w:val="right" w:pos="9025" w:leader="dot"/>
            </w:tabs>
            <w:rPr/>
          </w:pPr>
          <w:hyperlink w:anchor="__RefHeading___Toc7468_2651032681">
            <w:r>
              <w:rPr>
                <w:webHidden/>
                <w:rStyle w:val="IndexLink"/>
              </w:rPr>
              <w:t>3.2 Sources and how the figures were measured</w:t>
              <w:tab/>
              <w:t>5</w:t>
            </w:r>
          </w:hyperlink>
        </w:p>
        <w:p>
          <w:pPr>
            <w:pStyle w:val="TOC2"/>
            <w:tabs>
              <w:tab w:val="clear" w:pos="900"/>
              <w:tab w:val="clear" w:pos="9350"/>
              <w:tab w:val="right" w:pos="9025" w:leader="dot"/>
            </w:tabs>
            <w:rPr/>
          </w:pPr>
          <w:hyperlink w:anchor="__RefHeading___Toc7470_2651032681">
            <w:r>
              <w:rPr>
                <w:webHidden/>
                <w:rStyle w:val="IndexLink"/>
              </w:rPr>
              <w:t>3.3 Companion workbook</w:t>
              <w:tab/>
              <w:t>6</w:t>
            </w:r>
          </w:hyperlink>
        </w:p>
        <w:p>
          <w:pPr>
            <w:pStyle w:val="TOC1"/>
            <w:tabs>
              <w:tab w:val="clear" w:pos="900"/>
              <w:tab w:val="clear" w:pos="9350"/>
              <w:tab w:val="right" w:pos="9025" w:leader="dot"/>
            </w:tabs>
            <w:rPr/>
          </w:pPr>
          <w:hyperlink w:anchor="__RefHeading___Toc7472_2651032681">
            <w:r>
              <w:rPr>
                <w:webHidden/>
                <w:rStyle w:val="IndexLink"/>
              </w:rPr>
              <w:t>4. Solution layout</w:t>
              <w:tab/>
              <w:t>7</w:t>
            </w:r>
          </w:hyperlink>
        </w:p>
        <w:p>
          <w:pPr>
            <w:pStyle w:val="TOC2"/>
            <w:tabs>
              <w:tab w:val="clear" w:pos="900"/>
              <w:tab w:val="clear" w:pos="9350"/>
              <w:tab w:val="right" w:pos="9025" w:leader="dot"/>
            </w:tabs>
            <w:rPr/>
          </w:pPr>
          <w:hyperlink w:anchor="__RefHeading___Toc7474_2651032681">
            <w:r>
              <w:rPr>
                <w:webHidden/>
                <w:rStyle w:val="IndexLink"/>
              </w:rPr>
              <w:t>4.1 Repository structure</w:t>
              <w:tab/>
              <w:t>7</w:t>
            </w:r>
          </w:hyperlink>
        </w:p>
        <w:p>
          <w:pPr>
            <w:pStyle w:val="TOC2"/>
            <w:tabs>
              <w:tab w:val="clear" w:pos="900"/>
              <w:tab w:val="clear" w:pos="9350"/>
              <w:tab w:val="right" w:pos="9025" w:leader="dot"/>
            </w:tabs>
            <w:rPr/>
          </w:pPr>
          <w:hyperlink w:anchor="__RefHeading___Toc7476_2651032681">
            <w:r>
              <w:rPr>
                <w:webHidden/>
                <w:rStyle w:val="IndexLink"/>
              </w:rPr>
              <w:t>4.2 Back-end start-up and request pipeline</w:t>
              <w:tab/>
              <w:t>7</w:t>
            </w:r>
          </w:hyperlink>
        </w:p>
        <w:p>
          <w:pPr>
            <w:pStyle w:val="TOC2"/>
            <w:tabs>
              <w:tab w:val="clear" w:pos="900"/>
              <w:tab w:val="clear" w:pos="9350"/>
              <w:tab w:val="right" w:pos="9025" w:leader="dot"/>
            </w:tabs>
            <w:rPr/>
          </w:pPr>
          <w:hyperlink w:anchor="__RefHeading___Toc7478_2651032681">
            <w:r>
              <w:rPr>
                <w:webHidden/>
                <w:rStyle w:val="IndexLink"/>
              </w:rPr>
              <w:t>4.3 Back-end module pattern</w:t>
              <w:tab/>
              <w:t>8</w:t>
            </w:r>
          </w:hyperlink>
        </w:p>
        <w:p>
          <w:pPr>
            <w:pStyle w:val="TOC2"/>
            <w:tabs>
              <w:tab w:val="clear" w:pos="900"/>
              <w:tab w:val="clear" w:pos="9350"/>
              <w:tab w:val="right" w:pos="9025" w:leader="dot"/>
            </w:tabs>
            <w:rPr/>
          </w:pPr>
          <w:hyperlink w:anchor="__RefHeading___Toc7480_2651032681">
            <w:r>
              <w:rPr>
                <w:webHidden/>
                <w:rStyle w:val="IndexLink"/>
              </w:rPr>
              <w:t>4.4 Shared libraries</w:t>
              <w:tab/>
              <w:t>9</w:t>
            </w:r>
          </w:hyperlink>
        </w:p>
        <w:p>
          <w:pPr>
            <w:pStyle w:val="TOC2"/>
            <w:tabs>
              <w:tab w:val="clear" w:pos="900"/>
              <w:tab w:val="clear" w:pos="9350"/>
              <w:tab w:val="right" w:pos="9025" w:leader="dot"/>
            </w:tabs>
            <w:rPr/>
          </w:pPr>
          <w:hyperlink w:anchor="__RefHeading___Toc7482_2651032681">
            <w:r>
              <w:rPr>
                <w:webHidden/>
                <w:rStyle w:val="IndexLink"/>
              </w:rPr>
              <w:t>4.5 Database, migrations and seeds</w:t>
              <w:tab/>
              <w:t>9</w:t>
            </w:r>
          </w:hyperlink>
        </w:p>
        <w:p>
          <w:pPr>
            <w:pStyle w:val="TOC2"/>
            <w:tabs>
              <w:tab w:val="clear" w:pos="900"/>
              <w:tab w:val="clear" w:pos="9350"/>
              <w:tab w:val="right" w:pos="9025" w:leader="dot"/>
            </w:tabs>
            <w:rPr/>
          </w:pPr>
          <w:hyperlink w:anchor="__RefHeading___Toc7484_2651032681">
            <w:r>
              <w:rPr>
                <w:webHidden/>
                <w:rStyle w:val="IndexLink"/>
              </w:rPr>
              <w:t>4.6 Scheduled jobs</w:t>
              <w:tab/>
              <w:t>10</w:t>
            </w:r>
          </w:hyperlink>
        </w:p>
        <w:p>
          <w:pPr>
            <w:pStyle w:val="TOC2"/>
            <w:tabs>
              <w:tab w:val="clear" w:pos="900"/>
              <w:tab w:val="clear" w:pos="9350"/>
              <w:tab w:val="right" w:pos="9025" w:leader="dot"/>
            </w:tabs>
            <w:rPr/>
          </w:pPr>
          <w:hyperlink w:anchor="__RefHeading___Toc7486_2651032681">
            <w:r>
              <w:rPr>
                <w:webHidden/>
                <w:rStyle w:val="IndexLink"/>
              </w:rPr>
              <w:t>4.7 Front-end structure</w:t>
              <w:tab/>
              <w:t>10</w:t>
            </w:r>
          </w:hyperlink>
        </w:p>
        <w:p>
          <w:pPr>
            <w:pStyle w:val="TOC2"/>
            <w:tabs>
              <w:tab w:val="clear" w:pos="900"/>
              <w:tab w:val="clear" w:pos="9350"/>
              <w:tab w:val="right" w:pos="9025" w:leader="dot"/>
            </w:tabs>
            <w:rPr/>
          </w:pPr>
          <w:hyperlink w:anchor="__RefHeading___Toc7488_2651032681">
            <w:r>
              <w:rPr>
                <w:webHidden/>
                <w:rStyle w:val="IndexLink"/>
              </w:rPr>
              <w:t>4.8 How a request flows from a screen to the database and back</w:t>
              <w:tab/>
              <w:t>11</w:t>
            </w:r>
          </w:hyperlink>
        </w:p>
        <w:p>
          <w:pPr>
            <w:pStyle w:val="TOC1"/>
            <w:tabs>
              <w:tab w:val="clear" w:pos="900"/>
              <w:tab w:val="clear" w:pos="9350"/>
              <w:tab w:val="right" w:pos="9025" w:leader="dot"/>
            </w:tabs>
            <w:rPr/>
          </w:pPr>
          <w:hyperlink w:anchor="__RefHeading___Toc7490_2651032681">
            <w:r>
              <w:rPr>
                <w:webHidden/>
                <w:rStyle w:val="IndexLink"/>
              </w:rPr>
              <w:t>5. Coding standards followed in this code base</w:t>
              <w:tab/>
              <w:t>12</w:t>
            </w:r>
          </w:hyperlink>
        </w:p>
        <w:p>
          <w:pPr>
            <w:pStyle w:val="TOC2"/>
            <w:tabs>
              <w:tab w:val="clear" w:pos="900"/>
              <w:tab w:val="clear" w:pos="9350"/>
              <w:tab w:val="right" w:pos="9025" w:leader="dot"/>
            </w:tabs>
            <w:rPr/>
          </w:pPr>
          <w:hyperlink w:anchor="__RefHeading___Toc7492_2651032681">
            <w:r>
              <w:rPr>
                <w:webHidden/>
                <w:rStyle w:val="IndexLink"/>
              </w:rPr>
              <w:t>5.1 Naming and file layout</w:t>
              <w:tab/>
              <w:t>12</w:t>
            </w:r>
          </w:hyperlink>
        </w:p>
        <w:p>
          <w:pPr>
            <w:pStyle w:val="TOC2"/>
            <w:tabs>
              <w:tab w:val="clear" w:pos="900"/>
              <w:tab w:val="clear" w:pos="9350"/>
              <w:tab w:val="right" w:pos="9025" w:leader="dot"/>
            </w:tabs>
            <w:rPr/>
          </w:pPr>
          <w:hyperlink w:anchor="__RefHeading___Toc7494_2651032681">
            <w:r>
              <w:rPr>
                <w:webHidden/>
                <w:rStyle w:val="IndexLink"/>
              </w:rPr>
              <w:t>5.2 Routes are declared through the registry</w:t>
              <w:tab/>
              <w:t>12</w:t>
            </w:r>
          </w:hyperlink>
        </w:p>
        <w:p>
          <w:pPr>
            <w:pStyle w:val="TOC2"/>
            <w:tabs>
              <w:tab w:val="clear" w:pos="900"/>
              <w:tab w:val="clear" w:pos="9350"/>
              <w:tab w:val="right" w:pos="9025" w:leader="dot"/>
            </w:tabs>
            <w:rPr/>
          </w:pPr>
          <w:hyperlink w:anchor="__RefHeading___Toc7496_2651032681">
            <w:r>
              <w:rPr>
                <w:webHidden/>
                <w:rStyle w:val="IndexLink"/>
              </w:rPr>
              <w:t>5.3 Validation with zod</w:t>
              <w:tab/>
              <w:t>12</w:t>
            </w:r>
          </w:hyperlink>
        </w:p>
        <w:p>
          <w:pPr>
            <w:pStyle w:val="TOC2"/>
            <w:tabs>
              <w:tab w:val="clear" w:pos="900"/>
              <w:tab w:val="clear" w:pos="9350"/>
              <w:tab w:val="right" w:pos="9025" w:leader="dot"/>
            </w:tabs>
            <w:rPr/>
          </w:pPr>
          <w:hyperlink w:anchor="__RefHeading___Toc7498_2651032681">
            <w:r>
              <w:rPr>
                <w:webHidden/>
                <w:rStyle w:val="IndexLink"/>
              </w:rPr>
              <w:t>5.4 Errors and the response envelope</w:t>
              <w:tab/>
              <w:t>13</w:t>
            </w:r>
          </w:hyperlink>
        </w:p>
        <w:p>
          <w:pPr>
            <w:pStyle w:val="TOC2"/>
            <w:tabs>
              <w:tab w:val="clear" w:pos="900"/>
              <w:tab w:val="clear" w:pos="9350"/>
              <w:tab w:val="right" w:pos="9025" w:leader="dot"/>
            </w:tabs>
            <w:rPr/>
          </w:pPr>
          <w:hyperlink w:anchor="__RefHeading___Toc7500_2651032681">
            <w:r>
              <w:rPr>
                <w:webHidden/>
                <w:rStyle w:val="IndexLink"/>
              </w:rPr>
              <w:t>5.5 SQL: parameters, pool and transactions</w:t>
              <w:tab/>
              <w:t>13</w:t>
            </w:r>
          </w:hyperlink>
        </w:p>
        <w:p>
          <w:pPr>
            <w:pStyle w:val="TOC2"/>
            <w:tabs>
              <w:tab w:val="clear" w:pos="900"/>
              <w:tab w:val="clear" w:pos="9350"/>
              <w:tab w:val="right" w:pos="9025" w:leader="dot"/>
            </w:tabs>
            <w:rPr/>
          </w:pPr>
          <w:hyperlink w:anchor="__RefHeading___Toc7502_2651032681">
            <w:r>
              <w:rPr>
                <w:webHidden/>
                <w:rStyle w:val="IndexLink"/>
              </w:rPr>
              <w:t>5.6 Audit trail</w:t>
              <w:tab/>
              <w:t>13</w:t>
            </w:r>
          </w:hyperlink>
        </w:p>
        <w:p>
          <w:pPr>
            <w:pStyle w:val="TOC2"/>
            <w:tabs>
              <w:tab w:val="clear" w:pos="900"/>
              <w:tab w:val="clear" w:pos="9350"/>
              <w:tab w:val="right" w:pos="9025" w:leader="dot"/>
            </w:tabs>
            <w:rPr/>
          </w:pPr>
          <w:hyperlink w:anchor="__RefHeading___Toc7504_2651032681">
            <w:r>
              <w:rPr>
                <w:webHidden/>
                <w:rStyle w:val="IndexLink"/>
              </w:rPr>
              <w:t>5.7 Configuration through app_settings</w:t>
              <w:tab/>
              <w:t>14</w:t>
            </w:r>
          </w:hyperlink>
        </w:p>
        <w:p>
          <w:pPr>
            <w:pStyle w:val="TOC2"/>
            <w:tabs>
              <w:tab w:val="clear" w:pos="900"/>
              <w:tab w:val="clear" w:pos="9350"/>
              <w:tab w:val="right" w:pos="9025" w:leader="dot"/>
            </w:tabs>
            <w:rPr/>
          </w:pPr>
          <w:hyperlink w:anchor="__RefHeading___Toc7506_2651032681">
            <w:r>
              <w:rPr>
                <w:webHidden/>
                <w:rStyle w:val="IndexLink"/>
              </w:rPr>
              <w:t>5.8 Secrets and environment</w:t>
              <w:tab/>
              <w:t>14</w:t>
            </w:r>
          </w:hyperlink>
        </w:p>
        <w:p>
          <w:pPr>
            <w:pStyle w:val="TOC2"/>
            <w:tabs>
              <w:tab w:val="clear" w:pos="900"/>
              <w:tab w:val="clear" w:pos="9350"/>
              <w:tab w:val="right" w:pos="9025" w:leader="dot"/>
            </w:tabs>
            <w:rPr/>
          </w:pPr>
          <w:hyperlink w:anchor="__RefHeading___Toc7508_2651032681">
            <w:r>
              <w:rPr>
                <w:webHidden/>
                <w:rStyle w:val="IndexLink"/>
              </w:rPr>
              <w:t>5.9 Logging</w:t>
              <w:tab/>
              <w:t>14</w:t>
            </w:r>
          </w:hyperlink>
        </w:p>
        <w:p>
          <w:pPr>
            <w:pStyle w:val="TOC2"/>
            <w:tabs>
              <w:tab w:val="clear" w:pos="900"/>
              <w:tab w:val="clear" w:pos="9350"/>
              <w:tab w:val="right" w:pos="9025" w:leader="dot"/>
            </w:tabs>
            <w:rPr/>
          </w:pPr>
          <w:hyperlink w:anchor="__RefHeading___Toc7510_2651032681">
            <w:r>
              <w:rPr>
                <w:webHidden/>
                <w:rStyle w:val="IndexLink"/>
              </w:rPr>
              <w:t>5.10 Front-end conventions</w:t>
              <w:tab/>
              <w:t>14</w:t>
            </w:r>
          </w:hyperlink>
        </w:p>
        <w:p>
          <w:pPr>
            <w:pStyle w:val="TOC1"/>
            <w:tabs>
              <w:tab w:val="clear" w:pos="900"/>
              <w:tab w:val="clear" w:pos="9350"/>
              <w:tab w:val="right" w:pos="9025" w:leader="dot"/>
            </w:tabs>
            <w:rPr/>
          </w:pPr>
          <w:hyperlink w:anchor="__RefHeading___Toc7512_2651032681">
            <w:r>
              <w:rPr>
                <w:webHidden/>
                <w:rStyle w:val="IndexLink"/>
              </w:rPr>
              <w:t>6. Code quality controls</w:t>
              <w:tab/>
              <w:t>16</w:t>
            </w:r>
          </w:hyperlink>
        </w:p>
        <w:p>
          <w:pPr>
            <w:pStyle w:val="TOC2"/>
            <w:tabs>
              <w:tab w:val="clear" w:pos="900"/>
              <w:tab w:val="clear" w:pos="9350"/>
              <w:tab w:val="right" w:pos="9025" w:leader="dot"/>
            </w:tabs>
            <w:rPr/>
          </w:pPr>
          <w:hyperlink w:anchor="__RefHeading___Toc7514_2651032681">
            <w:r>
              <w:rPr>
                <w:webHidden/>
                <w:rStyle w:val="IndexLink"/>
              </w:rPr>
              <w:t>6.1 Size of the code base</w:t>
              <w:tab/>
              <w:t>16</w:t>
            </w:r>
          </w:hyperlink>
        </w:p>
        <w:p>
          <w:pPr>
            <w:pStyle w:val="TOC2"/>
            <w:tabs>
              <w:tab w:val="clear" w:pos="900"/>
              <w:tab w:val="clear" w:pos="9350"/>
              <w:tab w:val="right" w:pos="9025" w:leader="dot"/>
            </w:tabs>
            <w:rPr/>
          </w:pPr>
          <w:hyperlink w:anchor="__RefHeading___Toc7516_2651032681">
            <w:r>
              <w:rPr>
                <w:webHidden/>
                <w:rStyle w:val="IndexLink"/>
              </w:rPr>
              <w:t>6.2 Static checks</w:t>
              <w:tab/>
              <w:t>16</w:t>
            </w:r>
          </w:hyperlink>
        </w:p>
        <w:p>
          <w:pPr>
            <w:pStyle w:val="TOC2"/>
            <w:tabs>
              <w:tab w:val="clear" w:pos="900"/>
              <w:tab w:val="clear" w:pos="9350"/>
              <w:tab w:val="right" w:pos="9025" w:leader="dot"/>
            </w:tabs>
            <w:rPr/>
          </w:pPr>
          <w:hyperlink w:anchor="__RefHeading___Toc7518_2651032681">
            <w:r>
              <w:rPr>
                <w:webHidden/>
                <w:rStyle w:val="IndexLink"/>
              </w:rPr>
              <w:t>6.3 Automated tests</w:t>
              <w:tab/>
              <w:t>16</w:t>
            </w:r>
          </w:hyperlink>
        </w:p>
        <w:p>
          <w:pPr>
            <w:pStyle w:val="TOC2"/>
            <w:tabs>
              <w:tab w:val="clear" w:pos="900"/>
              <w:tab w:val="clear" w:pos="9350"/>
              <w:tab w:val="right" w:pos="9025" w:leader="dot"/>
            </w:tabs>
            <w:rPr/>
          </w:pPr>
          <w:hyperlink w:anchor="__RefHeading___Toc7520_2651032681">
            <w:r>
              <w:rPr>
                <w:webHidden/>
                <w:rStyle w:val="IndexLink"/>
              </w:rPr>
              <w:t>6.4 Consistency checks</w:t>
              <w:tab/>
              <w:t>17</w:t>
            </w:r>
          </w:hyperlink>
        </w:p>
        <w:p>
          <w:pPr>
            <w:pStyle w:val="TOC2"/>
            <w:tabs>
              <w:tab w:val="clear" w:pos="900"/>
              <w:tab w:val="clear" w:pos="9350"/>
              <w:tab w:val="right" w:pos="9025" w:leader="dot"/>
            </w:tabs>
            <w:rPr/>
          </w:pPr>
          <w:hyperlink w:anchor="__RefHeading___Toc7522_2651032681">
            <w:r>
              <w:rPr>
                <w:webHidden/>
                <w:rStyle w:val="IndexLink"/>
              </w:rPr>
              <w:t>6.5 Migration discipline</w:t>
              <w:tab/>
              <w:t>17</w:t>
            </w:r>
          </w:hyperlink>
        </w:p>
        <w:p>
          <w:pPr>
            <w:pStyle w:val="TOC2"/>
            <w:tabs>
              <w:tab w:val="clear" w:pos="900"/>
              <w:tab w:val="clear" w:pos="9350"/>
              <w:tab w:val="right" w:pos="9025" w:leader="dot"/>
            </w:tabs>
            <w:rPr/>
          </w:pPr>
          <w:hyperlink w:anchor="__RefHeading___Toc7524_2651032681">
            <w:r>
              <w:rPr>
                <w:webHidden/>
                <w:rStyle w:val="IndexLink"/>
              </w:rPr>
              <w:t>6.6 UAT scenario script</w:t>
              <w:tab/>
              <w:t>17</w:t>
            </w:r>
          </w:hyperlink>
        </w:p>
        <w:p>
          <w:pPr>
            <w:pStyle w:val="TOC2"/>
            <w:tabs>
              <w:tab w:val="clear" w:pos="900"/>
              <w:tab w:val="clear" w:pos="9350"/>
              <w:tab w:val="right" w:pos="9025" w:leader="dot"/>
            </w:tabs>
            <w:rPr/>
          </w:pPr>
          <w:hyperlink w:anchor="__RefHeading___Toc7526_2651032681">
            <w:r>
              <w:rPr>
                <w:webHidden/>
                <w:rStyle w:val="IndexLink"/>
              </w:rPr>
              <w:t>6.7 Continuous integration</w:t>
              <w:tab/>
              <w:t>17</w:t>
            </w:r>
          </w:hyperlink>
        </w:p>
        <w:p>
          <w:pPr>
            <w:pStyle w:val="TOC1"/>
            <w:tabs>
              <w:tab w:val="clear" w:pos="900"/>
              <w:tab w:val="clear" w:pos="9350"/>
              <w:tab w:val="right" w:pos="9025" w:leader="dot"/>
            </w:tabs>
            <w:rPr/>
          </w:pPr>
          <w:hyperlink w:anchor="__RefHeading___Toc7528_2651032681">
            <w:r>
              <w:rPr>
                <w:webHidden/>
                <w:rStyle w:val="IndexLink"/>
              </w:rPr>
              <w:t>7. Security controls in code</w:t>
              <w:tab/>
              <w:t>18</w:t>
            </w:r>
          </w:hyperlink>
        </w:p>
        <w:p>
          <w:pPr>
            <w:pStyle w:val="TOC2"/>
            <w:tabs>
              <w:tab w:val="clear" w:pos="900"/>
              <w:tab w:val="clear" w:pos="9350"/>
              <w:tab w:val="right" w:pos="9025" w:leader="dot"/>
            </w:tabs>
            <w:rPr/>
          </w:pPr>
          <w:hyperlink w:anchor="__RefHeading___Toc7530_2651032681">
            <w:r>
              <w:rPr>
                <w:webHidden/>
                <w:rStyle w:val="IndexLink"/>
              </w:rPr>
              <w:t>7.1 Authentication</w:t>
              <w:tab/>
              <w:t>18</w:t>
            </w:r>
          </w:hyperlink>
        </w:p>
        <w:p>
          <w:pPr>
            <w:pStyle w:val="TOC2"/>
            <w:tabs>
              <w:tab w:val="clear" w:pos="900"/>
              <w:tab w:val="clear" w:pos="9350"/>
              <w:tab w:val="right" w:pos="9025" w:leader="dot"/>
            </w:tabs>
            <w:rPr/>
          </w:pPr>
          <w:hyperlink w:anchor="__RefHeading___Toc7532_2651032681">
            <w:r>
              <w:rPr>
                <w:webHidden/>
                <w:rStyle w:val="IndexLink"/>
              </w:rPr>
              <w:t>7.2 Password policy, lockout and two-factor sign-in</w:t>
              <w:tab/>
              <w:t>18</w:t>
            </w:r>
          </w:hyperlink>
        </w:p>
        <w:p>
          <w:pPr>
            <w:pStyle w:val="TOC2"/>
            <w:tabs>
              <w:tab w:val="clear" w:pos="900"/>
              <w:tab w:val="clear" w:pos="9350"/>
              <w:tab w:val="right" w:pos="9025" w:leader="dot"/>
            </w:tabs>
            <w:rPr/>
          </w:pPr>
          <w:hyperlink w:anchor="__RefHeading___Toc7534_2651032681">
            <w:r>
              <w:rPr>
                <w:webHidden/>
                <w:rStyle w:val="IndexLink"/>
              </w:rPr>
              <w:t>7.3 Authorisation</w:t>
              <w:tab/>
              <w:t>18</w:t>
            </w:r>
          </w:hyperlink>
        </w:p>
        <w:p>
          <w:pPr>
            <w:pStyle w:val="TOC2"/>
            <w:tabs>
              <w:tab w:val="clear" w:pos="900"/>
              <w:tab w:val="clear" w:pos="9350"/>
              <w:tab w:val="right" w:pos="9025" w:leader="dot"/>
            </w:tabs>
            <w:rPr/>
          </w:pPr>
          <w:hyperlink w:anchor="__RefHeading___Toc7536_2651032681">
            <w:r>
              <w:rPr>
                <w:webHidden/>
                <w:rStyle w:val="IndexLink"/>
              </w:rPr>
              <w:t>7.4 SQL injection prevention</w:t>
              <w:tab/>
              <w:t>19</w:t>
            </w:r>
          </w:hyperlink>
        </w:p>
        <w:p>
          <w:pPr>
            <w:pStyle w:val="TOC2"/>
            <w:tabs>
              <w:tab w:val="clear" w:pos="900"/>
              <w:tab w:val="clear" w:pos="9350"/>
              <w:tab w:val="right" w:pos="9025" w:leader="dot"/>
            </w:tabs>
            <w:rPr/>
          </w:pPr>
          <w:hyperlink w:anchor="__RefHeading___Toc7538_2651032681">
            <w:r>
              <w:rPr>
                <w:webHidden/>
                <w:rStyle w:val="IndexLink"/>
              </w:rPr>
              <w:t>7.5 Input validation and request limits</w:t>
              <w:tab/>
              <w:t>20</w:t>
            </w:r>
          </w:hyperlink>
        </w:p>
        <w:p>
          <w:pPr>
            <w:pStyle w:val="TOC2"/>
            <w:tabs>
              <w:tab w:val="clear" w:pos="900"/>
              <w:tab w:val="clear" w:pos="9350"/>
              <w:tab w:val="right" w:pos="9025" w:leader="dot"/>
            </w:tabs>
            <w:rPr/>
          </w:pPr>
          <w:hyperlink w:anchor="__RefHeading___Toc7540_2651032681">
            <w:r>
              <w:rPr>
                <w:webHidden/>
                <w:rStyle w:val="IndexLink"/>
              </w:rPr>
              <w:t>7.6 HTTP headers, CORS and rate limiting</w:t>
              <w:tab/>
              <w:t>20</w:t>
            </w:r>
          </w:hyperlink>
        </w:p>
        <w:p>
          <w:pPr>
            <w:pStyle w:val="TOC2"/>
            <w:tabs>
              <w:tab w:val="clear" w:pos="900"/>
              <w:tab w:val="clear" w:pos="9350"/>
              <w:tab w:val="right" w:pos="9025" w:leader="dot"/>
            </w:tabs>
            <w:rPr/>
          </w:pPr>
          <w:hyperlink w:anchor="__RefHeading___Toc7542_2651032681">
            <w:r>
              <w:rPr>
                <w:webHidden/>
                <w:rStyle w:val="IndexLink"/>
              </w:rPr>
              <w:t>7.7 File uploads and downloads</w:t>
              <w:tab/>
              <w:t>20</w:t>
            </w:r>
          </w:hyperlink>
        </w:p>
        <w:p>
          <w:pPr>
            <w:pStyle w:val="TOC2"/>
            <w:tabs>
              <w:tab w:val="clear" w:pos="900"/>
              <w:tab w:val="clear" w:pos="9350"/>
              <w:tab w:val="right" w:pos="9025" w:leader="dot"/>
            </w:tabs>
            <w:rPr/>
          </w:pPr>
          <w:hyperlink w:anchor="__RefHeading___Toc7544_2651032681">
            <w:r>
              <w:rPr>
                <w:webHidden/>
                <w:rStyle w:val="IndexLink"/>
              </w:rPr>
              <w:t>7.8 Encryption and secrets</w:t>
              <w:tab/>
              <w:t>21</w:t>
            </w:r>
          </w:hyperlink>
        </w:p>
        <w:p>
          <w:pPr>
            <w:pStyle w:val="TOC2"/>
            <w:tabs>
              <w:tab w:val="clear" w:pos="900"/>
              <w:tab w:val="clear" w:pos="9350"/>
              <w:tab w:val="right" w:pos="9025" w:leader="dot"/>
            </w:tabs>
            <w:rPr/>
          </w:pPr>
          <w:hyperlink w:anchor="__RefHeading___Toc7546_2651032681">
            <w:r>
              <w:rPr>
                <w:webHidden/>
                <w:rStyle w:val="IndexLink"/>
              </w:rPr>
              <w:t>7.9 Audit and sign-in logging</w:t>
              <w:tab/>
              <w:t>21</w:t>
            </w:r>
          </w:hyperlink>
        </w:p>
        <w:p>
          <w:pPr>
            <w:pStyle w:val="TOC2"/>
            <w:tabs>
              <w:tab w:val="clear" w:pos="900"/>
              <w:tab w:val="clear" w:pos="9350"/>
              <w:tab w:val="right" w:pos="9025" w:leader="dot"/>
            </w:tabs>
            <w:rPr/>
          </w:pPr>
          <w:hyperlink w:anchor="__RefHeading___Toc7548_2651032681">
            <w:r>
              <w:rPr>
                <w:webHidden/>
                <w:rStyle w:val="IndexLink"/>
              </w:rPr>
              <w:t>7.10 OWASP Top 10 (2021) mapping</w:t>
              <w:tab/>
              <w:t>21</w:t>
            </w:r>
          </w:hyperlink>
        </w:p>
        <w:p>
          <w:pPr>
            <w:pStyle w:val="TOC2"/>
            <w:tabs>
              <w:tab w:val="clear" w:pos="900"/>
              <w:tab w:val="clear" w:pos="9350"/>
              <w:tab w:val="right" w:pos="9025" w:leader="dot"/>
            </w:tabs>
            <w:rPr/>
          </w:pPr>
          <w:hyperlink w:anchor="__RefHeading___Toc7550_2651032681">
            <w:r>
              <w:rPr>
                <w:webHidden/>
                <w:rStyle w:val="IndexLink"/>
              </w:rPr>
              <w:t>7.11 Points for the security review before go-live</w:t>
              <w:tab/>
              <w:t>22</w:t>
            </w:r>
          </w:hyperlink>
        </w:p>
        <w:p>
          <w:pPr>
            <w:pStyle w:val="TOC1"/>
            <w:tabs>
              <w:tab w:val="clear" w:pos="900"/>
              <w:tab w:val="clear" w:pos="9350"/>
              <w:tab w:val="right" w:pos="9025" w:leader="dot"/>
            </w:tabs>
            <w:rPr/>
          </w:pPr>
          <w:hyperlink w:anchor="__RefHeading___Toc7552_2651032681">
            <w:r>
              <w:rPr>
                <w:webHidden/>
                <w:rStyle w:val="IndexLink"/>
              </w:rPr>
              <w:t>8. Front end to back end dependencies</w:t>
              <w:tab/>
              <w:t>23</w:t>
            </w:r>
          </w:hyperlink>
        </w:p>
        <w:p>
          <w:pPr>
            <w:pStyle w:val="TOC2"/>
            <w:tabs>
              <w:tab w:val="clear" w:pos="900"/>
              <w:tab w:val="clear" w:pos="9350"/>
              <w:tab w:val="right" w:pos="9025" w:leader="dot"/>
            </w:tabs>
            <w:rPr/>
          </w:pPr>
          <w:hyperlink w:anchor="__RefHeading___Toc7554_2651032681">
            <w:r>
              <w:rPr>
                <w:webHidden/>
                <w:rStyle w:val="IndexLink"/>
              </w:rPr>
              <w:t>8.1 How the matrix was built</w:t>
              <w:tab/>
              <w:t>23</w:t>
            </w:r>
          </w:hyperlink>
        </w:p>
        <w:p>
          <w:pPr>
            <w:pStyle w:val="TOC2"/>
            <w:tabs>
              <w:tab w:val="clear" w:pos="900"/>
              <w:tab w:val="clear" w:pos="9350"/>
              <w:tab w:val="right" w:pos="9025" w:leader="dot"/>
            </w:tabs>
            <w:rPr/>
          </w:pPr>
          <w:hyperlink w:anchor="__RefHeading___Toc7556_2651032681">
            <w:r>
              <w:rPr>
                <w:webHidden/>
                <w:rStyle w:val="IndexLink"/>
              </w:rPr>
              <w:t>8.2 Summary per menu area</w:t>
              <w:tab/>
              <w:t>23</w:t>
            </w:r>
          </w:hyperlink>
        </w:p>
        <w:p>
          <w:pPr>
            <w:pStyle w:val="TOC2"/>
            <w:tabs>
              <w:tab w:val="clear" w:pos="900"/>
              <w:tab w:val="clear" w:pos="9350"/>
              <w:tab w:val="right" w:pos="9025" w:leader="dot"/>
            </w:tabs>
            <w:rPr/>
          </w:pPr>
          <w:hyperlink w:anchor="__RefHeading___Toc7558_2651032681">
            <w:r>
              <w:rPr>
                <w:webHidden/>
                <w:rStyle w:val="IndexLink"/>
              </w:rPr>
              <w:t>8.3 Prerequisites per back-end module</w:t>
              <w:tab/>
              <w:t>24</w:t>
            </w:r>
          </w:hyperlink>
        </w:p>
        <w:p>
          <w:pPr>
            <w:pStyle w:val="TOC2"/>
            <w:tabs>
              <w:tab w:val="clear" w:pos="900"/>
              <w:tab w:val="clear" w:pos="9350"/>
              <w:tab w:val="right" w:pos="9025" w:leader="dot"/>
            </w:tabs>
            <w:rPr/>
          </w:pPr>
          <w:hyperlink w:anchor="__RefHeading___Toc7560_2651032681">
            <w:r>
              <w:rPr>
                <w:webHidden/>
                <w:rStyle w:val="IndexLink"/>
              </w:rPr>
              <w:t>8.4 Set-up order used by the UAT scenario</w:t>
              <w:tab/>
              <w:t>25</w:t>
            </w:r>
          </w:hyperlink>
        </w:p>
        <w:p>
          <w:pPr>
            <w:pStyle w:val="TOC2"/>
            <w:tabs>
              <w:tab w:val="clear" w:pos="900"/>
              <w:tab w:val="clear" w:pos="9350"/>
              <w:tab w:val="right" w:pos="9025" w:leader="dot"/>
            </w:tabs>
            <w:rPr/>
          </w:pPr>
          <w:hyperlink w:anchor="__RefHeading___Toc7562_2651032681">
            <w:r>
              <w:rPr>
                <w:webHidden/>
                <w:rStyle w:val="IndexLink"/>
              </w:rPr>
              <w:t>8.5 Before enhancing a module</w:t>
              <w:tab/>
              <w:t>25</w:t>
            </w:r>
          </w:hyperlink>
        </w:p>
        <w:p>
          <w:pPr>
            <w:pStyle w:val="TOC1"/>
            <w:tabs>
              <w:tab w:val="clear" w:pos="900"/>
              <w:tab w:val="clear" w:pos="9350"/>
              <w:tab w:val="right" w:pos="9025" w:leader="dot"/>
            </w:tabs>
            <w:rPr/>
          </w:pPr>
          <w:hyperlink w:anchor="__RefHeading___Toc7564_2651032681">
            <w:r>
              <w:rPr>
                <w:webHidden/>
                <w:rStyle w:val="IndexLink"/>
              </w:rPr>
              <w:t>9. API catalogue summary</w:t>
              <w:tab/>
              <w:t>26</w:t>
            </w:r>
          </w:hyperlink>
        </w:p>
        <w:p>
          <w:pPr>
            <w:pStyle w:val="TOC2"/>
            <w:tabs>
              <w:tab w:val="clear" w:pos="900"/>
              <w:tab w:val="clear" w:pos="9350"/>
              <w:tab w:val="right" w:pos="9025" w:leader="dot"/>
            </w:tabs>
            <w:rPr/>
          </w:pPr>
          <w:hyperlink w:anchor="__RefHeading___Toc7566_2651032681">
            <w:r>
              <w:rPr>
                <w:webHidden/>
                <w:rStyle w:val="IndexLink"/>
              </w:rPr>
              <w:t>9.1 Conventions</w:t>
              <w:tab/>
              <w:t>26</w:t>
            </w:r>
          </w:hyperlink>
        </w:p>
        <w:p>
          <w:pPr>
            <w:pStyle w:val="TOC2"/>
            <w:tabs>
              <w:tab w:val="clear" w:pos="900"/>
              <w:tab w:val="clear" w:pos="9350"/>
              <w:tab w:val="right" w:pos="9025" w:leader="dot"/>
            </w:tabs>
            <w:rPr/>
          </w:pPr>
          <w:hyperlink w:anchor="__RefHeading___Toc7568_2651032681">
            <w:r>
              <w:rPr>
                <w:webHidden/>
                <w:rStyle w:val="IndexLink"/>
              </w:rPr>
              <w:t>9.2 Endpoints per module</w:t>
              <w:tab/>
              <w:t>26</w:t>
            </w:r>
          </w:hyperlink>
        </w:p>
        <w:p>
          <w:pPr>
            <w:pStyle w:val="TOC2"/>
            <w:tabs>
              <w:tab w:val="clear" w:pos="900"/>
              <w:tab w:val="clear" w:pos="9350"/>
              <w:tab w:val="right" w:pos="9025" w:leader="dot"/>
            </w:tabs>
            <w:rPr/>
          </w:pPr>
          <w:hyperlink w:anchor="__RefHeading___Toc7570_2651032681">
            <w:r>
              <w:rPr>
                <w:webHidden/>
                <w:rStyle w:val="IndexLink"/>
              </w:rPr>
              <w:t>9.3 Public endpoints</w:t>
              <w:tab/>
              <w:t>27</w:t>
            </w:r>
          </w:hyperlink>
        </w:p>
        <w:p>
          <w:pPr>
            <w:pStyle w:val="TOC2"/>
            <w:tabs>
              <w:tab w:val="clear" w:pos="900"/>
              <w:tab w:val="clear" w:pos="9350"/>
              <w:tab w:val="right" w:pos="9025" w:leader="dot"/>
            </w:tabs>
            <w:rPr/>
          </w:pPr>
          <w:hyperlink w:anchor="__RefHeading___Toc7572_2651032681">
            <w:r>
              <w:rPr>
                <w:webHidden/>
                <w:rStyle w:val="IndexLink"/>
              </w:rPr>
              <w:t>9.4 Keeping the API documentation current</w:t>
              <w:tab/>
              <w:t>27</w:t>
            </w:r>
          </w:hyperlink>
        </w:p>
        <w:p>
          <w:pPr>
            <w:pStyle w:val="TOC1"/>
            <w:tabs>
              <w:tab w:val="clear" w:pos="900"/>
              <w:tab w:val="clear" w:pos="9350"/>
              <w:tab w:val="right" w:pos="9025" w:leader="dot"/>
            </w:tabs>
            <w:rPr/>
          </w:pPr>
          <w:hyperlink w:anchor="__RefHeading___Toc7574_2651032681">
            <w:r>
              <w:rPr>
                <w:webHidden/>
                <w:rStyle w:val="IndexLink"/>
              </w:rPr>
              <w:t>10. Guide for the production support team</w:t>
              <w:tab/>
              <w:t>29</w:t>
            </w:r>
          </w:hyperlink>
        </w:p>
        <w:p>
          <w:pPr>
            <w:pStyle w:val="TOC2"/>
            <w:tabs>
              <w:tab w:val="clear" w:pos="900"/>
              <w:tab w:val="clear" w:pos="9350"/>
              <w:tab w:val="right" w:pos="9025" w:leader="dot"/>
            </w:tabs>
            <w:rPr/>
          </w:pPr>
          <w:hyperlink w:anchor="__RefHeading___Toc7576_2651032681">
            <w:r>
              <w:rPr>
                <w:webHidden/>
                <w:rStyle w:val="IndexLink"/>
              </w:rPr>
              <w:t>10.1 Running locally</w:t>
              <w:tab/>
              <w:t>29</w:t>
            </w:r>
          </w:hyperlink>
        </w:p>
        <w:p>
          <w:pPr>
            <w:pStyle w:val="TOC2"/>
            <w:tabs>
              <w:tab w:val="clear" w:pos="900"/>
              <w:tab w:val="clear" w:pos="9350"/>
              <w:tab w:val="right" w:pos="9025" w:leader="dot"/>
            </w:tabs>
            <w:rPr/>
          </w:pPr>
          <w:hyperlink w:anchor="__RefHeading___Toc7578_2651032681">
            <w:r>
              <w:rPr>
                <w:webHidden/>
                <w:rStyle w:val="IndexLink"/>
              </w:rPr>
              <w:t>10.2 Where the logs are</w:t>
              <w:tab/>
              <w:t>29</w:t>
            </w:r>
          </w:hyperlink>
        </w:p>
        <w:p>
          <w:pPr>
            <w:pStyle w:val="TOC2"/>
            <w:tabs>
              <w:tab w:val="clear" w:pos="900"/>
              <w:tab w:val="clear" w:pos="9350"/>
              <w:tab w:val="right" w:pos="9025" w:leader="dot"/>
            </w:tabs>
            <w:rPr/>
          </w:pPr>
          <w:hyperlink w:anchor="__RefHeading___Toc7580_2651032681">
            <w:r>
              <w:rPr>
                <w:webHidden/>
                <w:rStyle w:val="IndexLink"/>
              </w:rPr>
              <w:t>10.3 Tracing a defect from a screen to the SQL</w:t>
              <w:tab/>
              <w:t>29</w:t>
            </w:r>
          </w:hyperlink>
        </w:p>
        <w:p>
          <w:pPr>
            <w:pStyle w:val="TOC2"/>
            <w:tabs>
              <w:tab w:val="clear" w:pos="900"/>
              <w:tab w:val="clear" w:pos="9350"/>
              <w:tab w:val="right" w:pos="9025" w:leader="dot"/>
            </w:tabs>
            <w:rPr/>
          </w:pPr>
          <w:hyperlink w:anchor="__RefHeading___Toc7582_2651032681">
            <w:r>
              <w:rPr>
                <w:webHidden/>
                <w:rStyle w:val="IndexLink"/>
              </w:rPr>
              <w:t>10.4 Common failure patterns and where to look</w:t>
              <w:tab/>
              <w:t>30</w:t>
            </w:r>
          </w:hyperlink>
        </w:p>
        <w:p>
          <w:pPr>
            <w:pStyle w:val="TOC2"/>
            <w:tabs>
              <w:tab w:val="clear" w:pos="900"/>
              <w:tab w:val="clear" w:pos="9350"/>
              <w:tab w:val="right" w:pos="9025" w:leader="dot"/>
            </w:tabs>
            <w:rPr/>
          </w:pPr>
          <w:hyperlink w:anchor="__RefHeading___Toc7584_2651032681">
            <w:r>
              <w:rPr>
                <w:webHidden/>
                <w:rStyle w:val="IndexLink"/>
              </w:rPr>
              <w:t>10.5 Making a change safely</w:t>
              <w:tab/>
              <w:t>30</w:t>
            </w:r>
          </w:hyperlink>
        </w:p>
        <w:p>
          <w:pPr>
            <w:pStyle w:val="TOC2"/>
            <w:tabs>
              <w:tab w:val="clear" w:pos="900"/>
              <w:tab w:val="clear" w:pos="9350"/>
              <w:tab w:val="right" w:pos="9025" w:leader="dot"/>
            </w:tabs>
            <w:rPr/>
          </w:pPr>
          <w:hyperlink w:anchor="__RefHeading___Toc7586_2651032681">
            <w:r>
              <w:rPr>
                <w:webHidden/>
                <w:rStyle w:val="IndexLink"/>
              </w:rPr>
              <w:t>10.6 Release and rollback</w:t>
              <w:tab/>
              <w:t>31</w:t>
            </w:r>
          </w:hyperlink>
        </w:p>
        <w:p>
          <w:pPr>
            <w:pStyle w:val="TOC2"/>
            <w:tabs>
              <w:tab w:val="clear" w:pos="900"/>
              <w:tab w:val="clear" w:pos="9350"/>
              <w:tab w:val="right" w:pos="9025" w:leader="dot"/>
            </w:tabs>
            <w:rPr/>
          </w:pPr>
          <w:hyperlink w:anchor="__RefHeading___Toc7588_2651032681">
            <w:r>
              <w:rPr>
                <w:webHidden/>
                <w:rStyle w:val="IndexLink"/>
              </w:rPr>
              <w:t>10.7 Coding checklist for a change</w:t>
              <w:tab/>
              <w:t>32</w:t>
            </w:r>
          </w:hyperlink>
        </w:p>
        <w:p>
          <w:pPr>
            <w:pStyle w:val="TOC1"/>
            <w:tabs>
              <w:tab w:val="clear" w:pos="900"/>
              <w:tab w:val="clear" w:pos="9350"/>
              <w:tab w:val="right" w:pos="9025" w:leader="dot"/>
            </w:tabs>
            <w:rPr/>
          </w:pPr>
          <w:hyperlink w:anchor="__RefHeading___Toc7590_2651032681">
            <w:r>
              <w:rPr>
                <w:webHidden/>
                <w:rStyle w:val="IndexLink"/>
                <w:i w:val="false"/>
                <w:iCs w:val="false"/>
              </w:rPr>
              <w:t>11. Document Sign-Off</w:t>
            </w:r>
            <w:r>
              <w:rPr>
                <w:rStyle w:val="IndexLink"/>
              </w:rPr>
              <w:tab/>
              <w:t>33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460_265103268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462_265103268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464_2651032681"/>
      <w:bookmarkEnd w:id="6"/>
      <w:r>
        <w:rPr>
          <w:rFonts w:eastAsia="Segoe UI" w:cs="Segoe UI" w:ascii="Segoe UI" w:hAnsi="Segoe UI"/>
          <w:b/>
          <w:color w:val="0F4761"/>
          <w:sz w:val="32"/>
        </w:rPr>
        <w:t>3.  Introduction</w:t>
      </w:r>
    </w:p>
    <w:p>
      <w:pPr>
        <w:pStyle w:val="Heading2"/>
        <w:rPr/>
      </w:pPr>
      <w:bookmarkStart w:id="7" w:name="__RefHeading___Toc7466_2651032681"/>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the conventions the code follows, the controls that keep it correct and secure, which screen depends on which API, and how the production support team traces and changes it. It is written for the developers who enhance the product and for the support team that takes it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7468_2651032681"/>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Every statement in this document comes from the repository as it stood on 03 October 2026 (branch with the commit "Add/edit forms as side panels, return to the list after saving receipts, vouchers and petty cash"). The figures were measured as follows.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same loader as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migrated and seeded with reference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03 October 2026: 65 test files, 634 tests, all passing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11 suites, 43 tests, all passing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xml:space="preserve"> on a new database on 03 October 2026: 371 steps, 0 failures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(section 8.1)</w:t>
            </w:r>
          </w:p>
        </w:tc>
      </w:tr>
    </w:tbl>
    <w:p>
      <w:pPr>
        <w:pStyle w:val="Normal"/>
        <w:spacing w:before="0" w:after="80"/>
        <w:rPr/>
      </w:pPr>
      <w:r>
        <w:rPr/>
      </w:r>
    </w:p>
    <w:p>
      <w:pPr>
        <w:pStyle w:val="Heading2"/>
        <w:rPr/>
      </w:pPr>
      <w:bookmarkStart w:id="9" w:name="__RefHeading___Toc7470_2651032681"/>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(868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(170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w:t>
      </w:r>
      <w:r>
        <w:br w:type="page"/>
      </w:r>
    </w:p>
    <w:p>
      <w:pPr>
        <w:pStyle w:val="Heading1"/>
        <w:rPr/>
      </w:pPr>
      <w:bookmarkStart w:id="10" w:name="__RefHeading___Toc7472_2651032681"/>
      <w:bookmarkEnd w:id="10"/>
      <w:r>
        <w:rPr>
          <w:rFonts w:eastAsia="Segoe UI" w:cs="Segoe UI" w:ascii="Segoe UI" w:hAnsi="Segoe UI"/>
          <w:b/>
          <w:color w:val="0F4761"/>
          <w:sz w:val="32"/>
        </w:rPr>
        <w:t>4.  Solution layout</w:t>
      </w:r>
    </w:p>
    <w:p>
      <w:pPr>
        <w:pStyle w:val="Heading2"/>
        <w:rPr/>
      </w:pPr>
      <w:bookmarkStart w:id="11" w:name="__RefHeading___Toc7474_2651032681"/>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 business modules, one folder each (router, service, SQL)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authentication, errors, validation, settings, audit, logging, PDF, uploads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95 migrations, reference and sample seeds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(65 test files) with helpers and fixtures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sample-data purge, database creation, upload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 and the module guide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translations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EC2 deployment script, PM2 and nginx configuration, environment examples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for pull requests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and the front-end deployment (</w:t>
            </w:r>
            <w:r>
              <w:rPr>
                <w:rFonts w:eastAsia="Consolas" w:cs="Consolas" w:ascii="Consolas" w:hAnsi="Consolas"/>
                <w:color w:val="101820"/>
                <w:kern w:val="0"/>
                <w:sz w:val="16"/>
                <w:szCs w:val="24"/>
                <w:lang w:val="en-US" w:eastAsia="ja-JP" w:bidi="ar-SA"/>
              </w:rPr>
              <w:t>deploy-frontend.yml</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Main libraries of the front end: react 18.2, react-router-dom 6.30, primereact 10.3 with primeflex, @reduxjs/toolkit 2, axios 1.20, formik 2, i18next 25 with react-i18next, chart.js 4, moment.</w:t>
      </w:r>
    </w:p>
    <w:p>
      <w:pPr>
        <w:pStyle w:val="Heading2"/>
        <w:rPr/>
      </w:pPr>
      <w:bookmarkStart w:id="12" w:name="__RefHeading___Toc7476_2651032681"/>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50"/>
        <w:gridCol w:w="2177"/>
        <w:gridCol w:w="368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1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3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webhooks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7478_2651032681"/>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fiscal.js</w:t>
            </w:r>
            <w:r>
              <w:rPr>
                <w:rFonts w:eastAsia="Segoe UI" w:cs="Segoe UI" w:ascii="Segoe UI" w:hAnsi="Segoe UI"/>
                <w:color w:val="101820"/>
                <w:kern w:val="0"/>
                <w:sz w:val="18"/>
                <w:szCs w:val="24"/>
                <w:lang w:val="en-US" w:eastAsia="ja-JP" w:bidi="ar-SA"/>
              </w:rPr>
              <w:t xml:space="preserve">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 lines 141 to 151):</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7480_2651032681"/>
      <w:bookmarkEnd w:id="14"/>
      <w:r>
        <w:rPr>
          <w:rFonts w:eastAsia="Segoe UI" w:cs="Segoe UI"/>
          <w:b/>
          <w:color w:val="0F4761"/>
          <w:sz w:val="26"/>
        </w:rPr>
        <w:t>4.4  Shared libraries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session revocation</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 entity, entityId, action, before, after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at rest, signed links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limiter and the global API limiter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uploadLimits.js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 limits, ZIP inflation cap, row cap for imports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 documents with the company letterhead; template variables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Spreadsheet and CSV output and reading of uploaded workbooks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business dates in the configured time zone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public web address for links</w:t>
            </w:r>
          </w:p>
        </w:tc>
      </w:tr>
    </w:tbl>
    <w:p>
      <w:pPr>
        <w:pStyle w:val="Normal"/>
        <w:spacing w:before="0" w:after="80"/>
        <w:rPr/>
      </w:pPr>
      <w:r>
        <w:rPr/>
      </w:r>
    </w:p>
    <w:p>
      <w:pPr>
        <w:pStyle w:val="Heading2"/>
        <w:rPr/>
      </w:pPr>
      <w:bookmarkStart w:id="15" w:name="__RefHeading___Toc7482_2651032681"/>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03 October 2026 holds 167 tables, 59 functions, 404 settings, 7 roles, 64 permissions, 53 master types, 39 report definitions and 16 scheduled jobs.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95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0242_product_template_lob_codes.sql</w:t>
      </w:r>
      <w:r>
        <w:rPr>
          <w:rFonts w:eastAsia="Segoe UI" w:cs="Segoe UI" w:ascii="Segoe UI" w:hAnsi="Segoe UI"/>
          <w:color w:val="101820"/>
          <w:sz w:val="21"/>
        </w:rPr>
        <w:t xml:space="preserve">)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chart of accounts, motor tariff, product templates, report catalogue, security).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and </w:t>
      </w:r>
      <w:r>
        <w:rPr>
          <w:rFonts w:eastAsia="Consolas" w:cs="Consolas" w:ascii="Consolas" w:hAnsi="Consolas"/>
          <w:color w:val="101820"/>
          <w:sz w:val="19"/>
        </w:rPr>
        <w:t>withTransaction(fn)</w:t>
      </w:r>
      <w:r>
        <w:rPr>
          <w:rFonts w:eastAsia="Segoe UI" w:cs="Segoe UI" w:ascii="Segoe UI" w:hAnsi="Segoe UI"/>
          <w:color w:val="101820"/>
          <w:sz w:val="21"/>
        </w:rPr>
        <w:t xml:space="preserve">.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w:t>
      </w:r>
    </w:p>
    <w:p>
      <w:pPr>
        <w:pStyle w:val="Heading2"/>
        <w:rPr/>
      </w:pPr>
      <w:bookmarkStart w:id="16" w:name="__RefHeading___Toc7484_2651032681"/>
      <w:bookmarkEnd w:id="16"/>
      <w:r>
        <w:rPr>
          <w:rFonts w:eastAsia="Segoe UI" w:cs="Segoe UI"/>
          <w:b/>
          <w:color w:val="0F4761"/>
          <w:sz w:val="26"/>
        </w:rPr>
        <w:t>4.6  Scheduled jobs</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A run takes a PostgreSQL advisory lock per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Every run is a row of </w:t>
      </w:r>
      <w:r>
        <w:rPr>
          <w:rFonts w:eastAsia="Consolas" w:cs="Consolas" w:ascii="Consolas" w:hAnsi="Consolas"/>
          <w:color w:val="101820"/>
          <w:sz w:val="19"/>
        </w:rPr>
        <w:t>job_runs</w:t>
      </w:r>
      <w:r>
        <w:rPr>
          <w:rFonts w:eastAsia="Segoe UI" w:cs="Segoe UI" w:ascii="Segoe UI" w:hAnsi="Segoe UI"/>
          <w:color w:val="101820"/>
          <w:sz w:val="21"/>
        </w:rPr>
        <w:t>. The seeded jobs are listed below; administrators change the timing on Master &gt;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code</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Cron (business time zone)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01:45, 02:00, 02:45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05:45, 05:30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07:00, 08:00, 08:00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accrual-reversal</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on the first day of the month</w:t>
            </w:r>
          </w:p>
        </w:tc>
      </w:tr>
    </w:tbl>
    <w:p>
      <w:pPr>
        <w:pStyle w:val="Normal"/>
        <w:spacing w:before="0" w:after="80"/>
        <w:rPr/>
      </w:pPr>
      <w:r>
        <w:rPr/>
      </w:r>
    </w:p>
    <w:p>
      <w:pPr>
        <w:pStyle w:val="Heading2"/>
        <w:rPr/>
      </w:pPr>
      <w:bookmarkStart w:id="17" w:name="__RefHeading___Toc7486_2651032681"/>
      <w:bookmarkEnd w:id="17"/>
      <w:r>
        <w:rPr>
          <w:rFonts w:eastAsia="Segoe UI" w:cs="Segoe UI"/>
          <w:b/>
          <w:color w:val="0F4761"/>
          <w:sz w:val="26"/>
        </w:rPr>
        <w:t>4.7  Front-end structure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(439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170 menu screens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reports, system settings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files, one per API area; all HTTP calls of the screens go through them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(7,523 keys) and </w:t>
            </w:r>
            <w:r>
              <w:rPr>
                <w:rFonts w:eastAsia="Consolas" w:cs="Consolas" w:ascii="Consolas" w:hAnsi="Consolas"/>
                <w:color w:val="101820"/>
                <w:kern w:val="0"/>
                <w:sz w:val="16"/>
                <w:szCs w:val="24"/>
                <w:lang w:val="en-US" w:eastAsia="ja-JP" w:bidi="ar-SA"/>
              </w:rPr>
              <w:t>th.json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a few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REACT_APP_BASE_URL</w:t>
      </w:r>
      <w:r>
        <w:rPr>
          <w:rFonts w:eastAsia="Segoe UI" w:cs="Segoe UI" w:ascii="Segoe UI" w:hAnsi="Segoe UI"/>
          <w:color w:val="101820"/>
          <w:sz w:val="21"/>
        </w:rPr>
        <w:t xml:space="preserve"> at build time (</w:t>
      </w:r>
      <w:r>
        <w:rPr>
          <w:rFonts w:eastAsia="Consolas" w:cs="Consolas" w:ascii="Consolas" w:hAnsi="Consolas"/>
          <w:color w:val="101820"/>
          <w:sz w:val="19"/>
        </w:rPr>
        <w:t>utility/constant.js</w:t>
      </w:r>
      <w:r>
        <w:rPr>
          <w:rFonts w:eastAsia="Segoe UI" w:cs="Segoe UI" w:ascii="Segoe UI" w:hAnsi="Segoe UI"/>
          <w:color w:val="101820"/>
          <w:sz w:val="21"/>
        </w:rPr>
        <w:t>).</w:t>
      </w:r>
    </w:p>
    <w:p>
      <w:pPr>
        <w:pStyle w:val="Heading2"/>
        <w:rPr/>
      </w:pPr>
      <w:bookmarkStart w:id="18" w:name="__RefHeading___Toc7488_2651032681"/>
      <w:bookmarkEnd w:id="18"/>
      <w:r>
        <w:rPr>
          <w:rFonts w:eastAsia="Segoe UI" w:cs="Segoe UI"/>
          <w:b/>
          <w:color w:val="0F4761"/>
          <w:sz w:val="26"/>
        </w:rPr>
        <w:t>4.8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{REACT_APP_BASE_URL}/receipts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rules.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9" w:name="__RefHeading___Toc7490_2651032681"/>
      <w:bookmarkEnd w:id="19"/>
      <w:r>
        <w:rPr>
          <w:rFonts w:eastAsia="Segoe UI" w:cs="Segoe UI" w:ascii="Segoe UI" w:hAnsi="Segoe UI"/>
          <w:b/>
          <w:color w:val="0F4761"/>
          <w:sz w:val="32"/>
        </w:rPr>
        <w:t>5.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coding checklist in section 10.7 repeats them as a list.</w:t>
      </w:r>
    </w:p>
    <w:p>
      <w:pPr>
        <w:pStyle w:val="Heading2"/>
        <w:rPr/>
      </w:pPr>
      <w:bookmarkStart w:id="20" w:name="__RefHeading___Toc7492_2651032681"/>
      <w:bookmarkEnd w:id="20"/>
      <w:r>
        <w:rPr>
          <w:rFonts w:eastAsia="Segoe UI" w:cs="Segoe UI"/>
          <w:b/>
          <w:color w:val="0F4761"/>
          <w:sz w:val="26"/>
        </w:rPr>
        <w:t>5.1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insurer-reconciliation</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approve:&lt;module&gt;</w:t>
      </w:r>
      <w:r>
        <w:rPr>
          <w:rFonts w:eastAsia="Segoe UI" w:cs="Segoe UI" w:ascii="Segoe UI" w:hAnsi="Segoe UI"/>
          <w:color w:val="101820"/>
          <w:sz w:val="21"/>
        </w:rPr>
        <w:t xml:space="preserve"> (64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w:t>
      </w:r>
    </w:p>
    <w:p>
      <w:pPr>
        <w:pStyle w:val="Heading2"/>
        <w:rPr/>
      </w:pPr>
      <w:bookmarkStart w:id="21" w:name="__RefHeading___Toc7494_2651032681"/>
      <w:bookmarkEnd w:id="21"/>
      <w:r>
        <w:rPr>
          <w:rFonts w:eastAsia="Segoe UI" w:cs="Segoe UI"/>
          <w:b/>
          <w:color w:val="0F4761"/>
          <w:sz w:val="26"/>
        </w:rPr>
        <w:t>5.2  Routes are declared through the registry</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for the documentation:</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and the API catalogue cannot drift from the code.</w:t>
      </w:r>
    </w:p>
    <w:p>
      <w:pPr>
        <w:pStyle w:val="Heading2"/>
        <w:rPr/>
      </w:pPr>
      <w:bookmarkStart w:id="22" w:name="__RefHeading___Toc7496_2651032681"/>
      <w:bookmarkEnd w:id="22"/>
      <w:r>
        <w:rPr>
          <w:rFonts w:eastAsia="Segoe UI" w:cs="Segoe UI"/>
          <w:b/>
          <w:color w:val="0F4761"/>
          <w:sz w:val="26"/>
        </w:rPr>
        <w:t>5.3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are made in the service and throw the errors below.</w:t>
      </w:r>
    </w:p>
    <w:p>
      <w:pPr>
        <w:pStyle w:val="Heading2"/>
        <w:rPr/>
      </w:pPr>
      <w:bookmarkStart w:id="23" w:name="__RefHeading___Toc7498_2651032681"/>
      <w:bookmarkEnd w:id="23"/>
      <w:r>
        <w:rPr>
          <w:rFonts w:eastAsia="Segoe UI" w:cs="Segoe UI"/>
          <w:b/>
          <w:color w:val="0F4761"/>
          <w:sz w:val="26"/>
        </w:rPr>
        <w:t>5.4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24" w:name="__RefHeading___Toc7500_2651032681"/>
      <w:bookmarkEnd w:id="24"/>
      <w:r>
        <w:rPr>
          <w:rFonts w:eastAsia="Segoe UI" w:cs="Segoe UI"/>
          <w:b/>
          <w:color w:val="0F4761"/>
          <w:sz w:val="26"/>
        </w:rPr>
        <w:t>5.5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from line 194)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(for example </w:t>
      </w:r>
      <w:r>
        <w:rPr>
          <w:rFonts w:eastAsia="Consolas" w:cs="Consolas" w:ascii="Consolas" w:hAnsi="Consolas"/>
          <w:color w:val="101820"/>
          <w:sz w:val="19"/>
        </w:rPr>
        <w:t>SELECT * FROM receipts WHERE id = $1 OR receipt_number = $1 FOR UPDATE</w:t>
      </w:r>
      <w:r>
        <w:rPr>
          <w:rFonts w:eastAsia="Segoe UI" w:cs="Segoe UI" w:ascii="Segoe UI" w:hAnsi="Segoe UI"/>
          <w:color w:val="101820"/>
          <w:sz w:val="21"/>
        </w:rPr>
        <w:t>). Section 7.4 lists how the few dynamic identifiers are controlled.</w:t>
      </w:r>
    </w:p>
    <w:p>
      <w:pPr>
        <w:pStyle w:val="Heading2"/>
        <w:rPr/>
      </w:pPr>
      <w:bookmarkStart w:id="25" w:name="__RefHeading___Toc7502_2651032681"/>
      <w:bookmarkEnd w:id="25"/>
      <w:r>
        <w:rPr>
          <w:rFonts w:eastAsia="Segoe UI" w:cs="Segoe UI"/>
          <w:b/>
          <w:color w:val="0F4761"/>
          <w:sz w:val="26"/>
        </w:rPr>
        <w:t>5.6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w:t>
      </w:r>
      <w:r>
        <w:rPr>
          <w:rFonts w:eastAsia="Segoe UI" w:cs="Segoe UI" w:ascii="Segoe UI" w:hAnsi="Segoe UI"/>
          <w:color w:val="101820"/>
          <w:sz w:val="21"/>
        </w:rPr>
        <w:t xml:space="preserve"> (</w:t>
      </w:r>
      <w:r>
        <w:rPr>
          <w:rFonts w:eastAsia="Consolas" w:cs="Consolas" w:ascii="Consolas" w:hAnsi="Consolas"/>
          <w:color w:val="101820"/>
          <w:sz w:val="19"/>
        </w:rPr>
        <w:t>backend/src/lib/audit.js</w:t>
      </w:r>
      <w:r>
        <w:rPr>
          <w:rFonts w:eastAsia="Segoe UI" w:cs="Segoe UI" w:ascii="Segoe UI" w:hAnsi="Segoe UI"/>
          <w:color w:val="101820"/>
          <w:sz w:val="21"/>
        </w:rPr>
        <w:t>) after the change, with the entity, its id, the action and the before and after images:</w:t>
      </w:r>
    </w:p>
    <w:p>
      <w:pPr>
        <w:pStyle w:val="Normal"/>
        <w:shd w:val="clear" w:color="auto" w:fill="F3F4F6"/>
        <w:spacing w:before="0" w:after="0"/>
        <w:ind w:left="170"/>
        <w:rPr/>
      </w:pPr>
      <w:r>
        <w:rPr>
          <w:rFonts w:eastAsia="Consolas" w:cs="Consolas" w:ascii="Consolas" w:hAnsi="Consolas"/>
          <w:color w:val="101820"/>
          <w:sz w:val="17"/>
        </w:rPr>
        <w:t>await audit(req, { entity: 'receipt', entityId: r.receiptId, action: 'create', after: r });</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audit_log</w:t>
      </w:r>
      <w:r>
        <w:rPr>
          <w:rFonts w:eastAsia="Segoe UI" w:cs="Segoe UI" w:ascii="Segoe UI" w:hAnsi="Segoe UI"/>
          <w:color w:val="101820"/>
          <w:sz w:val="21"/>
        </w:rPr>
        <w:t xml:space="preserve"> records the user id, user name, IP address and time. Administrators read it on Master &gt; Audit Trail (</w:t>
      </w:r>
      <w:r>
        <w:rPr>
          <w:rFonts w:eastAsia="Consolas" w:cs="Consolas" w:ascii="Consolas" w:hAnsi="Consolas"/>
          <w:color w:val="101820"/>
          <w:sz w:val="19"/>
        </w:rPr>
        <w:t>GET /api/settings/audit</w:t>
      </w:r>
      <w:r>
        <w:rPr>
          <w:rFonts w:eastAsia="Segoe UI" w:cs="Segoe UI" w:ascii="Segoe UI" w:hAnsi="Segoe UI"/>
          <w:color w:val="101820"/>
          <w:sz w:val="21"/>
        </w:rPr>
        <w:t xml:space="preserve">, permission </w:t>
      </w:r>
      <w:r>
        <w:rPr>
          <w:rFonts w:eastAsia="Consolas" w:cs="Consolas" w:ascii="Consolas" w:hAnsi="Consolas"/>
          <w:color w:val="101820"/>
          <w:sz w:val="19"/>
        </w:rPr>
        <w:t>read:audit</w:t>
      </w:r>
      <w:r>
        <w:rPr>
          <w:rFonts w:eastAsia="Segoe UI" w:cs="Segoe UI" w:ascii="Segoe UI" w:hAnsi="Segoe UI"/>
          <w:color w:val="101820"/>
          <w:sz w:val="21"/>
        </w:rPr>
        <w:t xml:space="preserve">). Modules with a business history of their own keep it in addition: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w:t>
      </w:r>
    </w:p>
    <w:p>
      <w:pPr>
        <w:pStyle w:val="Heading2"/>
        <w:rPr/>
      </w:pPr>
      <w:bookmarkStart w:id="26" w:name="__RefHeading___Toc7504_2651032681"/>
      <w:bookmarkEnd w:id="26"/>
      <w:r>
        <w:rPr>
          <w:rFonts w:eastAsia="Segoe UI" w:cs="Segoe UI"/>
          <w:b/>
          <w:color w:val="0F4761"/>
          <w:sz w:val="26"/>
        </w:rPr>
        <w:t>5.7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 line 89):</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27" w:name="__RefHeading___Toc7506_2651032681"/>
      <w:bookmarkEnd w:id="27"/>
      <w:r>
        <w:rPr>
          <w:rFonts w:eastAsia="Segoe UI" w:cs="Segoe UI"/>
          <w:b/>
          <w:color w:val="0F4761"/>
          <w:sz w:val="26"/>
        </w:rPr>
        <w:t>5.8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w:t>
      </w:r>
      <w:r>
        <w:rPr>
          <w:rFonts w:eastAsia="Consolas" w:cs="Consolas" w:ascii="Consolas" w:hAnsi="Consolas"/>
          <w:color w:val="101820"/>
          <w:sz w:val="19"/>
        </w:rPr>
        <w:t>backend/src/modules/payment-gateway/providers.js</w:t>
      </w:r>
      <w:r>
        <w:rPr>
          <w:rFonts w:eastAsia="Segoe UI" w:cs="Segoe UI" w:ascii="Segoe UI" w:hAnsi="Segoe UI"/>
          <w:color w:val="101820"/>
          <w:sz w:val="21"/>
        </w:rPr>
        <w:t xml:space="preserve">), never from the database.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a placeholder, shorter than 32 characters or equal to the other,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28" w:name="__RefHeading___Toc7508_2651032681"/>
      <w:bookmarkEnd w:id="28"/>
      <w:r>
        <w:rPr>
          <w:rFonts w:eastAsia="Segoe UI" w:cs="Segoe UI"/>
          <w:b/>
          <w:color w:val="0F4761"/>
          <w:sz w:val="26"/>
        </w:rPr>
        <w:t>5.9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29" w:name="__RefHeading___Toc7510_2651032681"/>
      <w:bookmarkEnd w:id="29"/>
      <w:r>
        <w:rPr>
          <w:rFonts w:eastAsia="Segoe UI" w:cs="Segoe UI"/>
          <w:b/>
          <w:color w:val="0F4761"/>
          <w:sz w:val="26"/>
        </w:rPr>
        <w:t>5.10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Colours, spacing and component styles come from the BDOI theme tokens in </w:t>
      </w:r>
      <w:r>
        <w:rPr>
          <w:rFonts w:eastAsia="Consolas" w:cs="Consolas" w:ascii="Consolas" w:hAnsi="Consolas"/>
          <w:color w:val="101820"/>
          <w:sz w:val="19"/>
        </w:rPr>
        <w:t>theme/bdoi/</w:t>
      </w:r>
      <w:r>
        <w:rPr>
          <w:rFonts w:eastAsia="Segoe UI" w:cs="Segoe UI" w:ascii="Segoe UI" w:hAnsi="Segoe UI"/>
          <w:color w:val="101820"/>
          <w:sz w:val="21"/>
        </w:rPr>
        <w:t xml:space="preserve">; </w:t>
      </w:r>
      <w:r>
        <w:rPr>
          <w:rFonts w:eastAsia="Consolas" w:cs="Consolas" w:ascii="Consolas" w:hAnsi="Consolas"/>
          <w:color w:val="101820"/>
          <w:sz w:val="19"/>
        </w:rPr>
        <w:t>npm run theme:bdoi</w:t>
      </w:r>
      <w:r>
        <w:rPr>
          <w:rFonts w:eastAsia="Segoe UI" w:cs="Segoe UI" w:ascii="Segoe UI" w:hAnsi="Segoe UI"/>
          <w:color w:val="101820"/>
          <w:sz w:val="21"/>
        </w:rPr>
        <w:t xml:space="preserve"> rebuilds the theme.</w:t>
      </w:r>
      <w:r>
        <w:br w:type="page"/>
      </w:r>
    </w:p>
    <w:p>
      <w:pPr>
        <w:pStyle w:val="Heading1"/>
        <w:rPr/>
      </w:pPr>
      <w:bookmarkStart w:id="30" w:name="__RefHeading___Toc7512_2651032681"/>
      <w:bookmarkEnd w:id="30"/>
      <w:r>
        <w:rPr>
          <w:rFonts w:eastAsia="Segoe UI" w:cs="Segoe UI" w:ascii="Segoe UI" w:hAnsi="Segoe UI"/>
          <w:b/>
          <w:color w:val="0F4761"/>
          <w:sz w:val="32"/>
        </w:rPr>
        <w:t>6.  Code quality controls</w:t>
      </w:r>
    </w:p>
    <w:p>
      <w:pPr>
        <w:pStyle w:val="Heading2"/>
        <w:rPr/>
      </w:pPr>
      <w:bookmarkStart w:id="31" w:name="__RefHeading___Toc7514_2651032681"/>
      <w:bookmarkEnd w:id="31"/>
      <w:r>
        <w:rPr>
          <w:rFonts w:eastAsia="Segoe UI" w:cs="Segoe UI"/>
          <w:b/>
          <w:color w:val="0F4761"/>
          <w:sz w:val="26"/>
        </w:rPr>
        <w:t>6.1  Size of the code base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58"/>
        <w:gridCol w:w="907"/>
        <w:gridCol w:w="1049"/>
      </w:tblGrid>
      <w:tr>
        <w:trPr>
          <w:tblHeader w:val="true"/>
        </w:trPr>
        <w:tc>
          <w:tcPr>
            <w:tcW w:w="7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10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169</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34,207</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2,919</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5,324</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3,555</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 tools, server, configuration, database runners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1,069</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74</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13,455</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 (settings check, UAT scenario, purge, templates)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3,158</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138,962</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81,730</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10,650</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 routes, utilities, store, hooks, context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11,211</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8,266</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translations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th.json</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13,373</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180"/>
        <w:gridCol w:w="2833"/>
      </w:tblGrid>
      <w:tr>
        <w:trPr>
          <w:tblHeader w:val="true"/>
        </w:trPr>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 / module labels in the API</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 55</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170 / 439</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 767</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functions after migration</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 / 59</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 64 / 7 / 53 / 39</w:t>
            </w:r>
          </w:p>
        </w:tc>
      </w:tr>
    </w:tbl>
    <w:p>
      <w:pPr>
        <w:pStyle w:val="Normal"/>
        <w:spacing w:before="0" w:after="80"/>
        <w:rPr/>
      </w:pPr>
      <w:r>
        <w:rPr/>
      </w:r>
    </w:p>
    <w:p>
      <w:pPr>
        <w:pStyle w:val="Heading2"/>
        <w:rPr/>
      </w:pPr>
      <w:bookmarkStart w:id="32" w:name="__RefHeading___Toc7516_2651032681"/>
      <w:bookmarkEnd w:id="32"/>
      <w:r>
        <w:rPr>
          <w:rFonts w:eastAsia="Segoe UI" w:cs="Segoe UI"/>
          <w:b/>
          <w:color w:val="0F4761"/>
          <w:sz w:val="26"/>
        </w:rPr>
        <w:t>6.2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03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in </w:t>
      </w:r>
      <w:r>
        <w:rPr>
          <w:rFonts w:eastAsia="Consolas" w:cs="Consolas" w:ascii="Consolas" w:hAnsi="Consolas"/>
          <w:color w:val="101820"/>
          <w:sz w:val="19"/>
        </w:rPr>
        <w:t>brokerverse/package.json</w:t>
      </w:r>
      <w:r>
        <w:rPr>
          <w:rFonts w:eastAsia="Segoe UI" w:cs="Segoe UI" w:ascii="Segoe UI" w:hAnsi="Segoe UI"/>
          <w:color w:val="101820"/>
          <w:sz w:val="21"/>
        </w:rPr>
        <w:t xml:space="preserve">) with </w:t>
      </w:r>
      <w:r>
        <w:rPr>
          <w:rFonts w:eastAsia="Consolas" w:cs="Consolas" w:ascii="Consolas" w:hAnsi="Consolas"/>
          <w:color w:val="101820"/>
          <w:sz w:val="19"/>
        </w:rPr>
        <w:t>no-console</w:t>
      </w:r>
      <w:r>
        <w:rPr>
          <w:rFonts w:eastAsia="Segoe UI" w:cs="Segoe UI" w:ascii="Segoe UI" w:hAnsi="Segoe UI"/>
          <w:color w:val="101820"/>
          <w:sz w:val="21"/>
        </w:rPr>
        <w:t xml:space="preserve"> as a warning. A run over </w:t>
      </w:r>
      <w:r>
        <w:rPr>
          <w:rFonts w:eastAsia="Consolas" w:cs="Consolas" w:ascii="Consolas" w:hAnsi="Consolas"/>
          <w:color w:val="101820"/>
          <w:sz w:val="19"/>
        </w:rPr>
        <w:t>src</w:t>
      </w:r>
      <w:r>
        <w:rPr>
          <w:rFonts w:eastAsia="Segoe UI" w:cs="Segoe UI" w:ascii="Segoe UI" w:hAnsi="Segoe UI"/>
          <w:color w:val="101820"/>
          <w:sz w:val="21"/>
        </w:rPr>
        <w:t xml:space="preserve"> on 03 October 2026: 898 files, no errors, 299 warnings (161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121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w:t>
      </w:r>
    </w:p>
    <w:p>
      <w:pPr>
        <w:pStyle w:val="Heading2"/>
        <w:rPr/>
      </w:pPr>
      <w:bookmarkStart w:id="33" w:name="__RefHeading___Toc7518_2651032681"/>
      <w:bookmarkEnd w:id="33"/>
      <w:r>
        <w:rPr>
          <w:rFonts w:eastAsia="Segoe UI" w:cs="Segoe UI"/>
          <w:b/>
          <w:color w:val="0F4761"/>
          <w:sz w:val="26"/>
        </w:rPr>
        <w:t>6.3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65 test files with 634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period-end.test.js</w:t>
      </w:r>
      <w:r>
        <w:rPr>
          <w:rFonts w:eastAsia="Segoe UI" w:cs="Segoe UI" w:ascii="Segoe UI" w:hAnsi="Segoe UI"/>
          <w:color w:val="101820"/>
          <w:sz w:val="21"/>
        </w:rPr>
        <w:t xml:space="preserve">, </w:t>
      </w:r>
      <w:r>
        <w:rPr>
          <w:rFonts w:eastAsia="Consolas" w:cs="Consolas" w:ascii="Consolas" w:hAnsi="Consolas"/>
          <w:color w:val="101820"/>
          <w:sz w:val="19"/>
        </w:rPr>
        <w:t>remittance.test.js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configuration-controls.test.js</w:t>
      </w:r>
      <w:r>
        <w:rPr>
          <w:rFonts w:eastAsia="Segoe UI" w:cs="Segoe UI" w:ascii="Segoe UI" w:hAnsi="Segoe UI"/>
          <w:color w:val="101820"/>
          <w:sz w:val="21"/>
        </w:rPr>
        <w:t>) and the tools (</w:t>
      </w:r>
      <w:r>
        <w:rPr>
          <w:rFonts w:eastAsia="Consolas" w:cs="Consolas" w:ascii="Consolas" w:hAnsi="Consolas"/>
          <w:color w:val="101820"/>
          <w:sz w:val="19"/>
        </w:rPr>
        <w:t>tools.test.js</w:t>
      </w:r>
      <w:r>
        <w:rPr>
          <w:rFonts w:eastAsia="Segoe UI" w:cs="Segoe UI" w:ascii="Segoe UI" w:hAnsi="Segoe UI"/>
          <w:color w:val="101820"/>
          <w:sz w:val="21"/>
        </w:rPr>
        <w:t>). Result on 03 October 2026: all 634 tests passed.</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11 suites with 43 tests: menu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utils/canOpen.test.js</w:t>
      </w:r>
      <w:r>
        <w:rPr>
          <w:rFonts w:eastAsia="Segoe UI" w:cs="Segoe UI" w:ascii="Segoe UI" w:hAnsi="Segoe UI"/>
          <w:color w:val="101820"/>
          <w:sz w:val="21"/>
        </w:rPr>
        <w:t>), number and date formatting, configured options, form error helpers, and the lead and masters services. Result on 03 October 2026: all passed.</w:t>
      </w:r>
    </w:p>
    <w:p>
      <w:pPr>
        <w:pStyle w:val="Heading2"/>
        <w:rPr/>
      </w:pPr>
      <w:bookmarkStart w:id="34" w:name="__RefHeading___Toc7520_2651032681"/>
      <w:bookmarkEnd w:id="34"/>
      <w:r>
        <w:rPr>
          <w:rFonts w:eastAsia="Segoe UI" w:cs="Segoe UI"/>
          <w:b/>
          <w:color w:val="0F4761"/>
          <w:sz w:val="26"/>
        </w:rPr>
        <w:t>6.4  Consistency checks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1 unread (</w:t>
            </w:r>
            <w:r>
              <w:rPr>
                <w:rFonts w:eastAsia="Consolas" w:cs="Consolas" w:ascii="Consolas" w:hAnsi="Consolas"/>
                <w:color w:val="101820"/>
                <w:kern w:val="0"/>
                <w:sz w:val="16"/>
                <w:szCs w:val="24"/>
                <w:lang w:val="en-US" w:eastAsia="ja-JP" w:bidi="ar-SA"/>
              </w:rPr>
              <w:t>product.component_kinds</w:t>
            </w:r>
            <w:r>
              <w:rPr>
                <w:rFonts w:eastAsia="Segoe UI" w:cs="Segoe UI" w:ascii="Segoe UI" w:hAnsi="Segoe UI"/>
                <w:color w:val="101820"/>
                <w:kern w:val="0"/>
                <w:sz w:val="18"/>
                <w:szCs w:val="24"/>
                <w:lang w:val="en-US" w:eastAsia="ja-JP" w:bidi="ar-SA"/>
              </w:rPr>
              <w:t>); 5 read only by the front end</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against the current routes; 2 method warnings caused by a helper that chooses GET or POST at run time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 keys without an English text; 1,861 keys not yet in </w:t>
            </w:r>
            <w:r>
              <w:rPr>
                <w:rFonts w:eastAsia="Consolas" w:cs="Consolas" w:ascii="Consolas" w:hAnsi="Consolas"/>
                <w:color w:val="101820"/>
                <w:kern w:val="0"/>
                <w:sz w:val="16"/>
                <w:szCs w:val="24"/>
                <w:lang w:val="en-US" w:eastAsia="ja-JP" w:bidi="ar-SA"/>
              </w:rPr>
              <w:t>th.json</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35" w:name="__RefHeading___Toc7522_2651032681"/>
      <w:bookmarkEnd w:id="35"/>
      <w:r>
        <w:rPr>
          <w:rFonts w:eastAsia="Segoe UI" w:cs="Segoe UI"/>
          <w:b/>
          <w:color w:val="0F4761"/>
          <w:sz w:val="26"/>
        </w:rPr>
        <w:t>6.5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36" w:name="__RefHeading___Toc7524_2651032681"/>
      <w:bookmarkEnd w:id="36"/>
      <w:r>
        <w:rPr>
          <w:rFonts w:eastAsia="Segoe UI" w:cs="Segoe UI"/>
          <w:b/>
          <w:color w:val="0F4761"/>
          <w:sz w:val="26"/>
        </w:rPr>
        <w:t>6.6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 Run on a new database on 03 October 2026: 371 steps, 0 failures.</w:t>
      </w:r>
    </w:p>
    <w:p>
      <w:pPr>
        <w:pStyle w:val="Heading2"/>
        <w:rPr/>
      </w:pPr>
      <w:bookmarkStart w:id="37" w:name="__RefHeading___Toc7526_2651032681"/>
      <w:bookmarkEnd w:id="37"/>
      <w:r>
        <w:rPr>
          <w:rFonts w:eastAsia="Segoe UI" w:cs="Segoe UI"/>
          <w:b/>
          <w:color w:val="0F4761"/>
          <w:sz w:val="26"/>
        </w:rPr>
        <w:t>6.7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The back-end job starts PostgreSQL 16, installs with </w:t>
      </w:r>
      <w:r>
        <w:rPr>
          <w:rFonts w:eastAsia="Consolas" w:cs="Consolas" w:ascii="Consolas" w:hAnsi="Consolas"/>
          <w:color w:val="101820"/>
          <w:sz w:val="19"/>
        </w:rPr>
        <w:t>npm ci</w:t>
      </w:r>
      <w:r>
        <w:rPr>
          <w:rFonts w:eastAsia="Segoe UI" w:cs="Segoe UI" w:ascii="Segoe UI" w:hAnsi="Segoe UI"/>
          <w:color w:val="101820"/>
          <w:sz w:val="21"/>
        </w:rPr>
        <w:t xml:space="preserve">, runs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The front-end job installs with </w:t>
      </w:r>
      <w:r>
        <w:rPr>
          <w:rFonts w:eastAsia="Consolas" w:cs="Consolas" w:ascii="Consolas" w:hAnsi="Consolas"/>
          <w:color w:val="101820"/>
          <w:sz w:val="19"/>
        </w:rPr>
        <w:t>npm ci --legacy-peer-deps</w:t>
      </w:r>
      <w:r>
        <w:rPr>
          <w:rFonts w:eastAsia="Segoe UI" w:cs="Segoe UI" w:ascii="Segoe UI" w:hAnsi="Segoe UI"/>
          <w:color w:val="101820"/>
          <w:sz w:val="21"/>
        </w:rPr>
        <w:t xml:space="preserve"> and runs the jest suite. </w:t>
      </w:r>
      <w:r>
        <w:rPr>
          <w:rFonts w:eastAsia="Consolas" w:cs="Consolas" w:ascii="Consolas" w:hAnsi="Consolas"/>
          <w:color w:val="101820"/>
          <w:sz w:val="19"/>
        </w:rPr>
        <w:t>deploy-frontend.yml</w:t>
      </w:r>
      <w:r>
        <w:rPr>
          <w:rFonts w:eastAsia="Segoe UI" w:cs="Segoe UI" w:ascii="Segoe UI" w:hAnsi="Segoe UI"/>
          <w:color w:val="101820"/>
          <w:sz w:val="21"/>
        </w:rPr>
        <w:t xml:space="preserve"> builds and publishes the front end. The back end on EC2 is installed by </w:t>
      </w:r>
      <w:r>
        <w:rPr>
          <w:rFonts w:eastAsia="Consolas" w:cs="Consolas" w:ascii="Consolas" w:hAnsi="Consolas"/>
          <w:color w:val="101820"/>
          <w:sz w:val="19"/>
        </w:rPr>
        <w:t>deploy/ec2/deploy.sh</w:t>
      </w:r>
      <w:r>
        <w:rPr>
          <w:rFonts w:eastAsia="Segoe UI" w:cs="Segoe UI" w:ascii="Segoe UI" w:hAnsi="Segoe UI"/>
          <w:color w:val="101820"/>
          <w:sz w:val="21"/>
        </w:rPr>
        <w:t xml:space="preserve"> and run by PM2 (</w:t>
      </w:r>
      <w:r>
        <w:rPr>
          <w:rFonts w:eastAsia="Consolas" w:cs="Consolas" w:ascii="Consolas" w:hAnsi="Consolas"/>
          <w:color w:val="101820"/>
          <w:sz w:val="19"/>
        </w:rPr>
        <w:t>deploy/ec2/ecosystem.config.cjs</w:t>
      </w:r>
      <w:r>
        <w:rPr>
          <w:rFonts w:eastAsia="Segoe UI" w:cs="Segoe UI" w:ascii="Segoe UI" w:hAnsi="Segoe UI"/>
          <w:color w:val="101820"/>
          <w:sz w:val="21"/>
        </w:rPr>
        <w:t>).</w:t>
      </w:r>
      <w:r>
        <w:br w:type="page"/>
      </w:r>
    </w:p>
    <w:p>
      <w:pPr>
        <w:pStyle w:val="Heading1"/>
        <w:rPr/>
      </w:pPr>
      <w:bookmarkStart w:id="38" w:name="__RefHeading___Toc7528_2651032681"/>
      <w:bookmarkEnd w:id="38"/>
      <w:r>
        <w:rPr>
          <w:rFonts w:eastAsia="Segoe UI" w:cs="Segoe UI" w:ascii="Segoe UI" w:hAnsi="Segoe UI"/>
          <w:b/>
          <w:color w:val="0F4761"/>
          <w:sz w:val="32"/>
        </w:rPr>
        <w:t>7.  Security controls in code</w:t>
      </w:r>
    </w:p>
    <w:p>
      <w:pPr>
        <w:pStyle w:val="Heading2"/>
        <w:rPr/>
      </w:pPr>
      <w:bookmarkStart w:id="39" w:name="__RefHeading___Toc7530_2651032681"/>
      <w:bookmarkEnd w:id="39"/>
      <w:r>
        <w:rPr>
          <w:rFonts w:eastAsia="Segoe UI" w:cs="Segoe UI"/>
          <w:b/>
          <w:color w:val="0F4761"/>
          <w:sz w:val="26"/>
        </w:rPr>
        <w:t>7.1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40" w:name="__RefHeading___Toc7532_2651032681"/>
      <w:bookmarkEnd w:id="40"/>
      <w:r>
        <w:rPr>
          <w:rFonts w:eastAsia="Segoe UI" w:cs="Segoe UI"/>
          <w:b/>
          <w:color w:val="0F4761"/>
          <w:sz w:val="26"/>
        </w:rPr>
        <w:t>7.2  Password policy, lockout and two-factor sign-in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8"/>
        <w:gridCol w:w="2945"/>
        <w:gridCol w:w="2411"/>
      </w:tblGrid>
      <w:tr>
        <w:trPr>
          <w:tblHeader w:val="true"/>
        </w:trPr>
        <w:tc>
          <w:tcPr>
            <w:tcW w:w="3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2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4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41" w:name="__RefHeading___Toc7534_2651032681"/>
      <w:bookmarkEnd w:id="41"/>
      <w:r>
        <w:rPr>
          <w:rFonts w:eastAsia="Segoe UI" w:cs="Segoe UI"/>
          <w:b/>
          <w:color w:val="0F4761"/>
          <w:sz w:val="26"/>
        </w:rPr>
        <w:t>7.3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868 endpoints, 807 require a permission 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requireRole()</w:t>
      </w:r>
      <w:r>
        <w:rPr>
          <w:rFonts w:eastAsia="Segoe UI" w:cs="Segoe UI" w:ascii="Segoe UI" w:hAnsi="Segoe UI"/>
          <w:color w:val="101820"/>
          <w:sz w:val="21"/>
        </w:rPr>
        <w:t>, 42 require only a signed-in user (own profile, own notifications, own calendar events, address look-ups, file upload and download, global search, permission list for the role screen), and 19 are public by design (section 9.3).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Seven roles are seeded: System Administrator (</w:t>
      </w:r>
      <w:r>
        <w:rPr>
          <w:rFonts w:eastAsia="Consolas" w:cs="Consolas" w:ascii="Consolas" w:hAnsi="Consolas"/>
          <w:color w:val="101820"/>
          <w:sz w:val="19"/>
        </w:rPr>
        <w:t>system-admin</w:t>
      </w:r>
      <w:r>
        <w:rPr>
          <w:rFonts w:eastAsia="Segoe UI" w:cs="Segoe UI" w:ascii="Segoe UI" w:hAnsi="Segoe UI"/>
          <w:color w:val="101820"/>
          <w:sz w:val="21"/>
        </w:rPr>
        <w:t>, every permission), Sales &amp; Marketing, Processing Team, Operations, Claims, Accounting and Accounting Manager. Roles can inherit other roles (</w:t>
      </w:r>
      <w:r>
        <w:rPr>
          <w:rFonts w:eastAsia="Consolas" w:cs="Consolas" w:ascii="Consolas" w:hAnsi="Consolas"/>
          <w:color w:val="101820"/>
          <w:sz w:val="19"/>
        </w:rPr>
        <w:t>user_effective_roles()</w:t>
      </w:r>
      <w:r>
        <w:rPr>
          <w:rFonts w:eastAsia="Segoe UI" w:cs="Segoe UI" w:ascii="Segoe UI" w:hAnsi="Segoe UI"/>
          <w:color w:val="101820"/>
          <w:sz w:val="21"/>
        </w:rPr>
        <w:t>); administrators change grants on Master &gt; Generals &gt; User Management.</w:t>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lists add an ownership predicate (</w:t>
      </w:r>
      <w:r>
        <w:rPr>
          <w:rFonts w:eastAsia="Consolas" w:cs="Consolas" w:ascii="Consolas" w:hAnsi="Consolas"/>
          <w:color w:val="101820"/>
          <w:sz w:val="19"/>
        </w:rPr>
        <w:t>scopeSql()</w:t>
      </w:r>
      <w:r>
        <w:rPr>
          <w:rFonts w:eastAsia="Segoe UI" w:cs="Segoe UI" w:ascii="Segoe UI" w:hAnsi="Segoe UI"/>
          <w:color w:val="101820"/>
          <w:sz w:val="21"/>
        </w:rPr>
        <w:t>), and detail routes answer 404 for another user's record (</w:t>
      </w:r>
      <w:r>
        <w:rPr>
          <w:rFonts w:eastAsia="Consolas" w:cs="Consolas" w:ascii="Consolas" w:hAnsi="Consolas"/>
          <w:color w:val="101820"/>
          <w:sz w:val="19"/>
        </w:rPr>
        <w:t>ownRecord()</w:t>
      </w:r>
      <w:r>
        <w:rPr>
          <w:rFonts w:eastAsia="Segoe UI" w:cs="Segoe UI" w:ascii="Segoe UI" w:hAnsi="Segoe UI"/>
          <w:color w:val="101820"/>
          <w:sz w:val="21"/>
        </w:rPr>
        <w:t>), so the record's existence is not disclosed. The scope travels under a JavaScript Symbol, so it cannot be set from the query string.</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The maker-checker rule (</w:t>
      </w:r>
      <w:r>
        <w:rPr>
          <w:rFonts w:eastAsia="Consolas" w:cs="Consolas" w:ascii="Consolas" w:hAnsi="Consolas"/>
          <w:color w:val="101820"/>
          <w:sz w:val="19"/>
        </w:rPr>
        <w:t>backend/src/lib/makerChecker.js</w:t>
      </w:r>
      <w:r>
        <w:rPr>
          <w:rFonts w:eastAsia="Segoe UI" w:cs="Segoe UI" w:ascii="Segoe UI" w:hAnsi="Segoe UI"/>
          <w:color w:val="101820"/>
          <w:sz w:val="21"/>
        </w:rPr>
        <w:t>) refuses an approval by the user who created the record;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checks the approver's limit per transaction type, raised by active delegations; segregation-of-duties rules are kept under Master &gt; Generals &gt; User Management.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in </w:t>
      </w:r>
      <w:r>
        <w:rPr>
          <w:rFonts w:eastAsia="Consolas" w:cs="Consolas" w:ascii="Consolas" w:hAnsi="Consolas"/>
          <w:color w:val="101820"/>
          <w:sz w:val="19"/>
        </w:rPr>
        <w:t>brokerverse/src/utils/menuPermissions.js</w:t>
      </w:r>
      <w:r>
        <w:rPr>
          <w:rFonts w:eastAsia="Segoe UI" w:cs="Segoe UI" w:ascii="Segoe UI" w:hAnsi="Segoe UI"/>
          <w:color w:val="101820"/>
          <w:sz w:val="21"/>
        </w:rPr>
        <w:t xml:space="preserve"> denies by default and lists, per role, the menu entries it may open;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42" w:name="__RefHeading___Toc7536_2651032681"/>
      <w:bookmarkEnd w:id="42"/>
      <w:r>
        <w:rPr>
          <w:rFonts w:eastAsia="Segoe UI" w:cs="Segoe UI"/>
          <w:b/>
          <w:color w:val="0F4761"/>
          <w:sz w:val="26"/>
        </w:rPr>
        <w:t>7.4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was searched on 03 October 2026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was traced to its source.</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953 SQL template literals were found; 378 of them interpolate an expression. 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line 96,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field names of new master types are checked when the type is saved</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come from </w:t>
            </w:r>
            <w:r>
              <w:rPr>
                <w:rFonts w:eastAsia="Consolas" w:cs="Consolas" w:ascii="Consolas" w:hAnsi="Consolas"/>
                <w:color w:val="101820"/>
                <w:kern w:val="0"/>
                <w:sz w:val="16"/>
                <w:szCs w:val="24"/>
                <w:lang w:val="en-US" w:eastAsia="ja-JP" w:bidi="ar-SA"/>
              </w:rPr>
              <w:t>QUERIES</w:t>
            </w:r>
            <w:r>
              <w:rPr>
                <w:rFonts w:eastAsia="Segoe UI" w:cs="Segoe UI" w:ascii="Segoe UI" w:hAnsi="Segoe UI"/>
                <w:color w:val="101820"/>
                <w:kern w:val="0"/>
                <w:sz w:val="18"/>
                <w:szCs w:val="24"/>
                <w:lang w:val="en-US" w:eastAsia="ja-JP" w:bidi="ar-SA"/>
              </w:rPr>
              <w:t xml:space="preserve"> in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and are 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xml:space="preserve">; filters come from the fixed </w:t>
            </w:r>
            <w:r>
              <w:rPr>
                <w:rFonts w:eastAsia="Consolas" w:cs="Consolas" w:ascii="Consolas" w:hAnsi="Consolas"/>
                <w:color w:val="101820"/>
                <w:kern w:val="0"/>
                <w:sz w:val="16"/>
                <w:szCs w:val="24"/>
                <w:lang w:val="en-US" w:eastAsia="ja-JP" w:bidi="ar-SA"/>
              </w:rPr>
              <w:t>FILTERS</w:t>
            </w:r>
            <w:r>
              <w:rPr>
                <w:rFonts w:eastAsia="Segoe UI" w:cs="Segoe UI" w:ascii="Segoe UI" w:hAnsi="Segoe UI"/>
                <w:color w:val="101820"/>
                <w:kern w:val="0"/>
                <w:sz w:val="18"/>
                <w:szCs w:val="24"/>
                <w:lang w:val="en-US" w:eastAsia="ja-JP" w:bidi="ar-SA"/>
              </w:rPr>
              <w:t xml:space="preserve">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w:t>
            </w:r>
            <w:r>
              <w:rPr>
                <w:rFonts w:eastAsia="Consolas" w:cs="Consolas" w:ascii="Consolas" w:hAnsi="Consolas"/>
                <w:color w:val="101820"/>
                <w:kern w:val="0"/>
                <w:sz w:val="16"/>
                <w:szCs w:val="24"/>
                <w:lang w:val="en-US" w:eastAsia="ja-JP" w:bidi="ar-SA"/>
              </w:rPr>
              <w:t>payments/pettycash.js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number column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Looked up in fixed maps by entry kind</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w:t>
            </w:r>
            <w:r>
              <w:rPr>
                <w:rFonts w:eastAsia="Consolas" w:cs="Consolas" w:ascii="Consolas" w:hAnsi="Consolas"/>
                <w:color w:val="101820"/>
                <w:kern w:val="0"/>
                <w:sz w:val="16"/>
                <w:szCs w:val="24"/>
                <w:lang w:val="en-US" w:eastAsia="ja-JP" w:bidi="ar-SA"/>
              </w:rPr>
              <w:t>lib/numbering.js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for the uniqueness check</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Passed by code only and checked against </w:t>
            </w:r>
            <w:r>
              <w:rPr>
                <w:rFonts w:eastAsia="Consolas" w:cs="Consolas" w:ascii="Consolas" w:hAnsi="Consolas"/>
                <w:color w:val="101820"/>
                <w:kern w:val="0"/>
                <w:sz w:val="16"/>
                <w:szCs w:val="24"/>
                <w:lang w:val="en-US" w:eastAsia="ja-JP" w:bidi="ar-SA"/>
              </w:rPr>
              <w:t>IDENT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w:t>
            </w:r>
            <w:r>
              <w:rPr>
                <w:rFonts w:eastAsia="Consolas" w:cs="Consolas" w:ascii="Consolas" w:hAnsi="Consolas"/>
                <w:color w:val="101820"/>
                <w:kern w:val="0"/>
                <w:sz w:val="16"/>
                <w:szCs w:val="24"/>
                <w:lang w:val="en-US" w:eastAsia="ja-JP" w:bidi="ar-SA"/>
              </w:rPr>
              <w:t>jobs/housekeeping.js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name and condition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list in the job</w:t>
            </w:r>
          </w:p>
        </w:tc>
      </w:tr>
    </w:tbl>
    <w:p>
      <w:pPr>
        <w:pStyle w:val="Normal"/>
        <w:spacing w:before="0" w:after="80"/>
        <w:rPr/>
      </w:pPr>
      <w:r>
        <w:rPr/>
      </w:r>
    </w:p>
    <w:p>
      <w:pPr>
        <w:pStyle w:val="Heading2"/>
        <w:rPr/>
      </w:pPr>
      <w:bookmarkStart w:id="43" w:name="__RefHeading___Toc7538_2651032681"/>
      <w:bookmarkEnd w:id="43"/>
      <w:r>
        <w:rPr>
          <w:rFonts w:eastAsia="Segoe UI" w:cs="Segoe UI"/>
          <w:b/>
          <w:color w:val="0F4761"/>
          <w:sz w:val="26"/>
        </w:rPr>
        <w:t>7.5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(section 5.3);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44" w:name="__RefHeading___Toc7540_2651032681"/>
      <w:bookmarkEnd w:id="44"/>
      <w:r>
        <w:rPr>
          <w:rFonts w:eastAsia="Segoe UI" w:cs="Segoe UI"/>
          <w:b/>
          <w:color w:val="0F4761"/>
          <w:sz w:val="26"/>
        </w:rPr>
        <w:t>7.6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The sign-in limiter is separate (section 7.2). Both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45" w:name="__RefHeading___Toc7542_2651032681"/>
      <w:bookmarkEnd w:id="45"/>
      <w:r>
        <w:rPr>
          <w:rFonts w:eastAsia="Segoe UI" w:cs="Segoe UI"/>
          <w:b/>
          <w:color w:val="0F4761"/>
          <w:sz w:val="26"/>
        </w:rPr>
        <w:t>7.7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other types download as attachments;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46" w:name="__RefHeading___Toc7544_2651032681"/>
      <w:bookmarkEnd w:id="46"/>
      <w:r>
        <w:rPr>
          <w:rFonts w:eastAsia="Segoe UI" w:cs="Segoe UI"/>
          <w:b/>
          <w:color w:val="0F4761"/>
          <w:sz w:val="26"/>
        </w:rPr>
        <w:t>7.8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are encrypted at rest with AES-256-GCM using a key derived from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backend/src/lib/secrets.js</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must be kept with the database backups: without it the stored two-factor secrets cannot be read and users must enrol again.</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47" w:name="__RefHeading___Toc7546_2651032681"/>
      <w:bookmarkEnd w:id="47"/>
      <w:r>
        <w:rPr>
          <w:rFonts w:eastAsia="Segoe UI" w:cs="Segoe UI"/>
          <w:b/>
          <w:color w:val="0F4761"/>
          <w:sz w:val="26"/>
        </w:rPr>
        <w:t>7.9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entity, action and before and after images (section 5.6).</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every scheduled or manual job run with status, output and error.</w:t>
      </w:r>
    </w:p>
    <w:p>
      <w:pPr>
        <w:pStyle w:val="Normal"/>
        <w:numPr>
          <w:ilvl w:val="0"/>
          <w:numId w:val="1"/>
        </w:numPr>
        <w:spacing w:before="0" w:after="60"/>
        <w:rPr/>
      </w:pPr>
      <w:r>
        <w:rPr>
          <w:rFonts w:eastAsia="Segoe UI" w:cs="Segoe UI" w:ascii="Segoe UI" w:hAnsi="Segoe UI"/>
          <w:color w:val="101820"/>
          <w:sz w:val="21"/>
        </w:rPr>
        <w:t>Request logs with request id and redaction (section 5.9).</w:t>
      </w:r>
    </w:p>
    <w:p>
      <w:pPr>
        <w:pStyle w:val="Heading2"/>
        <w:rPr/>
      </w:pPr>
      <w:bookmarkStart w:id="48" w:name="__RefHeading___Toc7548_2651032681"/>
      <w:bookmarkEnd w:id="48"/>
      <w:r>
        <w:rPr>
          <w:rFonts w:eastAsia="Segoe UI" w:cs="Segoe UI"/>
          <w:b/>
          <w:color w:val="0F4761"/>
          <w:sz w:val="26"/>
        </w:rPr>
        <w:t>7.10  OWASP Top 10 (2021) mapping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HMAC codes and links; HS256 only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 section 7.4</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modules/auth/router.js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dependency versions (</w:t>
            </w: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in CI</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backend/package.json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brokerverse/package.json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webhooks checked against the raw body; migrations in transactions; seeds idempotent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db/seed.js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log redaction; job runs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configured addresses (payment gateways, SMTP); no request-supplied URL is fetched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49" w:name="__RefHeading___Toc7550_2651032681"/>
      <w:bookmarkEnd w:id="49"/>
      <w:r>
        <w:rPr>
          <w:rFonts w:eastAsia="Segoe UI" w:cs="Segoe UI"/>
          <w:b/>
          <w:color w:val="0F4761"/>
          <w:sz w:val="26"/>
        </w:rPr>
        <w:t>7.11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r>
        <w:br w:type="page"/>
      </w:r>
    </w:p>
    <w:p>
      <w:pPr>
        <w:pStyle w:val="Heading1"/>
        <w:rPr/>
      </w:pPr>
      <w:bookmarkStart w:id="50" w:name="__RefHeading___Toc7552_2651032681"/>
      <w:bookmarkEnd w:id="50"/>
      <w:r>
        <w:rPr>
          <w:rFonts w:eastAsia="Segoe UI" w:cs="Segoe UI" w:ascii="Segoe UI" w:hAnsi="Segoe UI"/>
          <w:b/>
          <w:color w:val="0F4761"/>
          <w:sz w:val="32"/>
        </w:rPr>
        <w:t>8.  Front end to back end dependencies</w:t>
      </w:r>
    </w:p>
    <w:p>
      <w:pPr>
        <w:pStyle w:val="Heading2"/>
        <w:rPr/>
      </w:pPr>
      <w:bookmarkStart w:id="51" w:name="__RefHeading___Toc7554_2651032681"/>
      <w:bookmarkEnd w:id="51"/>
      <w:r>
        <w:rPr>
          <w:rFonts w:eastAsia="Segoe UI" w:cs="Segoe UI"/>
          <w:b/>
          <w:color w:val="0F4761"/>
          <w:sz w:val="26"/>
        </w:rPr>
        <w:t>8.1  How the matrix was built</w:t>
      </w:r>
    </w:p>
    <w:p>
      <w:pPr>
        <w:pStyle w:val="Normal"/>
        <w:spacing w:lineRule="auto" w:line="276" w:before="0" w:after="120"/>
        <w:rPr/>
      </w:pPr>
      <w:r>
        <w:rPr>
          <w:rFonts w:eastAsia="Segoe UI" w:cs="Segoe UI" w:ascii="Segoe UI" w:hAnsi="Segoe UI"/>
          <w:color w:val="101820"/>
          <w:sz w:val="21"/>
        </w:rPr>
        <w:t>The matrix answers, for each menu screen, which front-end file, which service files and which endpoints it uses, which back-end module serves them, and which data must exist before the screen can be used. It was built from the code, not from memory:</w:t>
      </w:r>
    </w:p>
    <w:p>
      <w:pPr>
        <w:pStyle w:val="Normal"/>
        <w:numPr>
          <w:ilvl w:val="0"/>
          <w:numId w:val="22"/>
        </w:numPr>
        <w:spacing w:before="0" w:after="60"/>
        <w:rPr/>
      </w:pPr>
      <w:r>
        <w:rPr>
          <w:rFonts w:eastAsia="Segoe UI" w:cs="Segoe UI" w:ascii="Segoe UI" w:hAnsi="Segoe UI"/>
          <w:color w:val="101820"/>
          <w:sz w:val="21"/>
        </w:rPr>
        <w:t xml:space="preserve">The 170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 xml:space="preserve">The import closure of each component (and of the pages in its </w:t>
      </w:r>
      <w:r>
        <w:rPr>
          <w:rFonts w:eastAsia="Consolas" w:cs="Consolas" w:ascii="Consolas" w:hAnsi="Consolas"/>
          <w:color w:val="101820"/>
          <w:sz w:val="19"/>
        </w:rPr>
        <w:t>includes</w:t>
      </w:r>
      <w:r>
        <w:rPr>
          <w:rFonts w:eastAsia="Segoe UI" w:cs="Segoe UI" w:ascii="Segoe UI" w:hAnsi="Segoe UI"/>
          <w:color w:val="101820"/>
          <w:sz w:val="21"/>
        </w:rPr>
        <w:t xml:space="preserve"> list)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(section 8.3)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 Where a screen uses a generic service (the masters service, the petty cash service), the row lists every endpoint of that service.</w:t>
      </w:r>
    </w:p>
    <w:p>
      <w:pPr>
        <w:pStyle w:val="Heading2"/>
        <w:rPr/>
      </w:pPr>
      <w:bookmarkStart w:id="52" w:name="__RefHeading___Toc7556_2651032681"/>
      <w:bookmarkEnd w:id="52"/>
      <w:r>
        <w:rPr>
          <w:rFonts w:eastAsia="Segoe UI" w:cs="Segoe UI"/>
          <w:b/>
          <w:color w:val="0F4761"/>
          <w:sz w:val="26"/>
        </w:rPr>
        <w:t>8.2  Summary per menu area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0"/>
        <w:gridCol w:w="1002"/>
        <w:gridCol w:w="2681"/>
        <w:gridCol w:w="2681"/>
      </w:tblGrid>
      <w:tr>
        <w:trPr>
          <w:tblHeader w:val="true"/>
        </w:trPr>
        <w:tc>
          <w:tcPr>
            <w:tcW w:w="2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claims, reports, policies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(Home, Clients, Policy, Claims, Open Items, Payments)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policyService, paymentsService, clientService, claimsService, leadService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payments, clients, claims, endorsements, documents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quotationService, leadService, packagesService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 packages, premium-charges, documents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(Receipts, Collections, Disbursement, Journal Voucher, Correction and Reversal JV, Open Entry, Accounting Query)</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receiptsService, collectionService, disbursementService, accountingService, journalVoucherService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accounting, journal-vouchers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pettyCashService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(petty cash)</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 reports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reports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(All Reports, Operational, Financial)</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reportsService, periodEndService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accounting</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(System Settings, Configuration, Document Numbering, Schedules, Audit Trail, E-mail Outbox)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systemSettingsService, adminService, numberingService, emailService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system-settings, document-numbering, schedules, notifications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accessControlService, userService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access-control, users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periodEndService, remittanceService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posting-rules, accounting, bank-reconciliation, packages, premium-charges, remittance, reinsurance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r>
    </w:tbl>
    <w:p>
      <w:pPr>
        <w:pStyle w:val="Normal"/>
        <w:spacing w:before="0" w:after="80"/>
        <w:rPr/>
      </w:pPr>
      <w:r>
        <w:rPr/>
      </w:r>
    </w:p>
    <w:p>
      <w:pPr>
        <w:pStyle w:val="Heading2"/>
        <w:rPr/>
      </w:pPr>
      <w:bookmarkStart w:id="53" w:name="__RefHeading___Toc7558_2651032681"/>
      <w:bookmarkEnd w:id="53"/>
      <w:r>
        <w:rPr>
          <w:rFonts w:eastAsia="Segoe UI" w:cs="Segoe UI"/>
          <w:b/>
          <w:color w:val="0F4761"/>
          <w:sz w:val="26"/>
        </w:rPr>
        <w:t>8.3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table lists, per module, what must be in place first. The workbook repeats it on every screen row, together with the master types the screen reads.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Taxes &amp; LGU Rates (premium_charge_rules, lgu_tax_rates); Commission Rate Matrix; a prospect or client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Insurer Rate Tables in force for the date; Premium Taxes &amp; LGU Rates; Payment Gateways for payment links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for the booking journal; open accounting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claims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issued policy; for claims the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settings and signatories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enabled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bills from issued policies, endorsements, renewals or go-live opening items; bank accounts; posting rules; open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credit-control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receivables;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w:t>
            </w:r>
            <w:r>
              <w:rPr>
                <w:rFonts w:eastAsia="Segoe UI" w:cs="Segoe UI" w:ascii="Segoe UI" w:hAnsi="Segoe UI"/>
                <w:color w:val="101820"/>
                <w:kern w:val="0"/>
                <w:sz w:val="18"/>
                <w:szCs w:val="24"/>
                <w:lang w:val="en-US" w:eastAsia="ja-JP" w:bidi="ar-SA"/>
              </w:rPr>
              <w:t xml:space="preserve"> settings and client credit limits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(commission, refunds, premium due to insurers); bank accounts and checkbooks; posting rules; open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(settlement limits)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Company and Products masters; Commission Rate Matrix; referrers; issued policies with commission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master and reinsurers; policies and claims to cede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 master; issued policies; eligible roles setting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 accounting</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transaction codes; accounting periods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linked to GL accounts; Bank Statement Formats and Bank Transaction Types; imported statements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 remittances to reconcile against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periods; chart of accounts; tax codes; Close Checklist; posting rules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GL accounts; account roles under Account Determination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definitions (seeded); transactions in the source modules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 company letterhead and logo (Company master, System Settings)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address masters (country, state, city)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54" w:name="__RefHeading___Toc7560_2651032681"/>
      <w:bookmarkEnd w:id="54"/>
      <w:r>
        <w:rPr>
          <w:rFonts w:eastAsia="Segoe UI" w:cs="Segoe UI"/>
          <w:b/>
          <w:color w:val="0F4761"/>
          <w:sz w:val="26"/>
        </w:rPr>
        <w:t>8.4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same order is the safe order for a go-live load, because each step reads what the step before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55" w:name="__RefHeading___Toc7562_2651032681"/>
      <w:bookmarkEnd w:id="55"/>
      <w:r>
        <w:rPr>
          <w:rFonts w:eastAsia="Segoe UI" w:cs="Segoe UI"/>
          <w:b/>
          <w:color w:val="0F4761"/>
          <w:sz w:val="26"/>
        </w:rPr>
        <w:t>8.5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rules the module uses; a change in amounts reaches the ledger through posting rules.</w:t>
      </w:r>
      <w:r>
        <w:br w:type="page"/>
      </w:r>
    </w:p>
    <w:p>
      <w:pPr>
        <w:pStyle w:val="Heading1"/>
        <w:rPr/>
      </w:pPr>
      <w:bookmarkStart w:id="56" w:name="__RefHeading___Toc7564_2651032681"/>
      <w:bookmarkEnd w:id="56"/>
      <w:r>
        <w:rPr>
          <w:rFonts w:eastAsia="Segoe UI" w:cs="Segoe UI" w:ascii="Segoe UI" w:hAnsi="Segoe UI"/>
          <w:b/>
          <w:color w:val="0F4761"/>
          <w:sz w:val="32"/>
        </w:rPr>
        <w:t>9.  API catalogue summary</w:t>
      </w:r>
    </w:p>
    <w:p>
      <w:pPr>
        <w:pStyle w:val="Heading2"/>
        <w:rPr/>
      </w:pPr>
      <w:bookmarkStart w:id="57" w:name="__RefHeading___Toc7566_2651032681"/>
      <w:bookmarkEnd w:id="57"/>
      <w:r>
        <w:rPr>
          <w:rFonts w:eastAsia="Segoe UI" w:cs="Segoe UI"/>
          <w:b/>
          <w:color w:val="0F4761"/>
          <w:sz w:val="26"/>
        </w:rPr>
        <w:t>9.1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bl>
    <w:p>
      <w:pPr>
        <w:pStyle w:val="Normal"/>
        <w:spacing w:before="0" w:after="80"/>
        <w:rPr/>
      </w:pPr>
      <w:r>
        <w:rPr/>
      </w:r>
    </w:p>
    <w:p>
      <w:pPr>
        <w:pStyle w:val="Heading2"/>
        <w:rPr/>
      </w:pPr>
      <w:bookmarkStart w:id="58" w:name="__RefHeading___Toc7568_2651032681"/>
      <w:bookmarkEnd w:id="58"/>
      <w:r>
        <w:rPr>
          <w:rFonts w:eastAsia="Segoe UI" w:cs="Segoe UI"/>
          <w:b/>
          <w:color w:val="0F4761"/>
          <w:sz w:val="26"/>
        </w:rPr>
        <w:t>9.2  Endpoints per module</w:t>
      </w:r>
    </w:p>
    <w:p>
      <w:pPr>
        <w:pStyle w:val="Normal"/>
        <w:spacing w:lineRule="auto" w:line="276" w:before="0" w:after="120"/>
        <w:rPr/>
      </w:pPr>
      <w:r>
        <w:rPr>
          <w:rFonts w:eastAsia="Segoe UI" w:cs="Segoe UI" w:ascii="Segoe UI" w:hAnsi="Segoe UI"/>
          <w:color w:val="101820"/>
          <w:sz w:val="21"/>
        </w:rPr>
        <w:t xml:space="preserve">868 endpoints are registered: 397 GET, 341 POST, 87 PUT, 7 PATCH and 36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35"/>
        <w:gridCol w:w="4465"/>
        <w:gridCol w:w="1243"/>
        <w:gridCol w:w="1170"/>
      </w:tblGrid>
      <w:tr>
        <w:trPr>
          <w:tblHeader w:val="true"/>
        </w:trPr>
        <w:tc>
          <w:tcPr>
            <w:tcW w:w="2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/agent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/lead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/email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/open-items, /petty-cash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 /account-determination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/quote, /master, /email and coverage look-ups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/billing-statement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/policy-renewals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w:t>
      </w:r>
    </w:p>
    <w:p>
      <w:pPr>
        <w:pStyle w:val="Heading2"/>
        <w:rPr/>
      </w:pPr>
      <w:bookmarkStart w:id="59" w:name="__RefHeading___Toc7570_2651032681"/>
      <w:bookmarkEnd w:id="59"/>
      <w:r>
        <w:rPr>
          <w:rFonts w:eastAsia="Segoe UI" w:cs="Segoe UI"/>
          <w:b/>
          <w:color w:val="0F4761"/>
          <w:sz w:val="26"/>
        </w:rPr>
        <w:t>9.3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60" w:name="__RefHeading___Toc7572_2651032681"/>
      <w:bookmarkEnd w:id="60"/>
      <w:r>
        <w:rPr>
          <w:rFonts w:eastAsia="Segoe UI" w:cs="Segoe UI"/>
          <w:b/>
          <w:color w:val="0F4761"/>
          <w:sz w:val="26"/>
        </w:rPr>
        <w:t>9.4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Run it after every change to a router and commit the result with the change.</w:t>
      </w:r>
      <w:r>
        <w:br w:type="page"/>
      </w:r>
    </w:p>
    <w:p>
      <w:pPr>
        <w:pStyle w:val="Heading1"/>
        <w:rPr/>
      </w:pPr>
      <w:bookmarkStart w:id="61" w:name="__RefHeading___Toc7574_2651032681"/>
      <w:bookmarkEnd w:id="61"/>
      <w:r>
        <w:rPr>
          <w:rFonts w:eastAsia="Segoe UI" w:cs="Segoe UI" w:ascii="Segoe UI" w:hAnsi="Segoe UI"/>
          <w:b/>
          <w:color w:val="0F4761"/>
          <w:sz w:val="32"/>
        </w:rPr>
        <w:t>10.  Guide for the production support team</w:t>
      </w:r>
    </w:p>
    <w:p>
      <w:pPr>
        <w:pStyle w:val="Heading2"/>
        <w:rPr/>
      </w:pPr>
      <w:bookmarkStart w:id="62" w:name="__RefHeading___Toc7576_2651032681"/>
      <w:bookmarkEnd w:id="62"/>
      <w:r>
        <w:rPr>
          <w:rFonts w:eastAsia="Segoe UI" w:cs="Segoe UI"/>
          <w:b/>
          <w:color w:val="0F4761"/>
          <w:sz w:val="26"/>
        </w:rPr>
        <w:t>10.1  Running locally</w:t>
      </w:r>
    </w:p>
    <w:p>
      <w:pPr>
        <w:pStyle w:val="Normal"/>
        <w:numPr>
          <w:ilvl w:val="0"/>
          <w:numId w:val="41"/>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2"/>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3"/>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4"/>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45"/>
        </w:numPr>
        <w:spacing w:before="0" w:after="60"/>
        <w:rPr/>
      </w:pPr>
      <w:r>
        <w:rPr>
          <w:rFonts w:eastAsia="Segoe UI" w:cs="Segoe UI" w:ascii="Segoe UI" w:hAnsi="Segoe UI"/>
          <w:color w:val="101820"/>
          <w:sz w:val="21"/>
        </w:rPr>
        <w:t xml:space="preserve">Before a change: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(needs the test database </w:t>
      </w:r>
      <w:r>
        <w:rPr>
          <w:rFonts w:eastAsia="Consolas" w:cs="Consolas" w:ascii="Consolas" w:hAnsi="Consolas"/>
          <w:color w:val="101820"/>
          <w:sz w:val="19"/>
        </w:rPr>
        <w:t>brokerverse_test</w:t>
      </w:r>
      <w:r>
        <w:rPr>
          <w:rFonts w:eastAsia="Segoe UI" w:cs="Segoe UI" w:ascii="Segoe UI" w:hAnsi="Segoe UI"/>
          <w:color w:val="101820"/>
          <w:sz w:val="21"/>
        </w:rPr>
        <w:t xml:space="preserve">); </w:t>
      </w:r>
      <w:r>
        <w:rPr>
          <w:rFonts w:eastAsia="Consolas" w:cs="Consolas" w:ascii="Consolas" w:hAnsi="Consolas"/>
          <w:color w:val="101820"/>
          <w:sz w:val="19"/>
        </w:rPr>
        <w:t>CI=true npm test -- --watchAll=false</w:t>
      </w:r>
      <w:r>
        <w:rPr>
          <w:rFonts w:eastAsia="Segoe UI" w:cs="Segoe UI" w:ascii="Segoe UI" w:hAnsi="Segoe UI"/>
          <w:color w:val="101820"/>
          <w:sz w:val="21"/>
        </w:rPr>
        <w:t xml:space="preserve">, </w:t>
      </w:r>
      <w:r>
        <w:rPr>
          <w:rFonts w:eastAsia="Consolas" w:cs="Consolas" w:ascii="Consolas" w:hAnsi="Consolas"/>
          <w:color w:val="101820"/>
          <w:sz w:val="19"/>
        </w:rPr>
        <w:t>npm run check:api</w:t>
      </w:r>
      <w:r>
        <w:rPr>
          <w:rFonts w:eastAsia="Segoe UI" w:cs="Segoe UI" w:ascii="Segoe UI" w:hAnsi="Segoe UI"/>
          <w:color w:val="101820"/>
          <w:sz w:val="21"/>
        </w:rPr>
        <w:t xml:space="preserve"> and </w:t>
      </w:r>
      <w:r>
        <w:rPr>
          <w:rFonts w:eastAsia="Consolas" w:cs="Consolas" w:ascii="Consolas" w:hAnsi="Consolas"/>
          <w:color w:val="101820"/>
          <w:sz w:val="19"/>
        </w:rPr>
        <w:t>npm run check:i18n</w:t>
      </w:r>
      <w:r>
        <w:rPr>
          <w:rFonts w:eastAsia="Segoe UI" w:cs="Segoe UI" w:ascii="Segoe UI" w:hAnsi="Segoe UI"/>
          <w:color w:val="101820"/>
          <w:sz w:val="21"/>
        </w:rPr>
        <w:t xml:space="preserve"> in </w:t>
      </w:r>
      <w:r>
        <w:rPr>
          <w:rFonts w:eastAsia="Consolas" w:cs="Consolas" w:ascii="Consolas" w:hAnsi="Consolas"/>
          <w:color w:val="101820"/>
          <w:sz w:val="19"/>
        </w:rPr>
        <w:t>brokerverse/</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63" w:name="__RefHeading___Toc7578_2651032681"/>
      <w:bookmarkEnd w:id="63"/>
      <w:r>
        <w:rPr>
          <w:rFonts w:eastAsia="Segoe UI" w:cs="Segoe UI"/>
          <w:b/>
          <w:color w:val="0F4761"/>
          <w:sz w:val="26"/>
        </w:rPr>
        <w:t>10.2  Where the logs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4"/>
        <w:gridCol w:w="4507"/>
        <w:gridCol w:w="1973"/>
      </w:tblGrid>
      <w:tr>
        <w:trPr>
          <w:tblHeader w:val="true"/>
        </w:trPr>
        <w:tc>
          <w:tcPr>
            <w:tcW w:w="2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Heading2"/>
        <w:rPr/>
      </w:pPr>
      <w:bookmarkStart w:id="64" w:name="__RefHeading___Toc7580_2651032681"/>
      <w:bookmarkEnd w:id="64"/>
      <w:r>
        <w:rPr>
          <w:rFonts w:eastAsia="Segoe UI" w:cs="Segoe UI"/>
          <w:b/>
          <w:color w:val="0F4761"/>
          <w:sz w:val="26"/>
        </w:rPr>
        <w:t>10.3  Tracing a defect from a screen to the SQL</w:t>
      </w:r>
    </w:p>
    <w:p>
      <w:pPr>
        <w:pStyle w:val="Normal"/>
        <w:numPr>
          <w:ilvl w:val="0"/>
          <w:numId w:val="46"/>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47"/>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48"/>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w:t>
      </w:r>
    </w:p>
    <w:p>
      <w:pPr>
        <w:pStyle w:val="Normal"/>
        <w:numPr>
          <w:ilvl w:val="0"/>
          <w:numId w:val="49"/>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0"/>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(by </w:t>
      </w:r>
      <w:r>
        <w:rPr>
          <w:rFonts w:eastAsia="Consolas" w:cs="Consolas" w:ascii="Consolas" w:hAnsi="Consolas"/>
          <w:color w:val="101820"/>
          <w:sz w:val="19"/>
        </w:rPr>
        <w:t>entity</w:t>
      </w:r>
      <w:r>
        <w:rPr>
          <w:rFonts w:eastAsia="Segoe UI" w:cs="Segoe UI" w:ascii="Segoe UI" w:hAnsi="Segoe UI"/>
          <w:color w:val="101820"/>
          <w:sz w:val="21"/>
        </w:rPr>
        <w:t xml:space="preserve"> and </w:t>
      </w:r>
      <w:r>
        <w:rPr>
          <w:rFonts w:eastAsia="Consolas" w:cs="Consolas" w:ascii="Consolas" w:hAnsi="Consolas"/>
          <w:color w:val="101820"/>
          <w:sz w:val="19"/>
        </w:rPr>
        <w:t>entity_id</w:t>
      </w:r>
      <w:r>
        <w:rPr>
          <w:rFonts w:eastAsia="Segoe UI" w:cs="Segoe UI" w:ascii="Segoe UI" w:hAnsi="Segoe UI"/>
          <w:color w:val="101820"/>
          <w:sz w:val="21"/>
        </w:rPr>
        <w:t xml:space="preserve">) shows who changed the record and its before and after images;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65" w:name="__RefHeading___Toc7582_2651032681"/>
      <w:bookmarkEnd w:id="65"/>
      <w:r>
        <w:rPr>
          <w:rFonts w:eastAsia="Segoe UI" w:cs="Segoe UI"/>
          <w:b/>
          <w:color w:val="0F4761"/>
          <w:sz w:val="26"/>
        </w:rPr>
        <w:t>10.4  Common failure patterns and where to look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Generals &gt; User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Role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to print: the product has no rate table in force"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rate table missing for the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Insurer Rate Tables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scheduler off on the instance, or job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66" w:name="__RefHeading___Toc7584_2651032681"/>
      <w:bookmarkEnd w:id="66"/>
      <w:r>
        <w:rPr>
          <w:rFonts w:eastAsia="Segoe UI" w:cs="Segoe UI"/>
          <w:b/>
          <w:color w:val="0F4761"/>
          <w:sz w:val="26"/>
        </w:rPr>
        <w:t>10.5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1"/>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w:t>
      </w:r>
    </w:p>
    <w:p>
      <w:pPr>
        <w:pStyle w:val="Normal"/>
        <w:numPr>
          <w:ilvl w:val="0"/>
          <w:numId w:val="52"/>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3"/>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4"/>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55"/>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56"/>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57"/>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58"/>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Create </w:t>
      </w:r>
      <w:r>
        <w:rPr>
          <w:rFonts w:eastAsia="Consolas" w:cs="Consolas" w:ascii="Consolas" w:hAnsi="Consolas"/>
          <w:color w:val="101820"/>
          <w:sz w:val="19"/>
        </w:rPr>
        <w:t>backend/src/db/migrations/NNNN_short_name.sql</w:t>
      </w:r>
      <w:r>
        <w:rPr>
          <w:rFonts w:eastAsia="Segoe UI" w:cs="Segoe UI" w:ascii="Segoe UI" w:hAnsi="Segoe UI"/>
          <w:color w:val="101820"/>
          <w:sz w:val="21"/>
        </w:rPr>
        <w:t xml:space="preserve"> with the next number. Make it safe on a database that already has data. Never edit a migration that has been applied anywhere.</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Export a handler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add the job to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w:t>
      </w:r>
    </w:p>
    <w:p>
      <w:pPr>
        <w:pStyle w:val="Heading2"/>
        <w:rPr/>
      </w:pPr>
      <w:bookmarkStart w:id="67" w:name="__RefHeading___Toc7586_2651032681"/>
      <w:bookmarkEnd w:id="67"/>
      <w:r>
        <w:rPr>
          <w:rFonts w:eastAsia="Segoe UI" w:cs="Segoe UI"/>
          <w:b/>
          <w:color w:val="0F4761"/>
          <w:sz w:val="26"/>
        </w:rPr>
        <w:t>10.6  Release and rollback</w:t>
      </w:r>
    </w:p>
    <w:p>
      <w:pPr>
        <w:pStyle w:val="Normal"/>
        <w:spacing w:lineRule="auto" w:line="276" w:before="0" w:after="120"/>
        <w:rPr/>
      </w:pPr>
      <w:r>
        <w:rPr>
          <w:rFonts w:eastAsia="Segoe UI" w:cs="Segoe UI" w:ascii="Segoe UI" w:hAnsi="Segoe UI"/>
          <w:color w:val="101820"/>
          <w:sz w:val="21"/>
        </w:rPr>
        <w:t xml:space="preserve">Release (from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60"/>
        </w:numPr>
        <w:spacing w:before="0" w:after="60"/>
        <w:rPr/>
      </w:pPr>
      <w:r>
        <w:rPr>
          <w:rFonts w:eastAsia="Segoe UI" w:cs="Segoe UI" w:ascii="Segoe UI" w:hAnsi="Segoe UI"/>
          <w:color w:val="101820"/>
          <w:sz w:val="21"/>
        </w:rPr>
        <w:t>Merge through a pull request; CI runs lint and tests on the back end and tests on the front end.</w:t>
      </w:r>
    </w:p>
    <w:p>
      <w:pPr>
        <w:pStyle w:val="Normal"/>
        <w:numPr>
          <w:ilvl w:val="0"/>
          <w:numId w:val="61"/>
        </w:numPr>
        <w:spacing w:before="0" w:after="60"/>
        <w:rPr/>
      </w:pPr>
      <w:r>
        <w:rPr>
          <w:rFonts w:eastAsia="Segoe UI" w:cs="Segoe UI" w:ascii="Segoe UI" w:hAnsi="Segoe UI"/>
          <w:color w:val="101820"/>
          <w:sz w:val="21"/>
        </w:rPr>
        <w:t>Take a database snapshot before a release that contains migrations.</w:t>
      </w:r>
    </w:p>
    <w:p>
      <w:pPr>
        <w:pStyle w:val="Normal"/>
        <w:numPr>
          <w:ilvl w:val="0"/>
          <w:numId w:val="62"/>
        </w:numPr>
        <w:spacing w:before="0" w:after="60"/>
        <w:rPr/>
      </w:pPr>
      <w:r>
        <w:rPr>
          <w:rFonts w:eastAsia="Segoe UI" w:cs="Segoe UI" w:ascii="Segoe UI" w:hAnsi="Segoe UI"/>
          <w:color w:val="101820"/>
          <w:sz w:val="21"/>
        </w:rPr>
        <w:t xml:space="preserve">Deploy the back end (EC2: </w:t>
      </w:r>
      <w:r>
        <w:rPr>
          <w:rFonts w:eastAsia="Consolas" w:cs="Consolas" w:ascii="Consolas" w:hAnsi="Consolas"/>
          <w:color w:val="101820"/>
          <w:sz w:val="19"/>
        </w:rPr>
        <w:t>deploy/ec2/deploy.sh</w:t>
      </w:r>
      <w:r>
        <w:rPr>
          <w:rFonts w:eastAsia="Segoe UI" w:cs="Segoe UI" w:ascii="Segoe UI" w:hAnsi="Segoe UI"/>
          <w:color w:val="101820"/>
          <w:sz w:val="21"/>
        </w:rPr>
        <w:t xml:space="preserve"> installs production dependencies and reloads PM2). On start the API applies new migrations and the seed, then reports ready on </w:t>
      </w:r>
      <w:r>
        <w:rPr>
          <w:rFonts w:eastAsia="Consolas" w:cs="Consolas" w:ascii="Consolas" w:hAnsi="Consolas"/>
          <w:color w:val="101820"/>
          <w:sz w:val="19"/>
        </w:rPr>
        <w:t>/api/health</w:t>
      </w:r>
      <w:r>
        <w:rPr>
          <w:rFonts w:eastAsia="Segoe UI" w:cs="Segoe UI" w:ascii="Segoe UI" w:hAnsi="Segoe UI"/>
          <w:color w:val="101820"/>
          <w:sz w:val="21"/>
        </w:rPr>
        <w:t>. When a release contains migrations, start one instance first, then scale out.</w:t>
      </w:r>
    </w:p>
    <w:p>
      <w:pPr>
        <w:pStyle w:val="Normal"/>
        <w:numPr>
          <w:ilvl w:val="0"/>
          <w:numId w:val="63"/>
        </w:numPr>
        <w:spacing w:before="0" w:after="60"/>
        <w:rPr/>
      </w:pPr>
      <w:r>
        <w:rPr>
          <w:rFonts w:eastAsia="Segoe UI" w:cs="Segoe UI" w:ascii="Segoe UI" w:hAnsi="Segoe UI"/>
          <w:color w:val="101820"/>
          <w:sz w:val="21"/>
        </w:rPr>
        <w:t>Deploy the front end through its workflow (build, publish, cache invalidation).</w:t>
      </w:r>
    </w:p>
    <w:p>
      <w:pPr>
        <w:pStyle w:val="Normal"/>
        <w:numPr>
          <w:ilvl w:val="0"/>
          <w:numId w:val="64"/>
        </w:numPr>
        <w:spacing w:before="0" w:after="60"/>
        <w:rPr/>
      </w:pPr>
      <w:r>
        <w:rPr>
          <w:rFonts w:eastAsia="Segoe UI" w:cs="Segoe UI" w:ascii="Segoe UI" w:hAnsi="Segoe UI"/>
          <w:color w:val="101820"/>
          <w:sz w:val="21"/>
        </w:rPr>
        <w:t xml:space="preserve">Run the checks after deploying: </w:t>
      </w:r>
      <w:r>
        <w:rPr>
          <w:rFonts w:eastAsia="Consolas" w:cs="Consolas" w:ascii="Consolas" w:hAnsi="Consolas"/>
          <w:color w:val="101820"/>
          <w:sz w:val="19"/>
        </w:rPr>
        <w:t>/api/health</w:t>
      </w:r>
      <w:r>
        <w:rPr>
          <w:rFonts w:eastAsia="Segoe UI" w:cs="Segoe UI" w:ascii="Segoe UI" w:hAnsi="Segoe UI"/>
          <w:color w:val="101820"/>
          <w:sz w:val="21"/>
        </w:rPr>
        <w:t xml:space="preserve"> ready, sign-in, Master &gt; System Settings and Master &gt; Configuration load, Master &gt; Schedules lists the jobs.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Front end: rerun the deployment workflow on the previous commit (or restore the previous published files) and invalidate the cache.</w:t>
      </w:r>
    </w:p>
    <w:p>
      <w:pPr>
        <w:pStyle w:val="Normal"/>
        <w:numPr>
          <w:ilvl w:val="0"/>
          <w:numId w:val="1"/>
        </w:numPr>
        <w:spacing w:before="0" w:after="60"/>
        <w:rPr/>
      </w:pPr>
      <w:r>
        <w:rPr>
          <w:rFonts w:eastAsia="Segoe UI" w:cs="Segoe UI" w:ascii="Segoe UI" w:hAnsi="Segoe UI"/>
          <w:color w:val="101820"/>
          <w:sz w:val="21"/>
        </w:rPr>
        <w:t>Back end: redeploy the previous version. Migrations only add, so the previous version runs on the newer schema. Restore the database snapshot only when data written by the new version must be removed.</w:t>
      </w:r>
    </w:p>
    <w:p>
      <w:pPr>
        <w:pStyle w:val="Heading2"/>
        <w:rPr/>
      </w:pPr>
      <w:bookmarkStart w:id="68" w:name="__RefHeading___Toc7588_2651032681"/>
      <w:bookmarkEnd w:id="68"/>
      <w:r>
        <w:rPr>
          <w:rFonts w:eastAsia="Segoe UI" w:cs="Segoe UI"/>
          <w:b/>
          <w:color w:val="0F4761"/>
          <w:sz w:val="26"/>
        </w:rPr>
        <w:t>10.7  Coding checklist for a change</w:t>
      </w:r>
    </w:p>
    <w:p>
      <w:pPr>
        <w:pStyle w:val="Normal"/>
        <w:numPr>
          <w:ilvl w:val="0"/>
          <w:numId w:val="1"/>
        </w:numPr>
        <w:spacing w:before="0" w:after="60"/>
        <w:rPr/>
      </w:pPr>
      <w:r>
        <w:rPr>
          <w:rFonts w:eastAsia="Segoe UI" w:cs="Segoe UI" w:ascii="Segoe UI" w:hAnsi="Segoe UI"/>
          <w:color w:val="101820"/>
          <w:sz w:val="21"/>
        </w:rPr>
        <w:t xml:space="preserve">The route is declared with </w:t>
      </w:r>
      <w:r>
        <w:rPr>
          <w:rFonts w:eastAsia="Consolas" w:cs="Consolas" w:ascii="Consolas" w:hAnsi="Consolas"/>
          <w:color w:val="101820"/>
          <w:sz w:val="19"/>
        </w:rPr>
        <w:t>define()</w:t>
      </w:r>
      <w:r>
        <w:rPr>
          <w:rFonts w:eastAsia="Segoe UI" w:cs="Segoe UI" w:ascii="Segoe UI" w:hAnsi="Segoe UI"/>
          <w:color w:val="101820"/>
          <w:sz w:val="21"/>
        </w:rPr>
        <w:t xml:space="preserve">, with </w:t>
      </w:r>
      <w:r>
        <w:rPr>
          <w:rFonts w:eastAsia="Consolas" w:cs="Consolas" w:ascii="Consolas" w:hAnsi="Consolas"/>
          <w:color w:val="101820"/>
          <w:sz w:val="19"/>
        </w:rPr>
        <w:t>summary</w:t>
      </w:r>
      <w:r>
        <w:rPr>
          <w:rFonts w:eastAsia="Segoe UI" w:cs="Segoe UI" w:ascii="Segoe UI" w:hAnsi="Segoe UI"/>
          <w:color w:val="101820"/>
          <w:sz w:val="21"/>
        </w:rPr>
        <w:t xml:space="preserve">, </w:t>
      </w:r>
      <w:r>
        <w:rPr>
          <w:rFonts w:eastAsia="Consolas" w:cs="Consolas" w:ascii="Consolas" w:hAnsi="Consolas"/>
          <w:color w:val="101820"/>
          <w:sz w:val="19"/>
        </w:rPr>
        <w:t>screen</w:t>
      </w:r>
      <w:r>
        <w:rPr>
          <w:rFonts w:eastAsia="Segoe UI" w:cs="Segoe UI" w:ascii="Segoe UI" w:hAnsi="Segoe UI"/>
          <w:color w:val="101820"/>
          <w:sz w:val="21"/>
        </w:rPr>
        <w:t>, example request and response.</w:t>
      </w:r>
    </w:p>
    <w:p>
      <w:pPr>
        <w:pStyle w:val="Normal"/>
        <w:numPr>
          <w:ilvl w:val="0"/>
          <w:numId w:val="1"/>
        </w:numPr>
        <w:spacing w:before="0" w:after="60"/>
        <w:rPr/>
      </w:pPr>
      <w:r>
        <w:rPr>
          <w:rFonts w:eastAsia="Segoe UI" w:cs="Segoe UI" w:ascii="Segoe UI" w:hAnsi="Segoe UI"/>
          <w:color w:val="101820"/>
          <w:sz w:val="21"/>
        </w:rPr>
        <w:t xml:space="preserve">The route has </w:t>
      </w:r>
      <w:r>
        <w:rPr>
          <w:rFonts w:eastAsia="Consolas" w:cs="Consolas" w:ascii="Consolas" w:hAnsi="Consolas"/>
          <w:color w:val="101820"/>
          <w:sz w:val="19"/>
        </w:rPr>
        <w:t>requirePermission()</w:t>
      </w:r>
      <w:r>
        <w:rPr>
          <w:rFonts w:eastAsia="Segoe UI" w:cs="Segoe UI" w:ascii="Segoe UI" w:hAnsi="Segoe UI"/>
          <w:color w:val="101820"/>
          <w:sz w:val="21"/>
        </w:rPr>
        <w:t xml:space="preserve"> (or is deliberately public with its own control).</w:t>
      </w:r>
    </w:p>
    <w:p>
      <w:pPr>
        <w:pStyle w:val="Normal"/>
        <w:numPr>
          <w:ilvl w:val="0"/>
          <w:numId w:val="1"/>
        </w:numPr>
        <w:spacing w:before="0" w:after="60"/>
        <w:rPr/>
      </w:pPr>
      <w:r>
        <w:rPr>
          <w:rFonts w:eastAsia="Segoe UI" w:cs="Segoe UI" w:ascii="Segoe UI" w:hAnsi="Segoe UI"/>
          <w:color w:val="101820"/>
          <w:sz w:val="21"/>
        </w:rPr>
        <w:t>The body and query are validated with zod.</w:t>
      </w:r>
    </w:p>
    <w:p>
      <w:pPr>
        <w:pStyle w:val="Normal"/>
        <w:numPr>
          <w:ilvl w:val="0"/>
          <w:numId w:val="1"/>
        </w:numPr>
        <w:spacing w:before="0" w:after="60"/>
        <w:rPr/>
      </w:pPr>
      <w:r>
        <w:rPr>
          <w:rFonts w:eastAsia="Segoe UI" w:cs="Segoe UI" w:ascii="Segoe UI" w:hAnsi="Segoe UI"/>
          <w:color w:val="101820"/>
          <w:sz w:val="21"/>
        </w:rPr>
        <w:t xml:space="preserve">SQL uses </w:t>
      </w:r>
      <w:r>
        <w:rPr>
          <w:rFonts w:eastAsia="Consolas" w:cs="Consolas" w:ascii="Consolas" w:hAnsi="Consolas"/>
          <w:color w:val="101820"/>
          <w:sz w:val="19"/>
        </w:rPr>
        <w:t>$n</w:t>
      </w:r>
      <w:r>
        <w:rPr>
          <w:rFonts w:eastAsia="Segoe UI" w:cs="Segoe UI" w:ascii="Segoe UI" w:hAnsi="Segoe UI"/>
          <w:color w:val="101820"/>
          <w:sz w:val="21"/>
        </w:rPr>
        <w:t xml:space="preserve"> parameters only; any dynamic identifier comes from a fixed map or allow-list.</w:t>
      </w:r>
    </w:p>
    <w:p>
      <w:pPr>
        <w:pStyle w:val="Normal"/>
        <w:numPr>
          <w:ilvl w:val="0"/>
          <w:numId w:val="1"/>
        </w:numPr>
        <w:spacing w:before="0" w:after="60"/>
        <w:rPr/>
      </w:pPr>
      <w:r>
        <w:rPr>
          <w:rFonts w:eastAsia="Segoe UI" w:cs="Segoe UI" w:ascii="Segoe UI" w:hAnsi="Segoe UI"/>
          <w:color w:val="101820"/>
          <w:sz w:val="21"/>
        </w:rPr>
        <w:t xml:space="preserve">Writes to more than one table run in </w:t>
      </w:r>
      <w:r>
        <w:rPr>
          <w:rFonts w:eastAsia="Consolas" w:cs="Consolas" w:ascii="Consolas" w:hAnsi="Consolas"/>
          <w:color w:val="101820"/>
          <w:sz w:val="19"/>
        </w:rPr>
        <w:t>withTransaction()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Every change calls </w:t>
      </w:r>
      <w:r>
        <w:rPr>
          <w:rFonts w:eastAsia="Consolas" w:cs="Consolas" w:ascii="Consolas" w:hAnsi="Consolas"/>
          <w:color w:val="101820"/>
          <w:sz w:val="19"/>
        </w:rPr>
        <w:t>audit()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Errors use the helpers of </w:t>
      </w:r>
      <w:r>
        <w:rPr>
          <w:rFonts w:eastAsia="Consolas" w:cs="Consolas" w:ascii="Consolas" w:hAnsi="Consolas"/>
          <w:color w:val="101820"/>
          <w:sz w:val="19"/>
        </w:rPr>
        <w:t>lib/errors.js</w:t>
      </w:r>
      <w:r>
        <w:rPr>
          <w:rFonts w:eastAsia="Segoe UI" w:cs="Segoe UI" w:ascii="Segoe UI" w:hAnsi="Segoe UI"/>
          <w:color w:val="101820"/>
          <w:sz w:val="21"/>
        </w:rPr>
        <w:t>; no detail of a server error reaches the client.</w:t>
      </w:r>
    </w:p>
    <w:p>
      <w:pPr>
        <w:pStyle w:val="Normal"/>
        <w:numPr>
          <w:ilvl w:val="0"/>
          <w:numId w:val="1"/>
        </w:numPr>
        <w:spacing w:before="0" w:after="60"/>
        <w:rPr/>
      </w:pPr>
      <w:r>
        <w:rPr>
          <w:rFonts w:eastAsia="Segoe UI" w:cs="Segoe UI" w:ascii="Segoe UI" w:hAnsi="Segoe UI"/>
          <w:color w:val="101820"/>
          <w:sz w:val="21"/>
        </w:rPr>
        <w:t xml:space="preserve">Business values are settings read with </w:t>
      </w:r>
      <w:r>
        <w:rPr>
          <w:rFonts w:eastAsia="Consolas" w:cs="Consolas" w:ascii="Consolas" w:hAnsi="Consolas"/>
          <w:color w:val="101820"/>
          <w:sz w:val="19"/>
        </w:rPr>
        <w:t>getSetting()</w:t>
      </w:r>
      <w:r>
        <w:rPr>
          <w:rFonts w:eastAsia="Segoe UI" w:cs="Segoe UI" w:ascii="Segoe UI" w:hAnsi="Segoe UI"/>
          <w:color w:val="101820"/>
          <w:sz w:val="21"/>
        </w:rPr>
        <w:t xml:space="preserve">, seeded with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No secret in code or seeds; new environment variables are in </w:t>
      </w:r>
      <w:r>
        <w:rPr>
          <w:rFonts w:eastAsia="Consolas" w:cs="Consolas" w:ascii="Consolas" w:hAnsi="Consolas"/>
          <w:color w:val="101820"/>
          <w:sz w:val="19"/>
        </w:rPr>
        <w:t>.env.example</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No </w:t>
      </w:r>
      <w:r>
        <w:rPr>
          <w:rFonts w:eastAsia="Consolas" w:cs="Consolas" w:ascii="Consolas" w:hAnsi="Consolas"/>
          <w:color w:val="101820"/>
          <w:sz w:val="19"/>
        </w:rPr>
        <w:t>console.log</w:t>
      </w:r>
      <w:r>
        <w:rPr>
          <w:rFonts w:eastAsia="Segoe UI" w:cs="Segoe UI" w:ascii="Segoe UI" w:hAnsi="Segoe UI"/>
          <w:color w:val="101820"/>
          <w:sz w:val="21"/>
        </w:rPr>
        <w:t xml:space="preserve">; log through </w:t>
      </w:r>
      <w:r>
        <w:rPr>
          <w:rFonts w:eastAsia="Consolas" w:cs="Consolas" w:ascii="Consolas" w:hAnsi="Consolas"/>
          <w:color w:val="101820"/>
          <w:sz w:val="19"/>
        </w:rPr>
        <w:t>req.log</w:t>
      </w:r>
      <w:r>
        <w:rPr>
          <w:rFonts w:eastAsia="Segoe UI" w:cs="Segoe UI" w:ascii="Segoe UI" w:hAnsi="Segoe UI"/>
          <w:color w:val="101820"/>
          <w:sz w:val="21"/>
        </w:rPr>
        <w:t xml:space="preserve"> or </w:t>
      </w:r>
      <w:r>
        <w:rPr>
          <w:rFonts w:eastAsia="Consolas" w:cs="Consolas" w:ascii="Consolas" w:hAnsi="Consolas"/>
          <w:color w:val="101820"/>
          <w:sz w:val="19"/>
        </w:rPr>
        <w:t>logger</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Schema changes are in a new migration file.</w:t>
      </w:r>
    </w:p>
    <w:p>
      <w:pPr>
        <w:pStyle w:val="Normal"/>
        <w:numPr>
          <w:ilvl w:val="0"/>
          <w:numId w:val="1"/>
        </w:numPr>
        <w:spacing w:before="0" w:after="60"/>
        <w:rPr/>
      </w:pPr>
      <w:r>
        <w:rPr>
          <w:rFonts w:eastAsia="Segoe UI" w:cs="Segoe UI" w:ascii="Segoe UI" w:hAnsi="Segoe UI"/>
          <w:color w:val="101820"/>
          <w:sz w:val="21"/>
        </w:rPr>
        <w:t xml:space="preserve">Screen texts are in </w:t>
      </w:r>
      <w:r>
        <w:rPr>
          <w:rFonts w:eastAsia="Consolas" w:cs="Consolas" w:ascii="Consolas" w:hAnsi="Consolas"/>
          <w:color w:val="101820"/>
          <w:sz w:val="19"/>
        </w:rPr>
        <w:t>locales/en.json</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The menu entry and role grants are updated; </w:t>
      </w:r>
      <w:r>
        <w:rPr>
          <w:rFonts w:eastAsia="Consolas" w:cs="Consolas" w:ascii="Consolas" w:hAnsi="Consolas"/>
          <w:color w:val="101820"/>
          <w:sz w:val="19"/>
        </w:rPr>
        <w:t>npm run check:api</w:t>
      </w:r>
      <w:r>
        <w:rPr>
          <w:rFonts w:eastAsia="Segoe UI" w:cs="Segoe UI" w:ascii="Segoe UI" w:hAnsi="Segoe UI"/>
          <w:color w:val="101820"/>
          <w:sz w:val="21"/>
        </w:rPr>
        <w:t xml:space="preserve"> passes after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Tests added or updated;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pass.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9" w:name="__RefHeading___Toc7590_2651032681"/>
      <w:bookmarkStart w:id="70" w:name="_Toc233203395"/>
      <w:bookmarkEnd w:id="69"/>
      <w:r>
        <w:rPr>
          <w:rStyle w:val="BookTitle"/>
          <w:bCs w:val="false"/>
          <w:i w:val="false"/>
          <w:iCs w:val="false"/>
          <w:spacing w:val="0"/>
        </w:rPr>
        <w:t>11.  Document Sign-Off</w:t>
      </w:r>
      <w:bookmarkEnd w:id="7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2026-10-03T20:48:32Z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