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9">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40">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30"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 Corp.</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 Corp.</w:t>
                      </w:r>
                    </w:p>
                  </w:txbxContent>
                </v:textbox>
                <w10:wrap type="square"/>
              </v:rect>
            </w:pict>
          </mc:Fallback>
        </mc:AlternateContent>
        <mc:AlternateContent>
          <mc:Choice Requires="wps">
            <w:drawing>
              <wp:anchor behindDoc="0" distT="45720" distB="45720" distL="113030" distR="114935" simplePos="0" locked="0" layoutInCell="0" allowOverlap="1" relativeHeight="32"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34"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36"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Master Services Agreement</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Master Services Agreement</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8"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iNXT BrokerVerse OOTB</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iNXT BrokerVerse OOTB</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54434_3949650649">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154436_3949650649">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154438_3949650649">
            <w:r>
              <w:rPr>
                <w:webHidden/>
                <w:rStyle w:val="IndexLink"/>
              </w:rPr>
              <w:t>3. About this template</w:t>
              <w:tab/>
              <w:t>5</w:t>
            </w:r>
          </w:hyperlink>
        </w:p>
        <w:p>
          <w:pPr>
            <w:pStyle w:val="TOC1"/>
            <w:tabs>
              <w:tab w:val="clear" w:pos="900"/>
              <w:tab w:val="clear" w:pos="9350"/>
              <w:tab w:val="right" w:pos="9025" w:leader="dot"/>
            </w:tabs>
            <w:rPr/>
          </w:pPr>
          <w:hyperlink w:anchor="__RefHeading___Toc154440_3949650649">
            <w:r>
              <w:rPr>
                <w:webHidden/>
                <w:rStyle w:val="IndexLink"/>
              </w:rPr>
              <w:t>4. Parties and background</w:t>
              <w:tab/>
              <w:t>6</w:t>
            </w:r>
          </w:hyperlink>
        </w:p>
        <w:p>
          <w:pPr>
            <w:pStyle w:val="TOC1"/>
            <w:tabs>
              <w:tab w:val="clear" w:pos="900"/>
              <w:tab w:val="clear" w:pos="9350"/>
              <w:tab w:val="right" w:pos="9025" w:leader="dot"/>
            </w:tabs>
            <w:rPr/>
          </w:pPr>
          <w:hyperlink w:anchor="__RefHeading___Toc154442_3949650649">
            <w:r>
              <w:rPr>
                <w:webHidden/>
                <w:rStyle w:val="IndexLink"/>
              </w:rPr>
              <w:t>5. Definitions and interpretation</w:t>
              <w:tab/>
              <w:t>7</w:t>
            </w:r>
          </w:hyperlink>
        </w:p>
        <w:p>
          <w:pPr>
            <w:pStyle w:val="TOC2"/>
            <w:tabs>
              <w:tab w:val="clear" w:pos="900"/>
              <w:tab w:val="clear" w:pos="9350"/>
              <w:tab w:val="right" w:pos="9025" w:leader="dot"/>
            </w:tabs>
            <w:rPr/>
          </w:pPr>
          <w:hyperlink w:anchor="__RefHeading___Toc154444_3949650649">
            <w:r>
              <w:rPr>
                <w:webHidden/>
                <w:rStyle w:val="IndexLink"/>
              </w:rPr>
              <w:t>5.1 Definitions</w:t>
              <w:tab/>
              <w:t>7</w:t>
            </w:r>
          </w:hyperlink>
        </w:p>
        <w:p>
          <w:pPr>
            <w:pStyle w:val="TOC2"/>
            <w:tabs>
              <w:tab w:val="clear" w:pos="900"/>
              <w:tab w:val="clear" w:pos="9350"/>
              <w:tab w:val="right" w:pos="9025" w:leader="dot"/>
            </w:tabs>
            <w:rPr/>
          </w:pPr>
          <w:hyperlink w:anchor="__RefHeading___Toc154446_3949650649">
            <w:r>
              <w:rPr>
                <w:webHidden/>
                <w:rStyle w:val="IndexLink"/>
              </w:rPr>
              <w:t>5.2 Interpretation</w:t>
              <w:tab/>
              <w:t>7</w:t>
            </w:r>
          </w:hyperlink>
        </w:p>
        <w:p>
          <w:pPr>
            <w:pStyle w:val="TOC1"/>
            <w:tabs>
              <w:tab w:val="clear" w:pos="900"/>
              <w:tab w:val="clear" w:pos="9350"/>
              <w:tab w:val="right" w:pos="9025" w:leader="dot"/>
            </w:tabs>
            <w:rPr/>
          </w:pPr>
          <w:hyperlink w:anchor="__RefHeading___Toc154448_3949650649">
            <w:r>
              <w:rPr>
                <w:webHidden/>
                <w:rStyle w:val="IndexLink"/>
              </w:rPr>
              <w:t>6. Services and responsibilities</w:t>
              <w:tab/>
              <w:t>9</w:t>
            </w:r>
          </w:hyperlink>
        </w:p>
        <w:p>
          <w:pPr>
            <w:pStyle w:val="TOC2"/>
            <w:tabs>
              <w:tab w:val="clear" w:pos="900"/>
              <w:tab w:val="clear" w:pos="9350"/>
              <w:tab w:val="right" w:pos="9025" w:leader="dot"/>
            </w:tabs>
            <w:rPr/>
          </w:pPr>
          <w:hyperlink w:anchor="__RefHeading___Toc154450_3949650649">
            <w:r>
              <w:rPr>
                <w:webHidden/>
                <w:rStyle w:val="IndexLink"/>
              </w:rPr>
              <w:t>6.1 Structure of the agreement</w:t>
              <w:tab/>
              <w:t>9</w:t>
            </w:r>
          </w:hyperlink>
        </w:p>
        <w:p>
          <w:pPr>
            <w:pStyle w:val="TOC2"/>
            <w:tabs>
              <w:tab w:val="clear" w:pos="900"/>
              <w:tab w:val="clear" w:pos="9350"/>
              <w:tab w:val="right" w:pos="9025" w:leader="dot"/>
            </w:tabs>
            <w:rPr/>
          </w:pPr>
          <w:hyperlink w:anchor="__RefHeading___Toc154452_3949650649">
            <w:r>
              <w:rPr>
                <w:webHidden/>
                <w:rStyle w:val="IndexLink"/>
              </w:rPr>
              <w:t>6.2 Scope of services</w:t>
              <w:tab/>
              <w:t>9</w:t>
            </w:r>
          </w:hyperlink>
        </w:p>
        <w:p>
          <w:pPr>
            <w:pStyle w:val="TOC2"/>
            <w:tabs>
              <w:tab w:val="clear" w:pos="900"/>
              <w:tab w:val="clear" w:pos="9350"/>
              <w:tab w:val="right" w:pos="9025" w:leader="dot"/>
            </w:tabs>
            <w:rPr/>
          </w:pPr>
          <w:hyperlink w:anchor="__RefHeading___Toc154454_3949650649">
            <w:r>
              <w:rPr>
                <w:webHidden/>
                <w:rStyle w:val="IndexLink"/>
              </w:rPr>
              <w:t>6.3 Client responsibilities</w:t>
              <w:tab/>
              <w:t>10</w:t>
            </w:r>
          </w:hyperlink>
        </w:p>
        <w:p>
          <w:pPr>
            <w:pStyle w:val="TOC1"/>
            <w:tabs>
              <w:tab w:val="clear" w:pos="900"/>
              <w:tab w:val="clear" w:pos="9350"/>
              <w:tab w:val="right" w:pos="9025" w:leader="dot"/>
            </w:tabs>
            <w:rPr/>
          </w:pPr>
          <w:hyperlink w:anchor="__RefHeading___Toc154456_3949650649">
            <w:r>
              <w:rPr>
                <w:webHidden/>
                <w:rStyle w:val="IndexLink"/>
              </w:rPr>
              <w:t>7. Fees and taxes</w:t>
              <w:tab/>
              <w:t>12</w:t>
            </w:r>
          </w:hyperlink>
        </w:p>
        <w:p>
          <w:pPr>
            <w:pStyle w:val="TOC2"/>
            <w:tabs>
              <w:tab w:val="clear" w:pos="900"/>
              <w:tab w:val="clear" w:pos="9350"/>
              <w:tab w:val="right" w:pos="9025" w:leader="dot"/>
            </w:tabs>
            <w:rPr/>
          </w:pPr>
          <w:hyperlink w:anchor="__RefHeading___Toc154458_3949650649">
            <w:r>
              <w:rPr>
                <w:webHidden/>
                <w:rStyle w:val="IndexLink"/>
              </w:rPr>
              <w:t>7.1 Fees and payment</w:t>
              <w:tab/>
              <w:t>12</w:t>
            </w:r>
          </w:hyperlink>
        </w:p>
        <w:p>
          <w:pPr>
            <w:pStyle w:val="TOC2"/>
            <w:tabs>
              <w:tab w:val="clear" w:pos="900"/>
              <w:tab w:val="clear" w:pos="9350"/>
              <w:tab w:val="right" w:pos="9025" w:leader="dot"/>
            </w:tabs>
            <w:rPr/>
          </w:pPr>
          <w:hyperlink w:anchor="__RefHeading___Toc154460_3949650649">
            <w:r>
              <w:rPr>
                <w:webHidden/>
                <w:rStyle w:val="IndexLink"/>
              </w:rPr>
              <w:t>7.2 Taxes</w:t>
              <w:tab/>
              <w:t>12</w:t>
            </w:r>
          </w:hyperlink>
        </w:p>
        <w:p>
          <w:pPr>
            <w:pStyle w:val="TOC1"/>
            <w:tabs>
              <w:tab w:val="clear" w:pos="900"/>
              <w:tab w:val="clear" w:pos="9350"/>
              <w:tab w:val="right" w:pos="9025" w:leader="dot"/>
            </w:tabs>
            <w:rPr/>
          </w:pPr>
          <w:hyperlink w:anchor="__RefHeading___Toc154462_3949650649">
            <w:r>
              <w:rPr>
                <w:webHidden/>
                <w:rStyle w:val="IndexLink"/>
              </w:rPr>
              <w:t>8. Term and termination</w:t>
              <w:tab/>
              <w:t>14</w:t>
            </w:r>
          </w:hyperlink>
        </w:p>
        <w:p>
          <w:pPr>
            <w:pStyle w:val="TOC2"/>
            <w:tabs>
              <w:tab w:val="clear" w:pos="900"/>
              <w:tab w:val="clear" w:pos="9350"/>
              <w:tab w:val="right" w:pos="9025" w:leader="dot"/>
            </w:tabs>
            <w:rPr/>
          </w:pPr>
          <w:hyperlink w:anchor="__RefHeading___Toc154464_3949650649">
            <w:r>
              <w:rPr>
                <w:webHidden/>
                <w:rStyle w:val="IndexLink"/>
              </w:rPr>
              <w:t>8.1 Term</w:t>
              <w:tab/>
              <w:t>14</w:t>
            </w:r>
          </w:hyperlink>
        </w:p>
        <w:p>
          <w:pPr>
            <w:pStyle w:val="TOC2"/>
            <w:tabs>
              <w:tab w:val="clear" w:pos="900"/>
              <w:tab w:val="clear" w:pos="9350"/>
              <w:tab w:val="right" w:pos="9025" w:leader="dot"/>
            </w:tabs>
            <w:rPr/>
          </w:pPr>
          <w:hyperlink w:anchor="__RefHeading___Toc154466_3949650649">
            <w:r>
              <w:rPr>
                <w:webHidden/>
                <w:rStyle w:val="IndexLink"/>
              </w:rPr>
              <w:t>8.2 Termination for cause</w:t>
              <w:tab/>
              <w:t>14</w:t>
            </w:r>
          </w:hyperlink>
        </w:p>
        <w:p>
          <w:pPr>
            <w:pStyle w:val="TOC2"/>
            <w:tabs>
              <w:tab w:val="clear" w:pos="900"/>
              <w:tab w:val="clear" w:pos="9350"/>
              <w:tab w:val="right" w:pos="9025" w:leader="dot"/>
            </w:tabs>
            <w:rPr/>
          </w:pPr>
          <w:hyperlink w:anchor="__RefHeading___Toc154468_3949650649">
            <w:r>
              <w:rPr>
                <w:webHidden/>
                <w:rStyle w:val="IndexLink"/>
              </w:rPr>
              <w:t>8.3 Termination for convenience</w:t>
              <w:tab/>
              <w:t>14</w:t>
            </w:r>
          </w:hyperlink>
        </w:p>
        <w:p>
          <w:pPr>
            <w:pStyle w:val="TOC2"/>
            <w:tabs>
              <w:tab w:val="clear" w:pos="900"/>
              <w:tab w:val="clear" w:pos="9350"/>
              <w:tab w:val="right" w:pos="9025" w:leader="dot"/>
            </w:tabs>
            <w:rPr/>
          </w:pPr>
          <w:hyperlink w:anchor="__RefHeading___Toc154470_3949650649">
            <w:r>
              <w:rPr>
                <w:webHidden/>
                <w:rStyle w:val="IndexLink"/>
              </w:rPr>
              <w:t>8.4 Effect of termination</w:t>
              <w:tab/>
              <w:t>14</w:t>
            </w:r>
          </w:hyperlink>
        </w:p>
        <w:p>
          <w:pPr>
            <w:pStyle w:val="TOC1"/>
            <w:tabs>
              <w:tab w:val="clear" w:pos="900"/>
              <w:tab w:val="clear" w:pos="9350"/>
              <w:tab w:val="right" w:pos="9025" w:leader="dot"/>
            </w:tabs>
            <w:rPr/>
          </w:pPr>
          <w:hyperlink w:anchor="__RefHeading___Toc154472_3949650649">
            <w:r>
              <w:rPr>
                <w:webHidden/>
                <w:rStyle w:val="IndexLink"/>
              </w:rPr>
              <w:t>9. Rights in the platform and in data</w:t>
              <w:tab/>
              <w:t>16</w:t>
            </w:r>
          </w:hyperlink>
        </w:p>
        <w:p>
          <w:pPr>
            <w:pStyle w:val="TOC2"/>
            <w:tabs>
              <w:tab w:val="clear" w:pos="900"/>
              <w:tab w:val="clear" w:pos="9350"/>
              <w:tab w:val="right" w:pos="9025" w:leader="dot"/>
            </w:tabs>
            <w:rPr/>
          </w:pPr>
          <w:hyperlink w:anchor="__RefHeading___Toc154474_3949650649">
            <w:r>
              <w:rPr>
                <w:webHidden/>
                <w:rStyle w:val="IndexLink"/>
              </w:rPr>
              <w:t>9.1 Intellectual property</w:t>
              <w:tab/>
              <w:t>16</w:t>
            </w:r>
          </w:hyperlink>
        </w:p>
        <w:p>
          <w:pPr>
            <w:pStyle w:val="TOC2"/>
            <w:tabs>
              <w:tab w:val="clear" w:pos="900"/>
              <w:tab w:val="clear" w:pos="9350"/>
              <w:tab w:val="right" w:pos="9025" w:leader="dot"/>
            </w:tabs>
            <w:rPr/>
          </w:pPr>
          <w:hyperlink w:anchor="__RefHeading___Toc154476_3949650649">
            <w:r>
              <w:rPr>
                <w:webHidden/>
                <w:rStyle w:val="IndexLink"/>
              </w:rPr>
              <w:t>9.2 Licence grant</w:t>
              <w:tab/>
              <w:t>16</w:t>
            </w:r>
          </w:hyperlink>
        </w:p>
        <w:p>
          <w:pPr>
            <w:pStyle w:val="TOC2"/>
            <w:tabs>
              <w:tab w:val="clear" w:pos="900"/>
              <w:tab w:val="clear" w:pos="9350"/>
              <w:tab w:val="right" w:pos="9025" w:leader="dot"/>
            </w:tabs>
            <w:rPr/>
          </w:pPr>
          <w:hyperlink w:anchor="__RefHeading___Toc154478_3949650649">
            <w:r>
              <w:rPr>
                <w:webHidden/>
                <w:rStyle w:val="IndexLink"/>
              </w:rPr>
              <w:t>9.3 Confidentiality</w:t>
              <w:tab/>
              <w:t>16</w:t>
            </w:r>
          </w:hyperlink>
        </w:p>
        <w:p>
          <w:pPr>
            <w:pStyle w:val="TOC2"/>
            <w:tabs>
              <w:tab w:val="clear" w:pos="900"/>
              <w:tab w:val="clear" w:pos="9350"/>
              <w:tab w:val="right" w:pos="9025" w:leader="dot"/>
            </w:tabs>
            <w:rPr/>
          </w:pPr>
          <w:hyperlink w:anchor="__RefHeading___Toc154480_3949650649">
            <w:r>
              <w:rPr>
                <w:webHidden/>
                <w:rStyle w:val="IndexLink"/>
              </w:rPr>
              <w:t>9.4 Data protection</w:t>
              <w:tab/>
              <w:t>17</w:t>
            </w:r>
          </w:hyperlink>
        </w:p>
        <w:p>
          <w:pPr>
            <w:pStyle w:val="TOC1"/>
            <w:tabs>
              <w:tab w:val="clear" w:pos="900"/>
              <w:tab w:val="clear" w:pos="9350"/>
              <w:tab w:val="right" w:pos="9025" w:leader="dot"/>
            </w:tabs>
            <w:rPr/>
          </w:pPr>
          <w:hyperlink w:anchor="__RefHeading___Toc154482_3949650649">
            <w:r>
              <w:rPr>
                <w:webHidden/>
                <w:rStyle w:val="IndexLink"/>
              </w:rPr>
              <w:t>10. Warranties, liability and indemnities</w:t>
              <w:tab/>
              <w:t>18</w:t>
            </w:r>
          </w:hyperlink>
        </w:p>
        <w:p>
          <w:pPr>
            <w:pStyle w:val="TOC2"/>
            <w:tabs>
              <w:tab w:val="clear" w:pos="900"/>
              <w:tab w:val="clear" w:pos="9350"/>
              <w:tab w:val="right" w:pos="9025" w:leader="dot"/>
            </w:tabs>
            <w:rPr/>
          </w:pPr>
          <w:hyperlink w:anchor="__RefHeading___Toc154484_3949650649">
            <w:r>
              <w:rPr>
                <w:webHidden/>
                <w:rStyle w:val="IndexLink"/>
              </w:rPr>
              <w:t>10.1 Warranties</w:t>
              <w:tab/>
              <w:t>18</w:t>
            </w:r>
          </w:hyperlink>
        </w:p>
        <w:p>
          <w:pPr>
            <w:pStyle w:val="TOC2"/>
            <w:tabs>
              <w:tab w:val="clear" w:pos="900"/>
              <w:tab w:val="clear" w:pos="9350"/>
              <w:tab w:val="right" w:pos="9025" w:leader="dot"/>
            </w:tabs>
            <w:rPr/>
          </w:pPr>
          <w:hyperlink w:anchor="__RefHeading___Toc154486_3949650649">
            <w:r>
              <w:rPr>
                <w:webHidden/>
                <w:rStyle w:val="IndexLink"/>
              </w:rPr>
              <w:t>10.2 Limitation of liability</w:t>
              <w:tab/>
              <w:t>18</w:t>
            </w:r>
          </w:hyperlink>
        </w:p>
        <w:p>
          <w:pPr>
            <w:pStyle w:val="TOC2"/>
            <w:tabs>
              <w:tab w:val="clear" w:pos="900"/>
              <w:tab w:val="clear" w:pos="9350"/>
              <w:tab w:val="right" w:pos="9025" w:leader="dot"/>
            </w:tabs>
            <w:rPr/>
          </w:pPr>
          <w:hyperlink w:anchor="__RefHeading___Toc154488_3949650649">
            <w:r>
              <w:rPr>
                <w:webHidden/>
                <w:rStyle w:val="IndexLink"/>
              </w:rPr>
              <w:t>10.3 Indemnities</w:t>
              <w:tab/>
              <w:t>19</w:t>
            </w:r>
          </w:hyperlink>
        </w:p>
        <w:p>
          <w:pPr>
            <w:pStyle w:val="TOC1"/>
            <w:tabs>
              <w:tab w:val="clear" w:pos="900"/>
              <w:tab w:val="clear" w:pos="9350"/>
              <w:tab w:val="right" w:pos="9025" w:leader="dot"/>
            </w:tabs>
            <w:rPr/>
          </w:pPr>
          <w:hyperlink w:anchor="__RefHeading___Toc154490_3949650649">
            <w:r>
              <w:rPr>
                <w:webHidden/>
                <w:rStyle w:val="IndexLink"/>
              </w:rPr>
              <w:t>11. Other terms</w:t>
              <w:tab/>
              <w:t>20</w:t>
            </w:r>
          </w:hyperlink>
        </w:p>
        <w:p>
          <w:pPr>
            <w:pStyle w:val="TOC2"/>
            <w:tabs>
              <w:tab w:val="clear" w:pos="900"/>
              <w:tab w:val="clear" w:pos="9350"/>
              <w:tab w:val="right" w:pos="9025" w:leader="dot"/>
            </w:tabs>
            <w:rPr/>
          </w:pPr>
          <w:hyperlink w:anchor="__RefHeading___Toc154492_3949650649">
            <w:r>
              <w:rPr>
                <w:webHidden/>
                <w:rStyle w:val="IndexLink"/>
              </w:rPr>
              <w:t>11.1 Force majeure</w:t>
              <w:tab/>
              <w:t>20</w:t>
            </w:r>
          </w:hyperlink>
        </w:p>
        <w:p>
          <w:pPr>
            <w:pStyle w:val="TOC2"/>
            <w:tabs>
              <w:tab w:val="clear" w:pos="900"/>
              <w:tab w:val="clear" w:pos="9350"/>
              <w:tab w:val="right" w:pos="9025" w:leader="dot"/>
            </w:tabs>
            <w:rPr/>
          </w:pPr>
          <w:hyperlink w:anchor="__RefHeading___Toc154494_3949650649">
            <w:r>
              <w:rPr>
                <w:webHidden/>
                <w:rStyle w:val="IndexLink"/>
              </w:rPr>
              <w:t>11.2 Non-solicitation</w:t>
              <w:tab/>
              <w:t>20</w:t>
            </w:r>
          </w:hyperlink>
        </w:p>
        <w:p>
          <w:pPr>
            <w:pStyle w:val="TOC2"/>
            <w:tabs>
              <w:tab w:val="clear" w:pos="900"/>
              <w:tab w:val="clear" w:pos="9350"/>
              <w:tab w:val="right" w:pos="9025" w:leader="dot"/>
            </w:tabs>
            <w:rPr/>
          </w:pPr>
          <w:hyperlink w:anchor="__RefHeading___Toc154496_3949650649">
            <w:r>
              <w:rPr>
                <w:webHidden/>
                <w:rStyle w:val="IndexLink"/>
              </w:rPr>
              <w:t>11.3 Assignment and subcontracting</w:t>
              <w:tab/>
              <w:t>20</w:t>
            </w:r>
          </w:hyperlink>
        </w:p>
        <w:p>
          <w:pPr>
            <w:pStyle w:val="TOC2"/>
            <w:tabs>
              <w:tab w:val="clear" w:pos="900"/>
              <w:tab w:val="clear" w:pos="9350"/>
              <w:tab w:val="right" w:pos="9025" w:leader="dot"/>
            </w:tabs>
            <w:rPr/>
          </w:pPr>
          <w:hyperlink w:anchor="__RefHeading___Toc154498_3949650649">
            <w:r>
              <w:rPr>
                <w:webHidden/>
                <w:rStyle w:val="IndexLink"/>
              </w:rPr>
              <w:t>11.4 Dispute resolution</w:t>
              <w:tab/>
              <w:t>20</w:t>
            </w:r>
          </w:hyperlink>
        </w:p>
        <w:p>
          <w:pPr>
            <w:pStyle w:val="TOC2"/>
            <w:tabs>
              <w:tab w:val="clear" w:pos="900"/>
              <w:tab w:val="clear" w:pos="9350"/>
              <w:tab w:val="right" w:pos="9025" w:leader="dot"/>
            </w:tabs>
            <w:rPr/>
          </w:pPr>
          <w:hyperlink w:anchor="__RefHeading___Toc154500_3949650649">
            <w:r>
              <w:rPr>
                <w:webHidden/>
                <w:rStyle w:val="IndexLink"/>
              </w:rPr>
              <w:t>11.5 Governing law</w:t>
              <w:tab/>
              <w:t>21</w:t>
            </w:r>
          </w:hyperlink>
        </w:p>
        <w:p>
          <w:pPr>
            <w:pStyle w:val="TOC2"/>
            <w:tabs>
              <w:tab w:val="clear" w:pos="900"/>
              <w:tab w:val="clear" w:pos="9350"/>
              <w:tab w:val="right" w:pos="9025" w:leader="dot"/>
            </w:tabs>
            <w:rPr/>
          </w:pPr>
          <w:hyperlink w:anchor="__RefHeading___Toc154502_3949650649">
            <w:r>
              <w:rPr>
                <w:webHidden/>
                <w:rStyle w:val="IndexLink"/>
              </w:rPr>
              <w:t>11.6 Notices</w:t>
              <w:tab/>
              <w:t>21</w:t>
            </w:r>
          </w:hyperlink>
        </w:p>
        <w:p>
          <w:pPr>
            <w:pStyle w:val="TOC2"/>
            <w:tabs>
              <w:tab w:val="clear" w:pos="900"/>
              <w:tab w:val="clear" w:pos="9350"/>
              <w:tab w:val="right" w:pos="9025" w:leader="dot"/>
            </w:tabs>
            <w:rPr/>
          </w:pPr>
          <w:hyperlink w:anchor="__RefHeading___Toc154504_3949650649">
            <w:r>
              <w:rPr>
                <w:webHidden/>
                <w:rStyle w:val="IndexLink"/>
              </w:rPr>
              <w:t>11.7 General</w:t>
              <w:tab/>
              <w:t>21</w:t>
            </w:r>
          </w:hyperlink>
        </w:p>
        <w:p>
          <w:pPr>
            <w:pStyle w:val="TOC1"/>
            <w:tabs>
              <w:tab w:val="clear" w:pos="900"/>
              <w:tab w:val="clear" w:pos="9350"/>
              <w:tab w:val="right" w:pos="9025" w:leader="dot"/>
            </w:tabs>
            <w:rPr/>
          </w:pPr>
          <w:hyperlink w:anchor="__RefHeading___Toc154506_3949650649">
            <w:r>
              <w:rPr>
                <w:webHidden/>
                <w:rStyle w:val="IndexLink"/>
              </w:rPr>
              <w:t>12. Signatures</w:t>
              <w:tab/>
              <w:t>23</w:t>
            </w:r>
          </w:hyperlink>
        </w:p>
        <w:p>
          <w:pPr>
            <w:pStyle w:val="TOC2"/>
            <w:tabs>
              <w:tab w:val="clear" w:pos="900"/>
              <w:tab w:val="clear" w:pos="9350"/>
              <w:tab w:val="right" w:pos="9025" w:leader="dot"/>
            </w:tabs>
            <w:rPr/>
          </w:pPr>
          <w:hyperlink w:anchor="__RefHeading___Toc154508_3949650649">
            <w:r>
              <w:rPr>
                <w:webHidden/>
                <w:rStyle w:val="IndexLink"/>
              </w:rPr>
              <w:t>12.1 Signature blocks</w:t>
              <w:tab/>
              <w:t>23</w:t>
            </w:r>
          </w:hyperlink>
        </w:p>
        <w:p>
          <w:pPr>
            <w:pStyle w:val="TOC2"/>
            <w:tabs>
              <w:tab w:val="clear" w:pos="900"/>
              <w:tab w:val="clear" w:pos="9350"/>
              <w:tab w:val="right" w:pos="9025" w:leader="dot"/>
            </w:tabs>
            <w:rPr/>
          </w:pPr>
          <w:hyperlink w:anchor="__RefHeading___Toc154510_3949650649">
            <w:r>
              <w:rPr>
                <w:webHidden/>
                <w:rStyle w:val="IndexLink"/>
              </w:rPr>
              <w:t>12.2 Acknowledgment</w:t>
              <w:tab/>
              <w:t>23</w:t>
            </w:r>
          </w:hyperlink>
        </w:p>
        <w:p>
          <w:pPr>
            <w:pStyle w:val="TOC1"/>
            <w:tabs>
              <w:tab w:val="clear" w:pos="900"/>
              <w:tab w:val="clear" w:pos="9350"/>
              <w:tab w:val="right" w:pos="9025" w:leader="dot"/>
            </w:tabs>
            <w:rPr/>
          </w:pPr>
          <w:hyperlink w:anchor="__RefHeading___Toc154512_3949650649">
            <w:r>
              <w:rPr>
                <w:webHidden/>
                <w:rStyle w:val="IndexLink"/>
              </w:rPr>
              <w:t>13. Annex A: schedules and forms</w:t>
              <w:tab/>
              <w:t>24</w:t>
            </w:r>
          </w:hyperlink>
        </w:p>
        <w:p>
          <w:pPr>
            <w:pStyle w:val="TOC1"/>
            <w:tabs>
              <w:tab w:val="clear" w:pos="900"/>
              <w:tab w:val="clear" w:pos="9350"/>
              <w:tab w:val="right" w:pos="9025" w:leader="dot"/>
            </w:tabs>
            <w:rPr/>
          </w:pPr>
          <w:hyperlink w:anchor="__RefHeading___Toc154514_3949650649">
            <w:r>
              <w:rPr>
                <w:webHidden/>
                <w:rStyle w:val="IndexLink"/>
                <w:i w:val="false"/>
                <w:iCs w:val="false"/>
              </w:rPr>
              <w:t>14. Document Sign-Off</w:t>
            </w:r>
            <w:r>
              <w:rPr>
                <w:rStyle w:val="IndexLink"/>
              </w:rPr>
              <w:tab/>
              <w:t>25</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154434_3949650649"/>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Corp.</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Legal counsel (to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Template for discussion; subject to review by the parties' legal counsel</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154436_3949650649"/>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ADR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Alternative dispute resolution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Annual Maintenance Contract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Processing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EOPT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Ease of Paying Taxes Act (RA 11976)</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MSA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Master Services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PDRC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Dispute Resolution Center, Inc.</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peso</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Republic 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Securities and Exchange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SLA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Service level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SOW</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Statement of work</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TIN</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Taxpayer identification number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154438_3949650649"/>
      <w:bookmarkEnd w:id="6"/>
      <w:r>
        <w:rPr>
          <w:rFonts w:eastAsia="Segoe UI" w:cs="Segoe UI" w:ascii="Segoe UI" w:hAnsi="Segoe UI"/>
          <w:b/>
          <w:color w:val="0F4761"/>
          <w:sz w:val="32"/>
        </w:rPr>
        <w:t>3.  About this template</w:t>
      </w:r>
    </w:p>
    <w:p>
      <w:pPr>
        <w:pStyle w:val="Normal"/>
        <w:shd w:val="clear" w:color="auto" w:fill="EAF2FB"/>
        <w:spacing w:before="0" w:after="160"/>
        <w:ind w:left="170"/>
        <w:rPr/>
      </w:pPr>
      <w:r>
        <w:rPr>
          <w:rFonts w:eastAsia="Segoe UI" w:cs="Segoe UI" w:ascii="Segoe UI" w:hAnsi="Segoe UI"/>
          <w:color w:val="101820"/>
          <w:sz w:val="20"/>
        </w:rPr>
        <w:t>Template for discussion; subject to review by the parties' legal counsel.</w:t>
      </w:r>
    </w:p>
    <w:p>
      <w:pPr>
        <w:pStyle w:val="Normal"/>
        <w:spacing w:lineRule="auto" w:line="276" w:before="0" w:after="120"/>
        <w:rPr/>
      </w:pPr>
      <w:r>
        <w:rPr>
          <w:rFonts w:eastAsia="Segoe UI" w:cs="Segoe UI" w:ascii="Segoe UI" w:hAnsi="Segoe UI"/>
          <w:color w:val="101820"/>
          <w:sz w:val="21"/>
        </w:rPr>
        <w:t xml:space="preserve">This Master Services Agreement (the </w:t>
      </w:r>
      <w:r>
        <w:rPr>
          <w:rFonts w:eastAsia="Segoe UI" w:cs="Segoe UI" w:ascii="Segoe UI" w:hAnsi="Segoe UI"/>
          <w:b/>
          <w:color w:val="101820"/>
          <w:sz w:val="21"/>
        </w:rPr>
        <w:t>Agreement</w:t>
      </w:r>
      <w:r>
        <w:rPr>
          <w:rFonts w:eastAsia="Segoe UI" w:cs="Segoe UI" w:ascii="Segoe UI" w:hAnsi="Segoe UI"/>
          <w:color w:val="101820"/>
          <w:sz w:val="21"/>
        </w:rPr>
        <w:t>) is the framework contract between iorta TechNXT Corp. and a Philippine insurance broker for iNXT BrokerVerse OOTB. Each purchase is made through an Order Form, which incorporates the schedules chosen for that purchase. Text in [square brackets] is a placeholder or an option to be completed or deleted before signature. Where options are given, keep one and delete the others.</w:t>
      </w:r>
      <w:r>
        <w:br w:type="page"/>
      </w:r>
    </w:p>
    <w:p>
      <w:pPr>
        <w:pStyle w:val="Heading1"/>
        <w:rPr/>
      </w:pPr>
      <w:bookmarkStart w:id="7" w:name="__RefHeading___Toc154440_3949650649"/>
      <w:bookmarkEnd w:id="7"/>
      <w:r>
        <w:rPr>
          <w:rFonts w:eastAsia="Segoe UI" w:cs="Segoe UI" w:ascii="Segoe UI" w:hAnsi="Segoe UI"/>
          <w:b/>
          <w:color w:val="0F4761"/>
          <w:sz w:val="32"/>
        </w:rPr>
        <w:t>4.  Parties and background</w:t>
      </w:r>
    </w:p>
    <w:p>
      <w:pPr>
        <w:pStyle w:val="Normal"/>
        <w:spacing w:lineRule="auto" w:line="276" w:before="0" w:after="120"/>
        <w:rPr/>
      </w:pPr>
      <w:r>
        <w:rPr>
          <w:rFonts w:eastAsia="Segoe UI" w:cs="Segoe UI" w:ascii="Segoe UI" w:hAnsi="Segoe UI"/>
          <w:color w:val="101820"/>
          <w:sz w:val="21"/>
        </w:rPr>
        <w:t>This Agreement is made on [date] at [Makati City / Taguig City], Philippines, between:</w:t>
      </w:r>
    </w:p>
    <w:p>
      <w:pPr>
        <w:pStyle w:val="Normal"/>
        <w:numPr>
          <w:ilvl w:val="0"/>
          <w:numId w:val="25"/>
        </w:numPr>
        <w:spacing w:before="0" w:after="60"/>
        <w:rPr/>
      </w:pPr>
      <w:r>
        <w:rPr>
          <w:rFonts w:eastAsia="Segoe UI" w:cs="Segoe UI" w:ascii="Segoe UI" w:hAnsi="Segoe UI"/>
          <w:b/>
          <w:color w:val="101820"/>
          <w:sz w:val="21"/>
        </w:rPr>
        <w:t>iorta TechNXT Corp.</w:t>
      </w:r>
      <w:r>
        <w:rPr>
          <w:rFonts w:eastAsia="Segoe UI" w:cs="Segoe UI" w:ascii="Segoe UI" w:hAnsi="Segoe UI"/>
          <w:color w:val="101820"/>
          <w:sz w:val="21"/>
        </w:rPr>
        <w:t>, a corporation organised under the laws of the Philippines, SEC registration no. [number], TIN [number], with principal office at [address], represented by [name], its [title], authorised under [board resolution / secretary's certificate dated date] (</w:t>
      </w:r>
      <w:r>
        <w:rPr>
          <w:rFonts w:eastAsia="Segoe UI" w:cs="Segoe UI" w:ascii="Segoe UI" w:hAnsi="Segoe UI"/>
          <w:b/>
          <w:color w:val="101820"/>
          <w:sz w:val="21"/>
        </w:rPr>
        <w:t>iorta TechNXT</w:t>
      </w:r>
      <w:r>
        <w:rPr>
          <w:rFonts w:eastAsia="Segoe UI" w:cs="Segoe UI" w:ascii="Segoe UI" w:hAnsi="Segoe UI"/>
          <w:color w:val="101820"/>
          <w:sz w:val="21"/>
        </w:rPr>
        <w:t>); and</w:t>
      </w:r>
    </w:p>
    <w:p>
      <w:pPr>
        <w:pStyle w:val="Normal"/>
        <w:numPr>
          <w:ilvl w:val="0"/>
          <w:numId w:val="2"/>
        </w:numPr>
        <w:spacing w:before="0" w:after="60"/>
        <w:rPr/>
      </w:pPr>
      <w:r>
        <w:rPr>
          <w:rFonts w:eastAsia="Segoe UI" w:cs="Segoe UI" w:ascii="Segoe UI" w:hAnsi="Segoe UI"/>
          <w:b/>
          <w:color w:val="101820"/>
          <w:sz w:val="21"/>
        </w:rPr>
        <w:t>[Client legal name]</w:t>
      </w:r>
      <w:r>
        <w:rPr>
          <w:rFonts w:eastAsia="Segoe UI" w:cs="Segoe UI" w:ascii="Segoe UI" w:hAnsi="Segoe UI"/>
          <w:color w:val="101820"/>
          <w:sz w:val="21"/>
        </w:rPr>
        <w:t xml:space="preserve">, a corporation organised under the laws of the Philippines, SEC registration no. [number], TIN [number], licensed by the Insurance Commission as an insurance broker under certificate of authority no. [number], with principal office at [address], represented by [name], its [title], authorised under [board resolution / secretary's certificate dated date] (the </w:t>
      </w:r>
      <w:r>
        <w:rPr>
          <w:rFonts w:eastAsia="Segoe UI" w:cs="Segoe UI" w:ascii="Segoe UI" w:hAnsi="Segoe UI"/>
          <w:b/>
          <w:color w:val="101820"/>
          <w:sz w:val="21"/>
        </w:rPr>
        <w:t>Client</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color w:val="101820"/>
          <w:sz w:val="21"/>
        </w:rPr>
        <w:t xml:space="preserve">iorta TechNXT and the Client are each a </w:t>
      </w:r>
      <w:r>
        <w:rPr>
          <w:rFonts w:eastAsia="Segoe UI" w:cs="Segoe UI" w:ascii="Segoe UI" w:hAnsi="Segoe UI"/>
          <w:b/>
          <w:color w:val="101820"/>
          <w:sz w:val="21"/>
        </w:rPr>
        <w:t>Party</w:t>
      </w:r>
      <w:r>
        <w:rPr>
          <w:rFonts w:eastAsia="Segoe UI" w:cs="Segoe UI" w:ascii="Segoe UI" w:hAnsi="Segoe UI"/>
          <w:color w:val="101820"/>
          <w:sz w:val="21"/>
        </w:rPr>
        <w:t xml:space="preserve"> and together the </w:t>
      </w:r>
      <w:r>
        <w:rPr>
          <w:rFonts w:eastAsia="Segoe UI" w:cs="Segoe UI" w:ascii="Segoe UI" w:hAnsi="Segoe UI"/>
          <w:b/>
          <w:color w:val="101820"/>
          <w:sz w:val="21"/>
        </w:rPr>
        <w:t>Parties</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color w:val="101820"/>
          <w:sz w:val="21"/>
        </w:rPr>
        <w:t>Background:</w:t>
      </w:r>
    </w:p>
    <w:p>
      <w:pPr>
        <w:pStyle w:val="Normal"/>
        <w:numPr>
          <w:ilvl w:val="0"/>
          <w:numId w:val="1"/>
        </w:numPr>
        <w:spacing w:before="0" w:after="60"/>
        <w:rPr/>
      </w:pPr>
      <w:r>
        <w:rPr>
          <w:rFonts w:eastAsia="Segoe UI" w:cs="Segoe UI" w:ascii="Segoe UI" w:hAnsi="Segoe UI"/>
          <w:color w:val="101820"/>
          <w:sz w:val="21"/>
        </w:rPr>
        <w:t>iorta TechNXT owns and licenses iNXT BrokerVerse, an insurance broking platform for non-life insurance brokers, and provides implementation, support, hosting and related services.</w:t>
      </w:r>
    </w:p>
    <w:p>
      <w:pPr>
        <w:pStyle w:val="Normal"/>
        <w:numPr>
          <w:ilvl w:val="0"/>
          <w:numId w:val="1"/>
        </w:numPr>
        <w:spacing w:before="0" w:after="60"/>
        <w:rPr/>
      </w:pPr>
      <w:r>
        <w:rPr>
          <w:rFonts w:eastAsia="Segoe UI" w:cs="Segoe UI" w:ascii="Segoe UI" w:hAnsi="Segoe UI"/>
          <w:color w:val="101820"/>
          <w:sz w:val="21"/>
        </w:rPr>
        <w:t>The Client wishes to use iNXT BrokerVerse OOTB in its business as an insurance broker and to obtain related services from iorta TechNXT.</w:t>
      </w:r>
    </w:p>
    <w:p>
      <w:pPr>
        <w:pStyle w:val="Normal"/>
        <w:numPr>
          <w:ilvl w:val="0"/>
          <w:numId w:val="1"/>
        </w:numPr>
        <w:spacing w:before="0" w:after="60"/>
        <w:rPr/>
      </w:pPr>
      <w:r>
        <w:rPr>
          <w:rFonts w:eastAsia="Segoe UI" w:cs="Segoe UI" w:ascii="Segoe UI" w:hAnsi="Segoe UI"/>
          <w:color w:val="101820"/>
          <w:sz w:val="21"/>
        </w:rPr>
        <w:t>The Parties wish to set out the general terms that apply to every Order Form signed under this Agreement.</w:t>
      </w:r>
      <w:r>
        <w:br w:type="page"/>
      </w:r>
    </w:p>
    <w:p>
      <w:pPr>
        <w:pStyle w:val="Heading1"/>
        <w:rPr/>
      </w:pPr>
      <w:bookmarkStart w:id="8" w:name="__RefHeading___Toc154442_3949650649"/>
      <w:bookmarkEnd w:id="8"/>
      <w:r>
        <w:rPr>
          <w:rFonts w:eastAsia="Segoe UI" w:cs="Segoe UI" w:ascii="Segoe UI" w:hAnsi="Segoe UI"/>
          <w:b/>
          <w:color w:val="0F4761"/>
          <w:sz w:val="32"/>
        </w:rPr>
        <w:t>5.  Definitions and interpretation</w:t>
      </w:r>
    </w:p>
    <w:p>
      <w:pPr>
        <w:pStyle w:val="Heading2"/>
        <w:rPr/>
      </w:pPr>
      <w:bookmarkStart w:id="9" w:name="__RefHeading___Toc154444_3949650649"/>
      <w:bookmarkEnd w:id="9"/>
      <w:r>
        <w:rPr>
          <w:rFonts w:eastAsia="Segoe UI" w:cs="Segoe UI"/>
          <w:b/>
          <w:color w:val="0F4761"/>
          <w:sz w:val="26"/>
        </w:rPr>
        <w:t>5.1  Definitions</w:t>
      </w:r>
    </w:p>
    <w:p>
      <w:pPr>
        <w:pStyle w:val="Normal"/>
        <w:spacing w:lineRule="auto" w:line="276" w:before="0" w:after="120"/>
        <w:rPr/>
      </w:pPr>
      <w:r>
        <w:rPr>
          <w:rFonts w:eastAsia="Segoe UI" w:cs="Segoe UI" w:ascii="Segoe UI" w:hAnsi="Segoe UI"/>
          <w:color w:val="101820"/>
          <w:sz w:val="21"/>
        </w:rPr>
        <w:t>In this Agreement and in every Order Form and schedule, unless the context requires otherwise: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20"/>
        <w:gridCol w:w="5693"/>
      </w:tblGrid>
      <w:tr>
        <w:trPr>
          <w:tblHeader w:val="true"/>
        </w:trPr>
        <w:tc>
          <w:tcPr>
            <w:tcW w:w="332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Term</w:t>
            </w:r>
          </w:p>
        </w:tc>
        <w:tc>
          <w:tcPr>
            <w:tcW w:w="569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Acceptance</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Written acceptance of a Deliverable under the acceptance procedure of the applicable SOW, or deemed acceptance under that procedure</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Affiliate</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 entity that controls, is controlled by or is under common control with a Party, where control means ownership of more than 50% of the voting shares</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AMC</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Annual Maintenance and Support Agreement for a perpetual licence</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Day</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day other than a Saturday, Sunday or a regular or special non-working holiday declared in Metro Manila</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Request</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request to change the agreed scope, plan, Deliverables or the Platform, handled under the Change Request Procedure</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Data</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data, including Personal Data, that the Client or its users enter in, upload to or generate with the Platform, and the outputs that contain it</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Confidential Information</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Information described in the Confidentiality clause</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Deliverable</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document, configuration, environment or other item that iorta TechNXT delivers under an SOW</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Documentation</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user manual, administrator guides, technical reference and other documentation of iNXT BrokerVerse OOTB that iorta TechNXT makes available</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Effective Date</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date of this Agreement</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Fees</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amounts payable by the Client under an Order Form</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first day on which the Client uses the Platform in production for its business transactions</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Intellectual Property Rights</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Copyright, patents, trademarks, trade names, designs, database rights, trade secrets, know-how and all similar rights anywhere in the world, registered or not</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Order Form</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document signed by both Parties that refers to this Agreement and states the products, services, quantities, Fees, term and schedules that apply</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Data</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information, sensitive personal information and privileged information as defined in the Data Privacy Act of 2012 (RA 10173)</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Platform</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 BrokerVerse OOTB, the out-of-the-box version of iNXT BrokerVerse, in object code and as a hosted service as applicable, with its Documentation, updates and releases provided under this Agreement</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Services</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 support, maintenance, hosting, training, change requests and any other services stated in an Order Form</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SOW</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statement of work that forms part of an Order Form</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Named individuals authorised by the Client to use the Platform, each with a personal sign-in</w:t>
            </w:r>
          </w:p>
        </w:tc>
      </w:tr>
    </w:tbl>
    <w:p>
      <w:pPr>
        <w:pStyle w:val="Normal"/>
        <w:spacing w:before="0" w:after="80"/>
        <w:rPr/>
      </w:pPr>
      <w:r>
        <w:rPr/>
      </w:r>
    </w:p>
    <w:p>
      <w:pPr>
        <w:pStyle w:val="Heading2"/>
        <w:rPr/>
      </w:pPr>
      <w:bookmarkStart w:id="10" w:name="__RefHeading___Toc154446_3949650649"/>
      <w:bookmarkEnd w:id="10"/>
      <w:r>
        <w:rPr>
          <w:rFonts w:eastAsia="Segoe UI" w:cs="Segoe UI"/>
          <w:b/>
          <w:color w:val="0F4761"/>
          <w:sz w:val="26"/>
        </w:rPr>
        <w:t>5.2  Interpretation</w:t>
      </w:r>
    </w:p>
    <w:p>
      <w:pPr>
        <w:pStyle w:val="Normal"/>
        <w:numPr>
          <w:ilvl w:val="0"/>
          <w:numId w:val="26"/>
        </w:numPr>
        <w:spacing w:before="0" w:after="60"/>
        <w:rPr/>
      </w:pPr>
      <w:r>
        <w:rPr>
          <w:rFonts w:eastAsia="Segoe UI" w:cs="Segoe UI" w:ascii="Segoe UI" w:hAnsi="Segoe UI"/>
          <w:color w:val="101820"/>
          <w:sz w:val="21"/>
        </w:rPr>
        <w:t>Headings are for convenience only. The singular includes the plural and the reverse.</w:t>
      </w:r>
    </w:p>
    <w:p>
      <w:pPr>
        <w:pStyle w:val="Normal"/>
        <w:numPr>
          <w:ilvl w:val="0"/>
          <w:numId w:val="27"/>
        </w:numPr>
        <w:spacing w:before="0" w:after="60"/>
        <w:rPr/>
      </w:pPr>
      <w:r>
        <w:rPr>
          <w:rFonts w:eastAsia="Segoe UI" w:cs="Segoe UI" w:ascii="Segoe UI" w:hAnsi="Segoe UI"/>
          <w:color w:val="101820"/>
          <w:sz w:val="21"/>
        </w:rPr>
        <w:t>"Including" means "including without limitation".</w:t>
      </w:r>
    </w:p>
    <w:p>
      <w:pPr>
        <w:pStyle w:val="Normal"/>
        <w:numPr>
          <w:ilvl w:val="0"/>
          <w:numId w:val="28"/>
        </w:numPr>
        <w:spacing w:before="0" w:after="60"/>
        <w:rPr/>
      </w:pPr>
      <w:r>
        <w:rPr>
          <w:rFonts w:eastAsia="Segoe UI" w:cs="Segoe UI" w:ascii="Segoe UI" w:hAnsi="Segoe UI"/>
          <w:color w:val="101820"/>
          <w:sz w:val="21"/>
        </w:rPr>
        <w:t>A reference to a law includes its implementing rules and regulations and any amendment or replacement in force.</w:t>
      </w:r>
    </w:p>
    <w:p>
      <w:pPr>
        <w:pStyle w:val="Normal"/>
        <w:numPr>
          <w:ilvl w:val="0"/>
          <w:numId w:val="29"/>
        </w:numPr>
        <w:spacing w:before="0" w:after="60"/>
        <w:rPr/>
      </w:pPr>
      <w:r>
        <w:rPr>
          <w:rFonts w:eastAsia="Segoe UI" w:cs="Segoe UI" w:ascii="Segoe UI" w:hAnsi="Segoe UI"/>
          <w:color w:val="101820"/>
          <w:sz w:val="21"/>
        </w:rPr>
        <w:t>A reference to a clause by name refers to the clause of that name in this Agreement.</w:t>
      </w:r>
    </w:p>
    <w:p>
      <w:pPr>
        <w:pStyle w:val="Normal"/>
        <w:numPr>
          <w:ilvl w:val="0"/>
          <w:numId w:val="30"/>
        </w:numPr>
        <w:spacing w:before="0" w:after="60"/>
        <w:rPr/>
      </w:pPr>
      <w:r>
        <w:rPr>
          <w:rFonts w:eastAsia="Segoe UI" w:cs="Segoe UI" w:ascii="Segoe UI" w:hAnsi="Segoe UI"/>
          <w:color w:val="101820"/>
          <w:sz w:val="21"/>
        </w:rPr>
        <w:t>Amounts are in Philippine pesos and exclude VAT unless stated.</w:t>
      </w:r>
      <w:r>
        <w:br w:type="page"/>
      </w:r>
    </w:p>
    <w:p>
      <w:pPr>
        <w:pStyle w:val="Heading1"/>
        <w:rPr/>
      </w:pPr>
      <w:bookmarkStart w:id="11" w:name="__RefHeading___Toc154448_3949650649"/>
      <w:bookmarkEnd w:id="11"/>
      <w:r>
        <w:rPr>
          <w:rFonts w:eastAsia="Segoe UI" w:cs="Segoe UI" w:ascii="Segoe UI" w:hAnsi="Segoe UI"/>
          <w:b/>
          <w:color w:val="0F4761"/>
          <w:sz w:val="32"/>
        </w:rPr>
        <w:t>6.  Services and responsibilities</w:t>
      </w:r>
    </w:p>
    <w:p>
      <w:pPr>
        <w:pStyle w:val="Heading2"/>
        <w:rPr/>
      </w:pPr>
      <w:bookmarkStart w:id="12" w:name="__RefHeading___Toc154450_3949650649"/>
      <w:bookmarkEnd w:id="12"/>
      <w:r>
        <w:rPr>
          <w:rFonts w:eastAsia="Segoe UI" w:cs="Segoe UI"/>
          <w:b/>
          <w:color w:val="0F4761"/>
          <w:sz w:val="26"/>
        </w:rPr>
        <w:t>6.1  Structure of the agreement</w:t>
      </w:r>
    </w:p>
    <w:p>
      <w:pPr>
        <w:pStyle w:val="Heading3"/>
        <w:rPr/>
      </w:pPr>
      <w:r>
        <w:rPr>
          <w:rFonts w:eastAsia="Segoe UI" w:cs="Segoe UI"/>
          <w:b/>
          <w:color w:val="0F4761"/>
          <w:sz w:val="23"/>
        </w:rPr>
        <w:t>6.1.1  Order Forms</w:t>
      </w:r>
    </w:p>
    <w:p>
      <w:pPr>
        <w:pStyle w:val="Normal"/>
        <w:numPr>
          <w:ilvl w:val="0"/>
          <w:numId w:val="31"/>
        </w:numPr>
        <w:spacing w:before="0" w:after="60"/>
        <w:rPr/>
      </w:pPr>
      <w:r>
        <w:rPr>
          <w:rFonts w:eastAsia="Segoe UI" w:cs="Segoe UI" w:ascii="Segoe UI" w:hAnsi="Segoe UI"/>
          <w:color w:val="101820"/>
          <w:sz w:val="21"/>
        </w:rPr>
        <w:t>The Client buys products and Services by signing an Order Form. Each Order Form is a separate contract that incorporates this Agreement and the schedules named in it.</w:t>
      </w:r>
    </w:p>
    <w:p>
      <w:pPr>
        <w:pStyle w:val="Normal"/>
        <w:numPr>
          <w:ilvl w:val="0"/>
          <w:numId w:val="32"/>
        </w:numPr>
        <w:spacing w:before="0" w:after="60"/>
        <w:rPr/>
      </w:pPr>
      <w:r>
        <w:rPr>
          <w:rFonts w:eastAsia="Segoe UI" w:cs="Segoe UI" w:ascii="Segoe UI" w:hAnsi="Segoe UI"/>
          <w:color w:val="101820"/>
          <w:sz w:val="21"/>
        </w:rPr>
        <w:t>The schedules available under this Agreement are: the Perpetual Software Licence Agreement, the Software Subscription Agreement, the Implementation Statement of Work, the Change Request Procedure, the Annual Maintenance and Support Agreement and Service Level Agreement, the Hosting and Infrastructure Services Agreement and the Data Processing Agreement. The following annexes apply with them: the Service Catalogue and Rate Annex, the Customer Responsibilities and RACI Annex and the Exit and Transition Plan. The Source Code Escrow Agreement is an optional three-party agreement under the Perpetual Software Licence Agreement. The UAT Sign-off, Go-live Acceptance and Hypercare Exit certificates are the forms used under the Implementation Statement of Work.</w:t>
      </w:r>
    </w:p>
    <w:p>
      <w:pPr>
        <w:pStyle w:val="Normal"/>
        <w:numPr>
          <w:ilvl w:val="0"/>
          <w:numId w:val="33"/>
        </w:numPr>
        <w:spacing w:before="0" w:after="60"/>
        <w:rPr/>
      </w:pPr>
      <w:r>
        <w:rPr>
          <w:rFonts w:eastAsia="Segoe UI" w:cs="Segoe UI" w:ascii="Segoe UI" w:hAnsi="Segoe UI"/>
          <w:color w:val="101820"/>
          <w:sz w:val="21"/>
        </w:rPr>
        <w:t>An Order Form binds the Parties only when signed by authorised representatives of both.</w:t>
      </w:r>
    </w:p>
    <w:p>
      <w:pPr>
        <w:pStyle w:val="Heading3"/>
        <w:rPr/>
      </w:pPr>
      <w:r>
        <w:rPr>
          <w:rFonts w:eastAsia="Segoe UI" w:cs="Segoe UI"/>
          <w:b/>
          <w:color w:val="0F4761"/>
          <w:sz w:val="23"/>
        </w:rPr>
        <w:t>6.1.2  Order of precedence</w:t>
      </w:r>
    </w:p>
    <w:p>
      <w:pPr>
        <w:pStyle w:val="Normal"/>
        <w:spacing w:lineRule="auto" w:line="276" w:before="0" w:after="120"/>
        <w:rPr/>
      </w:pPr>
      <w:r>
        <w:rPr>
          <w:rFonts w:eastAsia="Segoe UI" w:cs="Segoe UI" w:ascii="Segoe UI" w:hAnsi="Segoe UI"/>
          <w:color w:val="101820"/>
          <w:sz w:val="21"/>
        </w:rPr>
        <w:t>If documents conflict, the following order applies, the first prevailing: (a) the Data Processing Agreement on matters of Personal Data; (b) the Order Form, but only for the specific purchase and only where it expressly states that it overrides this Agreement; (c) this Agreement; (d) the schedules named in the Order Form, with their annexes; (e) the SOW; (f) the Documentation. Rates in the Order Form prevail over the Service Catalogue and Rate Annex. A signed acceptance certificate or Change Request form records a fact or an approval and does not amend this Agreement.</w:t>
      </w:r>
    </w:p>
    <w:p>
      <w:pPr>
        <w:pStyle w:val="Heading3"/>
        <w:rPr/>
      </w:pPr>
      <w:r>
        <w:rPr>
          <w:rFonts w:eastAsia="Segoe UI" w:cs="Segoe UI"/>
          <w:b/>
          <w:color w:val="0F4761"/>
          <w:sz w:val="23"/>
        </w:rPr>
        <w:t>6.1.3  Affiliates</w:t>
      </w:r>
    </w:p>
    <w:p>
      <w:pPr>
        <w:pStyle w:val="Normal"/>
        <w:spacing w:lineRule="auto" w:line="276" w:before="0" w:after="120"/>
        <w:rPr/>
      </w:pPr>
      <w:r>
        <w:rPr>
          <w:rFonts w:eastAsia="Segoe UI" w:cs="Segoe UI" w:ascii="Segoe UI" w:hAnsi="Segoe UI"/>
          <w:color w:val="101820"/>
          <w:sz w:val="21"/>
        </w:rPr>
        <w:t>An Affiliate of the Client may sign an Order Form under this Agreement with the written consent of iorta TechNXT. The Affiliate is then the Client for that Order Form.</w:t>
      </w:r>
    </w:p>
    <w:p>
      <w:pPr>
        <w:pStyle w:val="Heading2"/>
        <w:rPr/>
      </w:pPr>
      <w:bookmarkStart w:id="13" w:name="__RefHeading___Toc154452_3949650649"/>
      <w:bookmarkEnd w:id="13"/>
      <w:r>
        <w:rPr>
          <w:rFonts w:eastAsia="Segoe UI" w:cs="Segoe UI"/>
          <w:b/>
          <w:color w:val="0F4761"/>
          <w:sz w:val="26"/>
        </w:rPr>
        <w:t>6.2  Scope of services</w:t>
      </w:r>
    </w:p>
    <w:p>
      <w:pPr>
        <w:pStyle w:val="Heading3"/>
        <w:rPr/>
      </w:pPr>
      <w:r>
        <w:rPr>
          <w:rFonts w:eastAsia="Segoe UI" w:cs="Segoe UI"/>
          <w:b/>
          <w:color w:val="0F4761"/>
          <w:sz w:val="23"/>
        </w:rPr>
        <w:t>6.2.1  Scope</w:t>
      </w:r>
    </w:p>
    <w:p>
      <w:pPr>
        <w:pStyle w:val="Normal"/>
        <w:numPr>
          <w:ilvl w:val="0"/>
          <w:numId w:val="34"/>
        </w:numPr>
        <w:spacing w:before="0" w:after="60"/>
        <w:rPr/>
      </w:pPr>
      <w:r>
        <w:rPr>
          <w:rFonts w:eastAsia="Segoe UI" w:cs="Segoe UI" w:ascii="Segoe UI" w:hAnsi="Segoe UI"/>
          <w:color w:val="101820"/>
          <w:sz w:val="21"/>
        </w:rPr>
        <w:t>iorta TechNXT provides the Platform and the Services described in each Order Form and its schedules.</w:t>
      </w:r>
    </w:p>
    <w:p>
      <w:pPr>
        <w:pStyle w:val="Normal"/>
        <w:numPr>
          <w:ilvl w:val="0"/>
          <w:numId w:val="35"/>
        </w:numPr>
        <w:spacing w:before="0" w:after="60"/>
        <w:rPr/>
      </w:pPr>
      <w:r>
        <w:rPr>
          <w:rFonts w:eastAsia="Segoe UI" w:cs="Segoe UI" w:ascii="Segoe UI" w:hAnsi="Segoe UI"/>
          <w:color w:val="101820"/>
          <w:sz w:val="21"/>
        </w:rPr>
        <w:t>The Platform is provided as the OOTB version: the delivered screens, workflows, reports, printed documents and integrations, configured with the Client's settings and master data. Changes to the Platform are Change Requests.</w:t>
      </w:r>
    </w:p>
    <w:p>
      <w:pPr>
        <w:pStyle w:val="Normal"/>
        <w:numPr>
          <w:ilvl w:val="0"/>
          <w:numId w:val="36"/>
        </w:numPr>
        <w:spacing w:before="0" w:after="60"/>
        <w:rPr/>
      </w:pPr>
      <w:r>
        <w:rPr>
          <w:rFonts w:eastAsia="Segoe UI" w:cs="Segoe UI" w:ascii="Segoe UI" w:hAnsi="Segoe UI"/>
          <w:color w:val="101820"/>
          <w:sz w:val="21"/>
        </w:rPr>
        <w:t>iorta TechNXT performs the Services with reasonable skill and care, by suitably qualified personnel, in line with good industry practice.</w:t>
      </w:r>
    </w:p>
    <w:p>
      <w:pPr>
        <w:pStyle w:val="Heading3"/>
        <w:rPr/>
      </w:pPr>
      <w:r>
        <w:rPr>
          <w:rFonts w:eastAsia="Segoe UI" w:cs="Segoe UI"/>
          <w:b/>
          <w:color w:val="0F4761"/>
          <w:sz w:val="23"/>
        </w:rPr>
        <w:t>6.2.2  Personnel</w:t>
      </w:r>
    </w:p>
    <w:p>
      <w:pPr>
        <w:pStyle w:val="Normal"/>
        <w:numPr>
          <w:ilvl w:val="0"/>
          <w:numId w:val="37"/>
        </w:numPr>
        <w:spacing w:before="0" w:after="60"/>
        <w:rPr/>
      </w:pPr>
      <w:r>
        <w:rPr>
          <w:rFonts w:eastAsia="Segoe UI" w:cs="Segoe UI" w:ascii="Segoe UI" w:hAnsi="Segoe UI"/>
          <w:color w:val="101820"/>
          <w:sz w:val="21"/>
        </w:rPr>
        <w:t>Each Party names a project manager or account manager as its main contact in the Order Form.</w:t>
      </w:r>
    </w:p>
    <w:p>
      <w:pPr>
        <w:pStyle w:val="Normal"/>
        <w:numPr>
          <w:ilvl w:val="0"/>
          <w:numId w:val="38"/>
        </w:numPr>
        <w:spacing w:before="0" w:after="60"/>
        <w:rPr/>
      </w:pPr>
      <w:r>
        <w:rPr>
          <w:rFonts w:eastAsia="Segoe UI" w:cs="Segoe UI" w:ascii="Segoe UI" w:hAnsi="Segoe UI"/>
          <w:color w:val="101820"/>
          <w:sz w:val="21"/>
        </w:rPr>
        <w:t>iorta TechNXT may replace its personnel with persons of similar skill and informs the Client in advance where the person is named in the SOW.</w:t>
      </w:r>
    </w:p>
    <w:p>
      <w:pPr>
        <w:pStyle w:val="Normal"/>
        <w:numPr>
          <w:ilvl w:val="0"/>
          <w:numId w:val="39"/>
        </w:numPr>
        <w:spacing w:before="0" w:after="60"/>
        <w:rPr/>
      </w:pPr>
      <w:r>
        <w:rPr>
          <w:rFonts w:eastAsia="Segoe UI" w:cs="Segoe UI" w:ascii="Segoe UI" w:hAnsi="Segoe UI"/>
          <w:color w:val="101820"/>
          <w:sz w:val="21"/>
        </w:rPr>
        <w:t>While on the Client's premises, iorta TechNXT personnel follow the Client's reasonable site, security and conduct rules notified in advance.</w:t>
      </w:r>
    </w:p>
    <w:p>
      <w:pPr>
        <w:pStyle w:val="Heading3"/>
        <w:rPr/>
      </w:pPr>
      <w:r>
        <w:rPr>
          <w:rFonts w:eastAsia="Segoe UI" w:cs="Segoe UI"/>
          <w:b/>
          <w:color w:val="0F4761"/>
          <w:sz w:val="23"/>
        </w:rPr>
        <w:t>6.2.3  Subcontractors</w:t>
      </w:r>
    </w:p>
    <w:p>
      <w:pPr>
        <w:pStyle w:val="Normal"/>
        <w:spacing w:lineRule="auto" w:line="276" w:before="0" w:after="120"/>
        <w:rPr/>
      </w:pPr>
      <w:r>
        <w:rPr>
          <w:rFonts w:eastAsia="Segoe UI" w:cs="Segoe UI" w:ascii="Segoe UI" w:hAnsi="Segoe UI"/>
          <w:color w:val="101820"/>
          <w:sz w:val="21"/>
        </w:rPr>
        <w:t>iorta TechNXT may use subcontractors, including cloud and hosting providers, to perform the Services. iorta TechNXT remains responsible for its subcontractors. Sub-processors of Personal Data are governed by the Data Processing Agreement.</w:t>
      </w:r>
    </w:p>
    <w:p>
      <w:pPr>
        <w:pStyle w:val="Heading3"/>
        <w:rPr/>
      </w:pPr>
      <w:r>
        <w:rPr>
          <w:rFonts w:eastAsia="Segoe UI" w:cs="Segoe UI"/>
          <w:b/>
          <w:color w:val="0F4761"/>
          <w:sz w:val="23"/>
        </w:rPr>
        <w:t>6.2.4  Change control</w:t>
      </w:r>
    </w:p>
    <w:p>
      <w:pPr>
        <w:pStyle w:val="Normal"/>
        <w:spacing w:lineRule="auto" w:line="276" w:before="0" w:after="120"/>
        <w:rPr/>
      </w:pPr>
      <w:r>
        <w:rPr>
          <w:rFonts w:eastAsia="Segoe UI" w:cs="Segoe UI" w:ascii="Segoe UI" w:hAnsi="Segoe UI"/>
          <w:color w:val="101820"/>
          <w:sz w:val="21"/>
        </w:rPr>
        <w:t>Any change to the scope, plan, Deliverables or Fees of an Order Form is made through the Change Request Procedure. No change binds a Party until a Change Request or an amendment is signed by both Parties.</w:t>
      </w:r>
    </w:p>
    <w:p>
      <w:pPr>
        <w:pStyle w:val="Heading2"/>
        <w:rPr/>
      </w:pPr>
      <w:bookmarkStart w:id="14" w:name="__RefHeading___Toc154454_3949650649"/>
      <w:bookmarkEnd w:id="14"/>
      <w:r>
        <w:rPr>
          <w:rFonts w:eastAsia="Segoe UI" w:cs="Segoe UI"/>
          <w:b/>
          <w:color w:val="0F4761"/>
          <w:sz w:val="26"/>
        </w:rPr>
        <w:t>6.3  Client responsibilities</w:t>
      </w:r>
    </w:p>
    <w:p>
      <w:pPr>
        <w:pStyle w:val="Normal"/>
        <w:spacing w:lineRule="auto" w:line="276" w:before="0" w:after="120"/>
        <w:rPr/>
      </w:pPr>
      <w:r>
        <w:rPr>
          <w:rFonts w:eastAsia="Segoe UI" w:cs="Segoe UI" w:ascii="Segoe UI" w:hAnsi="Segoe UI"/>
          <w:color w:val="101820"/>
          <w:sz w:val="21"/>
        </w:rPr>
        <w:t>The Client shall:</w:t>
      </w:r>
    </w:p>
    <w:p>
      <w:pPr>
        <w:pStyle w:val="Normal"/>
        <w:numPr>
          <w:ilvl w:val="0"/>
          <w:numId w:val="40"/>
        </w:numPr>
        <w:spacing w:before="0" w:after="60"/>
        <w:rPr/>
      </w:pPr>
      <w:r>
        <w:rPr>
          <w:rFonts w:eastAsia="Segoe UI" w:cs="Segoe UI" w:ascii="Segoe UI" w:hAnsi="Segoe UI"/>
          <w:color w:val="101820"/>
          <w:sz w:val="21"/>
        </w:rPr>
        <w:t>name a project manager, key users and an accounting manager with the authority and time stated in the SOW;</w:t>
      </w:r>
    </w:p>
    <w:p>
      <w:pPr>
        <w:pStyle w:val="Normal"/>
        <w:numPr>
          <w:ilvl w:val="0"/>
          <w:numId w:val="41"/>
        </w:numPr>
        <w:spacing w:before="0" w:after="60"/>
        <w:rPr/>
      </w:pPr>
      <w:r>
        <w:rPr>
          <w:rFonts w:eastAsia="Segoe UI" w:cs="Segoe UI" w:ascii="Segoe UI" w:hAnsi="Segoe UI"/>
          <w:color w:val="101820"/>
          <w:sz w:val="21"/>
        </w:rPr>
        <w:t>provide complete and accurate information, decisions and data in the formats and by the dates in the SOW;</w:t>
      </w:r>
    </w:p>
    <w:p>
      <w:pPr>
        <w:pStyle w:val="Normal"/>
        <w:numPr>
          <w:ilvl w:val="0"/>
          <w:numId w:val="42"/>
        </w:numPr>
        <w:spacing w:before="0" w:after="60"/>
        <w:rPr/>
      </w:pPr>
      <w:r>
        <w:rPr>
          <w:rFonts w:eastAsia="Segoe UI" w:cs="Segoe UI" w:ascii="Segoe UI" w:hAnsi="Segoe UI"/>
          <w:color w:val="101820"/>
          <w:sz w:val="21"/>
        </w:rPr>
        <w:t>provide access to its premises, systems, third-party providers and personnel as reasonably needed;</w:t>
      </w:r>
    </w:p>
    <w:p>
      <w:pPr>
        <w:pStyle w:val="Normal"/>
        <w:numPr>
          <w:ilvl w:val="0"/>
          <w:numId w:val="43"/>
        </w:numPr>
        <w:spacing w:before="0" w:after="60"/>
        <w:rPr/>
      </w:pPr>
      <w:r>
        <w:rPr>
          <w:rFonts w:eastAsia="Segoe UI" w:cs="Segoe UI" w:ascii="Segoe UI" w:hAnsi="Segoe UI"/>
          <w:color w:val="101820"/>
          <w:sz w:val="21"/>
        </w:rPr>
        <w:t>obtain and keep the third-party contracts it owns, such as e-mail, payment gateway and bank arrangements;</w:t>
      </w:r>
    </w:p>
    <w:p>
      <w:pPr>
        <w:pStyle w:val="Normal"/>
        <w:numPr>
          <w:ilvl w:val="0"/>
          <w:numId w:val="44"/>
        </w:numPr>
        <w:spacing w:before="0" w:after="60"/>
        <w:rPr/>
      </w:pPr>
      <w:r>
        <w:rPr>
          <w:rFonts w:eastAsia="Segoe UI" w:cs="Segoe UI" w:ascii="Segoe UI" w:hAnsi="Segoe UI"/>
          <w:color w:val="101820"/>
          <w:sz w:val="21"/>
        </w:rPr>
        <w:t>use the Platform in line with the Documentation, applicable law and the rules of the Insurance Commission, the Bureau of Internal Revenue and the National Privacy Commission;</w:t>
      </w:r>
    </w:p>
    <w:p>
      <w:pPr>
        <w:pStyle w:val="Normal"/>
        <w:numPr>
          <w:ilvl w:val="0"/>
          <w:numId w:val="45"/>
        </w:numPr>
        <w:spacing w:before="0" w:after="60"/>
        <w:rPr/>
      </w:pPr>
      <w:r>
        <w:rPr>
          <w:rFonts w:eastAsia="Segoe UI" w:cs="Segoe UI" w:ascii="Segoe UI" w:hAnsi="Segoe UI"/>
          <w:color w:val="101820"/>
          <w:sz w:val="21"/>
        </w:rPr>
        <w:t>remain responsible for its regulatory filings, registrations, tax returns, reports to the Insurance Commission, notifications to the National Privacy Commission and its business decisions, including those made with the help of the Platform;</w:t>
      </w:r>
    </w:p>
    <w:p>
      <w:pPr>
        <w:pStyle w:val="Normal"/>
        <w:numPr>
          <w:ilvl w:val="0"/>
          <w:numId w:val="46"/>
        </w:numPr>
        <w:spacing w:before="0" w:after="60"/>
        <w:rPr/>
      </w:pPr>
      <w:r>
        <w:rPr>
          <w:rFonts w:eastAsia="Segoe UI" w:cs="Segoe UI" w:ascii="Segoe UI" w:hAnsi="Segoe UI"/>
          <w:color w:val="101820"/>
          <w:sz w:val="21"/>
        </w:rPr>
        <w:t>keep its sign-in credentials confidential and manage its Users through its own joiner, mover and leaver process;</w:t>
      </w:r>
    </w:p>
    <w:p>
      <w:pPr>
        <w:pStyle w:val="Normal"/>
        <w:numPr>
          <w:ilvl w:val="0"/>
          <w:numId w:val="47"/>
        </w:numPr>
        <w:spacing w:before="0" w:after="60"/>
        <w:rPr/>
      </w:pPr>
      <w:r>
        <w:rPr>
          <w:rFonts w:eastAsia="Segoe UI" w:cs="Segoe UI" w:ascii="Segoe UI" w:hAnsi="Segoe UI"/>
          <w:color w:val="101820"/>
          <w:sz w:val="21"/>
        </w:rPr>
        <w:t>review the delivered tax codes, rates, BIR working papers and settings with its tax adviser and compliance officer before Go-Live.</w:t>
      </w:r>
    </w:p>
    <w:p>
      <w:pPr>
        <w:pStyle w:val="Normal"/>
        <w:spacing w:lineRule="auto" w:line="276" w:before="0" w:after="120"/>
        <w:rPr/>
      </w:pPr>
      <w:r>
        <w:rPr>
          <w:rFonts w:eastAsia="Segoe UI" w:cs="Segoe UI" w:ascii="Segoe UI" w:hAnsi="Segoe UI"/>
          <w:color w:val="101820"/>
          <w:sz w:val="21"/>
        </w:rPr>
        <w:t>iorta TechNXT is not liable for delay or failure caused by the Client not meeting these responsibilities. In that case the timeline moves by the time lost and iorta TechNXT may charge the extra effort at the day rates of the Order Form, after giving written notice.</w:t>
      </w:r>
      <w:r>
        <w:br w:type="page"/>
      </w:r>
    </w:p>
    <w:p>
      <w:pPr>
        <w:pStyle w:val="Heading1"/>
        <w:rPr/>
      </w:pPr>
      <w:bookmarkStart w:id="15" w:name="__RefHeading___Toc154456_3949650649"/>
      <w:bookmarkEnd w:id="15"/>
      <w:r>
        <w:rPr>
          <w:rFonts w:eastAsia="Segoe UI" w:cs="Segoe UI" w:ascii="Segoe UI" w:hAnsi="Segoe UI"/>
          <w:b/>
          <w:color w:val="0F4761"/>
          <w:sz w:val="32"/>
        </w:rPr>
        <w:t>7.  Fees and taxes</w:t>
      </w:r>
    </w:p>
    <w:p>
      <w:pPr>
        <w:pStyle w:val="Heading2"/>
        <w:rPr/>
      </w:pPr>
      <w:bookmarkStart w:id="16" w:name="__RefHeading___Toc154458_3949650649"/>
      <w:bookmarkEnd w:id="16"/>
      <w:r>
        <w:rPr>
          <w:rFonts w:eastAsia="Segoe UI" w:cs="Segoe UI"/>
          <w:b/>
          <w:color w:val="0F4761"/>
          <w:sz w:val="26"/>
        </w:rPr>
        <w:t>7.1  Fees and payment</w:t>
      </w:r>
    </w:p>
    <w:p>
      <w:pPr>
        <w:pStyle w:val="Heading3"/>
        <w:rPr/>
      </w:pPr>
      <w:r>
        <w:rPr>
          <w:rFonts w:eastAsia="Segoe UI" w:cs="Segoe UI"/>
          <w:b/>
          <w:color w:val="0F4761"/>
          <w:sz w:val="23"/>
        </w:rPr>
        <w:t>7.1.1  Fees</w:t>
      </w:r>
    </w:p>
    <w:p>
      <w:pPr>
        <w:pStyle w:val="Normal"/>
        <w:numPr>
          <w:ilvl w:val="0"/>
          <w:numId w:val="48"/>
        </w:numPr>
        <w:spacing w:before="0" w:after="60"/>
        <w:rPr/>
      </w:pPr>
      <w:r>
        <w:rPr>
          <w:rFonts w:eastAsia="Segoe UI" w:cs="Segoe UI" w:ascii="Segoe UI" w:hAnsi="Segoe UI"/>
          <w:color w:val="101820"/>
          <w:sz w:val="21"/>
        </w:rPr>
        <w:t>The Client pays the Fees in each Order Form. Fees are stated in Philippine pesos and exclude VAT.</w:t>
      </w:r>
    </w:p>
    <w:p>
      <w:pPr>
        <w:pStyle w:val="Normal"/>
        <w:numPr>
          <w:ilvl w:val="0"/>
          <w:numId w:val="49"/>
        </w:numPr>
        <w:spacing w:before="0" w:after="60"/>
        <w:rPr/>
      </w:pPr>
      <w:r>
        <w:rPr>
          <w:rFonts w:eastAsia="Segoe UI" w:cs="Segoe UI" w:ascii="Segoe UI" w:hAnsi="Segoe UI"/>
          <w:color w:val="101820"/>
          <w:sz w:val="21"/>
        </w:rPr>
        <w:t>Recurring Fees for the subscription, the AMC and the 24x7 Severity 1 support increase by 5% at each anniversary of their start date, unless the Order Form states otherwise. Hosting fees, including additional hosted environments, do not increase yearly; they change only as stated in the Pass-through and adjustments clause of the Hosting and Infrastructure Services Agreement.</w:t>
      </w:r>
    </w:p>
    <w:p>
      <w:pPr>
        <w:pStyle w:val="Normal"/>
        <w:numPr>
          <w:ilvl w:val="0"/>
          <w:numId w:val="50"/>
        </w:numPr>
        <w:spacing w:before="0" w:after="60"/>
        <w:rPr/>
      </w:pPr>
      <w:r>
        <w:rPr>
          <w:rFonts w:eastAsia="Segoe UI" w:cs="Segoe UI" w:ascii="Segoe UI" w:hAnsi="Segoe UI"/>
          <w:color w:val="101820"/>
          <w:sz w:val="21"/>
        </w:rPr>
        <w:t>Day rates for Change Requests and optional services are fixed for 12 months from the date of the Order Form and may then be reviewed once a year with 60 days' written notice.</w:t>
      </w:r>
    </w:p>
    <w:p>
      <w:pPr>
        <w:pStyle w:val="Heading3"/>
        <w:rPr/>
      </w:pPr>
      <w:r>
        <w:rPr>
          <w:rFonts w:eastAsia="Segoe UI" w:cs="Segoe UI"/>
          <w:b/>
          <w:color w:val="0F4761"/>
          <w:sz w:val="23"/>
        </w:rPr>
        <w:t>7.1.2  Invoicing and payment</w:t>
      </w:r>
    </w:p>
    <w:p>
      <w:pPr>
        <w:pStyle w:val="Normal"/>
        <w:numPr>
          <w:ilvl w:val="0"/>
          <w:numId w:val="51"/>
        </w:numPr>
        <w:spacing w:before="0" w:after="60"/>
        <w:rPr/>
      </w:pPr>
      <w:r>
        <w:rPr>
          <w:rFonts w:eastAsia="Segoe UI" w:cs="Segoe UI" w:ascii="Segoe UI" w:hAnsi="Segoe UI"/>
          <w:color w:val="101820"/>
          <w:sz w:val="21"/>
        </w:rPr>
        <w:t>iorta TechNXT invoices on the milestones and periods stated in the Order Form.</w:t>
      </w:r>
    </w:p>
    <w:p>
      <w:pPr>
        <w:pStyle w:val="Normal"/>
        <w:numPr>
          <w:ilvl w:val="0"/>
          <w:numId w:val="52"/>
        </w:numPr>
        <w:spacing w:before="0" w:after="60"/>
        <w:rPr/>
      </w:pPr>
      <w:r>
        <w:rPr>
          <w:rFonts w:eastAsia="Segoe UI" w:cs="Segoe UI" w:ascii="Segoe UI" w:hAnsi="Segoe UI"/>
          <w:color w:val="101820"/>
          <w:sz w:val="21"/>
        </w:rPr>
        <w:t>The Client pays each undisputed invoice within 30 days of the invoice date, by bank transfer to the account stated on the invoice, without set-off.</w:t>
      </w:r>
    </w:p>
    <w:p>
      <w:pPr>
        <w:pStyle w:val="Normal"/>
        <w:numPr>
          <w:ilvl w:val="0"/>
          <w:numId w:val="53"/>
        </w:numPr>
        <w:spacing w:before="0" w:after="60"/>
        <w:rPr/>
      </w:pPr>
      <w:r>
        <w:rPr>
          <w:rFonts w:eastAsia="Segoe UI" w:cs="Segoe UI" w:ascii="Segoe UI" w:hAnsi="Segoe UI"/>
          <w:color w:val="101820"/>
          <w:sz w:val="21"/>
        </w:rPr>
        <w:t>The Client notifies any dispute in writing within 15 days of the invoice date, with reasons, and pays the undisputed part on time. The Parties resolve the dispute under the Dispute resolution clause.</w:t>
      </w:r>
    </w:p>
    <w:p>
      <w:pPr>
        <w:pStyle w:val="Normal"/>
        <w:numPr>
          <w:ilvl w:val="0"/>
          <w:numId w:val="54"/>
        </w:numPr>
        <w:spacing w:before="0" w:after="60"/>
        <w:rPr/>
      </w:pPr>
      <w:r>
        <w:rPr>
          <w:rFonts w:eastAsia="Segoe UI" w:cs="Segoe UI" w:ascii="Segoe UI" w:hAnsi="Segoe UI"/>
          <w:color w:val="101820"/>
          <w:sz w:val="21"/>
        </w:rPr>
        <w:t>Late amounts bear interest at [1% a month / the legal rate of interest] from the due date until payment.</w:t>
      </w:r>
    </w:p>
    <w:p>
      <w:pPr>
        <w:pStyle w:val="Normal"/>
        <w:numPr>
          <w:ilvl w:val="0"/>
          <w:numId w:val="55"/>
        </w:numPr>
        <w:spacing w:before="0" w:after="60"/>
        <w:rPr/>
      </w:pPr>
      <w:r>
        <w:rPr>
          <w:rFonts w:eastAsia="Segoe UI" w:cs="Segoe UI" w:ascii="Segoe UI" w:hAnsi="Segoe UI"/>
          <w:color w:val="101820"/>
          <w:sz w:val="21"/>
        </w:rPr>
        <w:t>If an undisputed amount remains unpaid 60 days after the due date, iorta TechNXT may, after 10 Business Days' written notice, suspend the affected subscription, hosting or support Services until payment. Suspension does not reduce the Fees due.</w:t>
      </w:r>
    </w:p>
    <w:p>
      <w:pPr>
        <w:pStyle w:val="Normal"/>
        <w:numPr>
          <w:ilvl w:val="0"/>
          <w:numId w:val="56"/>
        </w:numPr>
        <w:spacing w:before="0" w:after="60"/>
        <w:rPr/>
      </w:pPr>
      <w:r>
        <w:rPr>
          <w:rFonts w:eastAsia="Segoe UI" w:cs="Segoe UI" w:ascii="Segoe UI" w:hAnsi="Segoe UI"/>
          <w:color w:val="101820"/>
          <w:sz w:val="21"/>
        </w:rPr>
        <w:t>Bank charges of the Client's bank are for the Client's account.</w:t>
      </w:r>
    </w:p>
    <w:p>
      <w:pPr>
        <w:pStyle w:val="Heading2"/>
        <w:rPr/>
      </w:pPr>
      <w:bookmarkStart w:id="17" w:name="__RefHeading___Toc154460_3949650649"/>
      <w:bookmarkEnd w:id="17"/>
      <w:r>
        <w:rPr>
          <w:rFonts w:eastAsia="Segoe UI" w:cs="Segoe UI"/>
          <w:b/>
          <w:color w:val="0F4761"/>
          <w:sz w:val="26"/>
        </w:rPr>
        <w:t>7.2  Taxes</w:t>
      </w:r>
    </w:p>
    <w:p>
      <w:pPr>
        <w:pStyle w:val="Heading3"/>
        <w:rPr/>
      </w:pPr>
      <w:r>
        <w:rPr>
          <w:rFonts w:eastAsia="Segoe UI" w:cs="Segoe UI"/>
          <w:b/>
          <w:color w:val="0F4761"/>
          <w:sz w:val="23"/>
        </w:rPr>
        <w:t>7.2.1  VAT</w:t>
      </w:r>
    </w:p>
    <w:p>
      <w:pPr>
        <w:pStyle w:val="Normal"/>
        <w:spacing w:lineRule="auto" w:line="276" w:before="0" w:after="120"/>
        <w:rPr/>
      </w:pPr>
      <w:r>
        <w:rPr>
          <w:rFonts w:eastAsia="Segoe UI" w:cs="Segoe UI" w:ascii="Segoe UI" w:hAnsi="Segoe UI"/>
          <w:color w:val="101820"/>
          <w:sz w:val="21"/>
        </w:rPr>
        <w:t>All Fees exclude value-added tax. iorta TechNXT adds VAT at the rate in force (currently 12%) to each invoice and issues a VAT invoice in the form required by the National Internal Revenue Code as amended, including by RA 11976 (Ease of Paying Taxes Act).</w:t>
      </w:r>
    </w:p>
    <w:p>
      <w:pPr>
        <w:pStyle w:val="Heading3"/>
        <w:rPr/>
      </w:pPr>
      <w:r>
        <w:rPr>
          <w:rFonts w:eastAsia="Segoe UI" w:cs="Segoe UI"/>
          <w:b/>
          <w:color w:val="0F4761"/>
          <w:sz w:val="23"/>
        </w:rPr>
        <w:t>7.2.2  Withholding taxes</w:t>
      </w:r>
    </w:p>
    <w:p>
      <w:pPr>
        <w:pStyle w:val="Normal"/>
        <w:numPr>
          <w:ilvl w:val="0"/>
          <w:numId w:val="57"/>
        </w:numPr>
        <w:spacing w:before="0" w:after="60"/>
        <w:rPr/>
      </w:pPr>
      <w:r>
        <w:rPr>
          <w:rFonts w:eastAsia="Segoe UI" w:cs="Segoe UI" w:ascii="Segoe UI" w:hAnsi="Segoe UI"/>
          <w:color w:val="101820"/>
          <w:sz w:val="21"/>
        </w:rPr>
        <w:t>Where the Client is required by law to withhold creditable withholding tax on a payment to iorta TechNXT, the Client withholds it at the rate that applies to the payment and to iorta TechNXT's status, remits it to the Bureau of Internal Revenue on time, and gives iorta TechNXT a BIR Form 2307 (Certificate of Creditable Tax Withheld at Source) for each quarter within the period required by the regulations, and in any case within 20 days after the end of the quarter.</w:t>
      </w:r>
    </w:p>
    <w:p>
      <w:pPr>
        <w:pStyle w:val="Normal"/>
        <w:numPr>
          <w:ilvl w:val="0"/>
          <w:numId w:val="58"/>
        </w:numPr>
        <w:spacing w:before="0" w:after="60"/>
        <w:rPr/>
      </w:pPr>
      <w:r>
        <w:rPr>
          <w:rFonts w:eastAsia="Segoe UI" w:cs="Segoe UI" w:ascii="Segoe UI" w:hAnsi="Segoe UI"/>
          <w:color w:val="101820"/>
          <w:sz w:val="21"/>
        </w:rPr>
        <w:t>Withholding does not reduce the invoice price. If the Client does not deliver a BIR Form 2307 for an amount withheld, the Client pays that amount to iorta TechNXT on demand.</w:t>
      </w:r>
    </w:p>
    <w:p>
      <w:pPr>
        <w:pStyle w:val="Normal"/>
        <w:numPr>
          <w:ilvl w:val="0"/>
          <w:numId w:val="59"/>
        </w:numPr>
        <w:spacing w:before="0" w:after="60"/>
        <w:rPr/>
      </w:pPr>
      <w:r>
        <w:rPr>
          <w:rFonts w:eastAsia="Segoe UI" w:cs="Segoe UI" w:ascii="Segoe UI" w:hAnsi="Segoe UI"/>
          <w:color w:val="101820"/>
          <w:sz w:val="21"/>
        </w:rPr>
        <w:t>The tax treatment of the perpetual licence fee (as a sale of software or as a royalty) is confirmed by both Parties' tax advisers before the Order Form is signed, and stated in the Order Form.</w:t>
      </w:r>
    </w:p>
    <w:p>
      <w:pPr>
        <w:pStyle w:val="Heading3"/>
        <w:rPr/>
      </w:pPr>
      <w:r>
        <w:rPr>
          <w:rFonts w:eastAsia="Segoe UI" w:cs="Segoe UI"/>
          <w:b/>
          <w:color w:val="0F4761"/>
          <w:sz w:val="23"/>
        </w:rPr>
        <w:t>7.2.3  Other taxes</w:t>
      </w:r>
    </w:p>
    <w:p>
      <w:pPr>
        <w:pStyle w:val="Normal"/>
        <w:spacing w:lineRule="auto" w:line="276" w:before="0" w:after="120"/>
        <w:rPr/>
      </w:pPr>
      <w:r>
        <w:rPr>
          <w:rFonts w:eastAsia="Segoe UI" w:cs="Segoe UI" w:ascii="Segoe UI" w:hAnsi="Segoe UI"/>
          <w:color w:val="101820"/>
          <w:sz w:val="21"/>
        </w:rPr>
        <w:t>Each Party bears its own income tax. Documentary stamp tax on this Agreement, if any, is for the account of [the Client / both Parties in equal shares]. Taxes that a new law imposes on the Services after the Effective Date are added to the Fees.</w:t>
      </w:r>
      <w:r>
        <w:br w:type="page"/>
      </w:r>
    </w:p>
    <w:p>
      <w:pPr>
        <w:pStyle w:val="Heading1"/>
        <w:rPr/>
      </w:pPr>
      <w:bookmarkStart w:id="18" w:name="__RefHeading___Toc154462_3949650649"/>
      <w:bookmarkEnd w:id="18"/>
      <w:r>
        <w:rPr>
          <w:rFonts w:eastAsia="Segoe UI" w:cs="Segoe UI" w:ascii="Segoe UI" w:hAnsi="Segoe UI"/>
          <w:b/>
          <w:color w:val="0F4761"/>
          <w:sz w:val="32"/>
        </w:rPr>
        <w:t>8.  Term and termination</w:t>
      </w:r>
    </w:p>
    <w:p>
      <w:pPr>
        <w:pStyle w:val="Heading2"/>
        <w:rPr/>
      </w:pPr>
      <w:bookmarkStart w:id="19" w:name="__RefHeading___Toc154464_3949650649"/>
      <w:bookmarkEnd w:id="19"/>
      <w:r>
        <w:rPr>
          <w:rFonts w:eastAsia="Segoe UI" w:cs="Segoe UI"/>
          <w:b/>
          <w:color w:val="0F4761"/>
          <w:sz w:val="26"/>
        </w:rPr>
        <w:t>8.1  Term</w:t>
      </w:r>
    </w:p>
    <w:p>
      <w:pPr>
        <w:pStyle w:val="Normal"/>
        <w:spacing w:lineRule="auto" w:line="276" w:before="0" w:after="120"/>
        <w:rPr/>
      </w:pPr>
      <w:r>
        <w:rPr>
          <w:rFonts w:eastAsia="Segoe UI" w:cs="Segoe UI" w:ascii="Segoe UI" w:hAnsi="Segoe UI"/>
          <w:color w:val="101820"/>
          <w:sz w:val="21"/>
        </w:rPr>
        <w:t>This Agreement starts on the Effective Date and continues until terminated under this clause. Each Order Form has the term stated in it. Termination of this Agreement does not end an Order Form then in force, which continues to be governed by this Agreement until it ends.</w:t>
      </w:r>
    </w:p>
    <w:p>
      <w:pPr>
        <w:pStyle w:val="Heading2"/>
        <w:rPr/>
      </w:pPr>
      <w:bookmarkStart w:id="20" w:name="__RefHeading___Toc154466_3949650649"/>
      <w:bookmarkEnd w:id="20"/>
      <w:r>
        <w:rPr>
          <w:rFonts w:eastAsia="Segoe UI" w:cs="Segoe UI"/>
          <w:b/>
          <w:color w:val="0F4761"/>
          <w:sz w:val="26"/>
        </w:rPr>
        <w:t>8.2  Termination for cause</w:t>
      </w:r>
    </w:p>
    <w:p>
      <w:pPr>
        <w:pStyle w:val="Normal"/>
        <w:spacing w:lineRule="auto" w:line="276" w:before="0" w:after="120"/>
        <w:rPr/>
      </w:pPr>
      <w:r>
        <w:rPr>
          <w:rFonts w:eastAsia="Segoe UI" w:cs="Segoe UI" w:ascii="Segoe UI" w:hAnsi="Segoe UI"/>
          <w:color w:val="101820"/>
          <w:sz w:val="21"/>
        </w:rPr>
        <w:t>A Party may terminate this Agreement or an affected Order Form by written notice if the other Party:</w:t>
      </w:r>
    </w:p>
    <w:p>
      <w:pPr>
        <w:pStyle w:val="Normal"/>
        <w:numPr>
          <w:ilvl w:val="0"/>
          <w:numId w:val="60"/>
        </w:numPr>
        <w:spacing w:before="0" w:after="60"/>
        <w:rPr/>
      </w:pPr>
      <w:r>
        <w:rPr>
          <w:rFonts w:eastAsia="Segoe UI" w:cs="Segoe UI" w:ascii="Segoe UI" w:hAnsi="Segoe UI"/>
          <w:color w:val="101820"/>
          <w:sz w:val="21"/>
        </w:rPr>
        <w:t>commits a material breach and does not cure it within 30 days of a written notice describing the breach (10 Business Days for non-payment);</w:t>
      </w:r>
    </w:p>
    <w:p>
      <w:pPr>
        <w:pStyle w:val="Normal"/>
        <w:numPr>
          <w:ilvl w:val="0"/>
          <w:numId w:val="61"/>
        </w:numPr>
        <w:spacing w:before="0" w:after="60"/>
        <w:rPr/>
      </w:pPr>
      <w:r>
        <w:rPr>
          <w:rFonts w:eastAsia="Segoe UI" w:cs="Segoe UI" w:ascii="Segoe UI" w:hAnsi="Segoe UI"/>
          <w:color w:val="101820"/>
          <w:sz w:val="21"/>
        </w:rPr>
        <w:t>becomes insolvent, makes an assignment for the benefit of creditors, has a receiver or rehabilitation receiver appointed, or is the subject of insolvency, rehabilitation or liquidation proceedings under RA 10142 (Financial Rehabilitation and Insolvency Act) that are not dismissed within 60 days; or</w:t>
      </w:r>
    </w:p>
    <w:p>
      <w:pPr>
        <w:pStyle w:val="Normal"/>
        <w:numPr>
          <w:ilvl w:val="0"/>
          <w:numId w:val="62"/>
        </w:numPr>
        <w:spacing w:before="0" w:after="60"/>
        <w:rPr/>
      </w:pPr>
      <w:r>
        <w:rPr>
          <w:rFonts w:eastAsia="Segoe UI" w:cs="Segoe UI" w:ascii="Segoe UI" w:hAnsi="Segoe UI"/>
          <w:color w:val="101820"/>
          <w:sz w:val="21"/>
        </w:rPr>
        <w:t>has its licence or registration needed to perform this Agreement revoked, in the case of the Client its certificate of authority as an insurance broker.</w:t>
      </w:r>
    </w:p>
    <w:p>
      <w:pPr>
        <w:pStyle w:val="Heading2"/>
        <w:rPr/>
      </w:pPr>
      <w:bookmarkStart w:id="21" w:name="__RefHeading___Toc154468_3949650649"/>
      <w:bookmarkEnd w:id="21"/>
      <w:r>
        <w:rPr>
          <w:rFonts w:eastAsia="Segoe UI" w:cs="Segoe UI"/>
          <w:b/>
          <w:color w:val="0F4761"/>
          <w:sz w:val="26"/>
        </w:rPr>
        <w:t>8.3  Termination for convenience</w:t>
      </w:r>
    </w:p>
    <w:p>
      <w:pPr>
        <w:pStyle w:val="Normal"/>
        <w:spacing w:lineRule="auto" w:line="276" w:before="0" w:after="120"/>
        <w:rPr/>
      </w:pPr>
      <w:r>
        <w:rPr>
          <w:rFonts w:eastAsia="Segoe UI" w:cs="Segoe UI" w:ascii="Segoe UI" w:hAnsi="Segoe UI"/>
          <w:color w:val="101820"/>
          <w:sz w:val="21"/>
        </w:rPr>
        <w:t>[Option A: Neither Party may terminate an Order Form for convenience during its committed term.] [Option B: The Client may terminate an Order Form for convenience on 90 days' written notice, paying the Fees for Services performed up to termination, non-cancellable third-party costs and an early termination fee equal to [all / 50% of] the recurring Fees for the remainder of the committed term.]</w:t>
      </w:r>
    </w:p>
    <w:p>
      <w:pPr>
        <w:pStyle w:val="Heading2"/>
        <w:rPr/>
      </w:pPr>
      <w:bookmarkStart w:id="22" w:name="__RefHeading___Toc154470_3949650649"/>
      <w:bookmarkEnd w:id="22"/>
      <w:r>
        <w:rPr>
          <w:rFonts w:eastAsia="Segoe UI" w:cs="Segoe UI"/>
          <w:b/>
          <w:color w:val="0F4761"/>
          <w:sz w:val="26"/>
        </w:rPr>
        <w:t>8.4  Effect of termination</w:t>
      </w:r>
    </w:p>
    <w:p>
      <w:pPr>
        <w:pStyle w:val="Normal"/>
        <w:numPr>
          <w:ilvl w:val="0"/>
          <w:numId w:val="63"/>
        </w:numPr>
        <w:spacing w:before="0" w:after="60"/>
        <w:rPr/>
      </w:pPr>
      <w:r>
        <w:rPr>
          <w:rFonts w:eastAsia="Segoe UI" w:cs="Segoe UI" w:ascii="Segoe UI" w:hAnsi="Segoe UI"/>
          <w:color w:val="101820"/>
          <w:sz w:val="21"/>
        </w:rPr>
        <w:t>The Client pays all Fees due up to the date of termination. Fees paid in advance for a period after termination for iorta TechNXT's uncured breach are refunded pro rata.</w:t>
      </w:r>
    </w:p>
    <w:p>
      <w:pPr>
        <w:pStyle w:val="Normal"/>
        <w:numPr>
          <w:ilvl w:val="0"/>
          <w:numId w:val="64"/>
        </w:numPr>
        <w:spacing w:before="0" w:after="60"/>
        <w:rPr/>
      </w:pPr>
      <w:r>
        <w:rPr>
          <w:rFonts w:eastAsia="Segoe UI" w:cs="Segoe UI" w:ascii="Segoe UI" w:hAnsi="Segoe UI"/>
          <w:color w:val="101820"/>
          <w:sz w:val="21"/>
        </w:rPr>
        <w:t>Each Party returns or destroys the other's Confidential Information, except copies that law or a retention policy requires it to keep.</w:t>
      </w:r>
    </w:p>
    <w:p>
      <w:pPr>
        <w:pStyle w:val="Normal"/>
        <w:numPr>
          <w:ilvl w:val="0"/>
          <w:numId w:val="65"/>
        </w:numPr>
        <w:spacing w:before="0" w:after="60"/>
        <w:rPr/>
      </w:pPr>
      <w:r>
        <w:rPr>
          <w:rFonts w:eastAsia="Segoe UI" w:cs="Segoe UI" w:ascii="Segoe UI" w:hAnsi="Segoe UI"/>
          <w:color w:val="101820"/>
          <w:sz w:val="21"/>
        </w:rPr>
        <w:t>Client Data is returned and deleted as stated in the Data Processing Agreement, the subscription or hosting schedule and the Exit and Transition Plan. iorta TechNXT provides an export of the Client Data in a standard format (CSV, XLSX or a PostgreSQL dump) within 30 days of the Client's request made within 60 days of termination.</w:t>
      </w:r>
    </w:p>
    <w:p>
      <w:pPr>
        <w:pStyle w:val="Normal"/>
        <w:numPr>
          <w:ilvl w:val="0"/>
          <w:numId w:val="66"/>
        </w:numPr>
        <w:spacing w:before="0" w:after="60"/>
        <w:rPr/>
      </w:pPr>
      <w:r>
        <w:rPr>
          <w:rFonts w:eastAsia="Segoe UI" w:cs="Segoe UI" w:ascii="Segoe UI" w:hAnsi="Segoe UI"/>
          <w:color w:val="101820"/>
          <w:sz w:val="21"/>
        </w:rPr>
        <w:t>Transition assistance requested by the Client is provided under the Exit and Transition Plan, at the day rates of the Order Form beyond any assistance that the Plan includes.</w:t>
      </w:r>
    </w:p>
    <w:p>
      <w:pPr>
        <w:pStyle w:val="Normal"/>
        <w:numPr>
          <w:ilvl w:val="0"/>
          <w:numId w:val="67"/>
        </w:numPr>
        <w:spacing w:before="0" w:after="60"/>
        <w:rPr/>
      </w:pPr>
      <w:r>
        <w:rPr>
          <w:rFonts w:eastAsia="Segoe UI" w:cs="Segoe UI" w:ascii="Segoe UI" w:hAnsi="Segoe UI"/>
          <w:color w:val="101820"/>
          <w:sz w:val="21"/>
        </w:rPr>
        <w:t>The clauses on Fees and payment, Taxes, Intellectual property, Confidentiality, Data protection, Limitation of liability, Indemnities, Non-solicitation, Dispute resolution, Governing law and every clause that by its nature should survive, survive termination.</w:t>
      </w:r>
      <w:r>
        <w:br w:type="page"/>
      </w:r>
    </w:p>
    <w:p>
      <w:pPr>
        <w:pStyle w:val="Heading1"/>
        <w:rPr/>
      </w:pPr>
      <w:bookmarkStart w:id="23" w:name="__RefHeading___Toc154472_3949650649"/>
      <w:bookmarkEnd w:id="23"/>
      <w:r>
        <w:rPr>
          <w:rFonts w:eastAsia="Segoe UI" w:cs="Segoe UI" w:ascii="Segoe UI" w:hAnsi="Segoe UI"/>
          <w:b/>
          <w:color w:val="0F4761"/>
          <w:sz w:val="32"/>
        </w:rPr>
        <w:t>9.  Rights in the platform and in data</w:t>
      </w:r>
    </w:p>
    <w:p>
      <w:pPr>
        <w:pStyle w:val="Heading2"/>
        <w:rPr/>
      </w:pPr>
      <w:bookmarkStart w:id="24" w:name="__RefHeading___Toc154474_3949650649"/>
      <w:bookmarkEnd w:id="24"/>
      <w:r>
        <w:rPr>
          <w:rFonts w:eastAsia="Segoe UI" w:cs="Segoe UI"/>
          <w:b/>
          <w:color w:val="0F4761"/>
          <w:sz w:val="26"/>
        </w:rPr>
        <w:t>9.1  Intellectual property</w:t>
      </w:r>
    </w:p>
    <w:p>
      <w:pPr>
        <w:pStyle w:val="Heading3"/>
        <w:rPr/>
      </w:pPr>
      <w:r>
        <w:rPr>
          <w:rFonts w:eastAsia="Segoe UI" w:cs="Segoe UI"/>
          <w:b/>
          <w:color w:val="0F4761"/>
          <w:sz w:val="23"/>
        </w:rPr>
        <w:t>9.1.1  Platform</w:t>
      </w:r>
    </w:p>
    <w:p>
      <w:pPr>
        <w:pStyle w:val="Normal"/>
        <w:numPr>
          <w:ilvl w:val="0"/>
          <w:numId w:val="68"/>
        </w:numPr>
        <w:spacing w:before="0" w:after="60"/>
        <w:rPr/>
      </w:pPr>
      <w:r>
        <w:rPr>
          <w:rFonts w:eastAsia="Segoe UI" w:cs="Segoe UI" w:ascii="Segoe UI" w:hAnsi="Segoe UI"/>
          <w:color w:val="101820"/>
          <w:sz w:val="21"/>
        </w:rPr>
        <w:t>iorta TechNXT and its licensors own all Intellectual Property Rights in the Platform, the Documentation, the upload templates, configurations that are generic to the Platform, tools, methods and know-how, and all improvements, modifications and derivative works of them, whoever makes them, including those made under a Change Request.</w:t>
      </w:r>
    </w:p>
    <w:p>
      <w:pPr>
        <w:pStyle w:val="Normal"/>
        <w:numPr>
          <w:ilvl w:val="0"/>
          <w:numId w:val="69"/>
        </w:numPr>
        <w:spacing w:before="0" w:after="60"/>
        <w:rPr/>
      </w:pPr>
      <w:r>
        <w:rPr>
          <w:rFonts w:eastAsia="Segoe UI" w:cs="Segoe UI" w:ascii="Segoe UI" w:hAnsi="Segoe UI"/>
          <w:color w:val="101820"/>
          <w:sz w:val="21"/>
        </w:rPr>
        <w:t>Nothing in this Agreement transfers any of those rights to the Client. The Client receives only the licence or right of use stated in the applicable schedule.</w:t>
      </w:r>
    </w:p>
    <w:p>
      <w:pPr>
        <w:pStyle w:val="Normal"/>
        <w:numPr>
          <w:ilvl w:val="0"/>
          <w:numId w:val="70"/>
        </w:numPr>
        <w:spacing w:before="0" w:after="60"/>
        <w:rPr/>
      </w:pPr>
      <w:r>
        <w:rPr>
          <w:rFonts w:eastAsia="Segoe UI" w:cs="Segoe UI" w:ascii="Segoe UI" w:hAnsi="Segoe UI"/>
          <w:color w:val="101820"/>
          <w:sz w:val="21"/>
        </w:rPr>
        <w:t>The Client shall not remove proprietary notices, reverse engineer, decompile or disassemble the Platform, except to the extent that RA 8293 (Intellectual Property Code) allows it despite this restriction.</w:t>
      </w:r>
    </w:p>
    <w:p>
      <w:pPr>
        <w:pStyle w:val="Heading3"/>
        <w:rPr/>
      </w:pPr>
      <w:r>
        <w:rPr>
          <w:rFonts w:eastAsia="Segoe UI" w:cs="Segoe UI"/>
          <w:b/>
          <w:color w:val="0F4761"/>
          <w:sz w:val="23"/>
        </w:rPr>
        <w:t>9.1.2  Client Data</w:t>
      </w:r>
    </w:p>
    <w:p>
      <w:pPr>
        <w:pStyle w:val="Normal"/>
        <w:numPr>
          <w:ilvl w:val="0"/>
          <w:numId w:val="71"/>
        </w:numPr>
        <w:spacing w:before="0" w:after="60"/>
        <w:rPr/>
      </w:pPr>
      <w:r>
        <w:rPr>
          <w:rFonts w:eastAsia="Segoe UI" w:cs="Segoe UI" w:ascii="Segoe UI" w:hAnsi="Segoe UI"/>
          <w:color w:val="101820"/>
          <w:sz w:val="21"/>
        </w:rPr>
        <w:t>The Client owns all Client Data. iorta TechNXT acquires no right in Client Data except the right to process it to perform the Services, under the Data Processing Agreement.</w:t>
      </w:r>
    </w:p>
    <w:p>
      <w:pPr>
        <w:pStyle w:val="Normal"/>
        <w:numPr>
          <w:ilvl w:val="0"/>
          <w:numId w:val="72"/>
        </w:numPr>
        <w:spacing w:before="0" w:after="60"/>
        <w:rPr/>
      </w:pPr>
      <w:r>
        <w:rPr>
          <w:rFonts w:eastAsia="Segoe UI" w:cs="Segoe UI" w:ascii="Segoe UI" w:hAnsi="Segoe UI"/>
          <w:color w:val="101820"/>
          <w:sz w:val="21"/>
        </w:rPr>
        <w:t>The Client's own trademarks, letterheads, policy wordings, forms and content remain the property of the Client. The Client grants iorta TechNXT a licence to use them only to perform the Services.</w:t>
      </w:r>
    </w:p>
    <w:p>
      <w:pPr>
        <w:pStyle w:val="Heading3"/>
        <w:rPr/>
      </w:pPr>
      <w:r>
        <w:rPr>
          <w:rFonts w:eastAsia="Segoe UI" w:cs="Segoe UI"/>
          <w:b/>
          <w:color w:val="0F4761"/>
          <w:sz w:val="23"/>
        </w:rPr>
        <w:t>9.1.3  Feedback and statistics</w:t>
      </w:r>
    </w:p>
    <w:p>
      <w:pPr>
        <w:pStyle w:val="Normal"/>
        <w:spacing w:lineRule="auto" w:line="276" w:before="0" w:after="120"/>
        <w:rPr/>
      </w:pPr>
      <w:r>
        <w:rPr>
          <w:rFonts w:eastAsia="Segoe UI" w:cs="Segoe UI" w:ascii="Segoe UI" w:hAnsi="Segoe UI"/>
          <w:color w:val="101820"/>
          <w:sz w:val="21"/>
        </w:rPr>
        <w:t>iorta TechNXT may use suggestions from the Client to improve the Platform without obligation. iorta TechNXT may use technical and usage statistics that do not identify the Client, its clients or any individual, to operate and improve the Platform.</w:t>
      </w:r>
    </w:p>
    <w:p>
      <w:pPr>
        <w:pStyle w:val="Heading2"/>
        <w:rPr/>
      </w:pPr>
      <w:bookmarkStart w:id="25" w:name="__RefHeading___Toc154476_3949650649"/>
      <w:bookmarkEnd w:id="25"/>
      <w:r>
        <w:rPr>
          <w:rFonts w:eastAsia="Segoe UI" w:cs="Segoe UI"/>
          <w:b/>
          <w:color w:val="0F4761"/>
          <w:sz w:val="26"/>
        </w:rPr>
        <w:t>9.2  Licence grant</w:t>
      </w:r>
    </w:p>
    <w:p>
      <w:pPr>
        <w:pStyle w:val="Normal"/>
        <w:spacing w:lineRule="auto" w:line="276" w:before="0" w:after="120"/>
        <w:rPr/>
      </w:pPr>
      <w:r>
        <w:rPr>
          <w:rFonts w:eastAsia="Segoe UI" w:cs="Segoe UI" w:ascii="Segoe UI" w:hAnsi="Segoe UI"/>
          <w:color w:val="101820"/>
          <w:sz w:val="21"/>
        </w:rPr>
        <w:t>The right of the Client to use the Platform is granted in, and limited by, the Perpetual Software Licence Agreement or the Software Subscription Agreement named in the Order Form, for the number of Users, environments and term stated there. Use beyond that scope requires an additional Order Form.</w:t>
      </w:r>
    </w:p>
    <w:p>
      <w:pPr>
        <w:pStyle w:val="Heading2"/>
        <w:rPr/>
      </w:pPr>
      <w:bookmarkStart w:id="26" w:name="__RefHeading___Toc154478_3949650649"/>
      <w:bookmarkEnd w:id="26"/>
      <w:r>
        <w:rPr>
          <w:rFonts w:eastAsia="Segoe UI" w:cs="Segoe UI"/>
          <w:b/>
          <w:color w:val="0F4761"/>
          <w:sz w:val="26"/>
        </w:rPr>
        <w:t>9.3  Confidentiality</w:t>
      </w:r>
    </w:p>
    <w:p>
      <w:pPr>
        <w:pStyle w:val="Heading3"/>
        <w:rPr/>
      </w:pPr>
      <w:r>
        <w:rPr>
          <w:rFonts w:eastAsia="Segoe UI" w:cs="Segoe UI"/>
          <w:b/>
          <w:color w:val="0F4761"/>
          <w:sz w:val="23"/>
        </w:rPr>
        <w:t>9.3.1  Confidential Information</w:t>
      </w:r>
    </w:p>
    <w:p>
      <w:pPr>
        <w:pStyle w:val="Normal"/>
        <w:spacing w:lineRule="auto" w:line="276" w:before="0" w:after="120"/>
        <w:rPr/>
      </w:pPr>
      <w:r>
        <w:rPr>
          <w:rFonts w:eastAsia="Segoe UI" w:cs="Segoe UI" w:ascii="Segoe UI" w:hAnsi="Segoe UI"/>
          <w:color w:val="101820"/>
          <w:sz w:val="21"/>
        </w:rPr>
        <w:t>Confidential Information means all information disclosed by a Party (the discloser) to the other (the recipient), in any form, that is marked as confidential or would be understood to be confidential, including the Platform, its source code, prices and discounts, business plans, Client Data, the clients and insurers of the Client, and the terms of this Agreement.</w:t>
      </w:r>
    </w:p>
    <w:p>
      <w:pPr>
        <w:pStyle w:val="Heading3"/>
        <w:rPr/>
      </w:pPr>
      <w:r>
        <w:rPr>
          <w:rFonts w:eastAsia="Segoe UI" w:cs="Segoe UI"/>
          <w:b/>
          <w:color w:val="0F4761"/>
          <w:sz w:val="23"/>
        </w:rPr>
        <w:t>9.3.2  Obligations</w:t>
      </w:r>
    </w:p>
    <w:p>
      <w:pPr>
        <w:pStyle w:val="Normal"/>
        <w:spacing w:lineRule="auto" w:line="276" w:before="0" w:after="120"/>
        <w:rPr/>
      </w:pPr>
      <w:r>
        <w:rPr>
          <w:rFonts w:eastAsia="Segoe UI" w:cs="Segoe UI" w:ascii="Segoe UI" w:hAnsi="Segoe UI"/>
          <w:color w:val="101820"/>
          <w:sz w:val="21"/>
        </w:rPr>
        <w:t>The recipient shall:</w:t>
      </w:r>
    </w:p>
    <w:p>
      <w:pPr>
        <w:pStyle w:val="Normal"/>
        <w:numPr>
          <w:ilvl w:val="0"/>
          <w:numId w:val="73"/>
        </w:numPr>
        <w:spacing w:before="0" w:after="60"/>
        <w:rPr/>
      </w:pPr>
      <w:r>
        <w:rPr>
          <w:rFonts w:eastAsia="Segoe UI" w:cs="Segoe UI" w:ascii="Segoe UI" w:hAnsi="Segoe UI"/>
          <w:color w:val="101820"/>
          <w:sz w:val="21"/>
        </w:rPr>
        <w:t>use the Confidential Information only to perform or receive the Services;</w:t>
      </w:r>
    </w:p>
    <w:p>
      <w:pPr>
        <w:pStyle w:val="Normal"/>
        <w:numPr>
          <w:ilvl w:val="0"/>
          <w:numId w:val="74"/>
        </w:numPr>
        <w:spacing w:before="0" w:after="60"/>
        <w:rPr/>
      </w:pPr>
      <w:r>
        <w:rPr>
          <w:rFonts w:eastAsia="Segoe UI" w:cs="Segoe UI" w:ascii="Segoe UI" w:hAnsi="Segoe UI"/>
          <w:color w:val="101820"/>
          <w:sz w:val="21"/>
        </w:rPr>
        <w:t>disclose it only to its directors, officers, employees, Affiliates, professional advisers and subcontractors who need to know it and who are bound by confidentiality duties no less protective than this clause;</w:t>
      </w:r>
    </w:p>
    <w:p>
      <w:pPr>
        <w:pStyle w:val="Normal"/>
        <w:numPr>
          <w:ilvl w:val="0"/>
          <w:numId w:val="75"/>
        </w:numPr>
        <w:spacing w:before="0" w:after="60"/>
        <w:rPr/>
      </w:pPr>
      <w:r>
        <w:rPr>
          <w:rFonts w:eastAsia="Segoe UI" w:cs="Segoe UI" w:ascii="Segoe UI" w:hAnsi="Segoe UI"/>
          <w:color w:val="101820"/>
          <w:sz w:val="21"/>
        </w:rPr>
        <w:t>protect it with at least the care it uses for its own confidential information, and no less than reasonable care.</w:t>
      </w:r>
    </w:p>
    <w:p>
      <w:pPr>
        <w:pStyle w:val="Heading3"/>
        <w:rPr/>
      </w:pPr>
      <w:r>
        <w:rPr>
          <w:rFonts w:eastAsia="Segoe UI" w:cs="Segoe UI"/>
          <w:b/>
          <w:color w:val="0F4761"/>
          <w:sz w:val="23"/>
        </w:rPr>
        <w:t>9.3.3  Exceptions</w:t>
      </w:r>
    </w:p>
    <w:p>
      <w:pPr>
        <w:pStyle w:val="Normal"/>
        <w:spacing w:lineRule="auto" w:line="276" w:before="0" w:after="120"/>
        <w:rPr/>
      </w:pPr>
      <w:r>
        <w:rPr>
          <w:rFonts w:eastAsia="Segoe UI" w:cs="Segoe UI" w:ascii="Segoe UI" w:hAnsi="Segoe UI"/>
          <w:color w:val="101820"/>
          <w:sz w:val="21"/>
        </w:rPr>
        <w:t>The obligations do not apply to information that: (a) is or becomes public without breach of this Agreement; (b) was lawfully known to the recipient before disclosure; (c) is received from a third party without a duty of confidence; or (d) is independently developed without use of the Confidential Information. A recipient may disclose Confidential Information when required by law, a court, the Insurance Commission, the Bureau of Internal Revenue, the National Privacy Commission or another regulator, after giving the discloser prompt notice where lawful, and only to the extent required.</w:t>
      </w:r>
    </w:p>
    <w:p>
      <w:pPr>
        <w:pStyle w:val="Heading3"/>
        <w:rPr/>
      </w:pPr>
      <w:r>
        <w:rPr>
          <w:rFonts w:eastAsia="Segoe UI" w:cs="Segoe UI"/>
          <w:b/>
          <w:color w:val="0F4761"/>
          <w:sz w:val="23"/>
        </w:rPr>
        <w:t>9.3.4  Duration</w:t>
      </w:r>
    </w:p>
    <w:p>
      <w:pPr>
        <w:pStyle w:val="Normal"/>
        <w:spacing w:lineRule="auto" w:line="276" w:before="0" w:after="120"/>
        <w:rPr/>
      </w:pPr>
      <w:r>
        <w:rPr>
          <w:rFonts w:eastAsia="Segoe UI" w:cs="Segoe UI" w:ascii="Segoe UI" w:hAnsi="Segoe UI"/>
          <w:color w:val="101820"/>
          <w:sz w:val="21"/>
        </w:rPr>
        <w:t>These obligations last during this Agreement and for 5 years after its termination, and for trade secrets and source code for as long as they remain trade secrets. Personal Data remains protected as stated in the Data Processing Agreement without time limit.</w:t>
      </w:r>
    </w:p>
    <w:p>
      <w:pPr>
        <w:pStyle w:val="Heading2"/>
        <w:rPr/>
      </w:pPr>
      <w:bookmarkStart w:id="27" w:name="__RefHeading___Toc154480_3949650649"/>
      <w:bookmarkEnd w:id="27"/>
      <w:r>
        <w:rPr>
          <w:rFonts w:eastAsia="Segoe UI" w:cs="Segoe UI"/>
          <w:b/>
          <w:color w:val="0F4761"/>
          <w:sz w:val="26"/>
        </w:rPr>
        <w:t>9.4  Data protection</w:t>
      </w:r>
    </w:p>
    <w:p>
      <w:pPr>
        <w:pStyle w:val="Normal"/>
        <w:numPr>
          <w:ilvl w:val="0"/>
          <w:numId w:val="76"/>
        </w:numPr>
        <w:spacing w:before="0" w:after="60"/>
        <w:rPr/>
      </w:pPr>
      <w:r>
        <w:rPr>
          <w:rFonts w:eastAsia="Segoe UI" w:cs="Segoe UI" w:ascii="Segoe UI" w:hAnsi="Segoe UI"/>
          <w:color w:val="101820"/>
          <w:sz w:val="21"/>
        </w:rPr>
        <w:t>Each Party complies with the Data Privacy Act of 2012 (RA 10173), its Implementing Rules and Regulations and the circulars and issuances of the National Privacy Commission.</w:t>
      </w:r>
    </w:p>
    <w:p>
      <w:pPr>
        <w:pStyle w:val="Normal"/>
        <w:numPr>
          <w:ilvl w:val="0"/>
          <w:numId w:val="77"/>
        </w:numPr>
        <w:spacing w:before="0" w:after="60"/>
        <w:rPr/>
      </w:pPr>
      <w:r>
        <w:rPr>
          <w:rFonts w:eastAsia="Segoe UI" w:cs="Segoe UI" w:ascii="Segoe UI" w:hAnsi="Segoe UI"/>
          <w:color w:val="101820"/>
          <w:sz w:val="21"/>
        </w:rPr>
        <w:t>For Personal Data in Client Data, the Client is the personal information controller and iorta TechNXT is the personal information processor. The Parties sign the Data Processing Agreement, which forms part of this Agreement and of each Order Form under which iorta TechNXT processes Personal Data.</w:t>
      </w:r>
    </w:p>
    <w:p>
      <w:pPr>
        <w:pStyle w:val="Normal"/>
        <w:numPr>
          <w:ilvl w:val="0"/>
          <w:numId w:val="78"/>
        </w:numPr>
        <w:spacing w:before="0" w:after="60"/>
        <w:rPr/>
      </w:pPr>
      <w:r>
        <w:rPr>
          <w:rFonts w:eastAsia="Segoe UI" w:cs="Segoe UI" w:ascii="Segoe UI" w:hAnsi="Segoe UI"/>
          <w:color w:val="101820"/>
          <w:sz w:val="21"/>
        </w:rPr>
        <w:t>The Client is responsible for the lawful basis of the processing, its privacy notices, consents, registration of its data processing systems and data protection officer with the National Privacy Commission where required, answers to data subjects and notifications of personal data breaches.</w:t>
      </w:r>
    </w:p>
    <w:p>
      <w:pPr>
        <w:pStyle w:val="Normal"/>
        <w:numPr>
          <w:ilvl w:val="0"/>
          <w:numId w:val="79"/>
        </w:numPr>
        <w:spacing w:before="0" w:after="60"/>
        <w:rPr/>
      </w:pPr>
      <w:r>
        <w:rPr>
          <w:rFonts w:eastAsia="Segoe UI" w:cs="Segoe UI" w:ascii="Segoe UI" w:hAnsi="Segoe UI"/>
          <w:color w:val="101820"/>
          <w:sz w:val="21"/>
        </w:rPr>
        <w:t>iorta TechNXT processes Personal Data only on the Client's documented instructions, keeps it secure, notifies the Client of a personal data breach without undue delay and within the period in the Data Processing Agreement, and assists the Client as stated there.</w:t>
      </w:r>
    </w:p>
    <w:p>
      <w:pPr>
        <w:pStyle w:val="Normal"/>
        <w:numPr>
          <w:ilvl w:val="0"/>
          <w:numId w:val="80"/>
        </w:numPr>
        <w:spacing w:before="0" w:after="60"/>
        <w:rPr/>
      </w:pPr>
      <w:r>
        <w:rPr>
          <w:rFonts w:eastAsia="Segoe UI" w:cs="Segoe UI" w:ascii="Segoe UI" w:hAnsi="Segoe UI"/>
          <w:color w:val="101820"/>
          <w:sz w:val="21"/>
        </w:rPr>
        <w:t>Where the Platform is hosted outside the Philippines, the Client decides on and documents the transfer as required by section 21 of the Data Privacy Act. The hosting location is stated in the Order Form.</w:t>
      </w:r>
      <w:r>
        <w:br w:type="page"/>
      </w:r>
    </w:p>
    <w:p>
      <w:pPr>
        <w:pStyle w:val="Heading1"/>
        <w:rPr/>
      </w:pPr>
      <w:bookmarkStart w:id="28" w:name="__RefHeading___Toc154482_3949650649"/>
      <w:bookmarkEnd w:id="28"/>
      <w:r>
        <w:rPr>
          <w:rFonts w:eastAsia="Segoe UI" w:cs="Segoe UI" w:ascii="Segoe UI" w:hAnsi="Segoe UI"/>
          <w:b/>
          <w:color w:val="0F4761"/>
          <w:sz w:val="32"/>
        </w:rPr>
        <w:t>10.  Warranties, liability and indemnities</w:t>
      </w:r>
    </w:p>
    <w:p>
      <w:pPr>
        <w:pStyle w:val="Heading2"/>
        <w:rPr/>
      </w:pPr>
      <w:bookmarkStart w:id="29" w:name="__RefHeading___Toc154484_3949650649"/>
      <w:bookmarkEnd w:id="29"/>
      <w:r>
        <w:rPr>
          <w:rFonts w:eastAsia="Segoe UI" w:cs="Segoe UI"/>
          <w:b/>
          <w:color w:val="0F4761"/>
          <w:sz w:val="26"/>
        </w:rPr>
        <w:t>10.1  Warranties</w:t>
      </w:r>
    </w:p>
    <w:p>
      <w:pPr>
        <w:pStyle w:val="Heading3"/>
        <w:rPr/>
      </w:pPr>
      <w:r>
        <w:rPr>
          <w:rFonts w:eastAsia="Segoe UI" w:cs="Segoe UI"/>
          <w:b/>
          <w:color w:val="0F4761"/>
          <w:sz w:val="23"/>
        </w:rPr>
        <w:t>10.1.1  Mutual warranties</w:t>
      </w:r>
    </w:p>
    <w:p>
      <w:pPr>
        <w:pStyle w:val="Normal"/>
        <w:spacing w:lineRule="auto" w:line="276" w:before="0" w:after="120"/>
        <w:rPr/>
      </w:pPr>
      <w:r>
        <w:rPr>
          <w:rFonts w:eastAsia="Segoe UI" w:cs="Segoe UI" w:ascii="Segoe UI" w:hAnsi="Segoe UI"/>
          <w:color w:val="101820"/>
          <w:sz w:val="21"/>
        </w:rPr>
        <w:t>Each Party warrants that it is duly organised and validly existing, that it has the power and authority to sign and perform this Agreement, and that its signatory is duly authorised.</w:t>
      </w:r>
    </w:p>
    <w:p>
      <w:pPr>
        <w:pStyle w:val="Heading3"/>
        <w:rPr/>
      </w:pPr>
      <w:r>
        <w:rPr>
          <w:rFonts w:eastAsia="Segoe UI" w:cs="Segoe UI"/>
          <w:b/>
          <w:color w:val="0F4761"/>
          <w:sz w:val="23"/>
        </w:rPr>
        <w:t>10.1.2  iorta TechNXT warranties</w:t>
      </w:r>
    </w:p>
    <w:p>
      <w:pPr>
        <w:pStyle w:val="Normal"/>
        <w:spacing w:lineRule="auto" w:line="276" w:before="0" w:after="120"/>
        <w:rPr/>
      </w:pPr>
      <w:r>
        <w:rPr>
          <w:rFonts w:eastAsia="Segoe UI" w:cs="Segoe UI" w:ascii="Segoe UI" w:hAnsi="Segoe UI"/>
          <w:color w:val="101820"/>
          <w:sz w:val="21"/>
        </w:rPr>
        <w:t>iorta TechNXT warrants that:</w:t>
      </w:r>
    </w:p>
    <w:p>
      <w:pPr>
        <w:pStyle w:val="Normal"/>
        <w:numPr>
          <w:ilvl w:val="0"/>
          <w:numId w:val="81"/>
        </w:numPr>
        <w:spacing w:before="0" w:after="60"/>
        <w:rPr/>
      </w:pPr>
      <w:r>
        <w:rPr>
          <w:rFonts w:eastAsia="Segoe UI" w:cs="Segoe UI" w:ascii="Segoe UI" w:hAnsi="Segoe UI"/>
          <w:color w:val="101820"/>
          <w:sz w:val="21"/>
        </w:rPr>
        <w:t>the Services will be performed with reasonable skill and care, by qualified personnel, in line with good industry practice;</w:t>
      </w:r>
    </w:p>
    <w:p>
      <w:pPr>
        <w:pStyle w:val="Normal"/>
        <w:numPr>
          <w:ilvl w:val="0"/>
          <w:numId w:val="82"/>
        </w:numPr>
        <w:spacing w:before="0" w:after="60"/>
        <w:rPr/>
      </w:pPr>
      <w:r>
        <w:rPr>
          <w:rFonts w:eastAsia="Segoe UI" w:cs="Segoe UI" w:ascii="Segoe UI" w:hAnsi="Segoe UI"/>
          <w:color w:val="101820"/>
          <w:sz w:val="21"/>
        </w:rPr>
        <w:t>for 12 months from Go-Live (the warranty period) in the case of a perpetual licence, and for the subscription term in the case of a subscription, the Platform will perform materially in line with its Documentation;</w:t>
      </w:r>
    </w:p>
    <w:p>
      <w:pPr>
        <w:pStyle w:val="Normal"/>
        <w:numPr>
          <w:ilvl w:val="0"/>
          <w:numId w:val="83"/>
        </w:numPr>
        <w:spacing w:before="0" w:after="60"/>
        <w:rPr/>
      </w:pPr>
      <w:r>
        <w:rPr>
          <w:rFonts w:eastAsia="Segoe UI" w:cs="Segoe UI" w:ascii="Segoe UI" w:hAnsi="Segoe UI"/>
          <w:color w:val="101820"/>
          <w:sz w:val="21"/>
        </w:rPr>
        <w:t>it has the right to grant the licence or right of use in the applicable schedule;</w:t>
      </w:r>
    </w:p>
    <w:p>
      <w:pPr>
        <w:pStyle w:val="Normal"/>
        <w:numPr>
          <w:ilvl w:val="0"/>
          <w:numId w:val="84"/>
        </w:numPr>
        <w:spacing w:before="0" w:after="60"/>
        <w:rPr/>
      </w:pPr>
      <w:r>
        <w:rPr>
          <w:rFonts w:eastAsia="Segoe UI" w:cs="Segoe UI" w:ascii="Segoe UI" w:hAnsi="Segoe UI"/>
          <w:color w:val="101820"/>
          <w:sz w:val="21"/>
        </w:rPr>
        <w:t>it will use industry-standard measures to keep the Platform free of viruses and malicious code at delivery.</w:t>
      </w:r>
    </w:p>
    <w:p>
      <w:pPr>
        <w:pStyle w:val="Heading3"/>
        <w:rPr/>
      </w:pPr>
      <w:r>
        <w:rPr>
          <w:rFonts w:eastAsia="Segoe UI" w:cs="Segoe UI"/>
          <w:b/>
          <w:color w:val="0F4761"/>
          <w:sz w:val="23"/>
        </w:rPr>
        <w:t>10.1.3  Remedies</w:t>
      </w:r>
    </w:p>
    <w:p>
      <w:pPr>
        <w:pStyle w:val="Normal"/>
        <w:spacing w:lineRule="auto" w:line="276" w:before="0" w:after="120"/>
        <w:rPr/>
      </w:pPr>
      <w:r>
        <w:rPr>
          <w:rFonts w:eastAsia="Segoe UI" w:cs="Segoe UI" w:ascii="Segoe UI" w:hAnsi="Segoe UI"/>
          <w:color w:val="101820"/>
          <w:sz w:val="21"/>
        </w:rPr>
        <w:t>If the Platform does not meet the warranty in point 2 above, iorta TechNXT will, at its option and cost, correct the defect, provide a workaround or, if it cannot do either in a reasonable time, the Client may terminate the affected Order Form and receive a refund of the licence or subscription Fees paid for the period of non-conformity. This is the Client's sole remedy for breach of that warranty.</w:t>
      </w:r>
    </w:p>
    <w:p>
      <w:pPr>
        <w:pStyle w:val="Heading3"/>
        <w:rPr/>
      </w:pPr>
      <w:r>
        <w:rPr>
          <w:rFonts w:eastAsia="Segoe UI" w:cs="Segoe UI"/>
          <w:b/>
          <w:color w:val="0F4761"/>
          <w:sz w:val="23"/>
        </w:rPr>
        <w:t>10.1.4  Exclusions</w:t>
      </w:r>
    </w:p>
    <w:p>
      <w:pPr>
        <w:pStyle w:val="Normal"/>
        <w:spacing w:lineRule="auto" w:line="276" w:before="0" w:after="120"/>
        <w:rPr/>
      </w:pPr>
      <w:r>
        <w:rPr>
          <w:rFonts w:eastAsia="Segoe UI" w:cs="Segoe UI" w:ascii="Segoe UI" w:hAnsi="Segoe UI"/>
          <w:color w:val="101820"/>
          <w:sz w:val="21"/>
        </w:rPr>
        <w:t>The warranties do not apply to defects caused by: use not in line with the Documentation; changes not made by iorta TechNXT; the Client's data, systems, network or third-party products; or use of a release more than two planned releases behind the current one.</w:t>
      </w:r>
    </w:p>
    <w:p>
      <w:pPr>
        <w:pStyle w:val="Heading3"/>
        <w:rPr/>
      </w:pPr>
      <w:r>
        <w:rPr>
          <w:rFonts w:eastAsia="Segoe UI" w:cs="Segoe UI"/>
          <w:b/>
          <w:color w:val="0F4761"/>
          <w:sz w:val="23"/>
        </w:rPr>
        <w:t>10.1.5  Disclaimer</w:t>
      </w:r>
    </w:p>
    <w:p>
      <w:pPr>
        <w:pStyle w:val="Normal"/>
        <w:spacing w:lineRule="auto" w:line="276" w:before="0" w:after="120"/>
        <w:rPr/>
      </w:pPr>
      <w:r>
        <w:rPr>
          <w:rFonts w:eastAsia="Segoe UI" w:cs="Segoe UI" w:ascii="Segoe UI" w:hAnsi="Segoe UI"/>
          <w:color w:val="101820"/>
          <w:sz w:val="21"/>
        </w:rPr>
        <w:t>Except as stated in this Agreement, and to the extent permitted by law, iorta TechNXT gives no other warranty, express or implied, including any warranty that the Platform will be error-free or uninterrupted, or that it meets requirements that are not in the Documentation or the SOW. The Platform supports the Client's compliance with the laws and regulations that apply to it but does not replace the Client's own legal, tax, actuarial and compliance judgement.</w:t>
      </w:r>
    </w:p>
    <w:p>
      <w:pPr>
        <w:pStyle w:val="Heading2"/>
        <w:rPr/>
      </w:pPr>
      <w:bookmarkStart w:id="30" w:name="__RefHeading___Toc154486_3949650649"/>
      <w:bookmarkEnd w:id="30"/>
      <w:r>
        <w:rPr>
          <w:rFonts w:eastAsia="Segoe UI" w:cs="Segoe UI"/>
          <w:b/>
          <w:color w:val="0F4761"/>
          <w:sz w:val="26"/>
        </w:rPr>
        <w:t>10.2  Limitation of liability</w:t>
      </w:r>
    </w:p>
    <w:p>
      <w:pPr>
        <w:pStyle w:val="Normal"/>
        <w:numPr>
          <w:ilvl w:val="0"/>
          <w:numId w:val="85"/>
        </w:numPr>
        <w:spacing w:before="0" w:after="60"/>
        <w:rPr/>
      </w:pPr>
      <w:r>
        <w:rPr>
          <w:rFonts w:eastAsia="Segoe UI" w:cs="Segoe UI" w:ascii="Segoe UI" w:hAnsi="Segoe UI"/>
          <w:color w:val="101820"/>
          <w:sz w:val="21"/>
        </w:rPr>
        <w:t>Neither Party is liable for loss of profit, revenue, business, goodwill or anticipated savings, or for indirect, incidental, special or consequential loss, however arising, even if advised of its possibility.</w:t>
      </w:r>
    </w:p>
    <w:p>
      <w:pPr>
        <w:pStyle w:val="Normal"/>
        <w:numPr>
          <w:ilvl w:val="0"/>
          <w:numId w:val="86"/>
        </w:numPr>
        <w:spacing w:before="0" w:after="60"/>
        <w:rPr/>
      </w:pPr>
      <w:r>
        <w:rPr>
          <w:rFonts w:eastAsia="Segoe UI" w:cs="Segoe UI" w:ascii="Segoe UI" w:hAnsi="Segoe UI"/>
          <w:color w:val="101820"/>
          <w:sz w:val="21"/>
        </w:rPr>
        <w:t>The total liability of each Party for all claims arising out of or in connection with an Order Form, in any year, is limited to the Fees paid and payable under that Order Form in the 12 months before the event giving rise to the claim.</w:t>
      </w:r>
    </w:p>
    <w:p>
      <w:pPr>
        <w:pStyle w:val="Normal"/>
        <w:numPr>
          <w:ilvl w:val="0"/>
          <w:numId w:val="87"/>
        </w:numPr>
        <w:spacing w:before="0" w:after="60"/>
        <w:rPr/>
      </w:pPr>
      <w:r>
        <w:rPr>
          <w:rFonts w:eastAsia="Segoe UI" w:cs="Segoe UI" w:ascii="Segoe UI" w:hAnsi="Segoe UI"/>
          <w:color w:val="101820"/>
          <w:sz w:val="21"/>
        </w:rPr>
        <w:t>[Option: For breach of the Data protection clause or the Data Processing Agreement, the cap in point 2 is [two times / three times] that amount.]</w:t>
      </w:r>
    </w:p>
    <w:p>
      <w:pPr>
        <w:pStyle w:val="Normal"/>
        <w:numPr>
          <w:ilvl w:val="0"/>
          <w:numId w:val="88"/>
        </w:numPr>
        <w:spacing w:before="0" w:after="60"/>
        <w:rPr/>
      </w:pPr>
      <w:r>
        <w:rPr>
          <w:rFonts w:eastAsia="Segoe UI" w:cs="Segoe UI" w:ascii="Segoe UI" w:hAnsi="Segoe UI"/>
          <w:color w:val="101820"/>
          <w:sz w:val="21"/>
        </w:rPr>
        <w:t>Points 1 and 2 do not limit: (a) the Client's duty to pay the Fees; (b) liability under the Indemnities clause for infringement of Intellectual Property Rights; (c) liability for breach of the Confidentiality clause; (d) liability for fraud, gross negligence or wilful misconduct; or (e) any liability that cannot be limited under Philippine law, including under Article 1171 of the Civil Code.</w:t>
      </w:r>
    </w:p>
    <w:p>
      <w:pPr>
        <w:pStyle w:val="Normal"/>
        <w:numPr>
          <w:ilvl w:val="0"/>
          <w:numId w:val="89"/>
        </w:numPr>
        <w:spacing w:before="0" w:after="60"/>
        <w:rPr/>
      </w:pPr>
      <w:r>
        <w:rPr>
          <w:rFonts w:eastAsia="Segoe UI" w:cs="Segoe UI" w:ascii="Segoe UI" w:hAnsi="Segoe UI"/>
          <w:color w:val="101820"/>
          <w:sz w:val="21"/>
        </w:rPr>
        <w:t>Each Party must take reasonable steps to mitigate its loss.</w:t>
      </w:r>
    </w:p>
    <w:p>
      <w:pPr>
        <w:pStyle w:val="Heading2"/>
        <w:rPr/>
      </w:pPr>
      <w:bookmarkStart w:id="31" w:name="__RefHeading___Toc154488_3949650649"/>
      <w:bookmarkEnd w:id="31"/>
      <w:r>
        <w:rPr>
          <w:rFonts w:eastAsia="Segoe UI" w:cs="Segoe UI"/>
          <w:b/>
          <w:color w:val="0F4761"/>
          <w:sz w:val="26"/>
        </w:rPr>
        <w:t>10.3  Indemnities</w:t>
      </w:r>
    </w:p>
    <w:p>
      <w:pPr>
        <w:pStyle w:val="Heading3"/>
        <w:rPr/>
      </w:pPr>
      <w:r>
        <w:rPr>
          <w:rFonts w:eastAsia="Segoe UI" w:cs="Segoe UI"/>
          <w:b/>
          <w:color w:val="0F4761"/>
          <w:sz w:val="23"/>
        </w:rPr>
        <w:t>10.3.1  Intellectual property indemnity</w:t>
      </w:r>
    </w:p>
    <w:p>
      <w:pPr>
        <w:pStyle w:val="Normal"/>
        <w:numPr>
          <w:ilvl w:val="0"/>
          <w:numId w:val="90"/>
        </w:numPr>
        <w:spacing w:before="0" w:after="60"/>
        <w:rPr/>
      </w:pPr>
      <w:r>
        <w:rPr>
          <w:rFonts w:eastAsia="Segoe UI" w:cs="Segoe UI" w:ascii="Segoe UI" w:hAnsi="Segoe UI"/>
          <w:color w:val="101820"/>
          <w:sz w:val="21"/>
        </w:rPr>
        <w:t>iorta TechNXT shall defend the Client against any third-party claim that the Platform, used in line with this Agreement, infringes that third party's Intellectual Property Rights in the Philippines, and shall pay the damages and costs finally awarded or agreed in settlement.</w:t>
      </w:r>
    </w:p>
    <w:p>
      <w:pPr>
        <w:pStyle w:val="Normal"/>
        <w:numPr>
          <w:ilvl w:val="0"/>
          <w:numId w:val="91"/>
        </w:numPr>
        <w:spacing w:before="0" w:after="60"/>
        <w:rPr/>
      </w:pPr>
      <w:r>
        <w:rPr>
          <w:rFonts w:eastAsia="Segoe UI" w:cs="Segoe UI" w:ascii="Segoe UI" w:hAnsi="Segoe UI"/>
          <w:color w:val="101820"/>
          <w:sz w:val="21"/>
        </w:rPr>
        <w:t>If such a claim is made or likely, iorta TechNXT may, at its option and cost, obtain the right for the Client to continue using the Platform, modify or replace it so that it no longer infringes without material loss of function, or, if neither is reasonably possible, terminate the affected Order Form and refund the Fees paid for the remaining term (for a perpetual licence, the licence fee less one fifth for each year since Go-Live).</w:t>
      </w:r>
    </w:p>
    <w:p>
      <w:pPr>
        <w:pStyle w:val="Normal"/>
        <w:numPr>
          <w:ilvl w:val="0"/>
          <w:numId w:val="92"/>
        </w:numPr>
        <w:spacing w:before="0" w:after="60"/>
        <w:rPr/>
      </w:pPr>
      <w:r>
        <w:rPr>
          <w:rFonts w:eastAsia="Segoe UI" w:cs="Segoe UI" w:ascii="Segoe UI" w:hAnsi="Segoe UI"/>
          <w:color w:val="101820"/>
          <w:sz w:val="21"/>
        </w:rPr>
        <w:t>iorta TechNXT has no obligation for claims arising from changes not made by iorta TechNXT, combination with items not supplied by iorta TechNXT, Client Data or content, or use after iorta TechNXT has provided a non-infringing alternative.</w:t>
      </w:r>
    </w:p>
    <w:p>
      <w:pPr>
        <w:pStyle w:val="Heading3"/>
        <w:rPr/>
      </w:pPr>
      <w:r>
        <w:rPr>
          <w:rFonts w:eastAsia="Segoe UI" w:cs="Segoe UI"/>
          <w:b/>
          <w:color w:val="0F4761"/>
          <w:sz w:val="23"/>
        </w:rPr>
        <w:t>10.3.2  Client indemnity</w:t>
      </w:r>
    </w:p>
    <w:p>
      <w:pPr>
        <w:pStyle w:val="Normal"/>
        <w:spacing w:lineRule="auto" w:line="276" w:before="0" w:after="120"/>
        <w:rPr/>
      </w:pPr>
      <w:r>
        <w:rPr>
          <w:rFonts w:eastAsia="Segoe UI" w:cs="Segoe UI" w:ascii="Segoe UI" w:hAnsi="Segoe UI"/>
          <w:color w:val="101820"/>
          <w:sz w:val="21"/>
        </w:rPr>
        <w:t>The Client shall defend iorta TechNXT against any third-party claim arising from Client Data, the Client's use of the Platform in breach of law or of this Agreement, or the Client's dealings with its own clients, insurers and regulators, and shall pay the damages and costs finally awarded or agreed in settlement.</w:t>
      </w:r>
    </w:p>
    <w:p>
      <w:pPr>
        <w:pStyle w:val="Heading3"/>
        <w:rPr/>
      </w:pPr>
      <w:r>
        <w:rPr>
          <w:rFonts w:eastAsia="Segoe UI" w:cs="Segoe UI"/>
          <w:b/>
          <w:color w:val="0F4761"/>
          <w:sz w:val="23"/>
        </w:rPr>
        <w:t>10.3.3  Procedure</w:t>
      </w:r>
    </w:p>
    <w:p>
      <w:pPr>
        <w:pStyle w:val="Normal"/>
        <w:spacing w:lineRule="auto" w:line="276" w:before="0" w:after="120"/>
        <w:rPr/>
      </w:pPr>
      <w:r>
        <w:rPr>
          <w:rFonts w:eastAsia="Segoe UI" w:cs="Segoe UI" w:ascii="Segoe UI" w:hAnsi="Segoe UI"/>
          <w:color w:val="101820"/>
          <w:sz w:val="21"/>
        </w:rPr>
        <w:t>The indemnified Party notifies the claim promptly in writing, gives the indemnifying Party sole control of the defence and settlement (no settlement may admit fault of the indemnified Party without its consent), and provides reasonable cooperation at the indemnifying Party's cost.</w:t>
      </w:r>
      <w:r>
        <w:br w:type="page"/>
      </w:r>
    </w:p>
    <w:p>
      <w:pPr>
        <w:pStyle w:val="Heading1"/>
        <w:rPr/>
      </w:pPr>
      <w:bookmarkStart w:id="32" w:name="__RefHeading___Toc154490_3949650649"/>
      <w:bookmarkEnd w:id="32"/>
      <w:r>
        <w:rPr>
          <w:rFonts w:eastAsia="Segoe UI" w:cs="Segoe UI" w:ascii="Segoe UI" w:hAnsi="Segoe UI"/>
          <w:b/>
          <w:color w:val="0F4761"/>
          <w:sz w:val="32"/>
        </w:rPr>
        <w:t>11.  Other terms</w:t>
      </w:r>
    </w:p>
    <w:p>
      <w:pPr>
        <w:pStyle w:val="Heading2"/>
        <w:rPr/>
      </w:pPr>
      <w:bookmarkStart w:id="33" w:name="__RefHeading___Toc154492_3949650649"/>
      <w:bookmarkEnd w:id="33"/>
      <w:r>
        <w:rPr>
          <w:rFonts w:eastAsia="Segoe UI" w:cs="Segoe UI"/>
          <w:b/>
          <w:color w:val="0F4761"/>
          <w:sz w:val="26"/>
        </w:rPr>
        <w:t>11.1  Force majeure</w:t>
      </w:r>
    </w:p>
    <w:p>
      <w:pPr>
        <w:pStyle w:val="Normal"/>
        <w:numPr>
          <w:ilvl w:val="0"/>
          <w:numId w:val="93"/>
        </w:numPr>
        <w:spacing w:before="0" w:after="60"/>
        <w:rPr/>
      </w:pPr>
      <w:r>
        <w:rPr>
          <w:rFonts w:eastAsia="Segoe UI" w:cs="Segoe UI" w:ascii="Segoe UI" w:hAnsi="Segoe UI"/>
          <w:color w:val="101820"/>
          <w:sz w:val="21"/>
        </w:rPr>
        <w:t>A Party is not liable for delay or failure to perform caused by an event beyond its reasonable control that it could not have foreseen or, if foreseeable, could not have avoided, including natural disasters, typhoons, earthquakes, floods, fire, epidemics, war, civil unrest, acts of government, widespread power or telecommunications failure and failures of the public internet, in line with Article 1174 of the Civil Code.</w:t>
      </w:r>
    </w:p>
    <w:p>
      <w:pPr>
        <w:pStyle w:val="Normal"/>
        <w:numPr>
          <w:ilvl w:val="0"/>
          <w:numId w:val="94"/>
        </w:numPr>
        <w:spacing w:before="0" w:after="60"/>
        <w:rPr/>
      </w:pPr>
      <w:r>
        <w:rPr>
          <w:rFonts w:eastAsia="Segoe UI" w:cs="Segoe UI" w:ascii="Segoe UI" w:hAnsi="Segoe UI"/>
          <w:color w:val="101820"/>
          <w:sz w:val="21"/>
        </w:rPr>
        <w:t>The affected Party notifies the other promptly, describes the event and its likely effect, and uses reasonable efforts to reduce its effect and to resume performance. iorta TechNXT applies its disaster recovery arrangements in the hosting schedule where they apply.</w:t>
      </w:r>
    </w:p>
    <w:p>
      <w:pPr>
        <w:pStyle w:val="Normal"/>
        <w:numPr>
          <w:ilvl w:val="0"/>
          <w:numId w:val="95"/>
        </w:numPr>
        <w:spacing w:before="0" w:after="60"/>
        <w:rPr/>
      </w:pPr>
      <w:r>
        <w:rPr>
          <w:rFonts w:eastAsia="Segoe UI" w:cs="Segoe UI" w:ascii="Segoe UI" w:hAnsi="Segoe UI"/>
          <w:color w:val="101820"/>
          <w:sz w:val="21"/>
        </w:rPr>
        <w:t>Force majeure does not excuse payment obligations for Services already performed.</w:t>
      </w:r>
    </w:p>
    <w:p>
      <w:pPr>
        <w:pStyle w:val="Normal"/>
        <w:numPr>
          <w:ilvl w:val="0"/>
          <w:numId w:val="96"/>
        </w:numPr>
        <w:spacing w:before="0" w:after="60"/>
        <w:rPr/>
      </w:pPr>
      <w:r>
        <w:rPr>
          <w:rFonts w:eastAsia="Segoe UI" w:cs="Segoe UI" w:ascii="Segoe UI" w:hAnsi="Segoe UI"/>
          <w:color w:val="101820"/>
          <w:sz w:val="21"/>
        </w:rPr>
        <w:t>If the event continues for more than 60 days, either Party may terminate the affected Order Form by written notice, with payment for Services performed up to termination.</w:t>
      </w:r>
    </w:p>
    <w:p>
      <w:pPr>
        <w:pStyle w:val="Heading2"/>
        <w:rPr/>
      </w:pPr>
      <w:bookmarkStart w:id="34" w:name="__RefHeading___Toc154494_3949650649"/>
      <w:bookmarkEnd w:id="34"/>
      <w:r>
        <w:rPr>
          <w:rFonts w:eastAsia="Segoe UI" w:cs="Segoe UI"/>
          <w:b/>
          <w:color w:val="0F4761"/>
          <w:sz w:val="26"/>
        </w:rPr>
        <w:t>11.2  Non-solicitation</w:t>
      </w:r>
    </w:p>
    <w:p>
      <w:pPr>
        <w:pStyle w:val="Normal"/>
        <w:spacing w:lineRule="auto" w:line="276" w:before="0" w:after="120"/>
        <w:rPr/>
      </w:pPr>
      <w:r>
        <w:rPr>
          <w:rFonts w:eastAsia="Segoe UI" w:cs="Segoe UI" w:ascii="Segoe UI" w:hAnsi="Segoe UI"/>
          <w:color w:val="101820"/>
          <w:sz w:val="21"/>
        </w:rPr>
        <w:t>During the term of an Order Form and for 12 months after it ends, neither Party shall, directly or indirectly, solicit for employment or engage any employee of the other Party who was involved in the Services, without the other Party's written consent. General advertisements not aimed at those employees are not a breach. If a Party breaches this clause, it pays the other Party, as liquidated damages and not as a penalty, an amount equal to [six months'] gross salary of the person concerned at the time of leaving.</w:t>
      </w:r>
    </w:p>
    <w:p>
      <w:pPr>
        <w:pStyle w:val="Heading2"/>
        <w:rPr/>
      </w:pPr>
      <w:bookmarkStart w:id="35" w:name="__RefHeading___Toc154496_3949650649"/>
      <w:bookmarkEnd w:id="35"/>
      <w:r>
        <w:rPr>
          <w:rFonts w:eastAsia="Segoe UI" w:cs="Segoe UI"/>
          <w:b/>
          <w:color w:val="0F4761"/>
          <w:sz w:val="26"/>
        </w:rPr>
        <w:t>11.3  Assignment and subcontracting</w:t>
      </w:r>
    </w:p>
    <w:p>
      <w:pPr>
        <w:pStyle w:val="Normal"/>
        <w:numPr>
          <w:ilvl w:val="0"/>
          <w:numId w:val="97"/>
        </w:numPr>
        <w:spacing w:before="0" w:after="60"/>
        <w:rPr/>
      </w:pPr>
      <w:r>
        <w:rPr>
          <w:rFonts w:eastAsia="Segoe UI" w:cs="Segoe UI" w:ascii="Segoe UI" w:hAnsi="Segoe UI"/>
          <w:color w:val="101820"/>
          <w:sz w:val="21"/>
        </w:rPr>
        <w:t>Neither Party may assign or transfer this Agreement or an Order Form without the other Party's written consent, which shall not be unreasonably withheld.</w:t>
      </w:r>
    </w:p>
    <w:p>
      <w:pPr>
        <w:pStyle w:val="Normal"/>
        <w:numPr>
          <w:ilvl w:val="0"/>
          <w:numId w:val="98"/>
        </w:numPr>
        <w:spacing w:before="0" w:after="60"/>
        <w:rPr/>
      </w:pPr>
      <w:r>
        <w:rPr>
          <w:rFonts w:eastAsia="Segoe UI" w:cs="Segoe UI" w:ascii="Segoe UI" w:hAnsi="Segoe UI"/>
          <w:color w:val="101820"/>
          <w:sz w:val="21"/>
        </w:rPr>
        <w:t>iorta TechNXT may assign this Agreement to an Affiliate or to a successor of its business on written notice, provided the assignee assumes all its obligations.</w:t>
      </w:r>
    </w:p>
    <w:p>
      <w:pPr>
        <w:pStyle w:val="Normal"/>
        <w:numPr>
          <w:ilvl w:val="0"/>
          <w:numId w:val="99"/>
        </w:numPr>
        <w:spacing w:before="0" w:after="60"/>
        <w:rPr/>
      </w:pPr>
      <w:r>
        <w:rPr>
          <w:rFonts w:eastAsia="Segoe UI" w:cs="Segoe UI" w:ascii="Segoe UI" w:hAnsi="Segoe UI"/>
          <w:color w:val="101820"/>
          <w:sz w:val="21"/>
        </w:rPr>
        <w:t>Subcontracting is governed by the Subcontractors part of the Scope of services clause.</w:t>
      </w:r>
    </w:p>
    <w:p>
      <w:pPr>
        <w:pStyle w:val="Heading2"/>
        <w:rPr/>
      </w:pPr>
      <w:bookmarkStart w:id="36" w:name="__RefHeading___Toc154498_3949650649"/>
      <w:bookmarkEnd w:id="36"/>
      <w:r>
        <w:rPr>
          <w:rFonts w:eastAsia="Segoe UI" w:cs="Segoe UI"/>
          <w:b/>
          <w:color w:val="0F4761"/>
          <w:sz w:val="26"/>
        </w:rPr>
        <w:t>11.4  Dispute resolution</w:t>
      </w:r>
    </w:p>
    <w:p>
      <w:pPr>
        <w:pStyle w:val="Heading3"/>
        <w:rPr/>
      </w:pPr>
      <w:r>
        <w:rPr>
          <w:rFonts w:eastAsia="Segoe UI" w:cs="Segoe UI"/>
          <w:b/>
          <w:color w:val="0F4761"/>
          <w:sz w:val="23"/>
        </w:rPr>
        <w:t>11.4.1  Negotiation</w:t>
      </w:r>
    </w:p>
    <w:p>
      <w:pPr>
        <w:pStyle w:val="Normal"/>
        <w:spacing w:lineRule="auto" w:line="276" w:before="0" w:after="120"/>
        <w:rPr/>
      </w:pPr>
      <w:r>
        <w:rPr>
          <w:rFonts w:eastAsia="Segoe UI" w:cs="Segoe UI" w:ascii="Segoe UI" w:hAnsi="Segoe UI"/>
          <w:color w:val="101820"/>
          <w:sz w:val="21"/>
        </w:rPr>
        <w:t>A Party that has a dispute arising out of or in connection with this Agreement notifies the other in writing. The project managers meet within 10 Business Days. If they cannot resolve it within 15 Business Days of the notice, the dispute is referred to a senior executive of each Party (for iorta TechNXT its [CEO]; for the Client its [President]), who meet within a further 15 Business Days.</w:t>
      </w:r>
    </w:p>
    <w:p>
      <w:pPr>
        <w:pStyle w:val="Heading3"/>
        <w:rPr/>
      </w:pPr>
      <w:r>
        <w:rPr>
          <w:rFonts w:eastAsia="Segoe UI" w:cs="Segoe UI"/>
          <w:b/>
          <w:color w:val="0F4761"/>
          <w:sz w:val="23"/>
        </w:rPr>
        <w:t>11.4.2  Mediation</w:t>
      </w:r>
    </w:p>
    <w:p>
      <w:pPr>
        <w:pStyle w:val="Normal"/>
        <w:spacing w:lineRule="auto" w:line="276" w:before="0" w:after="120"/>
        <w:rPr/>
      </w:pPr>
      <w:r>
        <w:rPr>
          <w:rFonts w:eastAsia="Segoe UI" w:cs="Segoe UI" w:ascii="Segoe UI" w:hAnsi="Segoe UI"/>
          <w:color w:val="101820"/>
          <w:sz w:val="21"/>
        </w:rPr>
        <w:t>If the senior executives do not resolve the dispute within 30 days of the referral, either Party may refer it to mediation administered by [the Philippine Dispute Resolution Center, Inc. (PDRC) under its mediation rules / a mediator agreed by the Parties], in line with RA 9285 (Alternative Dispute Resolution Act of 2004). The mediation takes place in [Makati City / Taguig City], in English. Each Party bears its own costs and half of the mediator's fees.</w:t>
      </w:r>
    </w:p>
    <w:p>
      <w:pPr>
        <w:pStyle w:val="Heading3"/>
        <w:rPr/>
      </w:pPr>
      <w:r>
        <w:rPr>
          <w:rFonts w:eastAsia="Segoe UI" w:cs="Segoe UI"/>
          <w:b/>
          <w:color w:val="0F4761"/>
          <w:sz w:val="23"/>
        </w:rPr>
        <w:t>11.4.3  Final resolution: choose one option</w:t>
      </w:r>
    </w:p>
    <w:p>
      <w:pPr>
        <w:pStyle w:val="Normal"/>
        <w:spacing w:lineRule="auto" w:line="276" w:before="0" w:after="120"/>
        <w:rPr/>
      </w:pPr>
      <w:r>
        <w:rPr>
          <w:rFonts w:eastAsia="Segoe UI" w:cs="Segoe UI" w:ascii="Segoe UI" w:hAnsi="Segoe UI"/>
          <w:color w:val="101820"/>
          <w:sz w:val="21"/>
        </w:rPr>
        <w:t>[Option A: Arbitration. If the dispute is not settled within 60 days of the start of mediation, it shall be finally resolved by arbitration administered by the Philippine Dispute Resolution Center, Inc. under its arbitration rules in force at the time. The seat of arbitration is [Makati City], Philippines. The tribunal consists of [one arbitrator / three arbitrators]. The language is English. The award is final and binding and may be enforced in any competent court under RA 9285 and RA 876 (Arbitration Law).]</w:t>
      </w:r>
    </w:p>
    <w:p>
      <w:pPr>
        <w:pStyle w:val="Normal"/>
        <w:spacing w:lineRule="auto" w:line="276" w:before="0" w:after="120"/>
        <w:rPr/>
      </w:pPr>
      <w:r>
        <w:rPr>
          <w:rFonts w:eastAsia="Segoe UI" w:cs="Segoe UI" w:ascii="Segoe UI" w:hAnsi="Segoe UI"/>
          <w:color w:val="101820"/>
          <w:sz w:val="21"/>
        </w:rPr>
        <w:t>[Option B: Courts. If the dispute is not settled within 60 days of the start of mediation, it shall be submitted to the proper courts of [Makati City / Taguig City], Philippines, to the exclusion of all other venues.]</w:t>
      </w:r>
    </w:p>
    <w:p>
      <w:pPr>
        <w:pStyle w:val="Heading3"/>
        <w:rPr/>
      </w:pPr>
      <w:r>
        <w:rPr>
          <w:rFonts w:eastAsia="Segoe UI" w:cs="Segoe UI"/>
          <w:b/>
          <w:color w:val="0F4761"/>
          <w:sz w:val="23"/>
        </w:rPr>
        <w:t>11.4.4  Interim relief and continued performance</w:t>
      </w:r>
    </w:p>
    <w:p>
      <w:pPr>
        <w:pStyle w:val="Normal"/>
        <w:spacing w:lineRule="auto" w:line="276" w:before="0" w:after="120"/>
        <w:rPr/>
      </w:pPr>
      <w:r>
        <w:rPr>
          <w:rFonts w:eastAsia="Segoe UI" w:cs="Segoe UI" w:ascii="Segoe UI" w:hAnsi="Segoe UI"/>
          <w:color w:val="101820"/>
          <w:sz w:val="21"/>
        </w:rPr>
        <w:t>Nothing in this clause prevents a Party from seeking urgent interim relief from a competent court to protect its Confidential Information or Intellectual Property Rights. Unless the Agreement is terminated, the Parties continue to perform their obligations during the dispute, and iorta TechNXT does not suspend Services for an amount the Client disputes in good faith under the Fees and payment clause.</w:t>
      </w:r>
    </w:p>
    <w:p>
      <w:pPr>
        <w:pStyle w:val="Heading2"/>
        <w:rPr/>
      </w:pPr>
      <w:bookmarkStart w:id="37" w:name="__RefHeading___Toc154500_3949650649"/>
      <w:bookmarkEnd w:id="37"/>
      <w:r>
        <w:rPr>
          <w:rFonts w:eastAsia="Segoe UI" w:cs="Segoe UI"/>
          <w:b/>
          <w:color w:val="0F4761"/>
          <w:sz w:val="26"/>
        </w:rPr>
        <w:t>11.5  Governing law</w:t>
      </w:r>
    </w:p>
    <w:p>
      <w:pPr>
        <w:pStyle w:val="Normal"/>
        <w:spacing w:lineRule="auto" w:line="276" w:before="0" w:after="120"/>
        <w:rPr/>
      </w:pPr>
      <w:r>
        <w:rPr>
          <w:rFonts w:eastAsia="Segoe UI" w:cs="Segoe UI" w:ascii="Segoe UI" w:hAnsi="Segoe UI"/>
          <w:color w:val="101820"/>
          <w:sz w:val="21"/>
        </w:rPr>
        <w:t>This Agreement and every Order Form are governed by and construed in accordance with the laws of the Republic of the Philippines.</w:t>
      </w:r>
    </w:p>
    <w:p>
      <w:pPr>
        <w:pStyle w:val="Heading2"/>
        <w:rPr/>
      </w:pPr>
      <w:bookmarkStart w:id="38" w:name="__RefHeading___Toc154502_3949650649"/>
      <w:bookmarkEnd w:id="38"/>
      <w:r>
        <w:rPr>
          <w:rFonts w:eastAsia="Segoe UI" w:cs="Segoe UI"/>
          <w:b/>
          <w:color w:val="0F4761"/>
          <w:sz w:val="26"/>
        </w:rPr>
        <w:t>11.6  Notices</w:t>
      </w:r>
    </w:p>
    <w:p>
      <w:pPr>
        <w:pStyle w:val="Normal"/>
        <w:numPr>
          <w:ilvl w:val="0"/>
          <w:numId w:val="100"/>
        </w:numPr>
        <w:spacing w:before="0" w:after="60"/>
        <w:rPr/>
      </w:pPr>
      <w:r>
        <w:rPr>
          <w:rFonts w:eastAsia="Segoe UI" w:cs="Segoe UI" w:ascii="Segoe UI" w:hAnsi="Segoe UI"/>
          <w:color w:val="101820"/>
          <w:sz w:val="21"/>
        </w:rPr>
        <w:t>Notices under this Agreement are in writing in English and are delivered by hand, by courier, or by e-mail to the addresses below (or another address notified in writing).</w:t>
      </w:r>
    </w:p>
    <w:p>
      <w:pPr>
        <w:pStyle w:val="Normal"/>
        <w:numPr>
          <w:ilvl w:val="0"/>
          <w:numId w:val="101"/>
        </w:numPr>
        <w:spacing w:before="0" w:after="60"/>
        <w:rPr/>
      </w:pPr>
      <w:r>
        <w:rPr>
          <w:rFonts w:eastAsia="Segoe UI" w:cs="Segoe UI" w:ascii="Segoe UI" w:hAnsi="Segoe UI"/>
          <w:color w:val="101820"/>
          <w:sz w:val="21"/>
        </w:rPr>
        <w:t>A notice is received: on delivery if by hand or courier; on the next Business Day after sending if by e-mail, unless the sender receives a delivery failure message. Notices of breach, termination or a dispute sent by e-mail are also sent by courier.</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95"/>
        <w:gridCol w:w="1656"/>
        <w:gridCol w:w="1472"/>
        <w:gridCol w:w="2391"/>
      </w:tblGrid>
      <w:tr>
        <w:trPr>
          <w:tblHeader w:val="true"/>
        </w:trPr>
        <w:tc>
          <w:tcPr>
            <w:tcW w:w="349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Party</w:t>
            </w:r>
          </w:p>
        </w:tc>
        <w:tc>
          <w:tcPr>
            <w:tcW w:w="16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Address</w:t>
            </w:r>
          </w:p>
        </w:tc>
        <w:tc>
          <w:tcPr>
            <w:tcW w:w="147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E-mail</w:t>
            </w:r>
          </w:p>
        </w:tc>
        <w:tc>
          <w:tcPr>
            <w:tcW w:w="239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Attention</w:t>
            </w:r>
          </w:p>
        </w:tc>
      </w:tr>
      <w:tr>
        <w:trPr/>
        <w:tc>
          <w:tcPr>
            <w:tcW w:w="34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Corp.</w:t>
            </w:r>
          </w:p>
        </w:tc>
        <w:tc>
          <w:tcPr>
            <w:tcW w:w="1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[address]</w:t>
            </w:r>
          </w:p>
        </w:tc>
        <w:tc>
          <w:tcPr>
            <w:tcW w:w="14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w:t>
            </w:r>
          </w:p>
        </w:tc>
        <w:tc>
          <w:tcPr>
            <w:tcW w:w="23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title]</w:t>
            </w:r>
          </w:p>
        </w:tc>
      </w:tr>
      <w:tr>
        <w:trPr/>
        <w:tc>
          <w:tcPr>
            <w:tcW w:w="34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legal name]</w:t>
            </w:r>
          </w:p>
        </w:tc>
        <w:tc>
          <w:tcPr>
            <w:tcW w:w="1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[address]</w:t>
            </w:r>
          </w:p>
        </w:tc>
        <w:tc>
          <w:tcPr>
            <w:tcW w:w="14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w:t>
            </w:r>
          </w:p>
        </w:tc>
        <w:tc>
          <w:tcPr>
            <w:tcW w:w="23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title]</w:t>
            </w:r>
          </w:p>
        </w:tc>
      </w:tr>
    </w:tbl>
    <w:p>
      <w:pPr>
        <w:pStyle w:val="Normal"/>
        <w:spacing w:before="0" w:after="80"/>
        <w:rPr/>
      </w:pPr>
      <w:r>
        <w:rPr/>
      </w:r>
    </w:p>
    <w:p>
      <w:pPr>
        <w:pStyle w:val="Heading2"/>
        <w:rPr/>
      </w:pPr>
      <w:bookmarkStart w:id="39" w:name="__RefHeading___Toc154504_3949650649"/>
      <w:bookmarkEnd w:id="39"/>
      <w:r>
        <w:rPr>
          <w:rFonts w:eastAsia="Segoe UI" w:cs="Segoe UI"/>
          <w:b/>
          <w:color w:val="0F4761"/>
          <w:sz w:val="26"/>
        </w:rPr>
        <w:t>11.7  General</w:t>
      </w:r>
    </w:p>
    <w:p>
      <w:pPr>
        <w:pStyle w:val="Normal"/>
        <w:numPr>
          <w:ilvl w:val="0"/>
          <w:numId w:val="102"/>
        </w:numPr>
        <w:spacing w:before="0" w:after="60"/>
        <w:rPr/>
      </w:pPr>
      <w:r>
        <w:rPr>
          <w:rFonts w:eastAsia="Segoe UI" w:cs="Segoe UI" w:ascii="Segoe UI" w:hAnsi="Segoe UI"/>
          <w:b/>
          <w:color w:val="101820"/>
          <w:sz w:val="21"/>
        </w:rPr>
        <w:t>Entire agreement.</w:t>
      </w:r>
      <w:r>
        <w:rPr>
          <w:rFonts w:eastAsia="Segoe UI" w:cs="Segoe UI" w:ascii="Segoe UI" w:hAnsi="Segoe UI"/>
          <w:color w:val="101820"/>
          <w:sz w:val="21"/>
        </w:rPr>
        <w:t xml:space="preserve"> This Agreement, the Order Forms and their schedules are the entire agreement on their subject matter and replace all earlier proposals, representations and understandings. Terms printed on purchase orders of the Client do not apply.</w:t>
      </w:r>
    </w:p>
    <w:p>
      <w:pPr>
        <w:pStyle w:val="Normal"/>
        <w:numPr>
          <w:ilvl w:val="0"/>
          <w:numId w:val="103"/>
        </w:numPr>
        <w:spacing w:before="0" w:after="60"/>
        <w:rPr/>
      </w:pPr>
      <w:r>
        <w:rPr>
          <w:rFonts w:eastAsia="Segoe UI" w:cs="Segoe UI" w:ascii="Segoe UI" w:hAnsi="Segoe UI"/>
          <w:b/>
          <w:color w:val="101820"/>
          <w:sz w:val="21"/>
        </w:rPr>
        <w:t>Amendment.</w:t>
      </w:r>
      <w:r>
        <w:rPr>
          <w:rFonts w:eastAsia="Segoe UI" w:cs="Segoe UI" w:ascii="Segoe UI" w:hAnsi="Segoe UI"/>
          <w:color w:val="101820"/>
          <w:sz w:val="21"/>
        </w:rPr>
        <w:t xml:space="preserve"> Changes are valid only if in writing and signed by authorised representatives of both Parties.</w:t>
      </w:r>
    </w:p>
    <w:p>
      <w:pPr>
        <w:pStyle w:val="Normal"/>
        <w:numPr>
          <w:ilvl w:val="0"/>
          <w:numId w:val="104"/>
        </w:numPr>
        <w:spacing w:before="0" w:after="60"/>
        <w:rPr/>
      </w:pPr>
      <w:r>
        <w:rPr>
          <w:rFonts w:eastAsia="Segoe UI" w:cs="Segoe UI" w:ascii="Segoe UI" w:hAnsi="Segoe UI"/>
          <w:b/>
          <w:color w:val="101820"/>
          <w:sz w:val="21"/>
        </w:rPr>
        <w:t>Waiver.</w:t>
      </w:r>
      <w:r>
        <w:rPr>
          <w:rFonts w:eastAsia="Segoe UI" w:cs="Segoe UI" w:ascii="Segoe UI" w:hAnsi="Segoe UI"/>
          <w:color w:val="101820"/>
          <w:sz w:val="21"/>
        </w:rPr>
        <w:t xml:space="preserve"> A failure or delay in exercising a right is not a waiver of it.</w:t>
      </w:r>
    </w:p>
    <w:p>
      <w:pPr>
        <w:pStyle w:val="Normal"/>
        <w:numPr>
          <w:ilvl w:val="0"/>
          <w:numId w:val="105"/>
        </w:numPr>
        <w:spacing w:before="0" w:after="60"/>
        <w:rPr/>
      </w:pPr>
      <w:r>
        <w:rPr>
          <w:rFonts w:eastAsia="Segoe UI" w:cs="Segoe UI" w:ascii="Segoe UI" w:hAnsi="Segoe UI"/>
          <w:b/>
          <w:color w:val="101820"/>
          <w:sz w:val="21"/>
        </w:rPr>
        <w:t>Severability.</w:t>
      </w:r>
      <w:r>
        <w:rPr>
          <w:rFonts w:eastAsia="Segoe UI" w:cs="Segoe UI" w:ascii="Segoe UI" w:hAnsi="Segoe UI"/>
          <w:color w:val="101820"/>
          <w:sz w:val="21"/>
        </w:rPr>
        <w:t xml:space="preserve"> If a provision is invalid or unenforceable, the rest of this Agreement remains in force and the Parties replace the provision with a valid one closest to its intent.</w:t>
      </w:r>
    </w:p>
    <w:p>
      <w:pPr>
        <w:pStyle w:val="Normal"/>
        <w:numPr>
          <w:ilvl w:val="0"/>
          <w:numId w:val="106"/>
        </w:numPr>
        <w:spacing w:before="0" w:after="60"/>
        <w:rPr/>
      </w:pPr>
      <w:r>
        <w:rPr>
          <w:rFonts w:eastAsia="Segoe UI" w:cs="Segoe UI" w:ascii="Segoe UI" w:hAnsi="Segoe UI"/>
          <w:b/>
          <w:color w:val="101820"/>
          <w:sz w:val="21"/>
        </w:rPr>
        <w:t>Independent contractors.</w:t>
      </w:r>
      <w:r>
        <w:rPr>
          <w:rFonts w:eastAsia="Segoe UI" w:cs="Segoe UI" w:ascii="Segoe UI" w:hAnsi="Segoe UI"/>
          <w:color w:val="101820"/>
          <w:sz w:val="21"/>
        </w:rPr>
        <w:t xml:space="preserve"> The Parties are independent contractors. Nothing creates a partnership, joint venture, agency or employment relationship. iorta TechNXT is solely responsible for the wages, benefits and statutory contributions of its personnel.</w:t>
      </w:r>
    </w:p>
    <w:p>
      <w:pPr>
        <w:pStyle w:val="Normal"/>
        <w:numPr>
          <w:ilvl w:val="0"/>
          <w:numId w:val="107"/>
        </w:numPr>
        <w:spacing w:before="0" w:after="60"/>
        <w:rPr/>
      </w:pPr>
      <w:r>
        <w:rPr>
          <w:rFonts w:eastAsia="Segoe UI" w:cs="Segoe UI" w:ascii="Segoe UI" w:hAnsi="Segoe UI"/>
          <w:b/>
          <w:color w:val="101820"/>
          <w:sz w:val="21"/>
        </w:rPr>
        <w:t>Electronic signatures and counterparts.</w:t>
      </w:r>
      <w:r>
        <w:rPr>
          <w:rFonts w:eastAsia="Segoe UI" w:cs="Segoe UI" w:ascii="Segoe UI" w:hAnsi="Segoe UI"/>
          <w:color w:val="101820"/>
          <w:sz w:val="21"/>
        </w:rPr>
        <w:t xml:space="preserve"> This Agreement and any Order Form may be signed in counterparts and by electronic signature, which the Parties accept as valid under RA 8792 (Electronic Commerce Act of 2000).</w:t>
      </w:r>
    </w:p>
    <w:p>
      <w:pPr>
        <w:pStyle w:val="Normal"/>
        <w:numPr>
          <w:ilvl w:val="0"/>
          <w:numId w:val="108"/>
        </w:numPr>
        <w:spacing w:before="0" w:after="60"/>
        <w:rPr/>
      </w:pPr>
      <w:r>
        <w:rPr>
          <w:rFonts w:eastAsia="Segoe UI" w:cs="Segoe UI" w:ascii="Segoe UI" w:hAnsi="Segoe UI"/>
          <w:b/>
          <w:color w:val="101820"/>
          <w:sz w:val="21"/>
        </w:rPr>
        <w:t>Publicity.</w:t>
      </w:r>
      <w:r>
        <w:rPr>
          <w:rFonts w:eastAsia="Segoe UI" w:cs="Segoe UI" w:ascii="Segoe UI" w:hAnsi="Segoe UI"/>
          <w:color w:val="101820"/>
          <w:sz w:val="21"/>
        </w:rPr>
        <w:t xml:space="preserve"> Neither Party uses the other's name or logo in publicity without written consent, except that iorta TechNXT may name the Client as a customer [if the Order Form includes a reference clause].</w:t>
      </w:r>
    </w:p>
    <w:p>
      <w:pPr>
        <w:pStyle w:val="Normal"/>
        <w:numPr>
          <w:ilvl w:val="0"/>
          <w:numId w:val="109"/>
        </w:numPr>
        <w:spacing w:before="0" w:after="60"/>
        <w:rPr/>
      </w:pPr>
      <w:r>
        <w:rPr>
          <w:rFonts w:eastAsia="Segoe UI" w:cs="Segoe UI" w:ascii="Segoe UI" w:hAnsi="Segoe UI"/>
          <w:b/>
          <w:color w:val="101820"/>
          <w:sz w:val="21"/>
        </w:rPr>
        <w:t>Anti-bribery.</w:t>
      </w:r>
      <w:r>
        <w:rPr>
          <w:rFonts w:eastAsia="Segoe UI" w:cs="Segoe UI" w:ascii="Segoe UI" w:hAnsi="Segoe UI"/>
          <w:color w:val="101820"/>
          <w:sz w:val="21"/>
        </w:rPr>
        <w:t xml:space="preserve"> Each Party complies with applicable anti-corruption laws, including RA 3019 (Anti-Graft and Corrupt Practices Act) where relevant, and does not offer or accept any improper payment in connection with this Agreement.</w:t>
      </w:r>
    </w:p>
    <w:p>
      <w:pPr>
        <w:pStyle w:val="Normal"/>
        <w:numPr>
          <w:ilvl w:val="0"/>
          <w:numId w:val="110"/>
        </w:numPr>
        <w:spacing w:before="0" w:after="60"/>
        <w:rPr/>
      </w:pPr>
      <w:r>
        <w:rPr>
          <w:rFonts w:eastAsia="Segoe UI" w:cs="Segoe UI" w:ascii="Segoe UI" w:hAnsi="Segoe UI"/>
          <w:b/>
          <w:color w:val="101820"/>
          <w:sz w:val="21"/>
        </w:rPr>
        <w:t>Anti-money laundering.</w:t>
      </w:r>
      <w:r>
        <w:rPr>
          <w:rFonts w:eastAsia="Segoe UI" w:cs="Segoe UI" w:ascii="Segoe UI" w:hAnsi="Segoe UI"/>
          <w:color w:val="101820"/>
          <w:sz w:val="21"/>
        </w:rPr>
        <w:t xml:space="preserve"> Each Party complies with RA 9160 (Anti-Money Laundering Act), as amended, in its own business. The Platform supports but does not perform the Client's AML obligations.</w:t>
      </w:r>
    </w:p>
    <w:p>
      <w:pPr>
        <w:pStyle w:val="Normal"/>
        <w:numPr>
          <w:ilvl w:val="0"/>
          <w:numId w:val="111"/>
        </w:numPr>
        <w:spacing w:before="0" w:after="60"/>
        <w:rPr/>
      </w:pPr>
      <w:r>
        <w:rPr>
          <w:rFonts w:eastAsia="Segoe UI" w:cs="Segoe UI" w:ascii="Segoe UI" w:hAnsi="Segoe UI"/>
          <w:b/>
          <w:color w:val="101820"/>
          <w:sz w:val="21"/>
        </w:rPr>
        <w:t>Costs.</w:t>
      </w:r>
      <w:r>
        <w:rPr>
          <w:rFonts w:eastAsia="Segoe UI" w:cs="Segoe UI" w:ascii="Segoe UI" w:hAnsi="Segoe UI"/>
          <w:color w:val="101820"/>
          <w:sz w:val="21"/>
        </w:rPr>
        <w:t xml:space="preserve"> Each Party bears its own costs of negotiating and signing this Agreement.</w:t>
      </w:r>
      <w:r>
        <w:br w:type="page"/>
      </w:r>
    </w:p>
    <w:p>
      <w:pPr>
        <w:pStyle w:val="Heading1"/>
        <w:rPr/>
      </w:pPr>
      <w:bookmarkStart w:id="40" w:name="__RefHeading___Toc154506_3949650649"/>
      <w:bookmarkEnd w:id="40"/>
      <w:r>
        <w:rPr>
          <w:rFonts w:eastAsia="Segoe UI" w:cs="Segoe UI" w:ascii="Segoe UI" w:hAnsi="Segoe UI"/>
          <w:b/>
          <w:color w:val="0F4761"/>
          <w:sz w:val="32"/>
        </w:rPr>
        <w:t>12.  Signatures</w:t>
      </w:r>
    </w:p>
    <w:p>
      <w:pPr>
        <w:pStyle w:val="Heading2"/>
        <w:rPr/>
      </w:pPr>
      <w:bookmarkStart w:id="41" w:name="__RefHeading___Toc154508_3949650649"/>
      <w:bookmarkEnd w:id="41"/>
      <w:r>
        <w:rPr>
          <w:rFonts w:eastAsia="Segoe UI" w:cs="Segoe UI"/>
          <w:b/>
          <w:color w:val="0F4761"/>
          <w:sz w:val="26"/>
        </w:rPr>
        <w:t>12.1  Signature blocks</w:t>
      </w:r>
    </w:p>
    <w:p>
      <w:pPr>
        <w:pStyle w:val="Normal"/>
        <w:spacing w:lineRule="auto" w:line="276" w:before="0" w:after="120"/>
        <w:rPr/>
      </w:pPr>
      <w:r>
        <w:rPr>
          <w:rFonts w:eastAsia="Segoe UI" w:cs="Segoe UI" w:ascii="Segoe UI" w:hAnsi="Segoe UI"/>
          <w:color w:val="101820"/>
          <w:sz w:val="21"/>
        </w:rPr>
        <w:t>Signed by the authorised representatives of the Parties on the date first written above.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 iorta TechNXT Corp.</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 [Client legal name]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____________________</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____________________</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Witness: ____________________</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Witness: ____________________</w:t>
            </w:r>
          </w:p>
        </w:tc>
      </w:tr>
    </w:tbl>
    <w:p>
      <w:pPr>
        <w:pStyle w:val="Normal"/>
        <w:spacing w:before="0" w:after="80"/>
        <w:rPr/>
      </w:pPr>
      <w:r>
        <w:rPr/>
      </w:r>
    </w:p>
    <w:p>
      <w:pPr>
        <w:pStyle w:val="Heading2"/>
        <w:rPr/>
      </w:pPr>
      <w:bookmarkStart w:id="42" w:name="__RefHeading___Toc154510_3949650649"/>
      <w:bookmarkEnd w:id="42"/>
      <w:r>
        <w:rPr>
          <w:rFonts w:eastAsia="Segoe UI" w:cs="Segoe UI"/>
          <w:b/>
          <w:color w:val="0F4761"/>
          <w:sz w:val="26"/>
        </w:rPr>
        <w:t>12.2  Acknowledgment</w:t>
      </w:r>
    </w:p>
    <w:p>
      <w:pPr>
        <w:pStyle w:val="Normal"/>
        <w:spacing w:lineRule="auto" w:line="276" w:before="0" w:after="120"/>
        <w:rPr/>
      </w:pPr>
      <w:r>
        <w:rPr>
          <w:rFonts w:eastAsia="Segoe UI" w:cs="Segoe UI" w:ascii="Segoe UI" w:hAnsi="Segoe UI"/>
          <w:color w:val="101820"/>
          <w:sz w:val="21"/>
        </w:rPr>
        <w:t>[Optional: notarial acknowledgment where the Parties choose to notarise this Agreement.]</w:t>
      </w:r>
    </w:p>
    <w:p>
      <w:pPr>
        <w:pStyle w:val="Normal"/>
        <w:spacing w:lineRule="auto" w:line="276" w:before="0" w:after="120"/>
        <w:rPr/>
      </w:pPr>
      <w:r>
        <w:rPr>
          <w:rFonts w:eastAsia="Segoe UI" w:cs="Segoe UI" w:ascii="Segoe UI" w:hAnsi="Segoe UI"/>
          <w:color w:val="101820"/>
          <w:sz w:val="21"/>
        </w:rPr>
        <w:t>REPUBLIC OF THE PHILIPPINES )</w:t>
      </w:r>
    </w:p>
    <w:p>
      <w:pPr>
        <w:pStyle w:val="Normal"/>
        <w:spacing w:lineRule="auto" w:line="276" w:before="0" w:after="120"/>
        <w:rPr/>
      </w:pPr>
      <w:r>
        <w:rPr>
          <w:rFonts w:eastAsia="Segoe UI" w:cs="Segoe UI" w:ascii="Segoe UI" w:hAnsi="Segoe UI"/>
          <w:color w:val="101820"/>
          <w:sz w:val="21"/>
        </w:rPr>
        <w:t>[CITY OF MAKATI / TAGUIG] ) S.S.</w:t>
      </w:r>
    </w:p>
    <w:p>
      <w:pPr>
        <w:pStyle w:val="Normal"/>
        <w:spacing w:lineRule="auto" w:line="276" w:before="0" w:after="120"/>
        <w:rPr/>
      </w:pPr>
      <w:r>
        <w:rPr>
          <w:rFonts w:eastAsia="Segoe UI" w:cs="Segoe UI" w:ascii="Segoe UI" w:hAnsi="Segoe UI"/>
          <w:color w:val="101820"/>
          <w:sz w:val="21"/>
        </w:rPr>
        <w:t>Before me, a Notary Public for and in [city], this [date], personally appeared:</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07"/>
        <w:gridCol w:w="3299"/>
        <w:gridCol w:w="2309"/>
      </w:tblGrid>
      <w:tr>
        <w:trPr>
          <w:tblHeader w:val="true"/>
        </w:trPr>
        <w:tc>
          <w:tcPr>
            <w:tcW w:w="34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Name</w:t>
            </w:r>
          </w:p>
        </w:tc>
        <w:tc>
          <w:tcPr>
            <w:tcW w:w="329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Competent evidence of identity</w:t>
            </w:r>
          </w:p>
        </w:tc>
        <w:tc>
          <w:tcPr>
            <w:tcW w:w="23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Date and place issued</w:t>
            </w:r>
          </w:p>
        </w:tc>
      </w:tr>
      <w:tr>
        <w:trPr/>
        <w:tc>
          <w:tcPr>
            <w:tcW w:w="3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for iorta TechNXT Corp.</w:t>
            </w:r>
          </w:p>
        </w:tc>
        <w:tc>
          <w:tcPr>
            <w:tcW w:w="32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[ID type and number]</w:t>
            </w:r>
          </w:p>
        </w:tc>
        <w:tc>
          <w:tcPr>
            <w:tcW w:w="23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place]</w:t>
            </w:r>
          </w:p>
        </w:tc>
      </w:tr>
      <w:tr>
        <w:trPr/>
        <w:tc>
          <w:tcPr>
            <w:tcW w:w="3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for [Client legal name]</w:t>
            </w:r>
          </w:p>
        </w:tc>
        <w:tc>
          <w:tcPr>
            <w:tcW w:w="32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[ID type and number]</w:t>
            </w:r>
          </w:p>
        </w:tc>
        <w:tc>
          <w:tcPr>
            <w:tcW w:w="23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place]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known to me to be the same persons who executed the foregoing Master Services Agreement, consisting of [number] pages including this page, and who acknowledged that it is their free and voluntary act and deed and that of the corporations they represent.</w:t>
      </w:r>
    </w:p>
    <w:p>
      <w:pPr>
        <w:pStyle w:val="Normal"/>
        <w:spacing w:lineRule="auto" w:line="276" w:before="0" w:after="120"/>
        <w:rPr/>
      </w:pPr>
      <w:r>
        <w:rPr>
          <w:rFonts w:eastAsia="Segoe UI" w:cs="Segoe UI" w:ascii="Segoe UI" w:hAnsi="Segoe UI"/>
          <w:color w:val="101820"/>
          <w:sz w:val="21"/>
        </w:rPr>
        <w:t>WITNESS MY HAND AND SEAL on the date and at the place first written above.</w:t>
      </w:r>
    </w:p>
    <w:p>
      <w:pPr>
        <w:pStyle w:val="Normal"/>
        <w:spacing w:lineRule="auto" w:line="276" w:before="0" w:after="120"/>
        <w:rPr/>
      </w:pPr>
      <w:r>
        <w:rPr>
          <w:rFonts w:eastAsia="Segoe UI" w:cs="Segoe UI" w:ascii="Segoe UI" w:hAnsi="Segoe UI"/>
          <w:color w:val="101820"/>
          <w:sz w:val="21"/>
        </w:rPr>
        <w:t>Notary Public. Doc. No. [ ]; Page No. [ ]; Book No. [ ]; Series of [year].</w:t>
      </w:r>
      <w:r>
        <w:br w:type="page"/>
      </w:r>
    </w:p>
    <w:p>
      <w:pPr>
        <w:pStyle w:val="Heading1"/>
        <w:rPr/>
      </w:pPr>
      <w:bookmarkStart w:id="43" w:name="__RefHeading___Toc154512_3949650649"/>
      <w:bookmarkEnd w:id="43"/>
      <w:r>
        <w:rPr>
          <w:rFonts w:eastAsia="Segoe UI" w:cs="Segoe UI" w:ascii="Segoe UI" w:hAnsi="Segoe UI"/>
          <w:b/>
          <w:color w:val="0F4761"/>
          <w:sz w:val="32"/>
        </w:rPr>
        <w:t>13.  Annex A: schedules and forms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Document</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Order Form</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purchase: products, model, Users, term, Fees, hosting, start date, schedules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Proposal Acceptance and Letter of Award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Client's acceptance of a proposal before the Order Form is signed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Perpetual Software Licence Agreement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Perpetual licence model</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Software Subscription Agreement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Subscription model</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 Statement of Work</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One-time implementation or onboarding</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Request Procedure and Form</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Changes to scope, plan, Deliverables or the Platform</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Annual Maintenance and Support Agreement and SLA</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AMC for the perpetual model; service levels for both models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and Infrastructure Services Agreement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 iorta TechNXT hosts the Platform</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Processing Agreement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Whenever iorta TechNXT processes Personal Data</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Service Catalogue and Rate Annex</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Order Form: services, units, rates and out-of-scope list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Customer Responsibilities and RACI Annex</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 the SOW and the Annual Maintenance and Support Agreement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Exit and Transition Plan</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Subscription and hosting: data return, deletion and transition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Code Escrow Agreement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Optional, perpetual licence only; three parties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Sign-off and Go-live Acceptance Certificates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sign-off and go-live under the SOW</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Exit and Handover to Support Certificate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 of hypercare, start of support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Mutual Non-Disclosure Agreement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demonstrations and discovery</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Contract Pack Index and Cover Letter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Which documents apply, signing order and checklists</w:t>
            </w:r>
          </w:p>
        </w:tc>
      </w:tr>
    </w:tbl>
    <w:p>
      <w:pPr>
        <w:pStyle w:val="Heading1"/>
        <w:tabs>
          <w:tab w:val="clear" w:pos="720"/>
          <w:tab w:val="left" w:pos="360" w:leader="none"/>
        </w:tabs>
        <w:spacing w:lineRule="auto" w:line="360"/>
        <w:ind w:hanging="0" w:left="0"/>
        <w:rPr>
          <w:rStyle w:val="BookTitle"/>
          <w:b w:val="false"/>
          <w:bCs w:val="false"/>
          <w:i w:val="false"/>
          <w:i w:val="false"/>
          <w:iCs w:val="false"/>
          <w:spacing w:val="0"/>
        </w:rPr>
      </w:pPr>
      <w:r>
        <w:br w:type="page"/>
      </w:r>
      <w:bookmarkStart w:id="44" w:name="__RefHeading___Toc154514_3949650649"/>
      <w:bookmarkStart w:id="45" w:name="_Toc233203395"/>
      <w:bookmarkEnd w:id="44"/>
      <w:r>
        <w:rPr>
          <w:rStyle w:val="BookTitle"/>
          <w:bCs w:val="false"/>
          <w:i w:val="false"/>
          <w:iCs w:val="false"/>
          <w:spacing w:val="0"/>
        </w:rPr>
        <w:t>14.  Document Sign-Off</w:t>
      </w:r>
      <w:bookmarkEnd w:id="45"/>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Review and completion by the parties' legal counsel before signature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8">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7">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7">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
    <w:lvlOverride w:ilvl="0">
      <w:startOverride w:val="1"/>
    </w:lvlOverride>
  </w:num>
  <w:num w:numId="26">
    <w:abstractNumId w:val="2"/>
    <w:lvlOverride w:ilvl="0">
      <w:startOverride w:val="1"/>
    </w:lvlOverride>
  </w:num>
  <w:num w:numId="27">
    <w:abstractNumId w:val="2"/>
  </w:num>
  <w:num w:numId="28">
    <w:abstractNumId w:val="2"/>
  </w:num>
  <w:num w:numId="29">
    <w:abstractNumId w:val="2"/>
  </w:num>
  <w:num w:numId="30">
    <w:abstractNumId w:val="2"/>
  </w:num>
  <w:num w:numId="31">
    <w:abstractNumId w:val="2"/>
    <w:lvlOverride w:ilvl="0">
      <w:startOverride w:val="1"/>
    </w:lvlOverride>
  </w:num>
  <w:num w:numId="32">
    <w:abstractNumId w:val="2"/>
  </w:num>
  <w:num w:numId="33">
    <w:abstractNumId w:val="2"/>
  </w:num>
  <w:num w:numId="34">
    <w:abstractNumId w:val="2"/>
    <w:lvlOverride w:ilvl="0">
      <w:startOverride w:val="1"/>
    </w:lvlOverride>
  </w:num>
  <w:num w:numId="35">
    <w:abstractNumId w:val="2"/>
  </w:num>
  <w:num w:numId="36">
    <w:abstractNumId w:val="2"/>
  </w:num>
  <w:num w:numId="37">
    <w:abstractNumId w:val="2"/>
    <w:lvlOverride w:ilvl="0">
      <w:startOverride w:val="1"/>
    </w:lvlOverride>
  </w:num>
  <w:num w:numId="38">
    <w:abstractNumId w:val="2"/>
  </w:num>
  <w:num w:numId="39">
    <w:abstractNumId w:val="2"/>
  </w:num>
  <w:num w:numId="40">
    <w:abstractNumId w:val="2"/>
    <w:lvlOverride w:ilvl="0">
      <w:startOverride w:val="1"/>
    </w:lvlOverride>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lvlOverride w:ilvl="0">
      <w:startOverride w:val="1"/>
    </w:lvlOverride>
  </w:num>
  <w:num w:numId="49">
    <w:abstractNumId w:val="2"/>
  </w:num>
  <w:num w:numId="50">
    <w:abstractNumId w:val="2"/>
  </w:num>
  <w:num w:numId="51">
    <w:abstractNumId w:val="2"/>
    <w:lvlOverride w:ilvl="0">
      <w:startOverride w:val="1"/>
    </w:lvlOverride>
  </w:num>
  <w:num w:numId="52">
    <w:abstractNumId w:val="2"/>
  </w:num>
  <w:num w:numId="53">
    <w:abstractNumId w:val="2"/>
  </w:num>
  <w:num w:numId="54">
    <w:abstractNumId w:val="2"/>
  </w:num>
  <w:num w:numId="55">
    <w:abstractNumId w:val="2"/>
  </w:num>
  <w:num w:numId="56">
    <w:abstractNumId w:val="2"/>
  </w:num>
  <w:num w:numId="57">
    <w:abstractNumId w:val="2"/>
    <w:lvlOverride w:ilvl="0">
      <w:startOverride w:val="1"/>
    </w:lvlOverride>
  </w:num>
  <w:num w:numId="58">
    <w:abstractNumId w:val="2"/>
  </w:num>
  <w:num w:numId="59">
    <w:abstractNumId w:val="2"/>
  </w:num>
  <w:num w:numId="60">
    <w:abstractNumId w:val="2"/>
    <w:lvlOverride w:ilvl="0">
      <w:startOverride w:val="1"/>
    </w:lvlOverride>
  </w:num>
  <w:num w:numId="61">
    <w:abstractNumId w:val="2"/>
  </w:num>
  <w:num w:numId="62">
    <w:abstractNumId w:val="2"/>
  </w:num>
  <w:num w:numId="63">
    <w:abstractNumId w:val="2"/>
    <w:lvlOverride w:ilvl="0">
      <w:startOverride w:val="1"/>
    </w:lvlOverride>
  </w:num>
  <w:num w:numId="64">
    <w:abstractNumId w:val="2"/>
  </w:num>
  <w:num w:numId="65">
    <w:abstractNumId w:val="2"/>
  </w:num>
  <w:num w:numId="66">
    <w:abstractNumId w:val="2"/>
  </w:num>
  <w:num w:numId="67">
    <w:abstractNumId w:val="2"/>
  </w:num>
  <w:num w:numId="68">
    <w:abstractNumId w:val="2"/>
    <w:lvlOverride w:ilvl="0">
      <w:startOverride w:val="1"/>
    </w:lvlOverride>
  </w:num>
  <w:num w:numId="69">
    <w:abstractNumId w:val="2"/>
  </w:num>
  <w:num w:numId="70">
    <w:abstractNumId w:val="2"/>
  </w:num>
  <w:num w:numId="71">
    <w:abstractNumId w:val="2"/>
    <w:lvlOverride w:ilvl="0">
      <w:startOverride w:val="1"/>
    </w:lvlOverride>
  </w:num>
  <w:num w:numId="72">
    <w:abstractNumId w:val="2"/>
  </w:num>
  <w:num w:numId="73">
    <w:abstractNumId w:val="2"/>
    <w:lvlOverride w:ilvl="0">
      <w:startOverride w:val="1"/>
    </w:lvlOverride>
  </w:num>
  <w:num w:numId="74">
    <w:abstractNumId w:val="2"/>
  </w:num>
  <w:num w:numId="75">
    <w:abstractNumId w:val="2"/>
  </w:num>
  <w:num w:numId="76">
    <w:abstractNumId w:val="2"/>
    <w:lvlOverride w:ilvl="0">
      <w:startOverride w:val="1"/>
    </w:lvlOverride>
  </w:num>
  <w:num w:numId="77">
    <w:abstractNumId w:val="2"/>
  </w:num>
  <w:num w:numId="78">
    <w:abstractNumId w:val="2"/>
  </w:num>
  <w:num w:numId="79">
    <w:abstractNumId w:val="2"/>
  </w:num>
  <w:num w:numId="80">
    <w:abstractNumId w:val="2"/>
  </w:num>
  <w:num w:numId="81">
    <w:abstractNumId w:val="2"/>
    <w:lvlOverride w:ilvl="0">
      <w:startOverride w:val="1"/>
    </w:lvlOverride>
  </w:num>
  <w:num w:numId="82">
    <w:abstractNumId w:val="2"/>
  </w:num>
  <w:num w:numId="83">
    <w:abstractNumId w:val="2"/>
  </w:num>
  <w:num w:numId="84">
    <w:abstractNumId w:val="2"/>
  </w:num>
  <w:num w:numId="85">
    <w:abstractNumId w:val="2"/>
    <w:lvlOverride w:ilvl="0">
      <w:startOverride w:val="1"/>
    </w:lvlOverride>
  </w:num>
  <w:num w:numId="86">
    <w:abstractNumId w:val="2"/>
  </w:num>
  <w:num w:numId="87">
    <w:abstractNumId w:val="2"/>
  </w:num>
  <w:num w:numId="88">
    <w:abstractNumId w:val="2"/>
  </w:num>
  <w:num w:numId="89">
    <w:abstractNumId w:val="2"/>
  </w:num>
  <w:num w:numId="90">
    <w:abstractNumId w:val="2"/>
    <w:lvlOverride w:ilvl="0">
      <w:startOverride w:val="1"/>
    </w:lvlOverride>
  </w:num>
  <w:num w:numId="91">
    <w:abstractNumId w:val="2"/>
  </w:num>
  <w:num w:numId="92">
    <w:abstractNumId w:val="2"/>
  </w:num>
  <w:num w:numId="93">
    <w:abstractNumId w:val="2"/>
    <w:lvlOverride w:ilvl="0">
      <w:startOverride w:val="1"/>
    </w:lvlOverride>
  </w:num>
  <w:num w:numId="94">
    <w:abstractNumId w:val="2"/>
  </w:num>
  <w:num w:numId="95">
    <w:abstractNumId w:val="2"/>
  </w:num>
  <w:num w:numId="96">
    <w:abstractNumId w:val="2"/>
  </w:num>
  <w:num w:numId="97">
    <w:abstractNumId w:val="2"/>
    <w:lvlOverride w:ilvl="0">
      <w:startOverride w:val="1"/>
    </w:lvlOverride>
  </w:num>
  <w:num w:numId="98">
    <w:abstractNumId w:val="2"/>
  </w:num>
  <w:num w:numId="99">
    <w:abstractNumId w:val="2"/>
  </w:num>
  <w:num w:numId="100">
    <w:abstractNumId w:val="2"/>
    <w:lvlOverride w:ilvl="0">
      <w:startOverride w:val="1"/>
    </w:lvlOverride>
  </w:num>
  <w:num w:numId="101">
    <w:abstractNumId w:val="2"/>
  </w:num>
  <w:num w:numId="102">
    <w:abstractNumId w:val="2"/>
    <w:lvlOverride w:ilvl="0">
      <w:startOverride w:val="1"/>
    </w:lvlOverride>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2026-10-03T20:29:34Z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