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8.xml" ContentType="application/vnd.openxmlformats-officedocument.wordprocessingml.header+xml"/>
  <Override PartName="/word/footer5.xml" ContentType="application/vnd.openxmlformats-officedocument.wordprocessingml.footer+xml"/>
  <Override PartName="/word/header17.xml" ContentType="application/vnd.openxmlformats-officedocument.wordprocessingml.header+xml"/>
  <Override PartName="/word/header1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header3.xml" ContentType="application/vnd.openxmlformats-officedocument.wordprocessingml.header+xml"/>
  <Override PartName="/word/footer19.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footer15.xml" ContentType="application/vnd.openxmlformats-officedocument.wordprocessingml.footer+xml"/>
  <Override PartName="/word/header23.xml" ContentType="application/vnd.openxmlformats-officedocument.wordprocessingml.header+xml"/>
  <Override PartName="/word/footer16.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numbering.xml" ContentType="application/vnd.openxmlformats-officedocument.wordprocessingml.numbering+xml"/>
  <Override PartName="/word/footer20.xml" ContentType="application/vnd.openxmlformats-officedocument.wordprocessingml.footer+xml"/>
  <Override PartName="/word/header22.xml" ContentType="application/vnd.openxmlformats-officedocument.wordprocessingml.header+xml"/>
  <Override PartName="/word/footer14.xml" ContentType="application/vnd.openxmlformats-officedocument.wordprocessingml.footer+xml"/>
  <Override PartName="/word/footer23.xml" ContentType="application/vnd.openxmlformats-officedocument.wordprocessingml.footer+xml"/>
  <Override PartName="/word/footer22.xml" ContentType="application/vnd.openxmlformats-officedocument.wordprocessingml.footer+xml"/>
  <Override PartName="/word/styles.xml" ContentType="application/vnd.openxmlformats-officedocument.wordprocessingml.styles+xml"/>
  <Override PartName="/word/footer2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footer18.xml" ContentType="application/vnd.openxmlformats-officedocument.wordprocessingml.footer+xml"/>
  <Override PartName="/word/header11.xml" ContentType="application/vnd.openxmlformats-officedocument.wordprocessingml.header+xml"/>
  <Override PartName="/word/header2.xml" ContentType="application/vnd.openxmlformats-officedocument.wordprocessingml.header+xml"/>
  <Override PartName="/word/header10.xml" ContentType="application/vnd.openxmlformats-officedocument.wordprocessingml.header+xml"/>
  <Override PartName="/word/footer17.xml" ContentType="application/vnd.openxmlformats-officedocument.wordprocessingml.footer+xml"/>
  <Override PartName="/word/header1.xml" ContentType="application/vnd.openxmlformats-officedocument.wordprocessingml.header+xml"/>
  <Override PartName="/word/header1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header16.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15.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w:t>
            </w:r>
          </w:p>
          <w:p>
            <w:pPr>
              <w:pStyle w:val="Normal"/>
              <w:spacing w:before="0" w:after="440"/>
              <w:rPr/>
            </w:pPr>
            <w:r>
              <w:rPr>
                <w:rFonts w:eastAsia="Nunito" w:cs="Nunito"/>
                <w:color w:val="EAF6FD"/>
                <w:sz w:val="26"/>
              </w:rPr>
              <w:t>Out-of-the-box insurance broking platform</w:t>
            </w:r>
          </w:p>
          <w:p>
            <w:pPr>
              <w:pStyle w:val="Normal"/>
              <w:spacing w:before="0" w:after="80"/>
              <w:rPr/>
            </w:pPr>
            <w:r>
              <w:rPr>
                <w:rFonts w:eastAsia="Nunito" w:cs="Nunito"/>
                <w:b/>
                <w:color w:val="9FDDF8"/>
                <w:sz w:val="24"/>
              </w:rPr>
              <w:t>Solution Architecture  ·  Document 02 of 11</w:t>
            </w:r>
          </w:p>
          <w:p>
            <w:pPr>
              <w:pStyle w:val="Normal"/>
              <w:widowControl/>
              <w:bidi w:val="0"/>
              <w:spacing w:lineRule="auto" w:line="264" w:before="0" w:after="100"/>
              <w:jc w:val="left"/>
              <w:rPr/>
            </w:pPr>
            <w:r>
              <w:rPr>
                <w:rFonts w:eastAsia="Nunito" w:cs="Nunito"/>
                <w:b/>
                <w:color w:val="FFFFFF"/>
                <w:sz w:val="50"/>
              </w:rPr>
              <w:t>Database Design</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02  Database Design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Solution Architecture: 02 Database Design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docker-compose.yml, render.yaml,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4571_3826153650">
            <w:r>
              <w:rPr>
                <w:webHidden/>
                <w:rStyle w:val="IndexLink"/>
              </w:rPr>
              <w:t>1 Introduction</w:t>
              <w:tab/>
              <w:t>4</w:t>
            </w:r>
          </w:hyperlink>
        </w:p>
        <w:p>
          <w:pPr>
            <w:pStyle w:val="TOC2"/>
            <w:tabs>
              <w:tab w:val="clear" w:pos="9355"/>
              <w:tab w:val="right" w:pos="9637" w:leader="dot"/>
            </w:tabs>
            <w:rPr/>
          </w:pPr>
          <w:hyperlink w:anchor="__RefHeading___Toc4573_3826153650">
            <w:r>
              <w:rPr>
                <w:webHidden/>
                <w:rStyle w:val="IndexLink"/>
              </w:rPr>
              <w:t>1.1 Purpose and scope</w:t>
              <w:tab/>
              <w:t>4</w:t>
            </w:r>
          </w:hyperlink>
        </w:p>
        <w:p>
          <w:pPr>
            <w:pStyle w:val="TOC2"/>
            <w:tabs>
              <w:tab w:val="clear" w:pos="9355"/>
              <w:tab w:val="right" w:pos="9637" w:leader="dot"/>
            </w:tabs>
            <w:rPr/>
          </w:pPr>
          <w:hyperlink w:anchor="__RefHeading___Toc4575_3826153650">
            <w:r>
              <w:rPr>
                <w:webHidden/>
                <w:rStyle w:val="IndexLink"/>
              </w:rPr>
              <w:t>1.2 Database platform</w:t>
              <w:tab/>
              <w:t>4</w:t>
            </w:r>
          </w:hyperlink>
        </w:p>
        <w:p>
          <w:pPr>
            <w:pStyle w:val="TOC1"/>
            <w:tabs>
              <w:tab w:val="clear" w:pos="9638"/>
              <w:tab w:val="right" w:pos="9637" w:leader="dot"/>
            </w:tabs>
            <w:rPr/>
          </w:pPr>
          <w:hyperlink w:anchor="__RefHeading___Toc4577_3826153650">
            <w:r>
              <w:rPr>
                <w:webHidden/>
                <w:rStyle w:val="IndexLink"/>
              </w:rPr>
              <w:t>2 Schema overview by domain</w:t>
              <w:tab/>
              <w:t>5</w:t>
            </w:r>
          </w:hyperlink>
        </w:p>
        <w:p>
          <w:pPr>
            <w:pStyle w:val="TOC1"/>
            <w:tabs>
              <w:tab w:val="clear" w:pos="9638"/>
              <w:tab w:val="right" w:pos="9637" w:leader="dot"/>
            </w:tabs>
            <w:rPr/>
          </w:pPr>
          <w:hyperlink w:anchor="__RefHeading___Toc4579_3826153650">
            <w:r>
              <w:rPr>
                <w:webHidden/>
                <w:rStyle w:val="IndexLink"/>
              </w:rPr>
              <w:t>3 Design conventions</w:t>
              <w:tab/>
              <w:t>6</w:t>
            </w:r>
          </w:hyperlink>
        </w:p>
        <w:p>
          <w:pPr>
            <w:pStyle w:val="TOC2"/>
            <w:tabs>
              <w:tab w:val="clear" w:pos="9355"/>
              <w:tab w:val="right" w:pos="9637" w:leader="dot"/>
            </w:tabs>
            <w:rPr/>
          </w:pPr>
          <w:hyperlink w:anchor="__RefHeading___Toc4581_3826153650">
            <w:r>
              <w:rPr>
                <w:webHidden/>
                <w:rStyle w:val="IndexLink"/>
              </w:rPr>
              <w:t>3.1 Keys</w:t>
              <w:tab/>
              <w:t>6</w:t>
            </w:r>
          </w:hyperlink>
        </w:p>
        <w:p>
          <w:pPr>
            <w:pStyle w:val="TOC2"/>
            <w:tabs>
              <w:tab w:val="clear" w:pos="9355"/>
              <w:tab w:val="right" w:pos="9637" w:leader="dot"/>
            </w:tabs>
            <w:rPr/>
          </w:pPr>
          <w:hyperlink w:anchor="__RefHeading___Toc4583_3826153650">
            <w:r>
              <w:rPr>
                <w:webHidden/>
                <w:rStyle w:val="IndexLink"/>
              </w:rPr>
              <w:t>3.2 Column types</w:t>
              <w:tab/>
              <w:t>6</w:t>
            </w:r>
          </w:hyperlink>
        </w:p>
        <w:p>
          <w:pPr>
            <w:pStyle w:val="TOC2"/>
            <w:tabs>
              <w:tab w:val="clear" w:pos="9355"/>
              <w:tab w:val="right" w:pos="9637" w:leader="dot"/>
            </w:tabs>
            <w:rPr/>
          </w:pPr>
          <w:hyperlink w:anchor="__RefHeading___Toc4585_3826153650">
            <w:r>
              <w:rPr>
                <w:webHidden/>
                <w:rStyle w:val="IndexLink"/>
              </w:rPr>
              <w:t>3.3 JSONB document columns</w:t>
              <w:tab/>
              <w:t>6</w:t>
            </w:r>
          </w:hyperlink>
        </w:p>
        <w:p>
          <w:pPr>
            <w:pStyle w:val="TOC2"/>
            <w:tabs>
              <w:tab w:val="clear" w:pos="9355"/>
              <w:tab w:val="right" w:pos="9637" w:leader="dot"/>
            </w:tabs>
            <w:rPr/>
          </w:pPr>
          <w:hyperlink w:anchor="__RefHeading___Toc4587_3826153650">
            <w:r>
              <w:rPr>
                <w:webHidden/>
                <w:rStyle w:val="IndexLink"/>
              </w:rPr>
              <w:t>3.4 Document numbering</w:t>
              <w:tab/>
              <w:t>7</w:t>
            </w:r>
          </w:hyperlink>
        </w:p>
        <w:p>
          <w:pPr>
            <w:pStyle w:val="TOC2"/>
            <w:tabs>
              <w:tab w:val="clear" w:pos="9355"/>
              <w:tab w:val="right" w:pos="9637" w:leader="dot"/>
            </w:tabs>
            <w:rPr/>
          </w:pPr>
          <w:hyperlink w:anchor="__RefHeading___Toc4589_3826153650">
            <w:r>
              <w:rPr>
                <w:webHidden/>
                <w:rStyle w:val="IndexLink"/>
              </w:rPr>
              <w:t>3.5 Audit, history and soft delete</w:t>
              <w:tab/>
              <w:t>8</w:t>
            </w:r>
          </w:hyperlink>
        </w:p>
        <w:p>
          <w:pPr>
            <w:pStyle w:val="TOC2"/>
            <w:tabs>
              <w:tab w:val="clear" w:pos="9355"/>
              <w:tab w:val="right" w:pos="9637" w:leader="dot"/>
            </w:tabs>
            <w:rPr/>
          </w:pPr>
          <w:hyperlink w:anchor="__RefHeading___Toc4591_3826153650">
            <w:r>
              <w:rPr>
                <w:webHidden/>
                <w:rStyle w:val="IndexLink"/>
              </w:rPr>
              <w:t>3.6 Constraints and indexes</w:t>
              <w:tab/>
              <w:t>8</w:t>
            </w:r>
          </w:hyperlink>
        </w:p>
        <w:p>
          <w:pPr>
            <w:pStyle w:val="TOC1"/>
            <w:tabs>
              <w:tab w:val="clear" w:pos="9638"/>
              <w:tab w:val="right" w:pos="9637" w:leader="dot"/>
            </w:tabs>
            <w:rPr/>
          </w:pPr>
          <w:hyperlink w:anchor="__RefHeading___Toc4593_3826153650">
            <w:r>
              <w:rPr>
                <w:webHidden/>
                <w:rStyle w:val="IndexLink"/>
              </w:rPr>
              <w:t>4 Entity-relationship diagrams</w:t>
              <w:tab/>
              <w:t>10</w:t>
            </w:r>
          </w:hyperlink>
        </w:p>
        <w:p>
          <w:pPr>
            <w:pStyle w:val="TOC2"/>
            <w:tabs>
              <w:tab w:val="clear" w:pos="9355"/>
              <w:tab w:val="right" w:pos="9637" w:leader="dot"/>
            </w:tabs>
            <w:rPr/>
          </w:pPr>
          <w:hyperlink w:anchor="__RefHeading___Toc4595_3826153650">
            <w:r>
              <w:rPr>
                <w:webHidden/>
                <w:rStyle w:val="IndexLink"/>
              </w:rPr>
              <w:t>4.1 Sales and policy</w:t>
              <w:tab/>
              <w:t>11</w:t>
            </w:r>
          </w:hyperlink>
        </w:p>
        <w:p>
          <w:pPr>
            <w:pStyle w:val="TOC2"/>
            <w:tabs>
              <w:tab w:val="clear" w:pos="9355"/>
              <w:tab w:val="right" w:pos="9637" w:leader="dot"/>
            </w:tabs>
            <w:rPr/>
          </w:pPr>
          <w:hyperlink w:anchor="__RefHeading___Toc4597_3826153650">
            <w:r>
              <w:rPr>
                <w:webHidden/>
                <w:rStyle w:val="IndexLink"/>
              </w:rPr>
              <w:t>4.2 Renewals</w:t>
              <w:tab/>
              <w:t>12</w:t>
            </w:r>
          </w:hyperlink>
        </w:p>
        <w:p>
          <w:pPr>
            <w:pStyle w:val="TOC2"/>
            <w:tabs>
              <w:tab w:val="clear" w:pos="9355"/>
              <w:tab w:val="right" w:pos="9637" w:leader="dot"/>
            </w:tabs>
            <w:rPr/>
          </w:pPr>
          <w:hyperlink w:anchor="__RefHeading___Toc4599_3826153650">
            <w:r>
              <w:rPr>
                <w:webHidden/>
                <w:rStyle w:val="IndexLink"/>
              </w:rPr>
              <w:t>4.3 Billing, receipts and ledger</w:t>
              <w:tab/>
              <w:t>14</w:t>
            </w:r>
          </w:hyperlink>
        </w:p>
        <w:p>
          <w:pPr>
            <w:pStyle w:val="TOC2"/>
            <w:tabs>
              <w:tab w:val="clear" w:pos="9355"/>
              <w:tab w:val="right" w:pos="9637" w:leader="dot"/>
            </w:tabs>
            <w:rPr/>
          </w:pPr>
          <w:hyperlink w:anchor="__RefHeading___Toc4601_3826153650">
            <w:r>
              <w:rPr>
                <w:webHidden/>
                <w:rStyle w:val="IndexLink"/>
              </w:rPr>
              <w:t>4.4 Disbursements and petty cash</w:t>
              <w:tab/>
              <w:t>14</w:t>
            </w:r>
          </w:hyperlink>
        </w:p>
        <w:p>
          <w:pPr>
            <w:pStyle w:val="TOC2"/>
            <w:tabs>
              <w:tab w:val="clear" w:pos="9355"/>
              <w:tab w:val="right" w:pos="9637" w:leader="dot"/>
            </w:tabs>
            <w:rPr/>
          </w:pPr>
          <w:hyperlink w:anchor="__RefHeading___Toc4603_3826153650">
            <w:r>
              <w:rPr>
                <w:webHidden/>
                <w:rStyle w:val="IndexLink"/>
              </w:rPr>
              <w:t>4.5 Commission and incentive</w:t>
              <w:tab/>
              <w:t>16</w:t>
            </w:r>
          </w:hyperlink>
        </w:p>
        <w:p>
          <w:pPr>
            <w:pStyle w:val="TOC2"/>
            <w:tabs>
              <w:tab w:val="clear" w:pos="9355"/>
              <w:tab w:val="right" w:pos="9637" w:leader="dot"/>
            </w:tabs>
            <w:rPr/>
          </w:pPr>
          <w:hyperlink w:anchor="__RefHeading___Toc4605_3826153650">
            <w:r>
              <w:rPr>
                <w:webHidden/>
                <w:rStyle w:val="IndexLink"/>
              </w:rPr>
              <w:t>4.6 Claims</w:t>
              <w:tab/>
              <w:t>18</w:t>
            </w:r>
          </w:hyperlink>
        </w:p>
        <w:p>
          <w:pPr>
            <w:pStyle w:val="TOC2"/>
            <w:tabs>
              <w:tab w:val="clear" w:pos="9355"/>
              <w:tab w:val="right" w:pos="9637" w:leader="dot"/>
            </w:tabs>
            <w:rPr/>
          </w:pPr>
          <w:hyperlink w:anchor="__RefHeading___Toc4607_3826153650">
            <w:r>
              <w:rPr>
                <w:webHidden/>
                <w:rStyle w:val="IndexLink"/>
              </w:rPr>
              <w:t>4.7 Remittance and direct bill</w:t>
              <w:tab/>
              <w:t>18</w:t>
            </w:r>
          </w:hyperlink>
        </w:p>
        <w:p>
          <w:pPr>
            <w:pStyle w:val="TOC2"/>
            <w:tabs>
              <w:tab w:val="clear" w:pos="9355"/>
              <w:tab w:val="right" w:pos="9637" w:leader="dot"/>
            </w:tabs>
            <w:rPr/>
          </w:pPr>
          <w:hyperlink w:anchor="__RefHeading___Toc4609_3826153650">
            <w:r>
              <w:rPr>
                <w:webHidden/>
                <w:rStyle w:val="IndexLink"/>
              </w:rPr>
              <w:t>4.8 Reinsurance</w:t>
              <w:tab/>
              <w:t>20</w:t>
            </w:r>
          </w:hyperlink>
        </w:p>
        <w:p>
          <w:pPr>
            <w:pStyle w:val="TOC2"/>
            <w:tabs>
              <w:tab w:val="clear" w:pos="9355"/>
              <w:tab w:val="right" w:pos="9637" w:leader="dot"/>
            </w:tabs>
            <w:rPr/>
          </w:pPr>
          <w:hyperlink w:anchor="__RefHeading___Toc4611_3826153650">
            <w:r>
              <w:rPr>
                <w:webHidden/>
                <w:rStyle w:val="IndexLink"/>
              </w:rPr>
              <w:t>4.9 Configuration, security and platform</w:t>
              <w:tab/>
              <w:t>20</w:t>
            </w:r>
          </w:hyperlink>
        </w:p>
        <w:p>
          <w:pPr>
            <w:pStyle w:val="TOC2"/>
            <w:tabs>
              <w:tab w:val="clear" w:pos="9355"/>
              <w:tab w:val="right" w:pos="9637" w:leader="dot"/>
            </w:tabs>
            <w:rPr/>
          </w:pPr>
          <w:hyperlink w:anchor="__RefHeading___Toc4613_3826153650">
            <w:r>
              <w:rPr>
                <w:webHidden/>
                <w:rStyle w:val="IndexLink"/>
              </w:rPr>
              <w:t>4.10 Reference masters and product configurator</w:t>
              <w:tab/>
              <w:t>23</w:t>
            </w:r>
          </w:hyperlink>
        </w:p>
        <w:p>
          <w:pPr>
            <w:pStyle w:val="TOC1"/>
            <w:tabs>
              <w:tab w:val="clear" w:pos="9638"/>
              <w:tab w:val="right" w:pos="9637" w:leader="dot"/>
            </w:tabs>
            <w:rPr/>
          </w:pPr>
          <w:hyperlink w:anchor="__RefHeading___Toc4615_3826153650">
            <w:r>
              <w:rPr>
                <w:webHidden/>
                <w:rStyle w:val="IndexLink"/>
              </w:rPr>
              <w:t>5 Migrations</w:t>
              <w:tab/>
              <w:t>25</w:t>
            </w:r>
          </w:hyperlink>
        </w:p>
        <w:p>
          <w:pPr>
            <w:pStyle w:val="TOC1"/>
            <w:tabs>
              <w:tab w:val="clear" w:pos="9638"/>
              <w:tab w:val="right" w:pos="9637" w:leader="dot"/>
            </w:tabs>
            <w:rPr/>
          </w:pPr>
          <w:hyperlink w:anchor="__RefHeading___Toc4617_3826153650">
            <w:r>
              <w:rPr>
                <w:webHidden/>
                <w:rStyle w:val="IndexLink"/>
              </w:rPr>
              <w:t>6 Seed data</w:t>
              <w:tab/>
              <w:t>26</w:t>
            </w:r>
          </w:hyperlink>
        </w:p>
        <w:p>
          <w:pPr>
            <w:pStyle w:val="TOC1"/>
            <w:tabs>
              <w:tab w:val="clear" w:pos="9638"/>
              <w:tab w:val="right" w:pos="9637" w:leader="dot"/>
            </w:tabs>
            <w:rPr/>
          </w:pPr>
          <w:hyperlink w:anchor="__RefHeading___Toc4619_3826153650">
            <w:r>
              <w:rPr>
                <w:webHidden/>
                <w:rStyle w:val="IndexLink"/>
              </w:rPr>
              <w:t>7 Time zone, date and amount handling</w:t>
              <w:tab/>
              <w:t>27</w:t>
            </w:r>
          </w:hyperlink>
        </w:p>
        <w:p>
          <w:pPr>
            <w:pStyle w:val="TOC1"/>
            <w:tabs>
              <w:tab w:val="clear" w:pos="9638"/>
              <w:tab w:val="right" w:pos="9637" w:leader="dot"/>
            </w:tabs>
            <w:rPr/>
          </w:pPr>
          <w:hyperlink w:anchor="__RefHeading___Toc4621_3826153650">
            <w:r>
              <w:rPr>
                <w:webHidden/>
                <w:rStyle w:val="IndexLink"/>
              </w:rPr>
              <w:t>8 Related documents</w:t>
              <w:tab/>
              <w:t>28</w:t>
            </w:r>
          </w:hyperlink>
        </w:p>
        <w:p>
          <w:pPr>
            <w:pStyle w:val="TOC1"/>
            <w:tabs>
              <w:tab w:val="clear" w:pos="9638"/>
              <w:tab w:val="right" w:pos="9637" w:leader="dot"/>
            </w:tabs>
            <w:rPr/>
          </w:pPr>
          <w:hyperlink w:anchor="__RefHeading___Toc4623_3826153650">
            <w:r>
              <w:rPr>
                <w:webHidden/>
                <w:rStyle w:val="IndexLink"/>
              </w:rPr>
              <w:t>9 Glossary</w:t>
              <w:tab/>
              <w:t>29</w:t>
            </w:r>
          </w:hyperlink>
          <w:r>
            <w:rPr>
              <w:rStyle w:val="IndexLink"/>
            </w:rPr>
            <w:fldChar w:fldCharType="end"/>
          </w:r>
        </w:p>
      </w:sdtContent>
    </w:sdt>
    <w:p>
      <w:pPr>
        <w:pStyle w:val="Heading1"/>
        <w:pBdr>
          <w:bottom w:val="single" w:sz="12" w:space="6" w:color="00ACF1"/>
        </w:pBdr>
        <w:rPr/>
      </w:pPr>
      <w:r>
        <w:br w:type="page"/>
      </w:r>
      <w:bookmarkStart w:id="0" w:name="__RefHeading___Toc4571_3826153650"/>
      <w:bookmarkEnd w:id="0"/>
      <w:r>
        <w:rPr>
          <w:rFonts w:eastAsia="Nunito" w:cs="Nunito" w:ascii="Nunito" w:hAnsi="Nunito"/>
        </w:rPr>
        <w:t>1  Introduction</w:t>
      </w:r>
    </w:p>
    <w:p>
      <w:pPr>
        <w:pStyle w:val="Heading2"/>
        <w:rPr/>
      </w:pPr>
      <w:bookmarkStart w:id="1" w:name="__RefHeading___Toc4573_3826153650"/>
      <w:bookmarkEnd w:id="1"/>
      <w:r>
        <w:rPr>
          <w:rFonts w:eastAsia="Nunito" w:cs="Nunito" w:ascii="Nunito" w:hAnsi="Nunito"/>
        </w:rPr>
        <w:t>1.1  Purpose and scope</w:t>
      </w:r>
    </w:p>
    <w:p>
      <w:pPr>
        <w:pStyle w:val="Normal"/>
        <w:rPr/>
      </w:pPr>
      <w:r>
        <w:rPr>
          <w:rFonts w:eastAsia="Nunito" w:cs="Nunito"/>
        </w:rPr>
        <w:t>This document describes the logical and physical design of the BrokerVerse database: the schema organised by business domain, the entity-relationship structure of each domain, the key tables and their keys, the use of JSONB document columns, document numbering, audit and soft-delete conventions, the migration and seed approach, and the handling of time zones, dates and amounts. The table-by-table inventory with sizes, row counts and retention classes is document 03.</w:t>
      </w:r>
    </w:p>
    <w:p>
      <w:pPr>
        <w:pStyle w:val="Normal"/>
        <w:rPr/>
      </w:pPr>
      <w:r>
        <w:rPr>
          <w:rFonts w:eastAsia="Nunito" w:cs="Nunito"/>
        </w:rPr>
        <w:t xml:space="preserve">Sources: </w:t>
      </w:r>
      <w:r>
        <w:rPr>
          <w:rFonts w:eastAsia="Liberation Mono" w:cs="Liberation Mono" w:ascii="Liberation Mono" w:hAnsi="Liberation Mono"/>
          <w:color w:val="0B3D7A"/>
          <w:sz w:val="18"/>
        </w:rPr>
        <w:t>backend/src/db/migrations/*.sql</w:t>
      </w:r>
      <w:r>
        <w:rPr>
          <w:rFonts w:eastAsia="Nunito" w:cs="Nunito"/>
        </w:rPr>
        <w:t xml:space="preserve"> (32 files, 1,678 lines), </w:t>
      </w:r>
      <w:r>
        <w:rPr>
          <w:rFonts w:eastAsia="Liberation Mono" w:cs="Liberation Mono" w:ascii="Liberation Mono" w:hAnsi="Liberation Mono"/>
          <w:color w:val="0B3D7A"/>
          <w:sz w:val="18"/>
        </w:rPr>
        <w:t>backend/src/db/seeds</w:t>
      </w:r>
      <w:r>
        <w:rPr>
          <w:rFonts w:eastAsia="Nunito" w:cs="Nunito"/>
        </w:rPr>
        <w:t xml:space="preserve">, </w:t>
      </w:r>
      <w:r>
        <w:rPr>
          <w:rFonts w:eastAsia="Liberation Mono" w:cs="Liberation Mono" w:ascii="Liberation Mono" w:hAnsi="Liberation Mono"/>
          <w:color w:val="0B3D7A"/>
          <w:sz w:val="18"/>
        </w:rPr>
        <w:t>backend/src/db/pool.js</w:t>
      </w:r>
      <w:r>
        <w:rPr>
          <w:rFonts w:eastAsia="Nunito" w:cs="Nunito"/>
        </w:rPr>
        <w:t xml:space="preserve">, </w:t>
      </w:r>
      <w:r>
        <w:rPr>
          <w:rFonts w:eastAsia="Liberation Mono" w:cs="Liberation Mono" w:ascii="Liberation Mono" w:hAnsi="Liberation Mono"/>
          <w:color w:val="0B3D7A"/>
          <w:sz w:val="18"/>
        </w:rPr>
        <w:t>migrate.js</w:t>
      </w:r>
      <w:r>
        <w:rPr>
          <w:rFonts w:eastAsia="Nunito" w:cs="Nunito"/>
        </w:rPr>
        <w:t xml:space="preserve">, </w:t>
      </w:r>
      <w:r>
        <w:rPr>
          <w:rFonts w:eastAsia="Liberation Mono" w:cs="Liberation Mono" w:ascii="Liberation Mono" w:hAnsi="Liberation Mono"/>
          <w:color w:val="0B3D7A"/>
          <w:sz w:val="18"/>
        </w:rPr>
        <w:t>seed.js</w:t>
      </w:r>
      <w:r>
        <w:rPr>
          <w:rFonts w:eastAsia="Nunito" w:cs="Nunito"/>
        </w:rPr>
        <w:t xml:space="preserve">, </w:t>
      </w:r>
      <w:r>
        <w:rPr>
          <w:rFonts w:eastAsia="Liberation Mono" w:cs="Liberation Mono" w:ascii="Liberation Mono" w:hAnsi="Liberation Mono"/>
          <w:color w:val="0B3D7A"/>
          <w:sz w:val="18"/>
        </w:rPr>
        <w:t>backend/src/lib/dates.js</w:t>
      </w:r>
      <w:r>
        <w:rPr>
          <w:rFonts w:eastAsia="Nunito" w:cs="Nunito"/>
        </w:rPr>
        <w:t xml:space="preserve">, </w:t>
      </w:r>
      <w:r>
        <w:rPr>
          <w:rFonts w:eastAsia="Liberation Mono" w:cs="Liberation Mono" w:ascii="Liberation Mono" w:hAnsi="Liberation Mono"/>
          <w:color w:val="0B3D7A"/>
          <w:sz w:val="18"/>
        </w:rPr>
        <w:t>money.js</w:t>
      </w:r>
      <w:r>
        <w:rPr>
          <w:rFonts w:eastAsia="Nunito" w:cs="Nunito"/>
        </w:rPr>
        <w:t xml:space="preserve">, and the catalogue of the local PostgreSQL 16 database </w:t>
      </w:r>
      <w:r>
        <w:rPr>
          <w:rFonts w:eastAsia="Liberation Mono" w:cs="Liberation Mono" w:ascii="Liberation Mono" w:hAnsi="Liberation Mono"/>
          <w:color w:val="0B3D7A"/>
          <w:sz w:val="18"/>
        </w:rPr>
        <w:t>brokerverse</w:t>
      </w:r>
      <w:r>
        <w:rPr>
          <w:rFonts w:eastAsia="Nunito" w:cs="Nunito"/>
        </w:rPr>
        <w:t xml:space="preserve"> (snapshot in </w:t>
      </w:r>
      <w:r>
        <w:rPr>
          <w:rFonts w:eastAsia="Liberation Mono" w:cs="Liberation Mono" w:ascii="Liberation Mono" w:hAnsi="Liberation Mono"/>
          <w:color w:val="0B3D7A"/>
          <w:sz w:val="18"/>
        </w:rPr>
        <w:t>docs/architecture/tools/data/db_snapshot.json</w:t>
      </w:r>
      <w:r>
        <w:rPr>
          <w:rFonts w:eastAsia="Nunito" w:cs="Nunito"/>
        </w:rPr>
        <w:t>).</w:t>
      </w:r>
    </w:p>
    <w:p>
      <w:pPr>
        <w:pStyle w:val="Heading2"/>
        <w:rPr/>
      </w:pPr>
      <w:bookmarkStart w:id="2" w:name="__RefHeading___Toc4575_3826153650"/>
      <w:bookmarkEnd w:id="2"/>
      <w:r>
        <w:rPr>
          <w:rFonts w:eastAsia="Nunito" w:cs="Nunito" w:ascii="Nunito" w:hAnsi="Nunito"/>
        </w:rPr>
        <w:t>1.2  Database platform</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6553"/>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65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 (local test database)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version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16.13 (Ubuntu 16.13-0ubuntu0.24.04.1)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size</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20.2 MB (test data)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Server time zone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Etc/UTC</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Tables (schema public)</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102</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Columns by type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text 952, timestamp with time zone 233, numeric 178, integer 89, jsonb 77, date 64, bigint 30, boolean 21, ARRAY 2</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Indexes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226 (161 unique incl. 102 primary keys, 15 partial, 1 GIN)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174 (128 without a supporting index)</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Identity sequences (serial / identity columns)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46</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Document-number counters (table sequences)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32 counters for 2026</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Extensions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pgcrypto 1.3, plpgsql 1.0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functions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gl_accounts_defaults, jv_check_posting, next_number, numbering_prefix, rpt_age_bucket, set_updated_at</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Triggers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gl_accounts_defaults_trg (gl_accounts), jv_check_posting_trg (journal_vouchers), roles_updated (roles), users_updated (users)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Views / materialised views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none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Migrations applied</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32 (0001_core.sql to 0110_brokerverse_ootb_branding.sql)</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settings (app_settings)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273 keys in 31 groups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Scheduled jobs (scheduled_jobs)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Snapshot taken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2026-09-29T09:25:28+00:00</w:t>
            </w:r>
          </w:p>
        </w:tc>
      </w:tr>
    </w:tbl>
    <w:p>
      <w:pPr>
        <w:pStyle w:val="Normal"/>
        <w:spacing w:before="0" w:after="40"/>
        <w:rPr/>
      </w:pPr>
      <w:r>
        <w:rPr/>
      </w:r>
    </w:p>
    <w:p>
      <w:pPr>
        <w:pStyle w:val="Normal"/>
        <w:rPr/>
      </w:pPr>
      <w:r>
        <w:rPr>
          <w:rFonts w:eastAsia="Nunito" w:cs="Nunito"/>
        </w:rPr>
        <w:t>One database and one schema (</w:t>
      </w:r>
      <w:r>
        <w:rPr>
          <w:rFonts w:eastAsia="Liberation Mono" w:cs="Liberation Mono" w:ascii="Liberation Mono" w:hAnsi="Liberation Mono"/>
          <w:color w:val="0B3D7A"/>
          <w:sz w:val="18"/>
        </w:rPr>
        <w:t>public</w:t>
      </w:r>
      <w:r>
        <w:rPr>
          <w:rFonts w:eastAsia="Nunito" w:cs="Nunito"/>
        </w:rPr>
        <w:t xml:space="preserve">) hold all data. The application connects with a single login through </w:t>
      </w:r>
      <w:r>
        <w:rPr>
          <w:rFonts w:eastAsia="Liberation Mono" w:cs="Liberation Mono" w:ascii="Liberation Mono" w:hAnsi="Liberation Mono"/>
          <w:color w:val="0B3D7A"/>
          <w:sz w:val="18"/>
        </w:rPr>
        <w:t>DATABASE_URL</w:t>
      </w:r>
      <w:r>
        <w:rPr>
          <w:rFonts w:eastAsia="Nunito" w:cs="Nunito"/>
        </w:rPr>
        <w:t xml:space="preserve"> (node-postgres pool, maximum 10 connections per API process). The login needs rights to create tables because the API applies its own migrations on start. Only the </w:t>
      </w:r>
      <w:r>
        <w:rPr>
          <w:rFonts w:eastAsia="Liberation Mono" w:cs="Liberation Mono" w:ascii="Liberation Mono" w:hAnsi="Liberation Mono"/>
          <w:color w:val="0B3D7A"/>
          <w:sz w:val="18"/>
        </w:rPr>
        <w:t>pgcrypto</w:t>
      </w:r>
      <w:r>
        <w:rPr>
          <w:rFonts w:eastAsia="Nunito" w:cs="Nunito"/>
        </w:rPr>
        <w:t xml:space="preserve"> extension is used (for </w:t>
      </w:r>
      <w:r>
        <w:rPr>
          <w:rFonts w:eastAsia="Liberation Mono" w:cs="Liberation Mono" w:ascii="Liberation Mono" w:hAnsi="Liberation Mono"/>
          <w:color w:val="0B3D7A"/>
          <w:sz w:val="18"/>
        </w:rPr>
        <w:t>gen_random_bytes()</w:t>
      </w:r>
      <w:r>
        <w:rPr>
          <w:rFonts w:eastAsia="Nunito" w:cs="Nunito"/>
        </w:rPr>
        <w:t xml:space="preserve"> in primary-key defaults).</w:t>
      </w:r>
      <w:r>
        <w:br w:type="page"/>
      </w:r>
    </w:p>
    <w:p>
      <w:pPr>
        <w:pStyle w:val="Heading1"/>
        <w:pBdr>
          <w:bottom w:val="single" w:sz="12" w:space="6" w:color="00ACF1"/>
        </w:pBdr>
        <w:rPr/>
      </w:pPr>
      <w:bookmarkStart w:id="3" w:name="__RefHeading___Toc4577_3826153650"/>
      <w:bookmarkEnd w:id="3"/>
      <w:r>
        <w:rPr>
          <w:rFonts w:eastAsia="Nunito" w:cs="Nunito" w:ascii="Nunito" w:hAnsi="Nunito"/>
        </w:rPr>
        <w:t>2  Schema overview by domain</w:t>
      </w:r>
    </w:p>
    <w:p>
      <w:pPr>
        <w:pStyle w:val="Normal"/>
        <w:rPr/>
      </w:pPr>
      <w:r>
        <w:rPr>
          <w:rFonts w:eastAsia="Nunito" w:cs="Nunito"/>
        </w:rPr>
        <w:t xml:space="preserve">The 102 tables fall into 15 domains. Row counts and sizes are from the local test database and are </w:t>
      </w:r>
      <w:r>
        <w:rPr>
          <w:rFonts w:eastAsia="Nunito" w:cs="Nunito"/>
          <w:b/>
        </w:rPr>
        <w:t>test data</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638"/>
        <w:gridCol w:w="674"/>
        <w:gridCol w:w="963"/>
        <w:gridCol w:w="964"/>
        <w:gridCol w:w="5398"/>
      </w:tblGrid>
      <w:tr>
        <w:trPr>
          <w:tblHeader w:val="true"/>
          <w:cantSplit w:val="true"/>
        </w:trPr>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Domain</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Rows (test data)</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Size KB (test data)</w:t>
            </w:r>
          </w:p>
        </w:tc>
        <w:tc>
          <w:tcPr>
            <w:tcW w:w="53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Security and identity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1,047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712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login_history, password_history, password_resets, permissions, refresh_tokens, role_permissions, roles, user_roles, users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Platform services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13</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2,327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1,608</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agent_events, app_settings, audit_log, documents, email_outbox, job_queue, job_runs, master_records, master_types, notifications, scheduled_jobs, schema_migrations, sequences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Reference masters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232</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704</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banks, branches, cities, countries, coverages, currencies, districts, insurance_companies, policy_types, postal_codes, products, signatories, states, vehicle_brands, vehicle_models, vehicle_variants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 configurator</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73</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280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product_components, product_risk_mappings, product_risk_sections, product_templates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Sales and policy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103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688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clients, endorsements, leads, policies, policy_payments, quotes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134</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280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claim_field_changes, claim_history, claims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Renewals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416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renewal_activities, renewal_batch_policies, renewal_batches, renewal_notices, renewal_quotes, renewals, winback_campaigns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Billing, receipts and collections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156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432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collection_actions, collection_items, receipt_applications, receipt_lines, receipts, receivables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General ledger</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531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520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accounting_periods, entry_matches, gl_accounts, journal_lines, journal_vouchers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Disbursements and petty cash</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448</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checkbooks, disbursements, invoice_lists, petty_cash_disbursements, petty_cash_funds, petty_cash_receipts, petty_cash_replenishments, petty_cash_request_lines, petty_cash_requests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commission_referrers, commissions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 and direct bill</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105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568</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commission_debit_note_collections, commission_debit_note_lines, commission_debit_notes, direct_bill_items, remittance_approvals, remittance_delegations, remittance_items, remittance_lines, remittances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Reinsurance</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320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cessions, reinsurance_bordereaux, reinsurance_exceptions, reinsurance_reconciliations, reinsurance_recoveries, reinsurance_treaties, reinsurers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Incentive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incentive_calculations, incentive_programs, incentive_results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Reporting</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134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272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generated_reports, report_definitions, report_schedules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Total</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102</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5,066</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7,544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0" w:after="40"/>
        <w:rPr/>
      </w:pPr>
      <w:r>
        <w:rPr/>
      </w:r>
      <w:r>
        <w:br w:type="page"/>
      </w:r>
    </w:p>
    <w:p>
      <w:pPr>
        <w:pStyle w:val="Heading1"/>
        <w:pBdr>
          <w:bottom w:val="single" w:sz="12" w:space="6" w:color="00ACF1"/>
        </w:pBdr>
        <w:rPr/>
      </w:pPr>
      <w:bookmarkStart w:id="4" w:name="__RefHeading___Toc4579_3826153650"/>
      <w:bookmarkEnd w:id="4"/>
      <w:r>
        <w:rPr>
          <w:rFonts w:eastAsia="Nunito" w:cs="Nunito" w:ascii="Nunito" w:hAnsi="Nunito"/>
        </w:rPr>
        <w:t>3  Design conventions</w:t>
      </w:r>
    </w:p>
    <w:p>
      <w:pPr>
        <w:pStyle w:val="Heading2"/>
        <w:rPr/>
      </w:pPr>
      <w:bookmarkStart w:id="5" w:name="__RefHeading___Toc4581_3826153650"/>
      <w:bookmarkEnd w:id="5"/>
      <w:r>
        <w:rPr>
          <w:rFonts w:eastAsia="Nunito" w:cs="Nunito" w:ascii="Nunito" w:hAnsi="Nunito"/>
        </w:rPr>
        <w:t>3.1  Keys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Convention</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Business records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43 tables use a text primary key made of a readable prefix and 16 (or 12) random hexadecimal characters, generated by the database: for example </w:t>
            </w:r>
            <w:r>
              <w:rPr>
                <w:rFonts w:eastAsia="Liberation Mono" w:cs="Liberation Mono" w:ascii="Liberation Mono" w:hAnsi="Liberation Mono"/>
                <w:color w:val="0B3D7A"/>
                <w:sz w:val="15"/>
              </w:rPr>
              <w:t>policies.id DEFAULT 'pol_' || encode(gen_random_bytes(8), 'hex')</w:t>
            </w:r>
            <w:r>
              <w:rPr>
                <w:rFonts w:eastAsia="Nunito" w:cs="Nunito"/>
                <w:sz w:val="17"/>
              </w:rPr>
              <w:t xml:space="preserve">. Prefixes include </w:t>
            </w:r>
            <w:r>
              <w:rPr>
                <w:rFonts w:eastAsia="Liberation Mono" w:cs="Liberation Mono" w:ascii="Liberation Mono" w:hAnsi="Liberation Mono"/>
                <w:color w:val="0B3D7A"/>
                <w:sz w:val="15"/>
              </w:rPr>
              <w:t>ld_</w:t>
            </w:r>
            <w:r>
              <w:rPr>
                <w:rFonts w:eastAsia="Nunito" w:cs="Nunito"/>
                <w:sz w:val="17"/>
              </w:rPr>
              <w:t xml:space="preserve"> lead, </w:t>
            </w:r>
            <w:r>
              <w:rPr>
                <w:rFonts w:eastAsia="Liberation Mono" w:cs="Liberation Mono" w:ascii="Liberation Mono" w:hAnsi="Liberation Mono"/>
                <w:color w:val="0B3D7A"/>
                <w:sz w:val="15"/>
              </w:rPr>
              <w:t>cl_</w:t>
            </w:r>
            <w:r>
              <w:rPr>
                <w:rFonts w:eastAsia="Nunito" w:cs="Nunito"/>
                <w:sz w:val="17"/>
              </w:rPr>
              <w:t xml:space="preserve"> client, </w:t>
            </w:r>
            <w:r>
              <w:rPr>
                <w:rFonts w:eastAsia="Liberation Mono" w:cs="Liberation Mono" w:ascii="Liberation Mono" w:hAnsi="Liberation Mono"/>
                <w:color w:val="0B3D7A"/>
                <w:sz w:val="15"/>
              </w:rPr>
              <w:t>qt_</w:t>
            </w:r>
            <w:r>
              <w:rPr>
                <w:rFonts w:eastAsia="Nunito" w:cs="Nunito"/>
                <w:sz w:val="17"/>
              </w:rPr>
              <w:t xml:space="preserve"> quotation, </w:t>
            </w:r>
            <w:r>
              <w:rPr>
                <w:rFonts w:eastAsia="Liberation Mono" w:cs="Liberation Mono" w:ascii="Liberation Mono" w:hAnsi="Liberation Mono"/>
                <w:color w:val="0B3D7A"/>
                <w:sz w:val="15"/>
              </w:rPr>
              <w:t>pol_</w:t>
            </w:r>
            <w:r>
              <w:rPr>
                <w:rFonts w:eastAsia="Nunito" w:cs="Nunito"/>
                <w:sz w:val="17"/>
              </w:rPr>
              <w:t xml:space="preserve"> policy, </w:t>
            </w:r>
            <w:r>
              <w:rPr>
                <w:rFonts w:eastAsia="Liberation Mono" w:cs="Liberation Mono" w:ascii="Liberation Mono" w:hAnsi="Liberation Mono"/>
                <w:color w:val="0B3D7A"/>
                <w:sz w:val="15"/>
              </w:rPr>
              <w:t>end_</w:t>
            </w:r>
            <w:r>
              <w:rPr>
                <w:rFonts w:eastAsia="Nunito" w:cs="Nunito"/>
                <w:sz w:val="17"/>
              </w:rPr>
              <w:t xml:space="preserve"> endorsement, </w:t>
            </w:r>
            <w:r>
              <w:rPr>
                <w:rFonts w:eastAsia="Liberation Mono" w:cs="Liberation Mono" w:ascii="Liberation Mono" w:hAnsi="Liberation Mono"/>
                <w:color w:val="0B3D7A"/>
                <w:sz w:val="15"/>
              </w:rPr>
              <w:t>clm_</w:t>
            </w:r>
            <w:r>
              <w:rPr>
                <w:rFonts w:eastAsia="Nunito" w:cs="Nunito"/>
                <w:sz w:val="17"/>
              </w:rPr>
              <w:t xml:space="preserve"> claim, </w:t>
            </w:r>
            <w:r>
              <w:rPr>
                <w:rFonts w:eastAsia="Liberation Mono" w:cs="Liberation Mono" w:ascii="Liberation Mono" w:hAnsi="Liberation Mono"/>
                <w:color w:val="0B3D7A"/>
                <w:sz w:val="15"/>
              </w:rPr>
              <w:t>rnw_</w:t>
            </w:r>
            <w:r>
              <w:rPr>
                <w:rFonts w:eastAsia="Nunito" w:cs="Nunito"/>
                <w:sz w:val="17"/>
              </w:rPr>
              <w:t xml:space="preserve"> renewal, </w:t>
            </w:r>
            <w:r>
              <w:rPr>
                <w:rFonts w:eastAsia="Liberation Mono" w:cs="Liberation Mono" w:ascii="Liberation Mono" w:hAnsi="Liberation Mono"/>
                <w:color w:val="0B3D7A"/>
                <w:sz w:val="15"/>
              </w:rPr>
              <w:t>or_</w:t>
            </w:r>
            <w:r>
              <w:rPr>
                <w:rFonts w:eastAsia="Nunito" w:cs="Nunito"/>
                <w:sz w:val="17"/>
              </w:rPr>
              <w:t xml:space="preserve"> receipt, </w:t>
            </w:r>
            <w:r>
              <w:rPr>
                <w:rFonts w:eastAsia="Liberation Mono" w:cs="Liberation Mono" w:ascii="Liberation Mono" w:hAnsi="Liberation Mono"/>
                <w:color w:val="0B3D7A"/>
                <w:sz w:val="15"/>
              </w:rPr>
              <w:t>jv_</w:t>
            </w:r>
            <w:r>
              <w:rPr>
                <w:rFonts w:eastAsia="Nunito" w:cs="Nunito"/>
                <w:sz w:val="17"/>
              </w:rPr>
              <w:t xml:space="preserve"> journal voucher, </w:t>
            </w:r>
            <w:r>
              <w:rPr>
                <w:rFonts w:eastAsia="Liberation Mono" w:cs="Liberation Mono" w:ascii="Liberation Mono" w:hAnsi="Liberation Mono"/>
                <w:color w:val="0B3D7A"/>
                <w:sz w:val="15"/>
              </w:rPr>
              <w:t>pv_</w:t>
            </w:r>
            <w:r>
              <w:rPr>
                <w:rFonts w:eastAsia="Nunito" w:cs="Nunito"/>
                <w:sz w:val="17"/>
              </w:rPr>
              <w:t xml:space="preserve"> payment voucher, </w:t>
            </w:r>
            <w:r>
              <w:rPr>
                <w:rFonts w:eastAsia="Liberation Mono" w:cs="Liberation Mono" w:ascii="Liberation Mono" w:hAnsi="Liberation Mono"/>
                <w:color w:val="0B3D7A"/>
                <w:sz w:val="15"/>
              </w:rPr>
              <w:t>rm_</w:t>
            </w:r>
            <w:r>
              <w:rPr>
                <w:rFonts w:eastAsia="Nunito" w:cs="Nunito"/>
                <w:sz w:val="17"/>
              </w:rPr>
              <w:t xml:space="preserve"> remittance, </w:t>
            </w:r>
            <w:r>
              <w:rPr>
                <w:rFonts w:eastAsia="Liberation Mono" w:cs="Liberation Mono" w:ascii="Liberation Mono" w:hAnsi="Liberation Mono"/>
                <w:color w:val="0B3D7A"/>
                <w:sz w:val="15"/>
              </w:rPr>
              <w:t>dn_</w:t>
            </w:r>
            <w:r>
              <w:rPr>
                <w:rFonts w:eastAsia="Nunito" w:cs="Nunito"/>
                <w:sz w:val="17"/>
              </w:rPr>
              <w:t xml:space="preserve"> debit note, </w:t>
            </w:r>
            <w:r>
              <w:rPr>
                <w:rFonts w:eastAsia="Liberation Mono" w:cs="Liberation Mono" w:ascii="Liberation Mono" w:hAnsi="Liberation Mono"/>
                <w:color w:val="0B3D7A"/>
                <w:sz w:val="15"/>
              </w:rPr>
              <w:t>usr_</w:t>
            </w:r>
            <w:r>
              <w:rPr>
                <w:rFonts w:eastAsia="Nunito" w:cs="Nunito"/>
                <w:sz w:val="17"/>
              </w:rPr>
              <w:t xml:space="preserve"> user, </w:t>
            </w:r>
            <w:r>
              <w:rPr>
                <w:rFonts w:eastAsia="Liberation Mono" w:cs="Liberation Mono" w:ascii="Liberation Mono" w:hAnsi="Liberation Mono"/>
                <w:color w:val="0B3D7A"/>
                <w:sz w:val="15"/>
              </w:rPr>
              <w:t>doc_</w:t>
            </w:r>
            <w:r>
              <w:rPr>
                <w:rFonts w:eastAsia="Nunito" w:cs="Nunito"/>
                <w:sz w:val="17"/>
              </w:rPr>
              <w:t xml:space="preserve"> document. The ids are not guessable and never collide across tables.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 and log tables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46 tables use integer or bigint serial keys (masters such as countries, banks, insurers, products; and high-volume children and logs such as </w:t>
            </w:r>
            <w:r>
              <w:rPr>
                <w:rFonts w:eastAsia="Liberation Mono" w:cs="Liberation Mono" w:ascii="Liberation Mono" w:hAnsi="Liberation Mono"/>
                <w:color w:val="0B3D7A"/>
                <w:sz w:val="15"/>
              </w:rPr>
              <w:t>journal_lines</w:t>
            </w:r>
            <w:r>
              <w:rPr>
                <w:rFonts w:eastAsia="Nunito" w:cs="Nunito"/>
                <w:sz w:val="17"/>
              </w:rPr>
              <w:t xml:space="preserve">, </w:t>
            </w:r>
            <w:r>
              <w:rPr>
                <w:rFonts w:eastAsia="Liberation Mono" w:cs="Liberation Mono" w:ascii="Liberation Mono" w:hAnsi="Liberation Mono"/>
                <w:color w:val="0B3D7A"/>
                <w:sz w:val="15"/>
              </w:rPr>
              <w:t>audit_log</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job_runs</w:t>
            </w:r>
            <w:r>
              <w:rPr>
                <w:rFonts w:eastAsia="Nunito" w:cs="Nunito"/>
                <w:sz w:val="17"/>
              </w:rPr>
              <w:t xml:space="preserve">, </w:t>
            </w:r>
            <w:r>
              <w:rPr>
                <w:rFonts w:eastAsia="Liberation Mono" w:cs="Liberation Mono" w:ascii="Liberation Mono" w:hAnsi="Liberation Mono"/>
                <w:color w:val="0B3D7A"/>
                <w:sz w:val="15"/>
              </w:rPr>
              <w:t>claim_history</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Natural and composite keys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app_settings(key)</w:t>
            </w:r>
            <w:r>
              <w:rPr>
                <w:rFonts w:eastAsia="Nunito" w:cs="Nunito"/>
                <w:sz w:val="17"/>
              </w:rPr>
              <w:t xml:space="preserve">, </w:t>
            </w:r>
            <w:r>
              <w:rPr>
                <w:rFonts w:eastAsia="Liberation Mono" w:cs="Liberation Mono" w:ascii="Liberation Mono" w:hAnsi="Liberation Mono"/>
                <w:color w:val="0B3D7A"/>
                <w:sz w:val="15"/>
              </w:rPr>
              <w:t>gl_accounts(code)</w:t>
            </w:r>
            <w:r>
              <w:rPr>
                <w:rFonts w:eastAsia="Nunito" w:cs="Nunito"/>
                <w:sz w:val="17"/>
              </w:rPr>
              <w:t xml:space="preserve">, </w:t>
            </w:r>
            <w:r>
              <w:rPr>
                <w:rFonts w:eastAsia="Liberation Mono" w:cs="Liberation Mono" w:ascii="Liberation Mono" w:hAnsi="Liberation Mono"/>
                <w:color w:val="0B3D7A"/>
                <w:sz w:val="15"/>
              </w:rPr>
              <w:t>master_types(code)</w:t>
            </w:r>
            <w:r>
              <w:rPr>
                <w:rFonts w:eastAsia="Nunito" w:cs="Nunito"/>
                <w:sz w:val="17"/>
              </w:rPr>
              <w:t xml:space="preserve">, </w:t>
            </w:r>
            <w:r>
              <w:rPr>
                <w:rFonts w:eastAsia="Liberation Mono" w:cs="Liberation Mono" w:ascii="Liberation Mono" w:hAnsi="Liberation Mono"/>
                <w:color w:val="0B3D7A"/>
                <w:sz w:val="15"/>
              </w:rPr>
              <w:t>report_definitions(code)</w:t>
            </w:r>
            <w:r>
              <w:rPr>
                <w:rFonts w:eastAsia="Nunito" w:cs="Nunito"/>
                <w:sz w:val="17"/>
              </w:rPr>
              <w:t xml:space="preserve">, </w:t>
            </w:r>
            <w:r>
              <w:rPr>
                <w:rFonts w:eastAsia="Liberation Mono" w:cs="Liberation Mono" w:ascii="Liberation Mono" w:hAnsi="Liberation Mono"/>
                <w:color w:val="0B3D7A"/>
                <w:sz w:val="15"/>
              </w:rPr>
              <w:t>accounting_periods(period)</w:t>
            </w:r>
            <w:r>
              <w:rPr>
                <w:rFonts w:eastAsia="Nunito" w:cs="Nunito"/>
                <w:sz w:val="17"/>
              </w:rPr>
              <w:t xml:space="preserve">, </w:t>
            </w:r>
            <w:r>
              <w:rPr>
                <w:rFonts w:eastAsia="Liberation Mono" w:cs="Liberation Mono" w:ascii="Liberation Mono" w:hAnsi="Liberation Mono"/>
                <w:color w:val="0B3D7A"/>
                <w:sz w:val="15"/>
              </w:rPr>
              <w:t>incentive_calculations(batch_id)</w:t>
            </w:r>
            <w:r>
              <w:rPr>
                <w:rFonts w:eastAsia="Nunito" w:cs="Nunito"/>
                <w:sz w:val="17"/>
              </w:rPr>
              <w:t xml:space="preserve">, </w:t>
            </w:r>
            <w:r>
              <w:rPr>
                <w:rFonts w:eastAsia="Liberation Mono" w:cs="Liberation Mono" w:ascii="Liberation Mono" w:hAnsi="Liberation Mono"/>
                <w:color w:val="0B3D7A"/>
                <w:sz w:val="15"/>
              </w:rPr>
              <w:t>refresh_tokens(jti)</w:t>
            </w:r>
            <w:r>
              <w:rPr>
                <w:rFonts w:eastAsia="Nunito" w:cs="Nunito"/>
                <w:sz w:val="17"/>
              </w:rPr>
              <w:t xml:space="preserve">, </w:t>
            </w:r>
            <w:r>
              <w:rPr>
                <w:rFonts w:eastAsia="Liberation Mono" w:cs="Liberation Mono" w:ascii="Liberation Mono" w:hAnsi="Liberation Mono"/>
                <w:color w:val="0B3D7A"/>
                <w:sz w:val="15"/>
              </w:rPr>
              <w:t>schema_migrations(name)</w:t>
            </w:r>
            <w:r>
              <w:rPr>
                <w:rFonts w:eastAsia="Nunito" w:cs="Nunito"/>
                <w:sz w:val="17"/>
              </w:rPr>
              <w:t xml:space="preserve">, </w:t>
            </w:r>
            <w:r>
              <w:rPr>
                <w:rFonts w:eastAsia="Liberation Mono" w:cs="Liberation Mono" w:ascii="Liberation Mono" w:hAnsi="Liberation Mono"/>
                <w:color w:val="0B3D7A"/>
                <w:sz w:val="15"/>
              </w:rPr>
              <w:t>sequences(name, period)</w:t>
            </w:r>
            <w:r>
              <w:rPr>
                <w:rFonts w:eastAsia="Nunito" w:cs="Nunito"/>
                <w:sz w:val="17"/>
              </w:rPr>
              <w:t xml:space="preserve">, </w:t>
            </w:r>
            <w:r>
              <w:rPr>
                <w:rFonts w:eastAsia="Liberation Mono" w:cs="Liberation Mono" w:ascii="Liberation Mono" w:hAnsi="Liberation Mono"/>
                <w:color w:val="0B3D7A"/>
                <w:sz w:val="15"/>
              </w:rPr>
              <w:t>role_permissions(role_id, permission_id)</w:t>
            </w:r>
            <w:r>
              <w:rPr>
                <w:rFonts w:eastAsia="Nunito" w:cs="Nunito"/>
                <w:sz w:val="17"/>
              </w:rPr>
              <w:t xml:space="preserve">, </w:t>
            </w:r>
            <w:r>
              <w:rPr>
                <w:rFonts w:eastAsia="Liberation Mono" w:cs="Liberation Mono" w:ascii="Liberation Mono" w:hAnsi="Liberation Mono"/>
                <w:color w:val="0B3D7A"/>
                <w:sz w:val="15"/>
              </w:rPr>
              <w:t>user_roles(user_id, role_id)</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numbers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Human-readable document numbers (</w:t>
            </w:r>
            <w:r>
              <w:rPr>
                <w:rFonts w:eastAsia="Liberation Mono" w:cs="Liberation Mono" w:ascii="Liberation Mono" w:hAnsi="Liberation Mono"/>
                <w:color w:val="0B3D7A"/>
                <w:sz w:val="15"/>
              </w:rPr>
              <w:t>QT-2026-00001</w:t>
            </w:r>
            <w:r>
              <w:rPr>
                <w:rFonts w:eastAsia="Nunito" w:cs="Nunito"/>
                <w:sz w:val="17"/>
              </w:rPr>
              <w:t xml:space="preserve">, </w:t>
            </w:r>
            <w:r>
              <w:rPr>
                <w:rFonts w:eastAsia="Liberation Mono" w:cs="Liberation Mono" w:ascii="Liberation Mono" w:hAnsi="Liberation Mono"/>
                <w:color w:val="0B3D7A"/>
                <w:sz w:val="15"/>
              </w:rPr>
              <w:t>POL-2026-00001</w:t>
            </w:r>
            <w:r>
              <w:rPr>
                <w:rFonts w:eastAsia="Nunito" w:cs="Nunito"/>
                <w:sz w:val="17"/>
              </w:rPr>
              <w:t xml:space="preserve">, </w:t>
            </w:r>
            <w:r>
              <w:rPr>
                <w:rFonts w:eastAsia="Liberation Mono" w:cs="Liberation Mono" w:ascii="Liberation Mono" w:hAnsi="Liberation Mono"/>
                <w:color w:val="0B3D7A"/>
                <w:sz w:val="15"/>
              </w:rPr>
              <w:t>OR-2026-00019</w:t>
            </w:r>
            <w:r>
              <w:rPr>
                <w:rFonts w:eastAsia="Nunito" w:cs="Nunito"/>
                <w:sz w:val="17"/>
              </w:rPr>
              <w:t>) are separate unique columns (</w:t>
            </w:r>
            <w:r>
              <w:rPr>
                <w:rFonts w:eastAsia="Liberation Mono" w:cs="Liberation Mono" w:ascii="Liberation Mono" w:hAnsi="Liberation Mono"/>
                <w:color w:val="0B3D7A"/>
                <w:sz w:val="15"/>
              </w:rPr>
              <w:t>quote_number</w:t>
            </w:r>
            <w:r>
              <w:rPr>
                <w:rFonts w:eastAsia="Nunito" w:cs="Nunito"/>
                <w:sz w:val="17"/>
              </w:rPr>
              <w:t xml:space="preserve">, </w:t>
            </w:r>
            <w:r>
              <w:rPr>
                <w:rFonts w:eastAsia="Liberation Mono" w:cs="Liberation Mono" w:ascii="Liberation Mono" w:hAnsi="Liberation Mono"/>
                <w:color w:val="0B3D7A"/>
                <w:sz w:val="15"/>
              </w:rPr>
              <w:t>policy_number</w:t>
            </w:r>
            <w:r>
              <w:rPr>
                <w:rFonts w:eastAsia="Nunito" w:cs="Nunito"/>
                <w:sz w:val="17"/>
              </w:rPr>
              <w:t xml:space="preserve">, </w:t>
            </w:r>
            <w:r>
              <w:rPr>
                <w:rFonts w:eastAsia="Liberation Mono" w:cs="Liberation Mono" w:ascii="Liberation Mono" w:hAnsi="Liberation Mono"/>
                <w:color w:val="0B3D7A"/>
                <w:sz w:val="15"/>
              </w:rPr>
              <w:t>receipt_number</w:t>
            </w:r>
            <w:r>
              <w:rPr>
                <w:rFonts w:eastAsia="Nunito" w:cs="Nunito"/>
                <w:sz w:val="17"/>
              </w:rPr>
              <w:t xml:space="preserve">, </w:t>
            </w:r>
            <w:r>
              <w:rPr>
                <w:rFonts w:eastAsia="Liberation Mono" w:cs="Liberation Mono" w:ascii="Liberation Mono" w:hAnsi="Liberation Mono"/>
                <w:color w:val="0B3D7A"/>
                <w:sz w:val="15"/>
              </w:rPr>
              <w:t>jv_number</w:t>
            </w:r>
            <w:r>
              <w:rPr>
                <w:rFonts w:eastAsia="Nunito" w:cs="Nunito"/>
                <w:sz w:val="17"/>
              </w:rPr>
              <w:t>...), never primary keys; the API accepts either the id or the number on most detail endpoints.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174 foreign keys: 144 </w:t>
            </w:r>
            <w:r>
              <w:rPr>
                <w:rFonts w:eastAsia="Liberation Mono" w:cs="Liberation Mono" w:ascii="Liberation Mono" w:hAnsi="Liberation Mono"/>
                <w:color w:val="0B3D7A"/>
                <w:sz w:val="15"/>
              </w:rPr>
              <w:t>NO ACTION</w:t>
            </w:r>
            <w:r>
              <w:rPr>
                <w:rFonts w:eastAsia="Nunito" w:cs="Nunito"/>
                <w:sz w:val="17"/>
              </w:rPr>
              <w:t xml:space="preserve"> (a referenced record cannot be deleted while used), 26 </w:t>
            </w:r>
            <w:r>
              <w:rPr>
                <w:rFonts w:eastAsia="Liberation Mono" w:cs="Liberation Mono" w:ascii="Liberation Mono" w:hAnsi="Liberation Mono"/>
                <w:color w:val="0B3D7A"/>
                <w:sz w:val="15"/>
              </w:rPr>
              <w:t>CASCADE</w:t>
            </w:r>
            <w:r>
              <w:rPr>
                <w:rFonts w:eastAsia="Nunito" w:cs="Nunito"/>
                <w:sz w:val="17"/>
              </w:rPr>
              <w:t xml:space="preserve"> (children that have no meaning without their parent: journal lines, receipt lines, claim history, renewal notices, role grants, refresh tokens, notifications ...) and 4 </w:t>
            </w:r>
            <w:r>
              <w:rPr>
                <w:rFonts w:eastAsia="Liberation Mono" w:cs="Liberation Mono" w:ascii="Liberation Mono" w:hAnsi="Liberation Mono"/>
                <w:color w:val="0B3D7A"/>
                <w:sz w:val="15"/>
              </w:rPr>
              <w:t>SET NULL</w:t>
            </w:r>
            <w:r>
              <w:rPr>
                <w:rFonts w:eastAsia="Nunito" w:cs="Nunito"/>
                <w:sz w:val="17"/>
              </w:rPr>
              <w:t>.</w:t>
            </w:r>
          </w:p>
        </w:tc>
      </w:tr>
    </w:tbl>
    <w:p>
      <w:pPr>
        <w:pStyle w:val="Normal"/>
        <w:spacing w:before="0" w:after="40"/>
        <w:rPr/>
      </w:pPr>
      <w:r>
        <w:rPr/>
      </w:r>
    </w:p>
    <w:p>
      <w:pPr>
        <w:pStyle w:val="Heading2"/>
        <w:rPr/>
      </w:pPr>
      <w:bookmarkStart w:id="6" w:name="__RefHeading___Toc4583_3826153650"/>
      <w:bookmarkEnd w:id="6"/>
      <w:r>
        <w:rPr>
          <w:rFonts w:eastAsia="Nunito" w:cs="Nunito" w:ascii="Nunito" w:hAnsi="Nunito"/>
        </w:rPr>
        <w:t>3.2  Column types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Data</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Type and handling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Amounts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numeric</w:t>
            </w:r>
            <w:r>
              <w:rPr>
                <w:rFonts w:eastAsia="Nunito" w:cs="Nunito"/>
                <w:sz w:val="17"/>
              </w:rPr>
              <w:t xml:space="preserve"> (178 columns), typically </w:t>
            </w:r>
            <w:r>
              <w:rPr>
                <w:rFonts w:eastAsia="Liberation Mono" w:cs="Liberation Mono" w:ascii="Liberation Mono" w:hAnsi="Liberation Mono"/>
                <w:color w:val="0B3D7A"/>
                <w:sz w:val="15"/>
              </w:rPr>
              <w:t>numeric(14,2)</w:t>
            </w:r>
            <w:r>
              <w:rPr>
                <w:rFonts w:eastAsia="Nunito" w:cs="Nunito"/>
                <w:sz w:val="17"/>
              </w:rPr>
              <w:t xml:space="preserve"> or unconstrained; converted to JavaScript numbers by the pool type parser (</w:t>
            </w:r>
            <w:r>
              <w:rPr>
                <w:rFonts w:eastAsia="Liberation Mono" w:cs="Liberation Mono" w:ascii="Liberation Mono" w:hAnsi="Liberation Mono"/>
                <w:color w:val="0B3D7A"/>
                <w:sz w:val="15"/>
              </w:rPr>
              <w:t>pg.types.setTypeParser(1700, Number)</w:t>
            </w:r>
            <w:r>
              <w:rPr>
                <w:rFonts w:eastAsia="Nunito" w:cs="Nunito"/>
                <w:sz w:val="17"/>
              </w:rPr>
              <w:t xml:space="preserve">); all rounding through </w:t>
            </w:r>
            <w:r>
              <w:rPr>
                <w:rFonts w:eastAsia="Liberation Mono" w:cs="Liberation Mono" w:ascii="Liberation Mono" w:hAnsi="Liberation Mono"/>
                <w:color w:val="0B3D7A"/>
                <w:sz w:val="15"/>
              </w:rPr>
              <w:t>round2()</w:t>
            </w:r>
            <w:r>
              <w:rPr>
                <w:rFonts w:eastAsia="Nunito" w:cs="Nunito"/>
                <w:sz w:val="17"/>
              </w:rPr>
              <w:t xml:space="preserve"> in </w:t>
            </w:r>
            <w:r>
              <w:rPr>
                <w:rFonts w:eastAsia="Liberation Mono" w:cs="Liberation Mono" w:ascii="Liberation Mono" w:hAnsi="Liberation Mono"/>
                <w:color w:val="0B3D7A"/>
                <w:sz w:val="15"/>
              </w:rPr>
              <w:t>lib/money.js</w:t>
            </w:r>
            <w:r>
              <w:rPr>
                <w:rFonts w:eastAsia="Nunito" w:cs="Nunito"/>
                <w:sz w:val="17"/>
              </w:rPr>
              <w:t xml:space="preserve"> (half away from zero, same rule as PostgreSQL </w:t>
            </w:r>
            <w:r>
              <w:rPr>
                <w:rFonts w:eastAsia="Liberation Mono" w:cs="Liberation Mono" w:ascii="Liberation Mono" w:hAnsi="Liberation Mono"/>
                <w:color w:val="0B3D7A"/>
                <w:sz w:val="15"/>
              </w:rPr>
              <w:t>round(numeric, 2)</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dates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date</w:t>
            </w:r>
            <w:r>
              <w:rPr>
                <w:rFonts w:eastAsia="Nunito" w:cs="Nunito"/>
                <w:sz w:val="17"/>
              </w:rPr>
              <w:t xml:space="preserve"> (64 columns: inception, expiry, due, loss, receipt and voucher dates), returned to the application as </w:t>
            </w:r>
            <w:r>
              <w:rPr>
                <w:rFonts w:eastAsia="Liberation Mono" w:cs="Liberation Mono" w:ascii="Liberation Mono" w:hAnsi="Liberation Mono"/>
                <w:color w:val="0B3D7A"/>
                <w:sz w:val="15"/>
              </w:rPr>
              <w:t>YYYY-MM-DD</w:t>
            </w:r>
            <w:r>
              <w:rPr>
                <w:rFonts w:eastAsia="Nunito" w:cs="Nunito"/>
                <w:sz w:val="17"/>
              </w:rPr>
              <w:t xml:space="preserve"> strings (type parser 1082) so no time-zone shift can occur.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Instants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timestamptz</w:t>
            </w:r>
            <w:r>
              <w:rPr>
                <w:rFonts w:eastAsia="Nunito" w:cs="Nunito"/>
                <w:sz w:val="17"/>
              </w:rPr>
              <w:t xml:space="preserve"> (233 columns, e.g. </w:t>
            </w:r>
            <w:r>
              <w:rPr>
                <w:rFonts w:eastAsia="Liberation Mono" w:cs="Liberation Mono" w:ascii="Liberation Mono" w:hAnsi="Liberation Mono"/>
                <w:color w:val="0B3D7A"/>
                <w:sz w:val="15"/>
              </w:rPr>
              <w:t>created_at</w:t>
            </w:r>
            <w:r>
              <w:rPr>
                <w:rFonts w:eastAsia="Nunito" w:cs="Nunito"/>
                <w:sz w:val="17"/>
              </w:rPr>
              <w:t xml:space="preserve">, </w:t>
            </w:r>
            <w:r>
              <w:rPr>
                <w:rFonts w:eastAsia="Liberation Mono" w:cs="Liberation Mono" w:ascii="Liberation Mono" w:hAnsi="Liberation Mono"/>
                <w:color w:val="0B3D7A"/>
                <w:sz w:val="15"/>
              </w:rPr>
              <w:t>approved_at</w:t>
            </w:r>
            <w:r>
              <w:rPr>
                <w:rFonts w:eastAsia="Nunito" w:cs="Nunito"/>
                <w:sz w:val="17"/>
              </w:rPr>
              <w:t xml:space="preserve">, </w:t>
            </w:r>
            <w:r>
              <w:rPr>
                <w:rFonts w:eastAsia="Liberation Mono" w:cs="Liberation Mono" w:ascii="Liberation Mono" w:hAnsi="Liberation Mono"/>
                <w:color w:val="0B3D7A"/>
                <w:sz w:val="15"/>
              </w:rPr>
              <w:t>sent_at</w:t>
            </w:r>
            <w:r>
              <w:rPr>
                <w:rFonts w:eastAsia="Nunito" w:cs="Nunito"/>
                <w:sz w:val="17"/>
              </w:rPr>
              <w:t xml:space="preserve">); no </w:t>
            </w:r>
            <w:r>
              <w:rPr>
                <w:rFonts w:eastAsia="Liberation Mono" w:cs="Liberation Mono" w:ascii="Liberation Mono" w:hAnsi="Liberation Mono"/>
                <w:color w:val="0B3D7A"/>
                <w:sz w:val="15"/>
              </w:rPr>
              <w:t>timestamp without time zone</w:t>
            </w:r>
            <w:r>
              <w:rPr>
                <w:rFonts w:eastAsia="Nunito" w:cs="Nunito"/>
                <w:sz w:val="17"/>
              </w:rPr>
              <w:t xml:space="preserve"> columns exist.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Flexible parts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jsonb</w:t>
            </w:r>
            <w:r>
              <w:rPr>
                <w:rFonts w:eastAsia="Nunito" w:cs="Nunito"/>
                <w:sz w:val="17"/>
              </w:rPr>
              <w:t xml:space="preserve"> (77 columns in 48 tables), see below.</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Codes and statuses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text</w:t>
            </w:r>
            <w:r>
              <w:rPr>
                <w:rFonts w:eastAsia="Nunito" w:cs="Nunito"/>
                <w:sz w:val="17"/>
              </w:rPr>
              <w:t xml:space="preserve"> with application-level validation (zod, service rules) and 25 </w:t>
            </w:r>
            <w:r>
              <w:rPr>
                <w:rFonts w:eastAsia="Liberation Mono" w:cs="Liberation Mono" w:ascii="Liberation Mono" w:hAnsi="Liberation Mono"/>
                <w:color w:val="0B3D7A"/>
                <w:sz w:val="15"/>
              </w:rPr>
              <w:t>CHECK</w:t>
            </w:r>
            <w:r>
              <w:rPr>
                <w:rFonts w:eastAsia="Nunito" w:cs="Nunito"/>
                <w:sz w:val="17"/>
              </w:rPr>
              <w:t xml:space="preserve"> constraints; statuses are lower-case codes mapped to display labels through settings (for example </w:t>
            </w:r>
            <w:r>
              <w:rPr>
                <w:rFonts w:eastAsia="Liberation Mono" w:cs="Liberation Mono" w:ascii="Liberation Mono" w:hAnsi="Liberation Mono"/>
                <w:color w:val="0B3D7A"/>
                <w:sz w:val="15"/>
              </w:rPr>
              <w:t>claims.status_labels</w:t>
            </w:r>
            <w:r>
              <w:rPr>
                <w:rFonts w:eastAsia="Nunito" w:cs="Nunito"/>
                <w:sz w:val="17"/>
              </w:rPr>
              <w:t>).</w:t>
            </w:r>
          </w:p>
        </w:tc>
      </w:tr>
    </w:tbl>
    <w:p>
      <w:pPr>
        <w:pStyle w:val="Normal"/>
        <w:spacing w:before="0" w:after="40"/>
        <w:rPr/>
      </w:pPr>
      <w:r>
        <w:rPr/>
      </w:r>
    </w:p>
    <w:p>
      <w:pPr>
        <w:pStyle w:val="Heading2"/>
        <w:rPr/>
      </w:pPr>
      <w:bookmarkStart w:id="7" w:name="__RefHeading___Toc4585_3826153650"/>
      <w:bookmarkEnd w:id="7"/>
      <w:r>
        <w:rPr>
          <w:rFonts w:eastAsia="Nunito" w:cs="Nunito" w:ascii="Nunito" w:hAnsi="Nunito"/>
        </w:rPr>
        <w:t>3.3  JSONB document columns</w:t>
      </w:r>
    </w:p>
    <w:p>
      <w:pPr>
        <w:pStyle w:val="Normal"/>
        <w:rPr/>
      </w:pPr>
      <w:r>
        <w:rPr>
          <w:rFonts w:eastAsia="Nunito" w:cs="Nunito"/>
        </w:rPr>
        <w:t>JSONB is used where the structure varies by product, screen or configuration, while the columns that are searched, joined, totalled or reported on stay relational.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JSONB columns and use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vehicle</w:t>
            </w:r>
            <w:r>
              <w:rPr>
                <w:rFonts w:eastAsia="Nunito" w:cs="Nunito"/>
                <w:sz w:val="17"/>
              </w:rPr>
              <w:t xml:space="preserve">, </w:t>
            </w:r>
            <w:r>
              <w:rPr>
                <w:rFonts w:eastAsia="Liberation Mono" w:cs="Liberation Mono" w:ascii="Liberation Mono" w:hAnsi="Liberation Mono"/>
                <w:color w:val="0B3D7A"/>
                <w:sz w:val="15"/>
              </w:rPr>
              <w:t>coverage</w:t>
            </w:r>
            <w:r>
              <w:rPr>
                <w:rFonts w:eastAsia="Nunito" w:cs="Nunito"/>
                <w:sz w:val="17"/>
              </w:rPr>
              <w:t xml:space="preserve"> (wizard inputs and selected covers), </w:t>
            </w:r>
            <w:r>
              <w:rPr>
                <w:rFonts w:eastAsia="Liberation Mono" w:cs="Liberation Mono" w:ascii="Liberation Mono" w:hAnsi="Liberation Mono"/>
                <w:color w:val="0B3D7A"/>
                <w:sz w:val="15"/>
              </w:rPr>
              <w:t>doc</w:t>
            </w:r>
            <w:r>
              <w:rPr>
                <w:rFonts w:eastAsia="Nunito" w:cs="Nunito"/>
                <w:sz w:val="17"/>
              </w:rPr>
              <w:t xml:space="preserve"> (full quotation document including premium breakdown and customer data)</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details</w:t>
            </w:r>
            <w:r>
              <w:rPr>
                <w:rFonts w:eastAsia="Nunito" w:cs="Nunito"/>
                <w:sz w:val="17"/>
              </w:rPr>
              <w:t xml:space="preserve"> (risk and party details, renewal link), </w:t>
            </w:r>
            <w:r>
              <w:rPr>
                <w:rFonts w:eastAsia="Liberation Mono" w:cs="Liberation Mono" w:ascii="Liberation Mono" w:hAnsi="Liberation Mono"/>
                <w:color w:val="0B3D7A"/>
                <w:sz w:val="15"/>
              </w:rPr>
              <w:t>doc</w:t>
            </w:r>
            <w:r>
              <w:rPr>
                <w:rFonts w:eastAsia="Nunito" w:cs="Nunito"/>
                <w:sz w:val="17"/>
              </w:rPr>
              <w:t xml:space="preserve"> (policy document data carried from the quotation)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claims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details</w:t>
            </w:r>
            <w:r>
              <w:rPr>
                <w:rFonts w:eastAsia="Nunito" w:cs="Nunito"/>
                <w:sz w:val="17"/>
              </w:rPr>
              <w:t xml:space="preserve">, </w:t>
            </w:r>
            <w:r>
              <w:rPr>
                <w:rFonts w:eastAsia="Liberation Mono" w:cs="Liberation Mono" w:ascii="Liberation Mono" w:hAnsi="Liberation Mono"/>
                <w:color w:val="0B3D7A"/>
                <w:sz w:val="15"/>
              </w:rPr>
              <w:t>driver</w:t>
            </w:r>
            <w:r>
              <w:rPr>
                <w:rFonts w:eastAsia="Nunito" w:cs="Nunito"/>
                <w:sz w:val="17"/>
              </w:rPr>
              <w:t xml:space="preserve">, </w:t>
            </w:r>
            <w:r>
              <w:rPr>
                <w:rFonts w:eastAsia="Liberation Mono" w:cs="Liberation Mono" w:ascii="Liberation Mono" w:hAnsi="Liberation Mono"/>
                <w:color w:val="0B3D7A"/>
                <w:sz w:val="15"/>
              </w:rPr>
              <w:t>third_party</w:t>
            </w:r>
            <w:r>
              <w:rPr>
                <w:rFonts w:eastAsia="Nunito" w:cs="Nunito"/>
                <w:sz w:val="17"/>
              </w:rPr>
              <w:t xml:space="preserve">, </w:t>
            </w:r>
            <w:r>
              <w:rPr>
                <w:rFonts w:eastAsia="Liberation Mono" w:cs="Liberation Mono" w:ascii="Liberation Mono" w:hAnsi="Liberation Mono"/>
                <w:color w:val="0B3D7A"/>
                <w:sz w:val="15"/>
              </w:rPr>
              <w:t>policy_info</w:t>
            </w:r>
            <w:r>
              <w:rPr>
                <w:rFonts w:eastAsia="Nunito" w:cs="Nunito"/>
                <w:sz w:val="17"/>
              </w:rPr>
              <w:t xml:space="preserve">, </w:t>
            </w:r>
            <w:r>
              <w:rPr>
                <w:rFonts w:eastAsia="Liberation Mono" w:cs="Liberation Mono" w:ascii="Liberation Mono" w:hAnsi="Liberation Mono"/>
                <w:color w:val="0B3D7A"/>
                <w:sz w:val="15"/>
              </w:rPr>
              <w:t>adjuster</w:t>
            </w:r>
            <w:r>
              <w:rPr>
                <w:rFonts w:eastAsia="Nunito" w:cs="Nunito"/>
                <w:sz w:val="17"/>
              </w:rPr>
              <w:t xml:space="preserve">, </w:t>
            </w:r>
            <w:r>
              <w:rPr>
                <w:rFonts w:eastAsia="Liberation Mono" w:cs="Liberation Mono" w:ascii="Liberation Mono" w:hAnsi="Liberation Mono"/>
                <w:color w:val="0B3D7A"/>
                <w:sz w:val="15"/>
              </w:rPr>
              <w:t>settlement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endorsements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changes</w:t>
            </w:r>
            <w:r>
              <w:rPr>
                <w:rFonts w:eastAsia="Nunito" w:cs="Nunito"/>
                <w:sz w:val="17"/>
              </w:rPr>
              <w:t xml:space="preserve"> (field changes and re-pricing), </w:t>
            </w:r>
            <w:r>
              <w:rPr>
                <w:rFonts w:eastAsia="Liberation Mono" w:cs="Liberation Mono" w:ascii="Liberation Mono" w:hAnsi="Liberation Mono"/>
                <w:color w:val="0B3D7A"/>
                <w:sz w:val="15"/>
              </w:rPr>
              <w:t>endorsement_type_ids</w:t>
            </w:r>
            <w:r>
              <w:rPr>
                <w:rFonts w:eastAsia="Nunito" w:cs="Nunito"/>
                <w:sz w:val="17"/>
              </w:rPr>
              <w:t xml:space="preserve">, </w:t>
            </w:r>
            <w:r>
              <w:rPr>
                <w:rFonts w:eastAsia="Liberation Mono" w:cs="Liberation Mono" w:ascii="Liberation Mono" w:hAnsi="Liberation Mono"/>
                <w:color w:val="0B3D7A"/>
                <w:sz w:val="15"/>
              </w:rPr>
              <w:t>completion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renewals, renewal_quotes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coverage details, accessories, order summary, limits, premium breakdown; taxes and rating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product_templates, product_components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config</w:t>
            </w:r>
            <w:r>
              <w:rPr>
                <w:rFonts w:eastAsia="Nunito" w:cs="Nunito"/>
                <w:sz w:val="17"/>
              </w:rPr>
              <w:t xml:space="preserve">, </w:t>
            </w:r>
            <w:r>
              <w:rPr>
                <w:rFonts w:eastAsia="Liberation Mono" w:cs="Liberation Mono" w:ascii="Liberation Mono" w:hAnsi="Liberation Mono"/>
                <w:color w:val="0B3D7A"/>
                <w:sz w:val="15"/>
              </w:rPr>
              <w:t>features</w:t>
            </w:r>
            <w:r>
              <w:rPr>
                <w:rFonts w:eastAsia="Nunito" w:cs="Nunito"/>
                <w:sz w:val="17"/>
              </w:rPr>
              <w:t xml:space="preserve">, </w:t>
            </w:r>
            <w:r>
              <w:rPr>
                <w:rFonts w:eastAsia="Liberation Mono" w:cs="Liberation Mono" w:ascii="Liberation Mono" w:hAnsi="Liberation Mono"/>
                <w:color w:val="0B3D7A"/>
                <w:sz w:val="15"/>
              </w:rPr>
              <w:t>insurers</w:t>
            </w:r>
            <w:r>
              <w:rPr>
                <w:rFonts w:eastAsia="Nunito" w:cs="Nunito"/>
                <w:sz w:val="17"/>
              </w:rPr>
              <w:t xml:space="preserve">, </w:t>
            </w:r>
            <w:r>
              <w:rPr>
                <w:rFonts w:eastAsia="Liberation Mono" w:cs="Liberation Mono" w:ascii="Liberation Mono" w:hAnsi="Liberation Mono"/>
                <w:color w:val="0B3D7A"/>
                <w:sz w:val="15"/>
              </w:rPr>
              <w:t>tags</w:t>
            </w:r>
            <w:r>
              <w:rPr>
                <w:rFonts w:eastAsia="Nunito" w:cs="Nunito"/>
                <w:sz w:val="17"/>
              </w:rPr>
              <w:t xml:space="preserve">; component </w:t>
            </w:r>
            <w:r>
              <w:rPr>
                <w:rFonts w:eastAsia="Liberation Mono" w:cs="Liberation Mono" w:ascii="Liberation Mono" w:hAnsi="Liberation Mono"/>
                <w:color w:val="0B3D7A"/>
                <w:sz w:val="15"/>
              </w:rPr>
              <w:t>data</w:t>
            </w:r>
            <w:r>
              <w:rPr>
                <w:rFonts w:eastAsia="Nunito" w:cs="Nunito"/>
                <w:sz w:val="17"/>
              </w:rPr>
              <w:t xml:space="preserve"> (covers, rating tables, rules, the motor CTPL tariff)</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master_records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data</w:t>
            </w:r>
            <w:r>
              <w:rPr>
                <w:rFonts w:eastAsia="Nunito" w:cs="Nunito"/>
                <w:sz w:val="17"/>
              </w:rPr>
              <w:t xml:space="preserve">: all fields of generic masters (GIN index </w:t>
            </w:r>
            <w:r>
              <w:rPr>
                <w:rFonts w:eastAsia="Liberation Mono" w:cs="Liberation Mono" w:ascii="Liberation Mono" w:hAnsi="Liberation Mono"/>
                <w:color w:val="0B3D7A"/>
                <w:sz w:val="15"/>
              </w:rPr>
              <w:t>master_records_data_idx</w:t>
            </w:r>
            <w:r>
              <w:rPr>
                <w:rFonts w:eastAsia="Nunito" w:cs="Nunito"/>
                <w:sz w:val="17"/>
              </w:rPr>
              <w:t xml:space="preserve">, </w:t>
            </w:r>
            <w:r>
              <w:rPr>
                <w:rFonts w:eastAsia="Liberation Mono" w:cs="Liberation Mono" w:ascii="Liberation Mono" w:hAnsi="Liberation Mono"/>
                <w:color w:val="0B3D7A"/>
                <w:sz w:val="15"/>
              </w:rPr>
              <w:t>jsonb_path_ops</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master_types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fields</w:t>
            </w:r>
            <w:r>
              <w:rPr>
                <w:rFonts w:eastAsia="Nunito" w:cs="Nunito"/>
                <w:sz w:val="17"/>
              </w:rPr>
              <w:t xml:space="preserve">, </w:t>
            </w:r>
            <w:r>
              <w:rPr>
                <w:rFonts w:eastAsia="Liberation Mono" w:cs="Liberation Mono" w:ascii="Liberation Mono" w:hAnsi="Liberation Mono"/>
                <w:color w:val="0B3D7A"/>
                <w:sz w:val="15"/>
              </w:rPr>
              <w:t>unique_keys</w:t>
            </w:r>
            <w:r>
              <w:rPr>
                <w:rFonts w:eastAsia="Nunito" w:cs="Nunito"/>
                <w:sz w:val="17"/>
              </w:rPr>
              <w:t>: definition of each master screen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app_settings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value</w:t>
            </w:r>
            <w:r>
              <w:rPr>
                <w:rFonts w:eastAsia="Nunito" w:cs="Nunito"/>
                <w:sz w:val="17"/>
              </w:rPr>
              <w:t>: every configuration value (strings, numbers, arrays, objects)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audit_log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before_data</w:t>
            </w:r>
            <w:r>
              <w:rPr>
                <w:rFonts w:eastAsia="Nunito" w:cs="Nunito"/>
                <w:sz w:val="17"/>
              </w:rPr>
              <w:t xml:space="preserve">, </w:t>
            </w:r>
            <w:r>
              <w:rPr>
                <w:rFonts w:eastAsia="Liberation Mono" w:cs="Liberation Mono" w:ascii="Liberation Mono" w:hAnsi="Liberation Mono"/>
                <w:color w:val="0B3D7A"/>
                <w:sz w:val="15"/>
              </w:rPr>
              <w:t>after_data</w:t>
            </w:r>
            <w:r>
              <w:rPr>
                <w:rFonts w:eastAsia="Nunito" w:cs="Nunito"/>
                <w:sz w:val="17"/>
              </w:rPr>
              <w:t xml:space="preserve"> of every audited change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 masters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attrs</w:t>
            </w:r>
            <w:r>
              <w:rPr>
                <w:rFonts w:eastAsia="Nunito" w:cs="Nunito"/>
                <w:sz w:val="17"/>
              </w:rPr>
              <w:t xml:space="preserve"> on banks, branches, countries, states, cities, currencies, coverages, insurers, products, policy types, signatories, vehicle masters: extra attributes without schema change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finance and reinsurance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remittances.data</w:t>
            </w:r>
            <w:r>
              <w:rPr>
                <w:rFonts w:eastAsia="Nunito" w:cs="Nunito"/>
                <w:sz w:val="17"/>
              </w:rPr>
              <w:t xml:space="preserve">, </w:t>
            </w:r>
            <w:r>
              <w:rPr>
                <w:rFonts w:eastAsia="Liberation Mono" w:cs="Liberation Mono" w:ascii="Liberation Mono" w:hAnsi="Liberation Mono"/>
                <w:color w:val="0B3D7A"/>
                <w:sz w:val="15"/>
              </w:rPr>
              <w:t>remittance_items.data</w:t>
            </w:r>
            <w:r>
              <w:rPr>
                <w:rFonts w:eastAsia="Nunito" w:cs="Nunito"/>
                <w:sz w:val="17"/>
              </w:rPr>
              <w:t xml:space="preserve">, </w:t>
            </w:r>
            <w:r>
              <w:rPr>
                <w:rFonts w:eastAsia="Liberation Mono" w:cs="Liberation Mono" w:ascii="Liberation Mono" w:hAnsi="Liberation Mono"/>
                <w:color w:val="0B3D7A"/>
                <w:sz w:val="15"/>
              </w:rPr>
              <w:t>remittance_approvals.history</w:t>
            </w:r>
            <w:r>
              <w:rPr>
                <w:rFonts w:eastAsia="Nunito" w:cs="Nunito"/>
                <w:sz w:val="17"/>
              </w:rPr>
              <w:t xml:space="preserve">, </w:t>
            </w:r>
            <w:r>
              <w:rPr>
                <w:rFonts w:eastAsia="Liberation Mono" w:cs="Liberation Mono" w:ascii="Liberation Mono" w:hAnsi="Liberation Mono"/>
                <w:color w:val="0B3D7A"/>
                <w:sz w:val="15"/>
              </w:rPr>
              <w:t>reinsurance_treaties.terms</w:t>
            </w:r>
            <w:r>
              <w:rPr>
                <w:rFonts w:eastAsia="Nunito" w:cs="Nunito"/>
                <w:sz w:val="17"/>
              </w:rPr>
              <w:t xml:space="preserve">, </w:t>
            </w:r>
            <w:r>
              <w:rPr>
                <w:rFonts w:eastAsia="Liberation Mono" w:cs="Liberation Mono" w:ascii="Liberation Mono" w:hAnsi="Liberation Mono"/>
                <w:color w:val="0B3D7A"/>
                <w:sz w:val="15"/>
              </w:rPr>
              <w:t>reinsurance_recoveries.documents</w:t>
            </w:r>
            <w:r>
              <w:rPr>
                <w:rFonts w:eastAsia="Nunito" w:cs="Nunito"/>
                <w:sz w:val="17"/>
              </w:rPr>
              <w:t xml:space="preserve">, </w:t>
            </w:r>
            <w:r>
              <w:rPr>
                <w:rFonts w:eastAsia="Liberation Mono" w:cs="Liberation Mono" w:ascii="Liberation Mono" w:hAnsi="Liberation Mono"/>
                <w:color w:val="0B3D7A"/>
                <w:sz w:val="15"/>
              </w:rPr>
              <w:t>incentive_programs.structure</w:t>
            </w:r>
            <w:r>
              <w:rPr>
                <w:rFonts w:eastAsia="Nunito" w:cs="Nunito"/>
                <w:sz w:val="17"/>
              </w:rPr>
              <w:t xml:space="preserve"> / </w:t>
            </w:r>
            <w:r>
              <w:rPr>
                <w:rFonts w:eastAsia="Liberation Mono" w:cs="Liberation Mono" w:ascii="Liberation Mono" w:hAnsi="Liberation Mono"/>
                <w:color w:val="0B3D7A"/>
                <w:sz w:val="15"/>
              </w:rPr>
              <w:t>eligibility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operations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scheduled_jobs.params</w:t>
            </w:r>
            <w:r>
              <w:rPr>
                <w:rFonts w:eastAsia="Nunito" w:cs="Nunito"/>
                <w:sz w:val="17"/>
              </w:rPr>
              <w:t xml:space="preserve">, </w:t>
            </w:r>
            <w:r>
              <w:rPr>
                <w:rFonts w:eastAsia="Liberation Mono" w:cs="Liberation Mono" w:ascii="Liberation Mono" w:hAnsi="Liberation Mono"/>
                <w:color w:val="0B3D7A"/>
                <w:sz w:val="15"/>
              </w:rPr>
              <w:t>job_runs.output</w:t>
            </w:r>
            <w:r>
              <w:rPr>
                <w:rFonts w:eastAsia="Nunito" w:cs="Nunito"/>
                <w:sz w:val="17"/>
              </w:rPr>
              <w:t xml:space="preserve">, </w:t>
            </w:r>
            <w:r>
              <w:rPr>
                <w:rFonts w:eastAsia="Liberation Mono" w:cs="Liberation Mono" w:ascii="Liberation Mono" w:hAnsi="Liberation Mono"/>
                <w:color w:val="0B3D7A"/>
                <w:sz w:val="15"/>
              </w:rPr>
              <w:t>job_queue.payload</w:t>
            </w:r>
            <w:r>
              <w:rPr>
                <w:rFonts w:eastAsia="Nunito" w:cs="Nunito"/>
                <w:sz w:val="17"/>
              </w:rPr>
              <w:t xml:space="preserve">, </w:t>
            </w:r>
            <w:r>
              <w:rPr>
                <w:rFonts w:eastAsia="Liberation Mono" w:cs="Liberation Mono" w:ascii="Liberation Mono" w:hAnsi="Liberation Mono"/>
                <w:color w:val="0B3D7A"/>
                <w:sz w:val="15"/>
              </w:rPr>
              <w:t>generated_reports.params</w:t>
            </w:r>
            <w:r>
              <w:rPr>
                <w:rFonts w:eastAsia="Nunito" w:cs="Nunito"/>
                <w:sz w:val="17"/>
              </w:rPr>
              <w:t xml:space="preserve"> / </w:t>
            </w:r>
            <w:r>
              <w:rPr>
                <w:rFonts w:eastAsia="Liberation Mono" w:cs="Liberation Mono" w:ascii="Liberation Mono" w:hAnsi="Liberation Mono"/>
                <w:color w:val="0B3D7A"/>
                <w:sz w:val="15"/>
              </w:rPr>
              <w:t>totals</w:t>
            </w:r>
            <w:r>
              <w:rPr>
                <w:rFonts w:eastAsia="Nunito" w:cs="Nunito"/>
                <w:sz w:val="17"/>
              </w:rPr>
              <w:t xml:space="preserve">, </w:t>
            </w:r>
            <w:r>
              <w:rPr>
                <w:rFonts w:eastAsia="Liberation Mono" w:cs="Liberation Mono" w:ascii="Liberation Mono" w:hAnsi="Liberation Mono"/>
                <w:color w:val="0B3D7A"/>
                <w:sz w:val="15"/>
              </w:rPr>
              <w:t>report_definitions.parameters</w:t>
            </w:r>
            <w:r>
              <w:rPr>
                <w:rFonts w:eastAsia="Nunito" w:cs="Nunito"/>
                <w:sz w:val="17"/>
              </w:rPr>
              <w:t xml:space="preserve"> / </w:t>
            </w:r>
            <w:r>
              <w:rPr>
                <w:rFonts w:eastAsia="Liberation Mono" w:cs="Liberation Mono" w:ascii="Liberation Mono" w:hAnsi="Liberation Mono"/>
                <w:color w:val="0B3D7A"/>
                <w:sz w:val="15"/>
              </w:rPr>
              <w:t>default_columns</w:t>
            </w:r>
          </w:p>
        </w:tc>
      </w:tr>
    </w:tbl>
    <w:p>
      <w:pPr>
        <w:pStyle w:val="Normal"/>
        <w:spacing w:before="0" w:after="40"/>
        <w:rPr/>
      </w:pPr>
      <w:r>
        <w:rPr/>
      </w:r>
    </w:p>
    <w:p>
      <w:pPr>
        <w:pStyle w:val="Heading2"/>
        <w:rPr/>
      </w:pPr>
      <w:bookmarkStart w:id="8" w:name="__RefHeading___Toc4587_3826153650"/>
      <w:bookmarkEnd w:id="8"/>
      <w:r>
        <w:rPr>
          <w:rFonts w:eastAsia="Nunito" w:cs="Nunito" w:ascii="Nunito" w:hAnsi="Nunito"/>
        </w:rPr>
        <w:t>3.4  Document numbering</w:t>
      </w:r>
    </w:p>
    <w:p>
      <w:pPr>
        <w:pStyle w:val="Normal"/>
        <w:rPr/>
      </w:pPr>
      <w:r>
        <w:rPr>
          <w:rFonts w:eastAsia="Nunito" w:cs="Nunito"/>
        </w:rPr>
        <w:t xml:space="preserve">Document numbers are allocated by the SQL function </w:t>
      </w:r>
      <w:r>
        <w:rPr>
          <w:rFonts w:eastAsia="Liberation Mono" w:cs="Liberation Mono" w:ascii="Liberation Mono" w:hAnsi="Liberation Mono"/>
          <w:color w:val="0B3D7A"/>
          <w:sz w:val="18"/>
        </w:rPr>
        <w:t>next_number(name, prefix, width = 5)</w:t>
      </w:r>
      <w:r>
        <w:rPr>
          <w:rFonts w:eastAsia="Nunito" w:cs="Nunito"/>
        </w:rPr>
        <w:t xml:space="preserve">: it upserts the row </w:t>
      </w:r>
      <w:r>
        <w:rPr>
          <w:rFonts w:eastAsia="Liberation Mono" w:cs="Liberation Mono" w:ascii="Liberation Mono" w:hAnsi="Liberation Mono"/>
          <w:color w:val="0B3D7A"/>
          <w:sz w:val="18"/>
        </w:rPr>
        <w:t>(name, year)</w:t>
      </w:r>
      <w:r>
        <w:rPr>
          <w:rFonts w:eastAsia="Nunito" w:cs="Nunito"/>
        </w:rPr>
        <w:t xml:space="preserve"> in the table </w:t>
      </w:r>
      <w:r>
        <w:rPr>
          <w:rFonts w:eastAsia="Liberation Mono" w:cs="Liberation Mono" w:ascii="Liberation Mono" w:hAnsi="Liberation Mono"/>
          <w:color w:val="0B3D7A"/>
          <w:sz w:val="18"/>
        </w:rPr>
        <w:t>sequences</w:t>
      </w:r>
      <w:r>
        <w:rPr>
          <w:rFonts w:eastAsia="Nunito" w:cs="Nunito"/>
        </w:rPr>
        <w:t xml:space="preserve">, increments </w:t>
      </w:r>
      <w:r>
        <w:rPr>
          <w:rFonts w:eastAsia="Liberation Mono" w:cs="Liberation Mono" w:ascii="Liberation Mono" w:hAnsi="Liberation Mono"/>
          <w:color w:val="0B3D7A"/>
          <w:sz w:val="18"/>
        </w:rPr>
        <w:t>value</w:t>
      </w:r>
      <w:r>
        <w:rPr>
          <w:rFonts w:eastAsia="Nunito" w:cs="Nunito"/>
        </w:rPr>
        <w:t xml:space="preserve"> atomically (</w:t>
      </w:r>
      <w:r>
        <w:rPr>
          <w:rFonts w:eastAsia="Liberation Mono" w:cs="Liberation Mono" w:ascii="Liberation Mono" w:hAnsi="Liberation Mono"/>
          <w:color w:val="0B3D7A"/>
          <w:sz w:val="18"/>
        </w:rPr>
        <w:t>INSERT ... ON CONFLICT DO UPDATE ... RETURNING</w:t>
      </w:r>
      <w:r>
        <w:rPr>
          <w:rFonts w:eastAsia="Nunito" w:cs="Nunito"/>
        </w:rPr>
        <w:t xml:space="preserve">) and returns </w:t>
      </w:r>
      <w:r>
        <w:rPr>
          <w:rFonts w:eastAsia="Liberation Mono" w:cs="Liberation Mono" w:ascii="Liberation Mono" w:hAnsi="Liberation Mono"/>
          <w:color w:val="0B3D7A"/>
          <w:sz w:val="18"/>
        </w:rPr>
        <w:t>&lt;prefix&gt;-&lt;YYYY&gt;-&lt;value padded to 5&gt;</w:t>
      </w:r>
      <w:r>
        <w:rPr>
          <w:rFonts w:eastAsia="Nunito" w:cs="Nunito"/>
        </w:rPr>
        <w:t xml:space="preserve">. The counter restarts every calendar year; the prefix comes from the setting </w:t>
      </w:r>
      <w:r>
        <w:rPr>
          <w:rFonts w:eastAsia="Liberation Mono" w:cs="Liberation Mono" w:ascii="Liberation Mono" w:hAnsi="Liberation Mono"/>
          <w:color w:val="0B3D7A"/>
          <w:sz w:val="18"/>
        </w:rPr>
        <w:t>numbering.&lt;entity&gt;.prefix</w:t>
      </w:r>
      <w:r>
        <w:rPr>
          <w:rFonts w:eastAsia="Nunito" w:cs="Nunito"/>
        </w:rPr>
        <w:t xml:space="preserve"> (43 numbering settings; </w:t>
      </w:r>
      <w:r>
        <w:rPr>
          <w:rFonts w:eastAsia="Liberation Mono" w:cs="Liberation Mono" w:ascii="Liberation Mono" w:hAnsi="Liberation Mono"/>
          <w:color w:val="0B3D7A"/>
          <w:sz w:val="18"/>
        </w:rPr>
        <w:t>numbering_prefix()</w:t>
      </w:r>
      <w:r>
        <w:rPr>
          <w:rFonts w:eastAsia="Nunito" w:cs="Nunito"/>
        </w:rPr>
        <w:t xml:space="preserve"> reads them in SQL). When the number is taken inside the saving transaction (for example policy issue, quotations, receipts, disbursements), a rolled-back save also rolls back its number; helpers that take the number outside a transaction (claims, renewals, masters) can leave gaps after a failed save, and additionally re-check uniqueness against the target table. If gap-free numbering is a regulatory requirement for a document type (for example official receipts), this should be confirmed per document type.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868"/>
        <w:gridCol w:w="1638"/>
        <w:gridCol w:w="2313"/>
        <w:gridCol w:w="867"/>
        <w:gridCol w:w="1638"/>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Counter (sequences.name)</w:t>
            </w:r>
          </w:p>
        </w:tc>
        <w:tc>
          <w:tcPr>
            <w:tcW w:w="86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Year</w:t>
            </w:r>
          </w:p>
        </w:tc>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Last value (test data)</w:t>
            </w:r>
          </w:p>
        </w:tc>
        <w:tc>
          <w:tcPr>
            <w:tcW w:w="231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Counter</w:t>
            </w:r>
          </w:p>
        </w:tc>
        <w:tc>
          <w:tcPr>
            <w:tcW w:w="86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Year</w:t>
            </w:r>
          </w:p>
        </w:tc>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Last value (test data)</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adjustment</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petty-cash-request</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bank_txn</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policy</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bordereau</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quote</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11</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cession</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13</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receipt</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23</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receipt-txn</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28</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client</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18</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commission_debit_note</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remittance_batch</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disbursement-txn</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23</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remittance_bill</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dn_collection</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remittance_exception</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endorsement</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remittance_notice</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renewal</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invoice</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ri_reconciliation</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invoice-list</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ri_recovery</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journal</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117</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settlement</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lead</w:t>
            </w:r>
          </w:p>
        </w:tc>
        <w:tc>
          <w:tcPr>
            <w:tcW w:w="86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transfer</w:t>
            </w:r>
          </w:p>
        </w:tc>
        <w:tc>
          <w:tcPr>
            <w:tcW w:w="86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petty-cash</w:t>
            </w:r>
          </w:p>
        </w:tc>
        <w:tc>
          <w:tcPr>
            <w:tcW w:w="86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w:t>
            </w:r>
          </w:p>
        </w:tc>
        <w:tc>
          <w:tcPr>
            <w:tcW w:w="231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voucher</w:t>
            </w:r>
          </w:p>
        </w:tc>
        <w:tc>
          <w:tcPr>
            <w:tcW w:w="86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2026</w:t>
            </w:r>
          </w:p>
        </w:tc>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23</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Gap:</w:t>
            </w:r>
            <w:r>
              <w:rPr>
                <w:rFonts w:eastAsia="Nunito" w:cs="Nunito"/>
                <w:sz w:val="18"/>
              </w:rPr>
              <w:t xml:space="preserve"> </w:t>
            </w:r>
            <w:r>
              <w:rPr>
                <w:rFonts w:eastAsia="Liberation Mono" w:cs="Liberation Mono" w:ascii="Liberation Mono" w:hAnsi="Liberation Mono"/>
                <w:color w:val="0B3D7A"/>
                <w:sz w:val="16"/>
              </w:rPr>
              <w:t>next_number()</w:t>
            </w:r>
            <w:r>
              <w:rPr>
                <w:rFonts w:eastAsia="Nunito" w:cs="Nunito"/>
                <w:sz w:val="18"/>
              </w:rPr>
              <w:t xml:space="preserve"> takes the year from </w:t>
            </w:r>
            <w:r>
              <w:rPr>
                <w:rFonts w:eastAsia="Liberation Mono" w:cs="Liberation Mono" w:ascii="Liberation Mono" w:hAnsi="Liberation Mono"/>
                <w:color w:val="0B3D7A"/>
                <w:sz w:val="16"/>
              </w:rPr>
              <w:t>now()</w:t>
            </w:r>
            <w:r>
              <w:rPr>
                <w:rFonts w:eastAsia="Nunito" w:cs="Nunito"/>
                <w:sz w:val="18"/>
              </w:rPr>
              <w:t xml:space="preserve"> in the database session time zone (UTC on the local server and by default on RDS), not from the business time zone </w:t>
            </w:r>
            <w:r>
              <w:rPr>
                <w:rFonts w:eastAsia="Liberation Mono" w:cs="Liberation Mono" w:ascii="Liberation Mono" w:hAnsi="Liberation Mono"/>
                <w:color w:val="0B3D7A"/>
                <w:sz w:val="16"/>
              </w:rPr>
              <w:t>general.timezone</w:t>
            </w:r>
            <w:r>
              <w:rPr>
                <w:rFonts w:eastAsia="Nunito" w:cs="Nunito"/>
                <w:sz w:val="18"/>
              </w:rPr>
              <w:t xml:space="preserve"> (Asia/Manila). Documents created between 00:00 and 08:00 Manila time on 1 January are numbered in the previous year. Fix: compute the year with </w:t>
            </w:r>
            <w:r>
              <w:rPr>
                <w:rFonts w:eastAsia="Liberation Mono" w:cs="Liberation Mono" w:ascii="Liberation Mono" w:hAnsi="Liberation Mono"/>
                <w:color w:val="0B3D7A"/>
                <w:sz w:val="16"/>
              </w:rPr>
              <w:t>now() AT TIME ZONE 'Asia/Manila'</w:t>
            </w:r>
            <w:r>
              <w:rPr>
                <w:rFonts w:eastAsia="Nunito" w:cs="Nunito"/>
                <w:sz w:val="18"/>
              </w:rPr>
              <w:t xml:space="preserve"> (or the setting) or set the database / role time zone to Asia/Manila (recommended).</w:t>
            </w:r>
          </w:p>
        </w:tc>
      </w:tr>
    </w:tbl>
    <w:p>
      <w:pPr>
        <w:pStyle w:val="Normal"/>
        <w:spacing w:before="0" w:after="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The numbering helper exists in four variants in the code (</w:t>
            </w:r>
            <w:r>
              <w:rPr>
                <w:rFonts w:eastAsia="Liberation Mono" w:cs="Liberation Mono" w:ascii="Liberation Mono" w:hAnsi="Liberation Mono"/>
                <w:color w:val="0B3D7A"/>
                <w:sz w:val="16"/>
              </w:rPr>
              <w:t>documents/common.js</w:t>
            </w:r>
            <w:r>
              <w:rPr>
                <w:rFonts w:eastAsia="Nunito" w:cs="Nunito"/>
                <w:sz w:val="18"/>
              </w:rPr>
              <w:t xml:space="preserve">, </w:t>
            </w:r>
            <w:r>
              <w:rPr>
                <w:rFonts w:eastAsia="Liberation Mono" w:cs="Liberation Mono" w:ascii="Liberation Mono" w:hAnsi="Liberation Mono"/>
                <w:color w:val="0B3D7A"/>
                <w:sz w:val="16"/>
              </w:rPr>
              <w:t>claims/util.js</w:t>
            </w:r>
            <w:r>
              <w:rPr>
                <w:rFonts w:eastAsia="Nunito" w:cs="Nunito"/>
                <w:sz w:val="18"/>
              </w:rPr>
              <w:t xml:space="preserve">, </w:t>
            </w:r>
            <w:r>
              <w:rPr>
                <w:rFonts w:eastAsia="Liberation Mono" w:cs="Liberation Mono" w:ascii="Liberation Mono" w:hAnsi="Liberation Mono"/>
                <w:color w:val="0B3D7A"/>
                <w:sz w:val="16"/>
              </w:rPr>
              <w:t>masters/helpers.js</w:t>
            </w:r>
            <w:r>
              <w:rPr>
                <w:rFonts w:eastAsia="Nunito" w:cs="Nunito"/>
                <w:sz w:val="18"/>
              </w:rPr>
              <w:t xml:space="preserve">, </w:t>
            </w:r>
            <w:r>
              <w:rPr>
                <w:rFonts w:eastAsia="Liberation Mono" w:cs="Liberation Mono" w:ascii="Liberation Mono" w:hAnsi="Liberation Mono"/>
                <w:color w:val="0B3D7A"/>
                <w:sz w:val="16"/>
              </w:rPr>
              <w:t>disbursements/service.js</w:t>
            </w:r>
            <w:r>
              <w:rPr>
                <w:rFonts w:eastAsia="Nunito" w:cs="Nunito"/>
                <w:sz w:val="18"/>
              </w:rPr>
              <w:t xml:space="preserve"> </w:t>
            </w:r>
            <w:r>
              <w:rPr>
                <w:rFonts w:eastAsia="Liberation Mono" w:cs="Liberation Mono" w:ascii="Liberation Mono" w:hAnsi="Liberation Mono"/>
                <w:color w:val="0B3D7A"/>
                <w:sz w:val="16"/>
              </w:rPr>
              <w:t>nextNo</w:t>
            </w:r>
            <w:r>
              <w:rPr>
                <w:rFonts w:eastAsia="Nunito" w:cs="Nunito"/>
                <w:sz w:val="18"/>
              </w:rPr>
              <w:t xml:space="preserve">), all calling the same SQL function; consolidating them in </w:t>
            </w:r>
            <w:r>
              <w:rPr>
                <w:rFonts w:eastAsia="Liberation Mono" w:cs="Liberation Mono" w:ascii="Liberation Mono" w:hAnsi="Liberation Mono"/>
                <w:color w:val="0B3D7A"/>
                <w:sz w:val="16"/>
              </w:rPr>
              <w:t>lib/</w:t>
            </w:r>
            <w:r>
              <w:rPr>
                <w:rFonts w:eastAsia="Nunito" w:cs="Nunito"/>
                <w:sz w:val="18"/>
              </w:rPr>
              <w:t xml:space="preserve"> is a code-quality improvement, not a correctness issue.</w:t>
            </w:r>
          </w:p>
        </w:tc>
      </w:tr>
    </w:tbl>
    <w:p>
      <w:pPr>
        <w:pStyle w:val="Normal"/>
        <w:spacing w:before="0" w:after="0"/>
        <w:rPr/>
      </w:pPr>
      <w:r>
        <w:rPr/>
      </w:r>
    </w:p>
    <w:p>
      <w:pPr>
        <w:pStyle w:val="Heading2"/>
        <w:rPr/>
      </w:pPr>
      <w:bookmarkStart w:id="9" w:name="__RefHeading___Toc4589_3826153650"/>
      <w:bookmarkEnd w:id="9"/>
      <w:r>
        <w:rPr>
          <w:rFonts w:eastAsia="Nunito" w:cs="Nunito" w:ascii="Nunito" w:hAnsi="Nunito"/>
        </w:rPr>
        <w:t>3.5  Audit, history and soft delete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Convention</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Row stamps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created_at</w:t>
            </w:r>
            <w:r>
              <w:rPr>
                <w:rFonts w:eastAsia="Nunito" w:cs="Nunito"/>
                <w:sz w:val="17"/>
              </w:rPr>
              <w:t xml:space="preserve"> (79 tables), </w:t>
            </w:r>
            <w:r>
              <w:rPr>
                <w:rFonts w:eastAsia="Liberation Mono" w:cs="Liberation Mono" w:ascii="Liberation Mono" w:hAnsi="Liberation Mono"/>
                <w:color w:val="0B3D7A"/>
                <w:sz w:val="15"/>
              </w:rPr>
              <w:t>updated_at</w:t>
            </w:r>
            <w:r>
              <w:rPr>
                <w:rFonts w:eastAsia="Nunito" w:cs="Nunito"/>
                <w:sz w:val="17"/>
              </w:rPr>
              <w:t xml:space="preserve"> (62), </w:t>
            </w:r>
            <w:r>
              <w:rPr>
                <w:rFonts w:eastAsia="Liberation Mono" w:cs="Liberation Mono" w:ascii="Liberation Mono" w:hAnsi="Liberation Mono"/>
                <w:color w:val="0B3D7A"/>
                <w:sz w:val="15"/>
              </w:rPr>
              <w:t>created_by</w:t>
            </w:r>
            <w:r>
              <w:rPr>
                <w:rFonts w:eastAsia="Nunito" w:cs="Nunito"/>
                <w:sz w:val="17"/>
              </w:rPr>
              <w:t xml:space="preserve"> (59), </w:t>
            </w:r>
            <w:r>
              <w:rPr>
                <w:rFonts w:eastAsia="Liberation Mono" w:cs="Liberation Mono" w:ascii="Liberation Mono" w:hAnsi="Liberation Mono"/>
                <w:color w:val="0B3D7A"/>
                <w:sz w:val="15"/>
              </w:rPr>
              <w:t>updated_by</w:t>
            </w:r>
            <w:r>
              <w:rPr>
                <w:rFonts w:eastAsia="Nunito" w:cs="Nunito"/>
                <w:sz w:val="17"/>
              </w:rPr>
              <w:t xml:space="preserve"> (39). </w:t>
            </w:r>
            <w:r>
              <w:rPr>
                <w:rFonts w:eastAsia="Liberation Mono" w:cs="Liberation Mono" w:ascii="Liberation Mono" w:hAnsi="Liberation Mono"/>
                <w:color w:val="0B3D7A"/>
                <w:sz w:val="15"/>
              </w:rPr>
              <w:t>updated_at</w:t>
            </w:r>
            <w:r>
              <w:rPr>
                <w:rFonts w:eastAsia="Nunito" w:cs="Nunito"/>
                <w:sz w:val="17"/>
              </w:rPr>
              <w:t xml:space="preserve"> is set by the application; database triggers maintain it only on </w:t>
            </w:r>
            <w:r>
              <w:rPr>
                <w:rFonts w:eastAsia="Liberation Mono" w:cs="Liberation Mono" w:ascii="Liberation Mono" w:hAnsi="Liberation Mono"/>
                <w:color w:val="0B3D7A"/>
                <w:sz w:val="15"/>
              </w:rPr>
              <w:t>users</w:t>
            </w:r>
            <w:r>
              <w:rPr>
                <w:rFonts w:eastAsia="Nunito" w:cs="Nunito"/>
                <w:sz w:val="17"/>
              </w:rPr>
              <w:t xml:space="preserve"> and </w:t>
            </w:r>
            <w:r>
              <w:rPr>
                <w:rFonts w:eastAsia="Liberation Mono" w:cs="Liberation Mono" w:ascii="Liberation Mono" w:hAnsi="Liberation Mono"/>
                <w:color w:val="0B3D7A"/>
                <w:sz w:val="15"/>
              </w:rPr>
              <w:t>roles</w:t>
            </w:r>
            <w:r>
              <w:rPr>
                <w:rFonts w:eastAsia="Nunito" w:cs="Nunito"/>
                <w:sz w:val="17"/>
              </w:rPr>
              <w:t xml:space="preserve"> (</w:t>
            </w:r>
            <w:r>
              <w:rPr>
                <w:rFonts w:eastAsia="Liberation Mono" w:cs="Liberation Mono" w:ascii="Liberation Mono" w:hAnsi="Liberation Mono"/>
                <w:color w:val="0B3D7A"/>
                <w:sz w:val="15"/>
              </w:rPr>
              <w:t>set_updated_at()</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audit_log(id, at, user_id, username, entity, entity_id, action, before_data, after_data, ip)</w:t>
            </w:r>
            <w:r>
              <w:rPr>
                <w:rFonts w:eastAsia="Nunito" w:cs="Nunito"/>
                <w:sz w:val="17"/>
              </w:rPr>
              <w:t xml:space="preserve">, written by </w:t>
            </w:r>
            <w:r>
              <w:rPr>
                <w:rFonts w:eastAsia="Liberation Mono" w:cs="Liberation Mono" w:ascii="Liberation Mono" w:hAnsi="Liberation Mono"/>
                <w:color w:val="0B3D7A"/>
                <w:sz w:val="15"/>
              </w:rPr>
              <w:t>lib/audit.js</w:t>
            </w:r>
            <w:r>
              <w:rPr>
                <w:rFonts w:eastAsia="Nunito" w:cs="Nunito"/>
                <w:sz w:val="17"/>
              </w:rPr>
              <w:t xml:space="preserve"> from the route handlers of every create, update, approval, posting, run and sign-in related event; indexed on </w:t>
            </w:r>
            <w:r>
              <w:rPr>
                <w:rFonts w:eastAsia="Liberation Mono" w:cs="Liberation Mono" w:ascii="Liberation Mono" w:hAnsi="Liberation Mono"/>
                <w:color w:val="0B3D7A"/>
                <w:sz w:val="15"/>
              </w:rPr>
              <w:t>(entity, entity_id)</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Domain histories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claim_history</w:t>
            </w:r>
            <w:r>
              <w:rPr>
                <w:rFonts w:eastAsia="Nunito" w:cs="Nunito"/>
                <w:sz w:val="17"/>
              </w:rPr>
              <w:t xml:space="preserve"> (status), </w:t>
            </w:r>
            <w:r>
              <w:rPr>
                <w:rFonts w:eastAsia="Liberation Mono" w:cs="Liberation Mono" w:ascii="Liberation Mono" w:hAnsi="Liberation Mono"/>
                <w:color w:val="0B3D7A"/>
                <w:sz w:val="15"/>
              </w:rPr>
              <w:t>claim_field_changes</w:t>
            </w:r>
            <w:r>
              <w:rPr>
                <w:rFonts w:eastAsia="Nunito" w:cs="Nunito"/>
                <w:sz w:val="17"/>
              </w:rPr>
              <w:t xml:space="preserve"> (field-level), </w:t>
            </w:r>
            <w:r>
              <w:rPr>
                <w:rFonts w:eastAsia="Liberation Mono" w:cs="Liberation Mono" w:ascii="Liberation Mono" w:hAnsi="Liberation Mono"/>
                <w:color w:val="0B3D7A"/>
                <w:sz w:val="15"/>
              </w:rPr>
              <w:t>renewal_activities</w:t>
            </w:r>
            <w:r>
              <w:rPr>
                <w:rFonts w:eastAsia="Nunito" w:cs="Nunito"/>
                <w:sz w:val="17"/>
              </w:rPr>
              <w:t xml:space="preserve">, </w:t>
            </w:r>
            <w:r>
              <w:rPr>
                <w:rFonts w:eastAsia="Liberation Mono" w:cs="Liberation Mono" w:ascii="Liberation Mono" w:hAnsi="Liberation Mono"/>
                <w:color w:val="0B3D7A"/>
                <w:sz w:val="15"/>
              </w:rPr>
              <w:t>renewal_notices</w:t>
            </w:r>
            <w:r>
              <w:rPr>
                <w:rFonts w:eastAsia="Nunito" w:cs="Nunito"/>
                <w:sz w:val="17"/>
              </w:rPr>
              <w:t xml:space="preserve">, </w:t>
            </w:r>
            <w:r>
              <w:rPr>
                <w:rFonts w:eastAsia="Liberation Mono" w:cs="Liberation Mono" w:ascii="Liberation Mono" w:hAnsi="Liberation Mono"/>
                <w:color w:val="0B3D7A"/>
                <w:sz w:val="15"/>
              </w:rPr>
              <w:t>collection_actions</w:t>
            </w:r>
            <w:r>
              <w:rPr>
                <w:rFonts w:eastAsia="Nunito" w:cs="Nunito"/>
                <w:sz w:val="17"/>
              </w:rPr>
              <w:t xml:space="preserve">, </w:t>
            </w:r>
            <w:r>
              <w:rPr>
                <w:rFonts w:eastAsia="Liberation Mono" w:cs="Liberation Mono" w:ascii="Liberation Mono" w:hAnsi="Liberation Mono"/>
                <w:color w:val="0B3D7A"/>
                <w:sz w:val="15"/>
              </w:rPr>
              <w:t>remittance_approvals.history</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password_history</w:t>
            </w:r>
            <w:r>
              <w:rPr>
                <w:rFonts w:eastAsia="Nunito" w:cs="Nunito"/>
                <w:sz w:val="17"/>
              </w:rPr>
              <w:t xml:space="preserve">, </w:t>
            </w:r>
            <w:r>
              <w:rPr>
                <w:rFonts w:eastAsia="Liberation Mono" w:cs="Liberation Mono" w:ascii="Liberation Mono" w:hAnsi="Liberation Mono"/>
                <w:color w:val="0B3D7A"/>
                <w:sz w:val="15"/>
              </w:rPr>
              <w:t>job_runs</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Soft delete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leads</w:t>
            </w:r>
            <w:r>
              <w:rPr>
                <w:rFonts w:eastAsia="Nunito" w:cs="Nunito"/>
                <w:sz w:val="17"/>
              </w:rPr>
              <w:t xml:space="preserve"> and </w:t>
            </w:r>
            <w:r>
              <w:rPr>
                <w:rFonts w:eastAsia="Liberation Mono" w:cs="Liberation Mono" w:ascii="Liberation Mono" w:hAnsi="Liberation Mono"/>
                <w:color w:val="0B3D7A"/>
                <w:sz w:val="15"/>
              </w:rPr>
              <w:t>quotes</w:t>
            </w:r>
            <w:r>
              <w:rPr>
                <w:rFonts w:eastAsia="Nunito" w:cs="Nunito"/>
                <w:sz w:val="17"/>
              </w:rPr>
              <w:t xml:space="preserve"> carry </w:t>
            </w:r>
            <w:r>
              <w:rPr>
                <w:rFonts w:eastAsia="Liberation Mono" w:cs="Liberation Mono" w:ascii="Liberation Mono" w:hAnsi="Liberation Mono"/>
                <w:color w:val="0B3D7A"/>
                <w:sz w:val="15"/>
              </w:rPr>
              <w:t>deleted_at</w:t>
            </w:r>
            <w:r>
              <w:rPr>
                <w:rFonts w:eastAsia="Nunito" w:cs="Nunito"/>
                <w:sz w:val="17"/>
              </w:rPr>
              <w:t xml:space="preserve">; masters and product components use a </w:t>
            </w:r>
            <w:r>
              <w:rPr>
                <w:rFonts w:eastAsia="Liberation Mono" w:cs="Liberation Mono" w:ascii="Liberation Mono" w:hAnsi="Liberation Mono"/>
                <w:color w:val="0B3D7A"/>
                <w:sz w:val="15"/>
              </w:rPr>
              <w:t>status</w:t>
            </w:r>
            <w:r>
              <w:rPr>
                <w:rFonts w:eastAsia="Nunito" w:cs="Nunito"/>
                <w:sz w:val="17"/>
              </w:rPr>
              <w:t xml:space="preserve"> of </w:t>
            </w:r>
            <w:r>
              <w:rPr>
                <w:rFonts w:eastAsia="Liberation Mono" w:cs="Liberation Mono" w:ascii="Liberation Mono" w:hAnsi="Liberation Mono"/>
                <w:color w:val="0B3D7A"/>
                <w:sz w:val="15"/>
              </w:rPr>
              <w:t>deleted</w:t>
            </w:r>
            <w:r>
              <w:rPr>
                <w:rFonts w:eastAsia="Nunito" w:cs="Nunito"/>
                <w:sz w:val="17"/>
              </w:rPr>
              <w:t xml:space="preserve"> / </w:t>
            </w:r>
            <w:r>
              <w:rPr>
                <w:rFonts w:eastAsia="Liberation Mono" w:cs="Liberation Mono" w:ascii="Liberation Mono" w:hAnsi="Liberation Mono"/>
                <w:color w:val="0B3D7A"/>
                <w:sz w:val="15"/>
              </w:rPr>
              <w:t>Deleted</w:t>
            </w:r>
            <w:r>
              <w:rPr>
                <w:rFonts w:eastAsia="Nunito" w:cs="Nunito"/>
                <w:sz w:val="17"/>
              </w:rPr>
              <w:t xml:space="preserve"> (unique indexes are partial: </w:t>
            </w:r>
            <w:r>
              <w:rPr>
                <w:rFonts w:eastAsia="Liberation Mono" w:cs="Liberation Mono" w:ascii="Liberation Mono" w:hAnsi="Liberation Mono"/>
                <w:color w:val="0B3D7A"/>
                <w:sz w:val="15"/>
              </w:rPr>
              <w:t>WHERE status &lt;&gt; 'deleted'</w:t>
            </w:r>
            <w:r>
              <w:rPr>
                <w:rFonts w:eastAsia="Nunito" w:cs="Nunito"/>
                <w:sz w:val="17"/>
              </w:rPr>
              <w:t>); financial documents are never deleted but cancelled or reversed (</w:t>
            </w:r>
            <w:r>
              <w:rPr>
                <w:rFonts w:eastAsia="Liberation Mono" w:cs="Liberation Mono" w:ascii="Liberation Mono" w:hAnsi="Liberation Mono"/>
                <w:color w:val="0B3D7A"/>
                <w:sz w:val="15"/>
              </w:rPr>
              <w:t>receipts.cancelled_at</w:t>
            </w:r>
            <w:r>
              <w:rPr>
                <w:rFonts w:eastAsia="Nunito" w:cs="Nunito"/>
                <w:sz w:val="17"/>
              </w:rPr>
              <w:t xml:space="preserve">, journal reversal and correction vouchers </w:t>
            </w:r>
            <w:r>
              <w:rPr>
                <w:rFonts w:eastAsia="Liberation Mono" w:cs="Liberation Mono" w:ascii="Liberation Mono" w:hAnsi="Liberation Mono"/>
                <w:color w:val="0B3D7A"/>
                <w:sz w:val="15"/>
              </w:rPr>
              <w:t>reversal_of</w:t>
            </w:r>
            <w:r>
              <w:rPr>
                <w:rFonts w:eastAsia="Nunito" w:cs="Nunito"/>
                <w:sz w:val="17"/>
              </w:rPr>
              <w:t xml:space="preserve">, </w:t>
            </w:r>
            <w:r>
              <w:rPr>
                <w:rFonts w:eastAsia="Liberation Mono" w:cs="Liberation Mono" w:ascii="Liberation Mono" w:hAnsi="Liberation Mono"/>
                <w:color w:val="0B3D7A"/>
                <w:sz w:val="15"/>
              </w:rPr>
              <w:t>reversed_by_jv</w:t>
            </w:r>
            <w:r>
              <w:rPr>
                <w:rFonts w:eastAsia="Nunito" w:cs="Nunito"/>
                <w:sz w:val="17"/>
              </w:rPr>
              <w:t xml:space="preserve">, </w:t>
            </w:r>
            <w:r>
              <w:rPr>
                <w:rFonts w:eastAsia="Liberation Mono" w:cs="Liberation Mono" w:ascii="Liberation Mono" w:hAnsi="Liberation Mono"/>
                <w:color w:val="0B3D7A"/>
                <w:sz w:val="15"/>
              </w:rPr>
              <w:t>correction_of</w:t>
            </w:r>
            <w:r>
              <w:rPr>
                <w:rFonts w:eastAsia="Nunito" w:cs="Nunito"/>
                <w:sz w:val="17"/>
              </w:rPr>
              <w:t>). A draft quotation is the only business record deleted physically.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Financial integrity</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Trigger </w:t>
            </w:r>
            <w:r>
              <w:rPr>
                <w:rFonts w:eastAsia="Liberation Mono" w:cs="Liberation Mono" w:ascii="Liberation Mono" w:hAnsi="Liberation Mono"/>
                <w:color w:val="0B3D7A"/>
                <w:sz w:val="15"/>
              </w:rPr>
              <w:t>jv_check_posting</w:t>
            </w:r>
            <w:r>
              <w:rPr>
                <w:rFonts w:eastAsia="Nunito" w:cs="Nunito"/>
                <w:sz w:val="17"/>
              </w:rPr>
              <w:t xml:space="preserve"> refuses to post a journal voucher that has fewer than two lines, is unbalanced or has a zero total, or whose accounting period (</w:t>
            </w:r>
            <w:r>
              <w:rPr>
                <w:rFonts w:eastAsia="Liberation Mono" w:cs="Liberation Mono" w:ascii="Liberation Mono" w:hAnsi="Liberation Mono"/>
                <w:color w:val="0B3D7A"/>
                <w:sz w:val="15"/>
              </w:rPr>
              <w:t>accounting_periods</w:t>
            </w:r>
            <w:r>
              <w:rPr>
                <w:rFonts w:eastAsia="Nunito" w:cs="Nunito"/>
                <w:sz w:val="17"/>
              </w:rPr>
              <w:t xml:space="preserve">) is closed. Trigger </w:t>
            </w:r>
            <w:r>
              <w:rPr>
                <w:rFonts w:eastAsia="Liberation Mono" w:cs="Liberation Mono" w:ascii="Liberation Mono" w:hAnsi="Liberation Mono"/>
                <w:color w:val="0B3D7A"/>
                <w:sz w:val="15"/>
              </w:rPr>
              <w:t>gl_accounts_defaults</w:t>
            </w:r>
            <w:r>
              <w:rPr>
                <w:rFonts w:eastAsia="Nunito" w:cs="Nunito"/>
                <w:sz w:val="17"/>
              </w:rPr>
              <w:t xml:space="preserve"> derives the normal balance of an account from its type.</w:t>
            </w:r>
          </w:p>
        </w:tc>
      </w:tr>
    </w:tbl>
    <w:p>
      <w:pPr>
        <w:pStyle w:val="Normal"/>
        <w:spacing w:before="0" w:after="40"/>
        <w:rPr/>
      </w:pPr>
      <w:r>
        <w:rPr/>
      </w:r>
    </w:p>
    <w:p>
      <w:pPr>
        <w:pStyle w:val="Heading2"/>
        <w:rPr/>
      </w:pPr>
      <w:bookmarkStart w:id="10" w:name="__RefHeading___Toc4591_3826153650"/>
      <w:bookmarkEnd w:id="10"/>
      <w:r>
        <w:rPr>
          <w:rFonts w:eastAsia="Nunito" w:cs="Nunito" w:ascii="Nunito" w:hAnsi="Nunito"/>
        </w:rPr>
        <w:t>3.6  Constraints and indexes</w:t>
      </w:r>
    </w:p>
    <w:p>
      <w:pPr>
        <w:pStyle w:val="Normal"/>
        <w:rPr/>
      </w:pPr>
      <w:r>
        <w:rPr>
          <w:rFonts w:eastAsia="Nunito" w:cs="Nunito"/>
        </w:rPr>
        <w:t xml:space="preserve">The schema has 226 indexes: 102 primary keys, 59 further unique indexes (business numbers, natural keys, partial uniqueness such as one open renewal per policy </w:t>
      </w:r>
      <w:r>
        <w:rPr>
          <w:rFonts w:eastAsia="Liberation Mono" w:cs="Liberation Mono" w:ascii="Liberation Mono" w:hAnsi="Liberation Mono"/>
          <w:color w:val="0B3D7A"/>
          <w:sz w:val="18"/>
        </w:rPr>
        <w:t>renewals_open_policy_uq</w:t>
      </w:r>
      <w:r>
        <w:rPr>
          <w:rFonts w:eastAsia="Nunito" w:cs="Nunito"/>
        </w:rPr>
        <w:t xml:space="preserve"> or one pending approval per entity </w:t>
      </w:r>
      <w:r>
        <w:rPr>
          <w:rFonts w:eastAsia="Liberation Mono" w:cs="Liberation Mono" w:ascii="Liberation Mono" w:hAnsi="Liberation Mono"/>
          <w:color w:val="0B3D7A"/>
          <w:sz w:val="18"/>
        </w:rPr>
        <w:t>remittance_approvals_open_uq</w:t>
      </w:r>
      <w:r>
        <w:rPr>
          <w:rFonts w:eastAsia="Nunito" w:cs="Nunito"/>
        </w:rPr>
        <w:t xml:space="preserve">), 15 partial indexes and one GIN index. Case-insensitive uniqueness uses expression indexes on </w:t>
      </w:r>
      <w:r>
        <w:rPr>
          <w:rFonts w:eastAsia="Liberation Mono" w:cs="Liberation Mono" w:ascii="Liberation Mono" w:hAnsi="Liberation Mono"/>
          <w:color w:val="0B3D7A"/>
          <w:sz w:val="18"/>
        </w:rPr>
        <w:t>lower(...)</w:t>
      </w:r>
      <w:r>
        <w:rPr>
          <w:rFonts w:eastAsia="Nunito" w:cs="Nunito"/>
        </w:rPr>
        <w:t xml:space="preserve"> (reinsurer names, treaty numbers, programme codes, template codes).</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Gap:</w:t>
            </w:r>
            <w:r>
              <w:rPr>
                <w:rFonts w:eastAsia="Nunito" w:cs="Nunito"/>
                <w:sz w:val="18"/>
              </w:rPr>
              <w:t xml:space="preserve"> 128 of the 174 foreign keys have no index whose leading column is the foreign-key column (list in document 03). Most are low-volume references to masters, but several are on growing tables and are used in joins or in lookups by parent: for example </w:t>
            </w:r>
            <w:r>
              <w:rPr>
                <w:rFonts w:eastAsia="Liberation Mono" w:cs="Liberation Mono" w:ascii="Liberation Mono" w:hAnsi="Liberation Mono"/>
                <w:color w:val="0B3D7A"/>
                <w:sz w:val="16"/>
              </w:rPr>
              <w:t>job_runs.job_id</w:t>
            </w:r>
            <w:r>
              <w:rPr>
                <w:rFonts w:eastAsia="Nunito" w:cs="Nunito"/>
                <w:sz w:val="18"/>
              </w:rPr>
              <w:t xml:space="preserve"> (queried by the scheduler on every run and by the run-history screen), </w:t>
            </w:r>
            <w:r>
              <w:rPr>
                <w:rFonts w:eastAsia="Liberation Mono" w:cs="Liberation Mono" w:ascii="Liberation Mono" w:hAnsi="Liberation Mono"/>
                <w:color w:val="0B3D7A"/>
                <w:sz w:val="16"/>
              </w:rPr>
              <w:t>quotes.client_id</w:t>
            </w:r>
            <w:r>
              <w:rPr>
                <w:rFonts w:eastAsia="Nunito" w:cs="Nunito"/>
                <w:sz w:val="18"/>
              </w:rPr>
              <w:t xml:space="preserve">, </w:t>
            </w:r>
            <w:r>
              <w:rPr>
                <w:rFonts w:eastAsia="Liberation Mono" w:cs="Liberation Mono" w:ascii="Liberation Mono" w:hAnsi="Liberation Mono"/>
                <w:color w:val="0B3D7A"/>
                <w:sz w:val="16"/>
              </w:rPr>
              <w:t>receipts.client_id</w:t>
            </w:r>
            <w:r>
              <w:rPr>
                <w:rFonts w:eastAsia="Nunito" w:cs="Nunito"/>
                <w:sz w:val="18"/>
              </w:rPr>
              <w:t xml:space="preserve">, </w:t>
            </w:r>
            <w:r>
              <w:rPr>
                <w:rFonts w:eastAsia="Liberation Mono" w:cs="Liberation Mono" w:ascii="Liberation Mono" w:hAnsi="Liberation Mono"/>
                <w:color w:val="0B3D7A"/>
                <w:sz w:val="16"/>
              </w:rPr>
              <w:t>receipt_applications.receipt_id</w:t>
            </w:r>
            <w:r>
              <w:rPr>
                <w:rFonts w:eastAsia="Nunito" w:cs="Nunito"/>
                <w:sz w:val="18"/>
              </w:rPr>
              <w:t xml:space="preserve">, </w:t>
            </w:r>
            <w:r>
              <w:rPr>
                <w:rFonts w:eastAsia="Liberation Mono" w:cs="Liberation Mono" w:ascii="Liberation Mono" w:hAnsi="Liberation Mono"/>
                <w:color w:val="0B3D7A"/>
                <w:sz w:val="16"/>
              </w:rPr>
              <w:t>remittance_lines.remittance_id</w:t>
            </w:r>
            <w:r>
              <w:rPr>
                <w:rFonts w:eastAsia="Nunito" w:cs="Nunito"/>
                <w:sz w:val="18"/>
              </w:rPr>
              <w:t xml:space="preserve">, </w:t>
            </w:r>
            <w:r>
              <w:rPr>
                <w:rFonts w:eastAsia="Liberation Mono" w:cs="Liberation Mono" w:ascii="Liberation Mono" w:hAnsi="Liberation Mono"/>
                <w:color w:val="0B3D7A"/>
                <w:sz w:val="16"/>
              </w:rPr>
              <w:t>commissions.disbursement_id</w:t>
            </w:r>
            <w:r>
              <w:rPr>
                <w:rFonts w:eastAsia="Nunito" w:cs="Nunito"/>
                <w:sz w:val="18"/>
              </w:rPr>
              <w:t xml:space="preserve">, </w:t>
            </w:r>
            <w:r>
              <w:rPr>
                <w:rFonts w:eastAsia="Liberation Mono" w:cs="Liberation Mono" w:ascii="Liberation Mono" w:hAnsi="Liberation Mono"/>
                <w:color w:val="0B3D7A"/>
                <w:sz w:val="16"/>
              </w:rPr>
              <w:t>incentive_results.calculation_id</w:t>
            </w:r>
            <w:r>
              <w:rPr>
                <w:rFonts w:eastAsia="Nunito" w:cs="Nunito"/>
                <w:sz w:val="18"/>
              </w:rPr>
              <w:t>. They also slow down deletes of parent rows. Recommended: add indexes for the FKs of transactional and log tables before the data volume grows (to be confirmed with a query-plan review in UAT).</w:t>
            </w:r>
          </w:p>
        </w:tc>
      </w:tr>
    </w:tbl>
    <w:p>
      <w:pPr>
        <w:pStyle w:val="Normal"/>
        <w:spacing w:before="0" w:after="0"/>
        <w:rPr/>
      </w:pPr>
      <w:r>
        <w:rPr/>
      </w:r>
      <w:r>
        <w:br w:type="page"/>
      </w:r>
    </w:p>
    <w:p>
      <w:pPr>
        <w:pStyle w:val="Heading1"/>
        <w:pBdr>
          <w:bottom w:val="single" w:sz="12" w:space="6" w:color="00ACF1"/>
        </w:pBdr>
        <w:rPr/>
      </w:pPr>
      <w:bookmarkStart w:id="11" w:name="__RefHeading___Toc4593_3826153650"/>
      <w:bookmarkEnd w:id="11"/>
      <w:r>
        <w:rPr>
          <w:rFonts w:eastAsia="Nunito" w:cs="Nunito" w:ascii="Nunito" w:hAnsi="Nunito"/>
        </w:rPr>
        <w:t>4  Entity-relationship diagrams</w:t>
      </w:r>
    </w:p>
    <w:p>
      <w:pPr>
        <w:pStyle w:val="Normal"/>
        <w:rPr/>
      </w:pPr>
      <w:r>
        <w:rPr>
          <w:rFonts w:eastAsia="Nunito" w:cs="Nunito"/>
        </w:rPr>
        <w:t xml:space="preserve">The diagrams are generated from the database catalogue. Each box lists the primary key (PK), up to two unique keys (UK), the foreign keys (FK; a red asterisk marks an FK without a supporting index) and the JSONB columns ({ }). Dashed boxes are tables of another domain. References to </w:t>
      </w:r>
      <w:r>
        <w:rPr>
          <w:rFonts w:eastAsia="Liberation Mono" w:cs="Liberation Mono" w:ascii="Liberation Mono" w:hAnsi="Liberation Mono"/>
          <w:color w:val="0B3D7A"/>
          <w:sz w:val="18"/>
        </w:rPr>
        <w:t>users</w:t>
      </w:r>
      <w:r>
        <w:rPr>
          <w:rFonts w:eastAsia="Nunito" w:cs="Nunito"/>
        </w:rPr>
        <w:t xml:space="preserve"> (creator, owner, approver) are listed as columns but not drawn, except in the security diagram.</w:t>
      </w:r>
    </w:p>
    <w:p>
      <w:pPr>
        <w:pStyle w:val="Heading2"/>
        <w:rPr/>
      </w:pPr>
      <w:bookmarkStart w:id="12" w:name="__RefHeading___Toc4595_3826153650"/>
      <w:bookmarkEnd w:id="12"/>
      <w:r>
        <w:rPr>
          <w:rFonts w:eastAsia="Nunito" w:cs="Nunito" w:ascii="Nunito" w:hAnsi="Nunito"/>
        </w:rPr>
        <w:t>4.1  Sales and policy</w:t>
      </w:r>
    </w:p>
    <w:p>
      <w:pPr>
        <w:pStyle w:val="Normal"/>
        <w:keepNext w:val="true"/>
        <w:spacing w:before="80" w:after="40"/>
        <w:jc w:val="center"/>
        <w:rPr/>
      </w:pPr>
      <w:r>
        <w:rPr/>
        <w:drawing>
          <wp:inline distT="0" distB="0" distL="0" distR="0">
            <wp:extent cx="4717415" cy="810006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4717415" cy="8100060"/>
                    </a:xfrm>
                    <a:prstGeom prst="rect">
                      <a:avLst/>
                    </a:prstGeom>
                  </pic:spPr>
                </pic:pic>
              </a:graphicData>
            </a:graphic>
          </wp:inline>
        </w:drawing>
      </w:r>
    </w:p>
    <w:p>
      <w:pPr>
        <w:pStyle w:val="FigureCaption"/>
        <w:rPr/>
      </w:pPr>
      <w:r>
        <w:rPr>
          <w:rFonts w:eastAsia="Nunito" w:cs="Nunito"/>
          <w:b/>
          <w:i/>
          <w:color w:val="0065B3"/>
          <w:sz w:val="17"/>
        </w:rPr>
        <w:t xml:space="preserve">Figure 1. </w:t>
      </w:r>
      <w:r>
        <w:rPr>
          <w:rFonts w:eastAsia="Nunito" w:cs="Nunito"/>
          <w:color w:val="5B6776"/>
          <w:sz w:val="17"/>
        </w:rPr>
        <w:t>Sales and policy: leads, clients, quotations, policies, endorsements, payment captures</w:t>
      </w:r>
    </w:p>
    <w:p>
      <w:pPr>
        <w:pStyle w:val="Normal"/>
        <w:rPr/>
      </w:pPr>
      <w:r>
        <w:rPr>
          <w:rFonts w:eastAsia="Nunito" w:cs="Nunito"/>
        </w:rPr>
        <w:t>A lead becomes a client when a quotation is converted (</w:t>
      </w:r>
      <w:r>
        <w:rPr>
          <w:rFonts w:eastAsia="Liberation Mono" w:cs="Liberation Mono" w:ascii="Liberation Mono" w:hAnsi="Liberation Mono"/>
          <w:color w:val="0B3D7A"/>
          <w:sz w:val="18"/>
        </w:rPr>
        <w:t>clients.lead_id</w:t>
      </w:r>
      <w:r>
        <w:rPr>
          <w:rFonts w:eastAsia="Nunito" w:cs="Nunito"/>
        </w:rPr>
        <w:t xml:space="preserve"> is unique when set). A quotation references the lead or client, product, policy type, insurer and signatory; conversion creates the policy (</w:t>
      </w:r>
      <w:r>
        <w:rPr>
          <w:rFonts w:eastAsia="Liberation Mono" w:cs="Liberation Mono" w:ascii="Liberation Mono" w:hAnsi="Liberation Mono"/>
          <w:color w:val="0B3D7A"/>
          <w:sz w:val="18"/>
        </w:rPr>
        <w:t>policies.quote_id</w:t>
      </w:r>
      <w:r>
        <w:rPr>
          <w:rFonts w:eastAsia="Nunito" w:cs="Nunito"/>
        </w:rPr>
        <w:t xml:space="preserve">, </w:t>
      </w:r>
      <w:r>
        <w:rPr>
          <w:rFonts w:eastAsia="Liberation Mono" w:cs="Liberation Mono" w:ascii="Liberation Mono" w:hAnsi="Liberation Mono"/>
          <w:color w:val="0B3D7A"/>
          <w:sz w:val="18"/>
        </w:rPr>
        <w:t>quotes.policy_id</w:t>
      </w:r>
      <w:r>
        <w:rPr>
          <w:rFonts w:eastAsia="Nunito" w:cs="Nunito"/>
        </w:rPr>
        <w:t>). A renewed policy points to its predecessor (</w:t>
      </w:r>
      <w:r>
        <w:rPr>
          <w:rFonts w:eastAsia="Liberation Mono" w:cs="Liberation Mono" w:ascii="Liberation Mono" w:hAnsi="Liberation Mono"/>
          <w:color w:val="0B3D7A"/>
          <w:sz w:val="18"/>
        </w:rPr>
        <w:t>policies.renewed_from</w:t>
      </w:r>
      <w:r>
        <w:rPr>
          <w:rFonts w:eastAsia="Nunito" w:cs="Nunito"/>
        </w:rPr>
        <w:t xml:space="preserve">, </w:t>
      </w:r>
      <w:r>
        <w:rPr>
          <w:rFonts w:eastAsia="Liberation Mono" w:cs="Liberation Mono" w:ascii="Liberation Mono" w:hAnsi="Liberation Mono"/>
          <w:color w:val="0B3D7A"/>
          <w:sz w:val="18"/>
        </w:rPr>
        <w:t>renewed_to</w:t>
      </w:r>
      <w:r>
        <w:rPr>
          <w:rFonts w:eastAsia="Nunito" w:cs="Nunito"/>
        </w:rPr>
        <w:t>). Endorsements belong to a policy and may raise their own bill (</w:t>
      </w:r>
      <w:r>
        <w:rPr>
          <w:rFonts w:eastAsia="Liberation Mono" w:cs="Liberation Mono" w:ascii="Liberation Mono" w:hAnsi="Liberation Mono"/>
          <w:color w:val="0B3D7A"/>
          <w:sz w:val="18"/>
        </w:rPr>
        <w:t>endorsements.receivable_id</w:t>
      </w:r>
      <w:r>
        <w:rPr>
          <w:rFonts w:eastAsia="Nunito" w:cs="Nunito"/>
        </w:rPr>
        <w:t xml:space="preserve">). </w:t>
      </w:r>
      <w:r>
        <w:rPr>
          <w:rFonts w:eastAsia="Liberation Mono" w:cs="Liberation Mono" w:ascii="Liberation Mono" w:hAnsi="Liberation Mono"/>
          <w:color w:val="0B3D7A"/>
          <w:sz w:val="18"/>
        </w:rPr>
        <w:t>policy_payments</w:t>
      </w:r>
      <w:r>
        <w:rPr>
          <w:rFonts w:eastAsia="Nunito" w:cs="Nunito"/>
        </w:rPr>
        <w:t xml:space="preserve"> holds payments captured by front-office staff until finance confirms them and issues a receipt.</w:t>
      </w:r>
    </w:p>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4" w:gutter="0" w:header="567" w:top="1247" w:footer="567" w:bottom="1134"/>
          <w:pgNumType w:fmt="decimal"/>
          <w:formProt w:val="false"/>
          <w:titlePg/>
          <w:textDirection w:val="lrTb"/>
          <w:docGrid w:type="default" w:linePitch="360" w:charSpace="0"/>
        </w:sectPr>
        <w:pStyle w:val="Heading2"/>
        <w:rPr/>
      </w:pPr>
      <w:bookmarkStart w:id="13" w:name="__RefHeading___Toc4597_3826153650"/>
      <w:bookmarkEnd w:id="13"/>
      <w:r>
        <w:rPr>
          <w:rFonts w:eastAsia="Nunito" w:cs="Nunito" w:ascii="Nunito" w:hAnsi="Nunito"/>
        </w:rPr>
        <w:t>4.2  Renewals</w:t>
      </w:r>
    </w:p>
    <w:p>
      <w:pPr>
        <w:pStyle w:val="Normal"/>
        <w:keepNext w:val="true"/>
        <w:spacing w:before="80" w:after="40"/>
        <w:jc w:val="center"/>
        <w:rPr/>
      </w:pPr>
      <w:r>
        <w:rPr/>
        <w:drawing>
          <wp:inline distT="0" distB="0" distL="0" distR="0">
            <wp:extent cx="8110855" cy="43802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0"/>
                    <a:stretch>
                      <a:fillRect/>
                    </a:stretch>
                  </pic:blipFill>
                  <pic:spPr bwMode="auto">
                    <a:xfrm>
                      <a:off x="0" y="0"/>
                      <a:ext cx="8110855" cy="4380230"/>
                    </a:xfrm>
                    <a:prstGeom prst="rect">
                      <a:avLst/>
                    </a:prstGeom>
                  </pic:spPr>
                </pic:pic>
              </a:graphicData>
            </a:graphic>
          </wp:inline>
        </w:drawing>
      </w:r>
    </w:p>
    <w:p>
      <w:pPr>
        <w:sectPr>
          <w:headerReference w:type="default" r:id="rId11"/>
          <w:headerReference w:type="first" r:id="rId12"/>
          <w:footerReference w:type="default" r:id="rId13"/>
          <w:footerReference w:type="first" r:id="rId14"/>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2. </w:t>
      </w:r>
      <w:r>
        <w:rPr>
          <w:rFonts w:eastAsia="Nunito" w:cs="Nunito"/>
          <w:color w:val="5B6776"/>
          <w:sz w:val="17"/>
        </w:rPr>
        <w:t>Renewals: renewal cases, quotes, notices, activities, batches, win-back campaigns</w:t>
      </w:r>
    </w:p>
    <w:p>
      <w:pPr>
        <w:pStyle w:val="Heading2"/>
        <w:rPr/>
      </w:pPr>
      <w:bookmarkStart w:id="14" w:name="__RefHeading___Toc4599_3826153650"/>
      <w:bookmarkEnd w:id="14"/>
      <w:r>
        <w:rPr>
          <w:rFonts w:eastAsia="Nunito" w:cs="Nunito" w:ascii="Nunito" w:hAnsi="Nunito"/>
        </w:rPr>
        <w:t>4.3  Billing, receipts and ledger</w:t>
      </w:r>
    </w:p>
    <w:p>
      <w:pPr>
        <w:pStyle w:val="Normal"/>
        <w:keepNext w:val="true"/>
        <w:spacing w:before="80" w:after="40"/>
        <w:jc w:val="center"/>
        <w:rPr/>
      </w:pPr>
      <w:r>
        <w:rPr/>
        <w:drawing>
          <wp:inline distT="0" distB="0" distL="0" distR="0">
            <wp:extent cx="6120130" cy="61366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15"/>
                    <a:stretch>
                      <a:fillRect/>
                    </a:stretch>
                  </pic:blipFill>
                  <pic:spPr bwMode="auto">
                    <a:xfrm>
                      <a:off x="0" y="0"/>
                      <a:ext cx="6120130" cy="6136640"/>
                    </a:xfrm>
                    <a:prstGeom prst="rect">
                      <a:avLst/>
                    </a:prstGeom>
                  </pic:spPr>
                </pic:pic>
              </a:graphicData>
            </a:graphic>
          </wp:inline>
        </w:drawing>
      </w:r>
    </w:p>
    <w:p>
      <w:pPr>
        <w:pStyle w:val="FigureCaption"/>
        <w:rPr/>
      </w:pPr>
      <w:r>
        <w:rPr>
          <w:rFonts w:eastAsia="Nunito" w:cs="Nunito"/>
          <w:b/>
          <w:i/>
          <w:color w:val="0065B3"/>
          <w:sz w:val="17"/>
        </w:rPr>
        <w:t xml:space="preserve">Figure 3. </w:t>
      </w:r>
      <w:r>
        <w:rPr>
          <w:rFonts w:eastAsia="Nunito" w:cs="Nunito"/>
          <w:color w:val="5B6776"/>
          <w:sz w:val="17"/>
        </w:rPr>
        <w:t>Billing, receipts, collections and general ledger</w:t>
      </w:r>
    </w:p>
    <w:p>
      <w:pPr>
        <w:pStyle w:val="Normal"/>
        <w:rPr/>
      </w:pPr>
      <w:r>
        <w:rPr>
          <w:rFonts w:eastAsia="Nunito" w:cs="Nunito"/>
        </w:rPr>
        <w:t>A policy, endorsement or renewal raises a receivable (bill) with its booking journal (</w:t>
      </w:r>
      <w:r>
        <w:rPr>
          <w:rFonts w:eastAsia="Liberation Mono" w:cs="Liberation Mono" w:ascii="Liberation Mono" w:hAnsi="Liberation Mono"/>
          <w:color w:val="0B3D7A"/>
          <w:sz w:val="18"/>
        </w:rPr>
        <w:t>receivables.booking_jv_id</w:t>
      </w:r>
      <w:r>
        <w:rPr>
          <w:rFonts w:eastAsia="Nunito" w:cs="Nunito"/>
        </w:rPr>
        <w:t>). A receipt has lines per policy, and receipt applications allocate the lines to bills and link the posting journal. Collection items track follow-up of open bills. Journal vouchers hold balanced journal lines coded to the chart of accounts (</w:t>
      </w:r>
      <w:r>
        <w:rPr>
          <w:rFonts w:eastAsia="Liberation Mono" w:cs="Liberation Mono" w:ascii="Liberation Mono" w:hAnsi="Liberation Mono"/>
          <w:color w:val="0B3D7A"/>
          <w:sz w:val="18"/>
        </w:rPr>
        <w:t>gl_accounts</w:t>
      </w:r>
      <w:r>
        <w:rPr>
          <w:rFonts w:eastAsia="Nunito" w:cs="Nunito"/>
        </w:rPr>
        <w:t xml:space="preserve">); open-item accounts are reconciled by </w:t>
      </w:r>
      <w:r>
        <w:rPr>
          <w:rFonts w:eastAsia="Liberation Mono" w:cs="Liberation Mono" w:ascii="Liberation Mono" w:hAnsi="Liberation Mono"/>
          <w:color w:val="0B3D7A"/>
          <w:sz w:val="18"/>
        </w:rPr>
        <w:t>entry_matches</w:t>
      </w:r>
      <w:r>
        <w:rPr>
          <w:rFonts w:eastAsia="Nunito" w:cs="Nunito"/>
        </w:rPr>
        <w:t xml:space="preserve"> (debit line to credit line).</w:t>
      </w:r>
    </w:p>
    <w:p>
      <w:pPr>
        <w:sectPr>
          <w:headerReference w:type="default" r:id="rId16"/>
          <w:headerReference w:type="first" r:id="rId17"/>
          <w:footerReference w:type="default" r:id="rId18"/>
          <w:footerReference w:type="first" r:id="rId19"/>
          <w:type w:val="nextPage"/>
          <w:pgSz w:w="11906" w:h="16838"/>
          <w:pgMar w:left="1134" w:right="1134" w:gutter="0" w:header="567" w:top="1247" w:footer="567" w:bottom="1134"/>
          <w:pgNumType w:fmt="decimal"/>
          <w:formProt w:val="false"/>
          <w:textDirection w:val="lrTb"/>
          <w:docGrid w:type="default" w:linePitch="360" w:charSpace="0"/>
        </w:sectPr>
        <w:pStyle w:val="Heading2"/>
        <w:rPr/>
      </w:pPr>
      <w:bookmarkStart w:id="15" w:name="__RefHeading___Toc4601_3826153650"/>
      <w:bookmarkEnd w:id="15"/>
      <w:r>
        <w:rPr>
          <w:rFonts w:eastAsia="Nunito" w:cs="Nunito" w:ascii="Nunito" w:hAnsi="Nunito"/>
        </w:rPr>
        <w:t>4.4  Disbursements and petty cash</w:t>
      </w:r>
    </w:p>
    <w:p>
      <w:pPr>
        <w:pStyle w:val="Normal"/>
        <w:keepNext w:val="true"/>
        <w:spacing w:before="80" w:after="40"/>
        <w:jc w:val="center"/>
        <w:rPr/>
      </w:pPr>
      <w:r>
        <w:rPr/>
        <w:drawing>
          <wp:inline distT="0" distB="0" distL="0" distR="0">
            <wp:extent cx="8492490" cy="51479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20"/>
                    <a:stretch>
                      <a:fillRect/>
                    </a:stretch>
                  </pic:blipFill>
                  <pic:spPr bwMode="auto">
                    <a:xfrm>
                      <a:off x="0" y="0"/>
                      <a:ext cx="8492490" cy="5147945"/>
                    </a:xfrm>
                    <a:prstGeom prst="rect">
                      <a:avLst/>
                    </a:prstGeom>
                  </pic:spPr>
                </pic:pic>
              </a:graphicData>
            </a:graphic>
          </wp:inline>
        </w:drawing>
      </w:r>
    </w:p>
    <w:p>
      <w:pPr>
        <w:sectPr>
          <w:headerReference w:type="default" r:id="rId21"/>
          <w:headerReference w:type="first" r:id="rId22"/>
          <w:footerReference w:type="default" r:id="rId23"/>
          <w:footerReference w:type="first" r:id="rId24"/>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4. </w:t>
      </w:r>
      <w:r>
        <w:rPr>
          <w:rFonts w:eastAsia="Nunito" w:cs="Nunito"/>
          <w:color w:val="5B6776"/>
          <w:sz w:val="17"/>
        </w:rPr>
        <w:t>Disbursements (payment vouchers, invoice lists, cheques) and petty cash</w:t>
      </w:r>
    </w:p>
    <w:p>
      <w:pPr>
        <w:sectPr>
          <w:headerReference w:type="default" r:id="rId25"/>
          <w:headerReference w:type="first" r:id="rId26"/>
          <w:footerReference w:type="default" r:id="rId27"/>
          <w:footerReference w:type="first" r:id="rId28"/>
          <w:type w:val="nextPage"/>
          <w:pgSz w:w="11906" w:h="16838"/>
          <w:pgMar w:left="1134" w:right="1134" w:gutter="0" w:header="567" w:top="1247" w:footer="567" w:bottom="1134"/>
          <w:pgNumType w:fmt="decimal"/>
          <w:formProt w:val="false"/>
          <w:textDirection w:val="lrTb"/>
          <w:docGrid w:type="default" w:linePitch="360" w:charSpace="0"/>
        </w:sectPr>
        <w:pStyle w:val="Heading2"/>
        <w:rPr/>
      </w:pPr>
      <w:bookmarkStart w:id="16" w:name="__RefHeading___Toc4603_3826153650"/>
      <w:bookmarkEnd w:id="16"/>
      <w:r>
        <w:rPr>
          <w:rFonts w:eastAsia="Nunito" w:cs="Nunito" w:ascii="Nunito" w:hAnsi="Nunito"/>
        </w:rPr>
        <w:t>4.5  Commission and incentive</w:t>
      </w:r>
    </w:p>
    <w:p>
      <w:pPr>
        <w:pStyle w:val="Normal"/>
        <w:keepNext w:val="true"/>
        <w:spacing w:before="80" w:after="40"/>
        <w:jc w:val="center"/>
        <w:rPr/>
      </w:pPr>
      <w:r>
        <w:rPr/>
        <w:drawing>
          <wp:inline distT="0" distB="0" distL="0" distR="0">
            <wp:extent cx="9251950" cy="279336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29"/>
                    <a:stretch>
                      <a:fillRect/>
                    </a:stretch>
                  </pic:blipFill>
                  <pic:spPr bwMode="auto">
                    <a:xfrm>
                      <a:off x="0" y="0"/>
                      <a:ext cx="9251950" cy="2793365"/>
                    </a:xfrm>
                    <a:prstGeom prst="rect">
                      <a:avLst/>
                    </a:prstGeom>
                  </pic:spPr>
                </pic:pic>
              </a:graphicData>
            </a:graphic>
          </wp:inline>
        </w:drawing>
      </w:r>
    </w:p>
    <w:p>
      <w:pPr>
        <w:sectPr>
          <w:headerReference w:type="default" r:id="rId30"/>
          <w:headerReference w:type="first" r:id="rId31"/>
          <w:footerReference w:type="default" r:id="rId32"/>
          <w:footerReference w:type="first" r:id="rId3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5. </w:t>
      </w:r>
      <w:r>
        <w:rPr>
          <w:rFonts w:eastAsia="Nunito" w:cs="Nunito"/>
          <w:color w:val="5B6776"/>
          <w:sz w:val="17"/>
        </w:rPr>
        <w:t>Commission lines, referrers and incentive programmes</w:t>
      </w:r>
    </w:p>
    <w:p>
      <w:pPr>
        <w:pStyle w:val="Normal"/>
        <w:rPr/>
      </w:pPr>
      <w:r>
        <w:rPr>
          <w:rFonts w:eastAsia="Nunito" w:cs="Nunito"/>
        </w:rPr>
        <w:t>Commission lines are created per policy, endorsement and referrer in the referral chain (</w:t>
      </w:r>
      <w:r>
        <w:rPr>
          <w:rFonts w:eastAsia="Liberation Mono" w:cs="Liberation Mono" w:ascii="Liberation Mono" w:hAnsi="Liberation Mono"/>
          <w:color w:val="0B3D7A"/>
          <w:sz w:val="18"/>
        </w:rPr>
        <w:t>commissions_policy_referrer_uq</w:t>
      </w:r>
      <w:r>
        <w:rPr>
          <w:rFonts w:eastAsia="Nunito" w:cs="Nunito"/>
        </w:rPr>
        <w:t xml:space="preserve"> on policy, referrer and chain position), link to the accrual and payment journals and to the payment voucher that paid them. Referrers form a hierarchy (</w:t>
      </w:r>
      <w:r>
        <w:rPr>
          <w:rFonts w:eastAsia="Liberation Mono" w:cs="Liberation Mono" w:ascii="Liberation Mono" w:hAnsi="Liberation Mono"/>
          <w:color w:val="0B3D7A"/>
          <w:sz w:val="18"/>
        </w:rPr>
        <w:t>parent_referrer_id</w:t>
      </w:r>
      <w:r>
        <w:rPr>
          <w:rFonts w:eastAsia="Nunito" w:cs="Nunito"/>
        </w:rPr>
        <w:t>) and may be linked to a user.</w:t>
      </w:r>
    </w:p>
    <w:p>
      <w:pPr>
        <w:pStyle w:val="Heading2"/>
        <w:rPr/>
      </w:pPr>
      <w:bookmarkStart w:id="17" w:name="__RefHeading___Toc4605_3826153650"/>
      <w:bookmarkEnd w:id="17"/>
      <w:r>
        <w:rPr>
          <w:rFonts w:eastAsia="Nunito" w:cs="Nunito" w:ascii="Nunito" w:hAnsi="Nunito"/>
        </w:rPr>
        <w:t>4.6  Claims</w:t>
      </w:r>
    </w:p>
    <w:p>
      <w:pPr>
        <w:pStyle w:val="Normal"/>
        <w:keepNext w:val="true"/>
        <w:spacing w:before="80" w:after="40"/>
        <w:jc w:val="center"/>
        <w:rPr/>
      </w:pPr>
      <w:r>
        <w:rPr/>
        <w:drawing>
          <wp:inline distT="0" distB="0" distL="0" distR="0">
            <wp:extent cx="5701030" cy="480949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34"/>
                    <a:stretch>
                      <a:fillRect/>
                    </a:stretch>
                  </pic:blipFill>
                  <pic:spPr bwMode="auto">
                    <a:xfrm>
                      <a:off x="0" y="0"/>
                      <a:ext cx="5701030" cy="4809490"/>
                    </a:xfrm>
                    <a:prstGeom prst="rect">
                      <a:avLst/>
                    </a:prstGeom>
                  </pic:spPr>
                </pic:pic>
              </a:graphicData>
            </a:graphic>
          </wp:inline>
        </w:drawing>
      </w:r>
    </w:p>
    <w:p>
      <w:pPr>
        <w:pStyle w:val="FigureCaption"/>
        <w:rPr/>
      </w:pPr>
      <w:r>
        <w:rPr>
          <w:rFonts w:eastAsia="Nunito" w:cs="Nunito"/>
          <w:b/>
          <w:i/>
          <w:color w:val="0065B3"/>
          <w:sz w:val="17"/>
        </w:rPr>
        <w:t xml:space="preserve">Figure 6. </w:t>
      </w:r>
      <w:r>
        <w:rPr>
          <w:rFonts w:eastAsia="Nunito" w:cs="Nunito"/>
          <w:color w:val="5B6776"/>
          <w:sz w:val="17"/>
        </w:rPr>
        <w:t>Claims, claim history, field-level changes and reinsurance recoveries</w:t>
      </w:r>
    </w:p>
    <w:p>
      <w:pPr>
        <w:sectPr>
          <w:headerReference w:type="default" r:id="rId35"/>
          <w:headerReference w:type="first" r:id="rId36"/>
          <w:footerReference w:type="default" r:id="rId37"/>
          <w:footerReference w:type="first" r:id="rId38"/>
          <w:type w:val="nextPage"/>
          <w:pgSz w:w="11906" w:h="16838"/>
          <w:pgMar w:left="1134" w:right="1134" w:gutter="0" w:header="567" w:top="1247" w:footer="567" w:bottom="1134"/>
          <w:pgNumType w:fmt="decimal"/>
          <w:formProt w:val="false"/>
          <w:textDirection w:val="lrTb"/>
          <w:docGrid w:type="default" w:linePitch="360" w:charSpace="0"/>
        </w:sectPr>
        <w:pStyle w:val="Heading2"/>
        <w:rPr/>
      </w:pPr>
      <w:bookmarkStart w:id="18" w:name="__RefHeading___Toc4607_3826153650"/>
      <w:bookmarkEnd w:id="18"/>
      <w:r>
        <w:rPr>
          <w:rFonts w:eastAsia="Nunito" w:cs="Nunito" w:ascii="Nunito" w:hAnsi="Nunito"/>
        </w:rPr>
        <w:t>4.7  Remittance and direct bill</w:t>
      </w:r>
    </w:p>
    <w:p>
      <w:pPr>
        <w:pStyle w:val="Normal"/>
        <w:keepNext w:val="true"/>
        <w:spacing w:before="80" w:after="40"/>
        <w:jc w:val="center"/>
        <w:rPr/>
      </w:pPr>
      <w:r>
        <w:rPr/>
        <w:drawing>
          <wp:inline distT="0" distB="0" distL="0" distR="0">
            <wp:extent cx="9251950" cy="473837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39"/>
                    <a:stretch>
                      <a:fillRect/>
                    </a:stretch>
                  </pic:blipFill>
                  <pic:spPr bwMode="auto">
                    <a:xfrm>
                      <a:off x="0" y="0"/>
                      <a:ext cx="9251950" cy="4738370"/>
                    </a:xfrm>
                    <a:prstGeom prst="rect">
                      <a:avLst/>
                    </a:prstGeom>
                  </pic:spPr>
                </pic:pic>
              </a:graphicData>
            </a:graphic>
          </wp:inline>
        </w:drawing>
      </w:r>
    </w:p>
    <w:p>
      <w:pPr>
        <w:sectPr>
          <w:headerReference w:type="default" r:id="rId40"/>
          <w:headerReference w:type="first" r:id="rId41"/>
          <w:footerReference w:type="default" r:id="rId42"/>
          <w:footerReference w:type="first" r:id="rId4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7. </w:t>
      </w:r>
      <w:r>
        <w:rPr>
          <w:rFonts w:eastAsia="Nunito" w:cs="Nunito"/>
          <w:color w:val="5B6776"/>
          <w:sz w:val="17"/>
        </w:rPr>
        <w:t>Remittances to insurers and direct-bill commission debit notes</w:t>
      </w:r>
    </w:p>
    <w:p>
      <w:pPr>
        <w:pStyle w:val="Normal"/>
        <w:rPr/>
      </w:pPr>
      <w:r>
        <w:rPr>
          <w:rFonts w:eastAsia="Nunito" w:cs="Nunito"/>
        </w:rPr>
        <w:t xml:space="preserve">Broker-billed premium is remitted to insurers through </w:t>
      </w:r>
      <w:r>
        <w:rPr>
          <w:rFonts w:eastAsia="Liberation Mono" w:cs="Liberation Mono" w:ascii="Liberation Mono" w:hAnsi="Liberation Mono"/>
          <w:color w:val="0B3D7A"/>
          <w:sz w:val="18"/>
        </w:rPr>
        <w:t>remittances</w:t>
      </w:r>
      <w:r>
        <w:rPr>
          <w:rFonts w:eastAsia="Nunito" w:cs="Nunito"/>
        </w:rPr>
        <w:t xml:space="preserve"> with </w:t>
      </w:r>
      <w:r>
        <w:rPr>
          <w:rFonts w:eastAsia="Liberation Mono" w:cs="Liberation Mono" w:ascii="Liberation Mono" w:hAnsi="Liberation Mono"/>
          <w:color w:val="0B3D7A"/>
          <w:sz w:val="18"/>
        </w:rPr>
        <w:t>remittance_lines</w:t>
      </w:r>
      <w:r>
        <w:rPr>
          <w:rFonts w:eastAsia="Nunito" w:cs="Nunito"/>
        </w:rPr>
        <w:t xml:space="preserve"> per policy; settlements, adjustments and exceptions are </w:t>
      </w:r>
      <w:r>
        <w:rPr>
          <w:rFonts w:eastAsia="Liberation Mono" w:cs="Liberation Mono" w:ascii="Liberation Mono" w:hAnsi="Liberation Mono"/>
          <w:color w:val="0B3D7A"/>
          <w:sz w:val="18"/>
        </w:rPr>
        <w:t>remittance_items</w:t>
      </w:r>
      <w:r>
        <w:rPr>
          <w:rFonts w:eastAsia="Nunito" w:cs="Nunito"/>
        </w:rPr>
        <w:t xml:space="preserve">; </w:t>
      </w:r>
      <w:r>
        <w:rPr>
          <w:rFonts w:eastAsia="Liberation Mono" w:cs="Liberation Mono" w:ascii="Liberation Mono" w:hAnsi="Liberation Mono"/>
          <w:color w:val="0B3D7A"/>
          <w:sz w:val="18"/>
        </w:rPr>
        <w:t>remittance_approvals</w:t>
      </w:r>
      <w:r>
        <w:rPr>
          <w:rFonts w:eastAsia="Nunito" w:cs="Nunito"/>
        </w:rPr>
        <w:t xml:space="preserve"> is a generic multi-level approval register (entity, entity id, levels, SLA, history) also used by other finance approvals. Direct-billed policies produce </w:t>
      </w:r>
      <w:r>
        <w:rPr>
          <w:rFonts w:eastAsia="Liberation Mono" w:cs="Liberation Mono" w:ascii="Liberation Mono" w:hAnsi="Liberation Mono"/>
          <w:color w:val="0B3D7A"/>
          <w:sz w:val="18"/>
        </w:rPr>
        <w:t>direct_bill_items</w:t>
      </w:r>
      <w:r>
        <w:rPr>
          <w:rFonts w:eastAsia="Nunito" w:cs="Nunito"/>
        </w:rPr>
        <w:t xml:space="preserve"> (commission receivable) that are billed to the insurer on </w:t>
      </w:r>
      <w:r>
        <w:rPr>
          <w:rFonts w:eastAsia="Liberation Mono" w:cs="Liberation Mono" w:ascii="Liberation Mono" w:hAnsi="Liberation Mono"/>
          <w:color w:val="0B3D7A"/>
          <w:sz w:val="18"/>
        </w:rPr>
        <w:t>commission_debit_notes</w:t>
      </w:r>
      <w:r>
        <w:rPr>
          <w:rFonts w:eastAsia="Nunito" w:cs="Nunito"/>
        </w:rPr>
        <w:t xml:space="preserve"> and settled by </w:t>
      </w:r>
      <w:r>
        <w:rPr>
          <w:rFonts w:eastAsia="Liberation Mono" w:cs="Liberation Mono" w:ascii="Liberation Mono" w:hAnsi="Liberation Mono"/>
          <w:color w:val="0B3D7A"/>
          <w:sz w:val="18"/>
        </w:rPr>
        <w:t>commission_debit_note_collections</w:t>
      </w:r>
      <w:r>
        <w:rPr>
          <w:rFonts w:eastAsia="Nunito" w:cs="Nunito"/>
        </w:rPr>
        <w:t>.</w:t>
      </w:r>
    </w:p>
    <w:p>
      <w:pPr>
        <w:pStyle w:val="Heading2"/>
        <w:rPr/>
      </w:pPr>
      <w:bookmarkStart w:id="19" w:name="__RefHeading___Toc4609_3826153650"/>
      <w:bookmarkEnd w:id="19"/>
      <w:r>
        <w:rPr>
          <w:rFonts w:eastAsia="Nunito" w:cs="Nunito" w:ascii="Nunito" w:hAnsi="Nunito"/>
        </w:rPr>
        <w:t>4.8  Reinsurance</w:t>
      </w:r>
    </w:p>
    <w:p>
      <w:pPr>
        <w:pStyle w:val="Normal"/>
        <w:keepNext w:val="true"/>
        <w:spacing w:before="80" w:after="40"/>
        <w:jc w:val="center"/>
        <w:rPr/>
      </w:pPr>
      <w:r>
        <w:rPr/>
        <w:drawing>
          <wp:inline distT="0" distB="0" distL="0" distR="0">
            <wp:extent cx="6120130" cy="409257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44"/>
                    <a:stretch>
                      <a:fillRect/>
                    </a:stretch>
                  </pic:blipFill>
                  <pic:spPr bwMode="auto">
                    <a:xfrm>
                      <a:off x="0" y="0"/>
                      <a:ext cx="6120130" cy="4092575"/>
                    </a:xfrm>
                    <a:prstGeom prst="rect">
                      <a:avLst/>
                    </a:prstGeom>
                  </pic:spPr>
                </pic:pic>
              </a:graphicData>
            </a:graphic>
          </wp:inline>
        </w:drawing>
      </w:r>
    </w:p>
    <w:p>
      <w:pPr>
        <w:pStyle w:val="FigureCaption"/>
        <w:rPr/>
      </w:pPr>
      <w:r>
        <w:rPr>
          <w:rFonts w:eastAsia="Nunito" w:cs="Nunito"/>
          <w:b/>
          <w:i/>
          <w:color w:val="0065B3"/>
          <w:sz w:val="17"/>
        </w:rPr>
        <w:t xml:space="preserve">Figure 8. </w:t>
      </w:r>
      <w:r>
        <w:rPr>
          <w:rFonts w:eastAsia="Nunito" w:cs="Nunito"/>
          <w:color w:val="5B6776"/>
          <w:sz w:val="17"/>
        </w:rPr>
        <w:t>Reinsurers, treaties, cessions, recoveries, bordereaux and reconciliations</w:t>
      </w:r>
    </w:p>
    <w:p>
      <w:pPr>
        <w:sectPr>
          <w:headerReference w:type="default" r:id="rId45"/>
          <w:headerReference w:type="first" r:id="rId46"/>
          <w:footerReference w:type="default" r:id="rId47"/>
          <w:footerReference w:type="first" r:id="rId48"/>
          <w:type w:val="nextPage"/>
          <w:pgSz w:w="11906" w:h="16838"/>
          <w:pgMar w:left="1134" w:right="1134" w:gutter="0" w:header="567" w:top="1247" w:footer="567" w:bottom="1134"/>
          <w:pgNumType w:fmt="decimal"/>
          <w:formProt w:val="false"/>
          <w:textDirection w:val="lrTb"/>
          <w:docGrid w:type="default" w:linePitch="360" w:charSpace="0"/>
        </w:sectPr>
        <w:pStyle w:val="Heading2"/>
        <w:rPr/>
      </w:pPr>
      <w:bookmarkStart w:id="20" w:name="__RefHeading___Toc4611_3826153650"/>
      <w:bookmarkEnd w:id="20"/>
      <w:r>
        <w:rPr>
          <w:rFonts w:eastAsia="Nunito" w:cs="Nunito" w:ascii="Nunito" w:hAnsi="Nunito"/>
        </w:rPr>
        <w:t>4.9  Configuration, security and platform</w:t>
      </w:r>
    </w:p>
    <w:p>
      <w:pPr>
        <w:pStyle w:val="Normal"/>
        <w:keepNext w:val="true"/>
        <w:spacing w:before="80" w:after="40"/>
        <w:jc w:val="center"/>
        <w:rPr/>
      </w:pPr>
      <w:r>
        <w:rPr/>
        <w:drawing>
          <wp:inline distT="0" distB="0" distL="0" distR="0">
            <wp:extent cx="9251950" cy="2712085"/>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49"/>
                    <a:stretch>
                      <a:fillRect/>
                    </a:stretch>
                  </pic:blipFill>
                  <pic:spPr bwMode="auto">
                    <a:xfrm>
                      <a:off x="0" y="0"/>
                      <a:ext cx="9251950" cy="2712085"/>
                    </a:xfrm>
                    <a:prstGeom prst="rect">
                      <a:avLst/>
                    </a:prstGeom>
                  </pic:spPr>
                </pic:pic>
              </a:graphicData>
            </a:graphic>
          </wp:inline>
        </w:drawing>
      </w:r>
    </w:p>
    <w:p>
      <w:pPr>
        <w:sectPr>
          <w:headerReference w:type="default" r:id="rId50"/>
          <w:headerReference w:type="first" r:id="rId51"/>
          <w:footerReference w:type="default" r:id="rId52"/>
          <w:footerReference w:type="first" r:id="rId5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9. </w:t>
      </w:r>
      <w:r>
        <w:rPr>
          <w:rFonts w:eastAsia="Nunito" w:cs="Nunito"/>
          <w:color w:val="5B6776"/>
          <w:sz w:val="17"/>
        </w:rPr>
        <w:t>Security and identity tables</w:t>
      </w:r>
    </w:p>
    <w:p>
      <w:pPr>
        <w:pStyle w:val="Normal"/>
        <w:keepNext w:val="true"/>
        <w:spacing w:before="80" w:after="40"/>
        <w:jc w:val="center"/>
        <w:rPr/>
      </w:pPr>
      <w:r>
        <w:rPr/>
        <w:drawing>
          <wp:inline distT="0" distB="0" distL="0" distR="0">
            <wp:extent cx="6120130" cy="499935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54"/>
                    <a:stretch>
                      <a:fillRect/>
                    </a:stretch>
                  </pic:blipFill>
                  <pic:spPr bwMode="auto">
                    <a:xfrm>
                      <a:off x="0" y="0"/>
                      <a:ext cx="6120130" cy="4999355"/>
                    </a:xfrm>
                    <a:prstGeom prst="rect">
                      <a:avLst/>
                    </a:prstGeom>
                  </pic:spPr>
                </pic:pic>
              </a:graphicData>
            </a:graphic>
          </wp:inline>
        </w:drawing>
      </w:r>
    </w:p>
    <w:p>
      <w:pPr>
        <w:pStyle w:val="FigureCaption"/>
        <w:rPr/>
      </w:pPr>
      <w:r>
        <w:rPr>
          <w:rFonts w:eastAsia="Nunito" w:cs="Nunito"/>
          <w:b/>
          <w:i/>
          <w:color w:val="0065B3"/>
          <w:sz w:val="17"/>
        </w:rPr>
        <w:t xml:space="preserve">Figure 10. </w:t>
      </w:r>
      <w:r>
        <w:rPr>
          <w:rFonts w:eastAsia="Nunito" w:cs="Nunito"/>
          <w:color w:val="5B6776"/>
          <w:sz w:val="17"/>
        </w:rPr>
        <w:t>Configuration and platform services tables</w:t>
      </w:r>
    </w:p>
    <w:p>
      <w:pPr>
        <w:pStyle w:val="Heading2"/>
        <w:rPr/>
      </w:pPr>
      <w:bookmarkStart w:id="21" w:name="__RefHeading___Toc4613_3826153650"/>
      <w:bookmarkEnd w:id="21"/>
      <w:r>
        <w:rPr>
          <w:rFonts w:eastAsia="Nunito" w:cs="Nunito" w:ascii="Nunito" w:hAnsi="Nunito"/>
        </w:rPr>
        <w:t>4.10  Reference masters and product configurator</w:t>
      </w:r>
    </w:p>
    <w:p>
      <w:pPr>
        <w:pStyle w:val="Normal"/>
        <w:keepNext w:val="true"/>
        <w:spacing w:before="80" w:after="40"/>
        <w:jc w:val="center"/>
        <w:rPr/>
      </w:pPr>
      <w:r>
        <w:rPr/>
        <w:drawing>
          <wp:inline distT="0" distB="0" distL="0" distR="0">
            <wp:extent cx="6120130" cy="707517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55"/>
                    <a:stretch>
                      <a:fillRect/>
                    </a:stretch>
                  </pic:blipFill>
                  <pic:spPr bwMode="auto">
                    <a:xfrm>
                      <a:off x="0" y="0"/>
                      <a:ext cx="6120130" cy="7075170"/>
                    </a:xfrm>
                    <a:prstGeom prst="rect">
                      <a:avLst/>
                    </a:prstGeom>
                  </pic:spPr>
                </pic:pic>
              </a:graphicData>
            </a:graphic>
          </wp:inline>
        </w:drawing>
      </w:r>
    </w:p>
    <w:p>
      <w:pPr>
        <w:pStyle w:val="FigureCaption"/>
        <w:rPr/>
      </w:pPr>
      <w:r>
        <w:rPr>
          <w:rFonts w:eastAsia="Nunito" w:cs="Nunito"/>
          <w:b/>
          <w:i/>
          <w:color w:val="0065B3"/>
          <w:sz w:val="17"/>
        </w:rPr>
        <w:t xml:space="preserve">Figure 11. </w:t>
      </w:r>
      <w:r>
        <w:rPr>
          <w:rFonts w:eastAsia="Nunito" w:cs="Nunito"/>
          <w:color w:val="5B6776"/>
          <w:sz w:val="17"/>
        </w:rPr>
        <w:t>Reference masters</w:t>
      </w:r>
    </w:p>
    <w:p>
      <w:pPr>
        <w:pStyle w:val="Normal"/>
        <w:keepNext w:val="true"/>
        <w:spacing w:before="80" w:after="40"/>
        <w:jc w:val="center"/>
        <w:rPr/>
      </w:pPr>
      <w:r>
        <w:rPr/>
        <w:drawing>
          <wp:inline distT="0" distB="0" distL="0" distR="0">
            <wp:extent cx="4306570" cy="373062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56"/>
                    <a:stretch>
                      <a:fillRect/>
                    </a:stretch>
                  </pic:blipFill>
                  <pic:spPr bwMode="auto">
                    <a:xfrm>
                      <a:off x="0" y="0"/>
                      <a:ext cx="4306570" cy="3730625"/>
                    </a:xfrm>
                    <a:prstGeom prst="rect">
                      <a:avLst/>
                    </a:prstGeom>
                  </pic:spPr>
                </pic:pic>
              </a:graphicData>
            </a:graphic>
          </wp:inline>
        </w:drawing>
      </w:r>
    </w:p>
    <w:p>
      <w:pPr>
        <w:pStyle w:val="FigureCaption"/>
        <w:rPr/>
      </w:pPr>
      <w:r>
        <w:rPr>
          <w:rFonts w:eastAsia="Nunito" w:cs="Nunito"/>
          <w:b/>
          <w:i/>
          <w:color w:val="0065B3"/>
          <w:sz w:val="17"/>
        </w:rPr>
        <w:t xml:space="preserve">Figure 12. </w:t>
      </w:r>
      <w:r>
        <w:rPr>
          <w:rFonts w:eastAsia="Nunito" w:cs="Nunito"/>
          <w:color w:val="5B6776"/>
          <w:sz w:val="17"/>
        </w:rPr>
        <w:t>Product configurator</w:t>
      </w:r>
      <w:r>
        <w:br w:type="page"/>
      </w:r>
    </w:p>
    <w:p>
      <w:pPr>
        <w:pStyle w:val="Heading1"/>
        <w:pBdr>
          <w:bottom w:val="single" w:sz="12" w:space="6" w:color="00ACF1"/>
        </w:pBdr>
        <w:rPr/>
      </w:pPr>
      <w:bookmarkStart w:id="22" w:name="__RefHeading___Toc4615_3826153650"/>
      <w:bookmarkEnd w:id="22"/>
      <w:r>
        <w:rPr>
          <w:rFonts w:eastAsia="Nunito" w:cs="Nunito" w:ascii="Nunito" w:hAnsi="Nunito"/>
        </w:rPr>
        <w:t>5  Migrations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Implementation (</w:t>
            </w:r>
            <w:r>
              <w:rPr>
                <w:rFonts w:eastAsia="Liberation Mono" w:cs="Liberation Mono" w:ascii="Liberation Mono" w:hAnsi="Liberation Mono"/>
                <w:color w:val="0B3D7A"/>
                <w:sz w:val="15"/>
              </w:rPr>
              <w:t>backend/src/db/migrate.js</w:t>
            </w:r>
            <w:r>
              <w:rPr>
                <w:rFonts w:eastAsia="Nunito" w:cs="Nunito"/>
                <w:b/>
                <w:color w:val="FFFFFF"/>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Format</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Plain SQL files </w:t>
            </w:r>
            <w:r>
              <w:rPr>
                <w:rFonts w:eastAsia="Liberation Mono" w:cs="Liberation Mono" w:ascii="Liberation Mono" w:hAnsi="Liberation Mono"/>
                <w:color w:val="0B3D7A"/>
                <w:sz w:val="15"/>
              </w:rPr>
              <w:t>NNNN_name.sql</w:t>
            </w:r>
            <w:r>
              <w:rPr>
                <w:rFonts w:eastAsia="Nunito" w:cs="Nunito"/>
                <w:sz w:val="17"/>
              </w:rPr>
              <w:t xml:space="preserve"> in </w:t>
            </w:r>
            <w:r>
              <w:rPr>
                <w:rFonts w:eastAsia="Liberation Mono" w:cs="Liberation Mono" w:ascii="Liberation Mono" w:hAnsi="Liberation Mono"/>
                <w:color w:val="0B3D7A"/>
                <w:sz w:val="15"/>
              </w:rPr>
              <w:t>backend/src/db/migrations</w:t>
            </w:r>
            <w:r>
              <w:rPr>
                <w:rFonts w:eastAsia="Nunito" w:cs="Nunito"/>
                <w:sz w:val="17"/>
              </w:rPr>
              <w:t>, applied in file-name order. Numbers are grouped by area: 0001-0004 core, masters, operations, finance; 0010-0021 sales, claims, renewals; 0030-0034 ledger, receipts, disbursements, commission, petty cash; 0040-0044 configuration, product configurator, remittance, reinsurance, incentive; 0050 reports; 0060 security; 0070-0097 later changes (policy payments, chart of accounts, direct bill, security hardening, least-privilege reads, notification audience, principal insurer); 0110 branding.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Tracking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Table </w:t>
            </w:r>
            <w:r>
              <w:rPr>
                <w:rFonts w:eastAsia="Liberation Mono" w:cs="Liberation Mono" w:ascii="Liberation Mono" w:hAnsi="Liberation Mono"/>
                <w:color w:val="0B3D7A"/>
                <w:sz w:val="15"/>
              </w:rPr>
              <w:t>schema_migrations(name, applied_at)</w:t>
            </w:r>
            <w:r>
              <w:rPr>
                <w:rFonts w:eastAsia="Nunito" w:cs="Nunito"/>
                <w:sz w:val="17"/>
              </w:rPr>
              <w:t>; a file is applied once.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Execution</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 every API start (</w:t>
            </w:r>
            <w:r>
              <w:rPr>
                <w:rFonts w:eastAsia="Liberation Mono" w:cs="Liberation Mono" w:ascii="Liberation Mono" w:hAnsi="Liberation Mono"/>
                <w:color w:val="0B3D7A"/>
                <w:sz w:val="15"/>
              </w:rPr>
              <w:t>server.js</w:t>
            </w:r>
            <w:r>
              <w:rPr>
                <w:rFonts w:eastAsia="Nunito" w:cs="Nunito"/>
                <w:sz w:val="17"/>
              </w:rPr>
              <w:t xml:space="preserve">), before the seed: each pending file runs in its own transaction together with its </w:t>
            </w:r>
            <w:r>
              <w:rPr>
                <w:rFonts w:eastAsia="Liberation Mono" w:cs="Liberation Mono" w:ascii="Liberation Mono" w:hAnsi="Liberation Mono"/>
                <w:color w:val="0B3D7A"/>
                <w:sz w:val="15"/>
              </w:rPr>
              <w:t>schema_migrations</w:t>
            </w:r>
            <w:r>
              <w:rPr>
                <w:rFonts w:eastAsia="Nunito" w:cs="Nunito"/>
                <w:sz w:val="17"/>
              </w:rPr>
              <w:t xml:space="preserve"> row; on error the transaction is rolled back and the API does not start. </w:t>
            </w:r>
            <w:r>
              <w:rPr>
                <w:rFonts w:eastAsia="Liberation Mono" w:cs="Liberation Mono" w:ascii="Liberation Mono" w:hAnsi="Liberation Mono"/>
                <w:color w:val="0B3D7A"/>
                <w:sz w:val="15"/>
              </w:rPr>
              <w:t>npm run migrate</w:t>
            </w:r>
            <w:r>
              <w:rPr>
                <w:rFonts w:eastAsia="Nunito" w:cs="Nunito"/>
                <w:sz w:val="17"/>
              </w:rPr>
              <w:t xml:space="preserve"> runs the same code; </w:t>
            </w:r>
            <w:r>
              <w:rPr>
                <w:rFonts w:eastAsia="Liberation Mono" w:cs="Liberation Mono" w:ascii="Liberation Mono" w:hAnsi="Liberation Mono"/>
                <w:color w:val="0B3D7A"/>
                <w:sz w:val="15"/>
              </w:rPr>
              <w:t>npm run db:reset</w:t>
            </w:r>
            <w:r>
              <w:rPr>
                <w:rFonts w:eastAsia="Nunito" w:cs="Nunito"/>
                <w:sz w:val="17"/>
              </w:rPr>
              <w:t xml:space="preserve"> drops and recreates the schema (development only).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Idempotency</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Files use </w:t>
            </w:r>
            <w:r>
              <w:rPr>
                <w:rFonts w:eastAsia="Liberation Mono" w:cs="Liberation Mono" w:ascii="Liberation Mono" w:hAnsi="Liberation Mono"/>
                <w:color w:val="0B3D7A"/>
                <w:sz w:val="15"/>
              </w:rPr>
              <w:t>CREATE TABLE IF NOT EXISTS</w:t>
            </w:r>
            <w:r>
              <w:rPr>
                <w:rFonts w:eastAsia="Nunito" w:cs="Nunito"/>
                <w:sz w:val="17"/>
              </w:rPr>
              <w:t xml:space="preserve">, </w:t>
            </w:r>
            <w:r>
              <w:rPr>
                <w:rFonts w:eastAsia="Liberation Mono" w:cs="Liberation Mono" w:ascii="Liberation Mono" w:hAnsi="Liberation Mono"/>
                <w:color w:val="0B3D7A"/>
                <w:sz w:val="15"/>
              </w:rPr>
              <w:t>ADD COLUMN IF NOT EXISTS</w:t>
            </w:r>
            <w:r>
              <w:rPr>
                <w:rFonts w:eastAsia="Nunito" w:cs="Nunito"/>
                <w:sz w:val="17"/>
              </w:rPr>
              <w:t xml:space="preserve">, </w:t>
            </w:r>
            <w:r>
              <w:rPr>
                <w:rFonts w:eastAsia="Liberation Mono" w:cs="Liberation Mono" w:ascii="Liberation Mono" w:hAnsi="Liberation Mono"/>
                <w:color w:val="0B3D7A"/>
                <w:sz w:val="15"/>
              </w:rPr>
              <w:t>CREATE INDEX IF NOT EXISTS</w:t>
            </w:r>
            <w:r>
              <w:rPr>
                <w:rFonts w:eastAsia="Nunito" w:cs="Nunito"/>
                <w:sz w:val="17"/>
              </w:rPr>
              <w:t xml:space="preserve"> and guarded data updates, so a file partially applied by hand can be re-run.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Readiness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GET /api/health</w:t>
            </w:r>
            <w:r>
              <w:rPr>
                <w:rFonts w:eastAsia="Nunito" w:cs="Nunito"/>
                <w:sz w:val="17"/>
              </w:rPr>
              <w:t xml:space="preserve"> answers 503 until no migration is pending, so a load balancer does not route to an instance with an older schema.</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Direction</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Forward only (no down migrations). The go-live checklist states that migrations only add; rollback of data means restoring a snapshot (document 09).</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With several instances starting together, two instances may try to apply the same pending file; the second fails on the unique </w:t>
            </w:r>
            <w:r>
              <w:rPr>
                <w:rFonts w:eastAsia="Liberation Mono" w:cs="Liberation Mono" w:ascii="Liberation Mono" w:hAnsi="Liberation Mono"/>
                <w:color w:val="0B3D7A"/>
                <w:sz w:val="16"/>
              </w:rPr>
              <w:t>schema_migrations</w:t>
            </w:r>
            <w:r>
              <w:rPr>
                <w:rFonts w:eastAsia="Nunito" w:cs="Nunito"/>
                <w:sz w:val="18"/>
              </w:rPr>
              <w:t xml:space="preserve"> row or on the DDL and restarts. Deploy with one instance first (as the checklist says) or add a PostgreSQL advisory lock around </w:t>
            </w:r>
            <w:r>
              <w:rPr>
                <w:rFonts w:eastAsia="Liberation Mono" w:cs="Liberation Mono" w:ascii="Liberation Mono" w:hAnsi="Liberation Mono"/>
                <w:color w:val="0B3D7A"/>
                <w:sz w:val="16"/>
              </w:rPr>
              <w:t>migrate()</w:t>
            </w:r>
            <w:r>
              <w:rPr>
                <w:rFonts w:eastAsia="Nunito" w:cs="Nunito"/>
                <w:sz w:val="18"/>
              </w:rPr>
              <w:t xml:space="preserve"> (small code change). Keep destructive changes (column drops, type changes) in a separate release after the code that no longer uses them is live.</w:t>
            </w:r>
          </w:p>
        </w:tc>
      </w:tr>
    </w:tbl>
    <w:p>
      <w:pPr>
        <w:pStyle w:val="Normal"/>
        <w:spacing w:before="0" w:after="0"/>
        <w:rPr/>
      </w:pPr>
      <w:r>
        <w:rPr/>
      </w:r>
      <w:r>
        <w:br w:type="page"/>
      </w:r>
    </w:p>
    <w:p>
      <w:pPr>
        <w:pStyle w:val="Heading1"/>
        <w:pBdr>
          <w:bottom w:val="single" w:sz="12" w:space="6" w:color="00ACF1"/>
        </w:pBdr>
        <w:rPr/>
      </w:pPr>
      <w:bookmarkStart w:id="23" w:name="__RefHeading___Toc4617_3826153650"/>
      <w:bookmarkEnd w:id="23"/>
      <w:r>
        <w:rPr>
          <w:rFonts w:eastAsia="Nunito" w:cs="Nunito" w:ascii="Nunito" w:hAnsi="Nunito"/>
        </w:rPr>
        <w:t>6  Seed data</w:t>
      </w:r>
    </w:p>
    <w:p>
      <w:pPr>
        <w:pStyle w:val="Normal"/>
        <w:rPr/>
      </w:pPr>
      <w:r>
        <w:rPr>
          <w:rFonts w:eastAsia="Liberation Mono" w:cs="Liberation Mono" w:ascii="Liberation Mono" w:hAnsi="Liberation Mono"/>
          <w:color w:val="0B3D7A"/>
          <w:sz w:val="18"/>
        </w:rPr>
        <w:t>backend/src/db/seed.js</w:t>
      </w:r>
      <w:r>
        <w:rPr>
          <w:rFonts w:eastAsia="Nunito" w:cs="Nunito"/>
        </w:rPr>
        <w:t xml:space="preserve"> runs on every start after the migrations and with </w:t>
      </w:r>
      <w:r>
        <w:rPr>
          <w:rFonts w:eastAsia="Liberation Mono" w:cs="Liberation Mono" w:ascii="Liberation Mono" w:hAnsi="Liberation Mono"/>
          <w:color w:val="0B3D7A"/>
          <w:sz w:val="18"/>
        </w:rPr>
        <w:t>npm run seed</w:t>
      </w:r>
      <w:r>
        <w:rPr>
          <w:rFonts w:eastAsia="Nunito" w:cs="Nunito"/>
        </w:rPr>
        <w:t>. Every step is idempotent: rows are inserted by natural key or fixed id (</w:t>
      </w:r>
      <w:r>
        <w:rPr>
          <w:rFonts w:eastAsia="Liberation Mono" w:cs="Liberation Mono" w:ascii="Liberation Mono" w:hAnsi="Liberation Mono"/>
          <w:color w:val="0B3D7A"/>
          <w:sz w:val="18"/>
        </w:rPr>
        <w:t>ON CONFLICT DO NOTHING / DO UPDATE</w:t>
      </w:r>
      <w:r>
        <w:rPr>
          <w:rFonts w:eastAsia="Nunito" w:cs="Nunito"/>
        </w:rPr>
        <w:t xml:space="preserve"> on descriptive columns), so administrator edits are kept.</w:t>
      </w:r>
    </w:p>
    <w:p>
      <w:pPr>
        <w:pStyle w:val="Step"/>
        <w:rPr/>
      </w:pPr>
      <w:r>
        <w:rPr>
          <w:rFonts w:eastAsia="Nunito" w:cs="Nunito"/>
          <w:b/>
          <w:color w:val="00ACF1"/>
        </w:rPr>
        <w:t>1.</w:t>
        <w:tab/>
      </w:r>
      <w:r>
        <w:rPr>
          <w:rFonts w:eastAsia="Nunito" w:cs="Nunito"/>
        </w:rPr>
        <w:t xml:space="preserve">In code: the 9 roles, 50 permissions (read / write for 25 modules), the role grants, and the administrator </w:t>
      </w:r>
      <w:r>
        <w:rPr>
          <w:rFonts w:eastAsia="Liberation Mono" w:cs="Liberation Mono" w:ascii="Liberation Mono" w:hAnsi="Liberation Mono"/>
          <w:color w:val="0B3D7A"/>
          <w:sz w:val="18"/>
        </w:rPr>
        <w:t>BrokerVerse</w:t>
      </w:r>
      <w:r>
        <w:rPr>
          <w:rFonts w:eastAsia="Nunito" w:cs="Nunito"/>
        </w:rPr>
        <w:t xml:space="preserve"> (password from </w:t>
      </w:r>
      <w:r>
        <w:rPr>
          <w:rFonts w:eastAsia="Liberation Mono" w:cs="Liberation Mono" w:ascii="Liberation Mono" w:hAnsi="Liberation Mono"/>
          <w:color w:val="0B3D7A"/>
          <w:sz w:val="18"/>
        </w:rPr>
        <w:t>ADMIN_PASSWORD</w:t>
      </w:r>
      <w:r>
        <w:rPr>
          <w:rFonts w:eastAsia="Nunito" w:cs="Nunito"/>
        </w:rPr>
        <w:t>; without it a random password is generated, logged once and must be changed at first sign-in).</w:t>
      </w:r>
    </w:p>
    <w:p>
      <w:pPr>
        <w:pStyle w:val="Step"/>
        <w:rPr/>
      </w:pPr>
      <w:r>
        <w:rPr>
          <w:rFonts w:eastAsia="Nunito" w:cs="Nunito"/>
          <w:b/>
          <w:color w:val="00ACF1"/>
        </w:rPr>
        <w:t>2.</w:t>
        <w:tab/>
      </w:r>
      <w:r>
        <w:rPr>
          <w:rFonts w:eastAsia="Liberation Mono" w:cs="Liberation Mono" w:ascii="Liberation Mono" w:hAnsi="Liberation Mono"/>
          <w:color w:val="0B3D7A"/>
          <w:sz w:val="18"/>
        </w:rPr>
        <w:t>seeds/settings.json</w:t>
      </w:r>
      <w:r>
        <w:rPr>
          <w:rFonts w:eastAsia="Nunito" w:cs="Nunito"/>
        </w:rPr>
        <w:t xml:space="preserve"> (configuration keys, inserted only if missing) and </w:t>
      </w:r>
      <w:r>
        <w:rPr>
          <w:rFonts w:eastAsia="Liberation Mono" w:cs="Liberation Mono" w:ascii="Liberation Mono" w:hAnsi="Liberation Mono"/>
          <w:color w:val="0B3D7A"/>
          <w:sz w:val="18"/>
        </w:rPr>
        <w:t>seeds/jobs.json</w:t>
      </w:r>
      <w:r>
        <w:rPr>
          <w:rFonts w:eastAsia="Nunito" w:cs="Nunito"/>
        </w:rPr>
        <w:t xml:space="preserve"> (the 9 scheduled jobs).</w:t>
      </w:r>
    </w:p>
    <w:p>
      <w:pPr>
        <w:pStyle w:val="Step"/>
        <w:rPr/>
      </w:pPr>
      <w:r>
        <w:rPr>
          <w:rFonts w:eastAsia="Nunito" w:cs="Nunito"/>
          <w:b/>
          <w:color w:val="00ACF1"/>
        </w:rPr>
        <w:t>3.</w:t>
        <w:tab/>
      </w:r>
      <w:r>
        <w:rPr>
          <w:rFonts w:eastAsia="Nunito" w:cs="Nunito"/>
        </w:rPr>
        <w:t>Encryption of any two-factor secret still stored in clear (upgrade path).</w:t>
      </w:r>
    </w:p>
    <w:p>
      <w:pPr>
        <w:pStyle w:val="Step"/>
        <w:rPr/>
      </w:pPr>
      <w:r>
        <w:rPr>
          <w:rFonts w:eastAsia="Nunito" w:cs="Nunito"/>
          <w:b/>
          <w:color w:val="00ACF1"/>
        </w:rPr>
        <w:t>4.</w:t>
        <w:tab/>
      </w:r>
      <w:r>
        <w:rPr>
          <w:rFonts w:eastAsia="Nunito" w:cs="Nunito"/>
        </w:rPr>
        <w:t xml:space="preserve">The SQL files </w:t>
      </w:r>
      <w:r>
        <w:rPr>
          <w:rFonts w:eastAsia="Liberation Mono" w:cs="Liberation Mono" w:ascii="Liberation Mono" w:hAnsi="Liberation Mono"/>
          <w:color w:val="0B3D7A"/>
          <w:sz w:val="18"/>
        </w:rPr>
        <w:t>seeds/*.sql</w:t>
      </w:r>
      <w:r>
        <w:rPr>
          <w:rFonts w:eastAsia="Nunito" w:cs="Nunito"/>
        </w:rPr>
        <w:t xml:space="preserve"> (</w:t>
      </w:r>
      <w:r>
        <w:rPr>
          <w:rFonts w:eastAsia="Nunito" w:cs="Nunito"/>
          <w:b/>
        </w:rPr>
        <w:t>reference data</w:t>
      </w:r>
      <w:r>
        <w:rPr>
          <w:rFonts w:eastAsia="Nunito" w:cs="Nunito"/>
        </w:rPr>
        <w:t xml:space="preserve">, always) and </w:t>
      </w:r>
      <w:r>
        <w:rPr>
          <w:rFonts w:eastAsia="Liberation Mono" w:cs="Liberation Mono" w:ascii="Liberation Mono" w:hAnsi="Liberation Mono"/>
          <w:color w:val="0B3D7A"/>
          <w:sz w:val="18"/>
        </w:rPr>
        <w:t>seeds/sample/*.sql</w:t>
      </w:r>
      <w:r>
        <w:rPr>
          <w:rFonts w:eastAsia="Nunito" w:cs="Nunito"/>
        </w:rPr>
        <w:t xml:space="preserve"> (</w:t>
      </w:r>
      <w:r>
        <w:rPr>
          <w:rFonts w:eastAsia="Nunito" w:cs="Nunito"/>
          <w:b/>
        </w:rPr>
        <w:t>sample data</w:t>
      </w:r>
      <w:r>
        <w:rPr>
          <w:rFonts w:eastAsia="Nunito" w:cs="Nunito"/>
        </w:rPr>
        <w:t xml:space="preserve">, only when </w:t>
      </w:r>
      <w:r>
        <w:rPr>
          <w:rFonts w:eastAsia="Liberation Mono" w:cs="Liberation Mono" w:ascii="Liberation Mono" w:hAnsi="Liberation Mono"/>
          <w:color w:val="0B3D7A"/>
          <w:sz w:val="18"/>
        </w:rPr>
        <w:t>SEED_SAMPLE_DATA</w:t>
      </w:r>
      <w:r>
        <w:rPr>
          <w:rFonts w:eastAsia="Nunito" w:cs="Nunito"/>
        </w:rPr>
        <w:t xml:space="preserve"> is on), interleaved by file name so a sample file runs after the reference file it depends on.</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Class</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roles and permissions; Philippine geography, districts and postal codes; currencies, banks, insurers, products and policy types; vehicle makes, models and variants; BI / PD / PA covers; head office branch; master screen registry and reference master records; chart of accounts (128 accounts) and main / sub account masters; product templates with the motor and CTPL tariff; report catalogue (19 reports); direct-bill and security configuration.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Sample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Fictional leads, clients, quotations, policies, endorsements, claims, renewals, receivables, receipts, collections, disbursements, petty cash, commissions and referrers, remittances, reinsurance, incentives, journal vouchers, demo branches, signatories and master records, and six sample users.</w:t>
            </w:r>
          </w:p>
        </w:tc>
      </w:tr>
    </w:tbl>
    <w:p>
      <w:pPr>
        <w:pStyle w:val="Normal"/>
        <w:spacing w:before="0" w:after="40"/>
        <w:rPr/>
      </w:pPr>
      <w:r>
        <w:rPr/>
      </w:r>
    </w:p>
    <w:p>
      <w:pPr>
        <w:pStyle w:val="Normal"/>
        <w:rPr/>
      </w:pPr>
      <w:r>
        <w:rPr>
          <w:rFonts w:eastAsia="Liberation Mono" w:cs="Liberation Mono" w:ascii="Liberation Mono" w:hAnsi="Liberation Mono"/>
          <w:color w:val="0B3D7A"/>
          <w:sz w:val="18"/>
        </w:rPr>
        <w:t>SEED_SAMPLE_DATA</w:t>
      </w:r>
      <w:r>
        <w:rPr>
          <w:rFonts w:eastAsia="Nunito" w:cs="Nunito"/>
        </w:rPr>
        <w:t xml:space="preserve"> accepts true / false (1 / 0, yes / no, on / off); unset, it is on in development and test and off with </w:t>
      </w:r>
      <w:r>
        <w:rPr>
          <w:rFonts w:eastAsia="Liberation Mono" w:cs="Liberation Mono" w:ascii="Liberation Mono" w:hAnsi="Liberation Mono"/>
          <w:color w:val="0B3D7A"/>
          <w:sz w:val="18"/>
        </w:rPr>
        <w:t>NODE_ENV=production</w:t>
      </w:r>
      <w:r>
        <w:rPr>
          <w:rFonts w:eastAsia="Nunito" w:cs="Nunito"/>
        </w:rPr>
        <w:t xml:space="preserve">. A database seeded with sample data is cleaned with </w:t>
      </w:r>
      <w:r>
        <w:rPr>
          <w:rFonts w:eastAsia="Liberation Mono" w:cs="Liberation Mono" w:ascii="Liberation Mono" w:hAnsi="Liberation Mono"/>
          <w:color w:val="0B3D7A"/>
          <w:sz w:val="18"/>
        </w:rPr>
        <w:t>npm run purge:sample</w:t>
      </w:r>
      <w:r>
        <w:rPr>
          <w:rFonts w:eastAsia="Nunito" w:cs="Nunito"/>
        </w:rPr>
        <w:t xml:space="preserve"> (document 10).</w:t>
      </w:r>
      <w:r>
        <w:br w:type="page"/>
      </w:r>
    </w:p>
    <w:p>
      <w:pPr>
        <w:pStyle w:val="Heading1"/>
        <w:pBdr>
          <w:bottom w:val="single" w:sz="12" w:space="6" w:color="00ACF1"/>
        </w:pBdr>
        <w:rPr/>
      </w:pPr>
      <w:bookmarkStart w:id="24" w:name="__RefHeading___Toc4619_3826153650"/>
      <w:bookmarkEnd w:id="24"/>
      <w:r>
        <w:rPr>
          <w:rFonts w:eastAsia="Nunito" w:cs="Nunito" w:ascii="Nunito" w:hAnsi="Nunito"/>
        </w:rPr>
        <w:t>7  Time zone, date and amount handling</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Topic</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Design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Storage</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Instants in </w:t>
            </w:r>
            <w:r>
              <w:rPr>
                <w:rFonts w:eastAsia="Liberation Mono" w:cs="Liberation Mono" w:ascii="Liberation Mono" w:hAnsi="Liberation Mono"/>
                <w:color w:val="0B3D7A"/>
                <w:sz w:val="15"/>
              </w:rPr>
              <w:t>timestamptz</w:t>
            </w:r>
            <w:r>
              <w:rPr>
                <w:rFonts w:eastAsia="Nunito" w:cs="Nunito"/>
                <w:sz w:val="17"/>
              </w:rPr>
              <w:t xml:space="preserve"> (stored in UTC); calendar dates in </w:t>
            </w:r>
            <w:r>
              <w:rPr>
                <w:rFonts w:eastAsia="Liberation Mono" w:cs="Liberation Mono" w:ascii="Liberation Mono" w:hAnsi="Liberation Mono"/>
                <w:color w:val="0B3D7A"/>
                <w:sz w:val="15"/>
              </w:rPr>
              <w:t>date</w:t>
            </w:r>
            <w:r>
              <w:rPr>
                <w:rFonts w:eastAsia="Nunito" w:cs="Nunito"/>
                <w:sz w:val="17"/>
              </w:rPr>
              <w:t xml:space="preserve">. The server and database run in UTC (local server </w:t>
            </w:r>
            <w:r>
              <w:rPr>
                <w:rFonts w:eastAsia="Liberation Mono" w:cs="Liberation Mono" w:ascii="Liberation Mono" w:hAnsi="Liberation Mono"/>
                <w:color w:val="0B3D7A"/>
                <w:sz w:val="15"/>
              </w:rPr>
              <w:t>Etc/UTC</w:t>
            </w:r>
            <w:r>
              <w:rPr>
                <w:rFonts w:eastAsia="Nunito" w:cs="Nunito"/>
                <w:sz w:val="17"/>
              </w:rPr>
              <w:t>; the container images default to UTC).</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date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lib/dates.js</w:t>
            </w:r>
            <w:r>
              <w:rPr>
                <w:rFonts w:eastAsia="Nunito" w:cs="Nunito"/>
                <w:sz w:val="17"/>
              </w:rPr>
              <w:t xml:space="preserve">: "today" is the calendar date in </w:t>
            </w:r>
            <w:r>
              <w:rPr>
                <w:rFonts w:eastAsia="Liberation Mono" w:cs="Liberation Mono" w:ascii="Liberation Mono" w:hAnsi="Liberation Mono"/>
                <w:color w:val="0B3D7A"/>
                <w:sz w:val="15"/>
              </w:rPr>
              <w:t>general.timezone</w:t>
            </w:r>
            <w:r>
              <w:rPr>
                <w:rFonts w:eastAsia="Nunito" w:cs="Nunito"/>
                <w:sz w:val="17"/>
              </w:rPr>
              <w:t xml:space="preserve"> (seeded </w:t>
            </w:r>
            <w:r>
              <w:rPr>
                <w:rFonts w:eastAsia="Liberation Mono" w:cs="Liberation Mono" w:ascii="Liberation Mono" w:hAnsi="Liberation Mono"/>
                <w:color w:val="0B3D7A"/>
                <w:sz w:val="15"/>
              </w:rPr>
              <w:t>Asia/Manila</w:t>
            </w:r>
            <w:r>
              <w:rPr>
                <w:rFonts w:eastAsia="Nunito" w:cs="Nunito"/>
                <w:sz w:val="17"/>
              </w:rPr>
              <w:t xml:space="preserve">), not the server's UTC date; </w:t>
            </w:r>
            <w:r>
              <w:rPr>
                <w:rFonts w:eastAsia="Liberation Mono" w:cs="Liberation Mono" w:ascii="Liberation Mono" w:hAnsi="Liberation Mono"/>
                <w:color w:val="0B3D7A"/>
                <w:sz w:val="15"/>
              </w:rPr>
              <w:t>businessDate()</w:t>
            </w:r>
            <w:r>
              <w:rPr>
                <w:rFonts w:eastAsia="Nunito" w:cs="Nunito"/>
                <w:sz w:val="17"/>
              </w:rPr>
              <w:t xml:space="preserve">, </w:t>
            </w:r>
            <w:r>
              <w:rPr>
                <w:rFonts w:eastAsia="Liberation Mono" w:cs="Liberation Mono" w:ascii="Liberation Mono" w:hAnsi="Liberation Mono"/>
                <w:color w:val="0B3D7A"/>
                <w:sz w:val="15"/>
              </w:rPr>
              <w:t>calendarPeriod()</w:t>
            </w:r>
            <w:r>
              <w:rPr>
                <w:rFonts w:eastAsia="Nunito" w:cs="Nunito"/>
                <w:sz w:val="17"/>
              </w:rPr>
              <w:t xml:space="preserve"> and the report engine use the configured zone, so between 00:00 and 08:00 Manila time the system does not use yesterday's date.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Display</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Front end formats dates with </w:t>
            </w:r>
            <w:r>
              <w:rPr>
                <w:rFonts w:eastAsia="Liberation Mono" w:cs="Liberation Mono" w:ascii="Liberation Mono" w:hAnsi="Liberation Mono"/>
                <w:color w:val="0B3D7A"/>
                <w:sz w:val="15"/>
              </w:rPr>
              <w:t>general.date_format</w:t>
            </w:r>
            <w:r>
              <w:rPr>
                <w:rFonts w:eastAsia="Nunito" w:cs="Nunito"/>
                <w:sz w:val="17"/>
              </w:rPr>
              <w:t xml:space="preserve"> (</w:t>
            </w:r>
            <w:r>
              <w:rPr>
                <w:rFonts w:eastAsia="Liberation Mono" w:cs="Liberation Mono" w:ascii="Liberation Mono" w:hAnsi="Liberation Mono"/>
                <w:color w:val="0B3D7A"/>
                <w:sz w:val="15"/>
              </w:rPr>
              <w:t>DD/MM/YYYY</w:t>
            </w:r>
            <w:r>
              <w:rPr>
                <w:rFonts w:eastAsia="Nunito" w:cs="Nunito"/>
                <w:sz w:val="17"/>
              </w:rPr>
              <w:t xml:space="preserve">) through </w:t>
            </w:r>
            <w:r>
              <w:rPr>
                <w:rFonts w:eastAsia="Liberation Mono" w:cs="Liberation Mono" w:ascii="Liberation Mono" w:hAnsi="Liberation Mono"/>
                <w:color w:val="0B3D7A"/>
                <w:sz w:val="15"/>
              </w:rPr>
              <w:t>utility/dateFormat.js</w:t>
            </w:r>
            <w:r>
              <w:rPr>
                <w:rFonts w:eastAsia="Nunito" w:cs="Nunito"/>
                <w:sz w:val="17"/>
              </w:rPr>
              <w:t>; amounts with the configured currency and locale (</w:t>
            </w:r>
            <w:r>
              <w:rPr>
                <w:rFonts w:eastAsia="Liberation Mono" w:cs="Liberation Mono" w:ascii="Liberation Mono" w:hAnsi="Liberation Mono"/>
                <w:color w:val="0B3D7A"/>
                <w:sz w:val="15"/>
              </w:rPr>
              <w:t>useFormatCurrency</w:t>
            </w:r>
            <w:r>
              <w:rPr>
                <w:rFonts w:eastAsia="Nunito" w:cs="Nunito"/>
                <w:sz w:val="17"/>
              </w:rPr>
              <w:t xml:space="preserve">, </w:t>
            </w:r>
            <w:r>
              <w:rPr>
                <w:rFonts w:eastAsia="Liberation Mono" w:cs="Liberation Mono" w:ascii="Liberation Mono" w:hAnsi="Liberation Mono"/>
                <w:color w:val="0B3D7A"/>
                <w:sz w:val="15"/>
              </w:rPr>
              <w:t>formatMoney()</w:t>
            </w:r>
            <w:r>
              <w:rPr>
                <w:rFonts w:eastAsia="Nunito" w:cs="Nunito"/>
                <w:sz w:val="17"/>
              </w:rPr>
              <w:t xml:space="preserve"> on the server).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Money</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numeric</w:t>
            </w:r>
            <w:r>
              <w:rPr>
                <w:rFonts w:eastAsia="Nunito" w:cs="Nunito"/>
                <w:sz w:val="17"/>
              </w:rPr>
              <w:t xml:space="preserve"> in the database, rounding by </w:t>
            </w:r>
            <w:r>
              <w:rPr>
                <w:rFonts w:eastAsia="Liberation Mono" w:cs="Liberation Mono" w:ascii="Liberation Mono" w:hAnsi="Liberation Mono"/>
                <w:color w:val="0B3D7A"/>
                <w:sz w:val="15"/>
              </w:rPr>
              <w:t>round2()</w:t>
            </w:r>
            <w:r>
              <w:rPr>
                <w:rFonts w:eastAsia="Nunito" w:cs="Nunito"/>
                <w:sz w:val="17"/>
              </w:rPr>
              <w:t xml:space="preserve"> (half away from zero with binary floating-point correction); taxes (VAT 12 %, DST 12.5 %, LGT 0.75 %) and commission rates come from settings.</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Gap:</w:t>
            </w:r>
            <w:r>
              <w:rPr>
                <w:rFonts w:eastAsia="Nunito" w:cs="Nunito"/>
                <w:sz w:val="18"/>
              </w:rPr>
              <w:t xml:space="preserve"> A few SQL statements use the database date instead of the business date: the </w:t>
            </w:r>
            <w:r>
              <w:rPr>
                <w:rFonts w:eastAsia="Liberation Mono" w:cs="Liberation Mono" w:ascii="Liberation Mono" w:hAnsi="Liberation Mono"/>
                <w:color w:val="0B3D7A"/>
                <w:sz w:val="16"/>
              </w:rPr>
              <w:t>policy-expiry</w:t>
            </w:r>
            <w:r>
              <w:rPr>
                <w:rFonts w:eastAsia="Nunito" w:cs="Nunito"/>
                <w:sz w:val="18"/>
              </w:rPr>
              <w:t xml:space="preserve"> job (</w:t>
            </w:r>
            <w:r>
              <w:rPr>
                <w:rFonts w:eastAsia="Liberation Mono" w:cs="Liberation Mono" w:ascii="Liberation Mono" w:hAnsi="Liberation Mono"/>
                <w:color w:val="0B3D7A"/>
                <w:sz w:val="16"/>
              </w:rPr>
              <w:t>expiry_date &lt; current_date</w:t>
            </w:r>
            <w:r>
              <w:rPr>
                <w:rFonts w:eastAsia="Nunito" w:cs="Nunito"/>
                <w:sz w:val="18"/>
              </w:rPr>
              <w:t xml:space="preserve">), the </w:t>
            </w:r>
            <w:r>
              <w:rPr>
                <w:rFonts w:eastAsia="Liberation Mono" w:cs="Liberation Mono" w:ascii="Liberation Mono" w:hAnsi="Liberation Mono"/>
                <w:color w:val="0B3D7A"/>
                <w:sz w:val="16"/>
              </w:rPr>
              <w:t>quote-expiry</w:t>
            </w:r>
            <w:r>
              <w:rPr>
                <w:rFonts w:eastAsia="Nunito" w:cs="Nunito"/>
                <w:sz w:val="18"/>
              </w:rPr>
              <w:t xml:space="preserve"> job (</w:t>
            </w:r>
            <w:r>
              <w:rPr>
                <w:rFonts w:eastAsia="Liberation Mono" w:cs="Liberation Mono" w:ascii="Liberation Mono" w:hAnsi="Liberation Mono"/>
                <w:color w:val="0B3D7A"/>
                <w:sz w:val="16"/>
              </w:rPr>
              <w:t>created_at &lt; now() - interval</w:t>
            </w:r>
            <w:r>
              <w:rPr>
                <w:rFonts w:eastAsia="Nunito" w:cs="Nunito"/>
                <w:sz w:val="18"/>
              </w:rPr>
              <w:t>), the renewal pipeline (</w:t>
            </w:r>
            <w:r>
              <w:rPr>
                <w:rFonts w:eastAsia="Liberation Mono" w:cs="Liberation Mono" w:ascii="Liberation Mono" w:hAnsi="Liberation Mono"/>
                <w:color w:val="0B3D7A"/>
                <w:sz w:val="16"/>
              </w:rPr>
              <w:t>current_date + days</w:t>
            </w:r>
            <w:r>
              <w:rPr>
                <w:rFonts w:eastAsia="Nunito" w:cs="Nunito"/>
                <w:sz w:val="18"/>
              </w:rPr>
              <w:t xml:space="preserve">) and </w:t>
            </w:r>
            <w:r>
              <w:rPr>
                <w:rFonts w:eastAsia="Liberation Mono" w:cs="Liberation Mono" w:ascii="Liberation Mono" w:hAnsi="Liberation Mono"/>
                <w:color w:val="0B3D7A"/>
                <w:sz w:val="16"/>
              </w:rPr>
              <w:t>next_number()</w:t>
            </w:r>
            <w:r>
              <w:rPr>
                <w:rFonts w:eastAsia="Nunito" w:cs="Nunito"/>
                <w:sz w:val="18"/>
              </w:rPr>
              <w:t xml:space="preserve"> (year). With the database in UTC, these run against the UTC date, which differs from the Manila date between 00:00 and 08:00 Manila time. Combined with the scheduler running in UTC (document 01), the daily jobs currently run at 08:15-16:00 Manila time, when the UTC and Manila dates agree, so the effect today is limited to the year boundary of document numbers; it becomes visible if the scheduler time zone is fixed without also fixing these statements. Recommended: set the database role's </w:t>
            </w:r>
            <w:r>
              <w:rPr>
                <w:rFonts w:eastAsia="Liberation Mono" w:cs="Liberation Mono" w:ascii="Liberation Mono" w:hAnsi="Liberation Mono"/>
                <w:color w:val="0B3D7A"/>
                <w:sz w:val="16"/>
              </w:rPr>
              <w:t>timezone</w:t>
            </w:r>
            <w:r>
              <w:rPr>
                <w:rFonts w:eastAsia="Nunito" w:cs="Nunito"/>
                <w:sz w:val="18"/>
              </w:rPr>
              <w:t xml:space="preserve"> to Asia/Manila (</w:t>
            </w:r>
            <w:r>
              <w:rPr>
                <w:rFonts w:eastAsia="Liberation Mono" w:cs="Liberation Mono" w:ascii="Liberation Mono" w:hAnsi="Liberation Mono"/>
                <w:color w:val="0B3D7A"/>
                <w:sz w:val="16"/>
              </w:rPr>
              <w:t>ALTER ROLE ... SET timezone</w:t>
            </w:r>
            <w:r>
              <w:rPr>
                <w:rFonts w:eastAsia="Nunito" w:cs="Nunito"/>
                <w:sz w:val="18"/>
              </w:rPr>
              <w:t>) or pass the business date as a parameter.</w:t>
            </w:r>
          </w:p>
        </w:tc>
      </w:tr>
    </w:tbl>
    <w:p>
      <w:pPr>
        <w:pStyle w:val="Normal"/>
        <w:spacing w:before="0" w:after="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Amounts are converted from </w:t>
            </w:r>
            <w:r>
              <w:rPr>
                <w:rFonts w:eastAsia="Liberation Mono" w:cs="Liberation Mono" w:ascii="Liberation Mono" w:hAnsi="Liberation Mono"/>
                <w:color w:val="0B3D7A"/>
                <w:sz w:val="16"/>
              </w:rPr>
              <w:t>numeric</w:t>
            </w:r>
            <w:r>
              <w:rPr>
                <w:rFonts w:eastAsia="Nunito" w:cs="Nunito"/>
                <w:sz w:val="18"/>
              </w:rPr>
              <w:t xml:space="preserve"> to JavaScript double-precision numbers. This is exact for amounts of up to about 90 trillion with two decimals, far above broking volumes, provided every arithmetic result is rounded with </w:t>
            </w:r>
            <w:r>
              <w:rPr>
                <w:rFonts w:eastAsia="Liberation Mono" w:cs="Liberation Mono" w:ascii="Liberation Mono" w:hAnsi="Liberation Mono"/>
                <w:color w:val="0B3D7A"/>
                <w:sz w:val="16"/>
              </w:rPr>
              <w:t>round2()</w:t>
            </w:r>
            <w:r>
              <w:rPr>
                <w:rFonts w:eastAsia="Nunito" w:cs="Nunito"/>
                <w:sz w:val="18"/>
              </w:rPr>
              <w:t>, which the ledger and document code does.</w:t>
            </w:r>
          </w:p>
        </w:tc>
      </w:tr>
    </w:tbl>
    <w:p>
      <w:pPr>
        <w:pStyle w:val="Normal"/>
        <w:spacing w:before="0" w:after="0"/>
        <w:rPr/>
      </w:pPr>
      <w:r>
        <w:rPr/>
      </w:r>
      <w:r>
        <w:br w:type="page"/>
      </w:r>
    </w:p>
    <w:p>
      <w:pPr>
        <w:pStyle w:val="Heading1"/>
        <w:pBdr>
          <w:bottom w:val="single" w:sz="12" w:space="6" w:color="00ACF1"/>
        </w:pBdr>
        <w:rPr/>
      </w:pPr>
      <w:bookmarkStart w:id="25" w:name="__RefHeading___Toc4621_3826153650"/>
      <w:bookmarkEnd w:id="25"/>
      <w:r>
        <w:rPr>
          <w:rFonts w:eastAsia="Nunito" w:cs="Nunito" w:ascii="Nunito" w:hAnsi="Nunito"/>
        </w:rPr>
        <w:t>8  Related documents</w:t>
      </w:r>
    </w:p>
    <w:p>
      <w:pPr>
        <w:pStyle w:val="Normal"/>
        <w:rPr/>
      </w:pPr>
      <w:r>
        <w:rPr>
          <w:rFonts w:eastAsia="Nunito" w:cs="Nunito"/>
        </w:rPr>
        <w:t xml:space="preserve">This document is one of eleven that together form the BrokerVerse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26" w:name="__RefHeading___Toc4623_3826153650"/>
      <w:bookmarkEnd w:id="26"/>
      <w:r>
        <w:rPr>
          <w:rFonts w:eastAsia="Nunito" w:cs="Nunito" w:ascii="Nunito" w:hAnsi="Nunito"/>
        </w:rPr>
        <w:t>9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application-level lock (pg_try_advisory_lock) used by the scheduler so a job runs on one API instance at a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Bordereau</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Periodic list of ceded premiums or claims sent to a reinsurer.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Cession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share of a policy's risk and premium passed to a reinsurer under a treaty or facultatively.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CTPL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Compulsory Third Party Liability motor insurance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Debit note (DN)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Commission debit note raised by the broker to an insurer for direct-billed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Direct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Billing mode in which the insurer collects the premium and the broker bills the insurer for its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DST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Documentary Stamp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Endorsement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Change to an issued policy (details, cover, premium or cancellation).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 column that references the primary key of another table.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GIN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Generalised inverted index (PostgreSQL), used for JSONB searches.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JSONB</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binary JSON column type, used for flexible document parts of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LGT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Local Government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Official receipt issued for premium received.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Primary key: column(s) that uniquely identify a row.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SLA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Service level agreement / target time, e.g. for remittance approvals.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Treaty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Reinsurance contract under which risks are ceded automatically within agreed limits.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Value-added tax (12 % in the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zod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TypeScript-first schema validation library used to validate request bodies and parameters.</w:t>
            </w:r>
          </w:p>
        </w:tc>
      </w:tr>
    </w:tbl>
    <w:p>
      <w:pPr>
        <w:pStyle w:val="Normal"/>
        <w:spacing w:before="0" w:after="40"/>
        <w:rPr/>
      </w:pPr>
      <w:r>
        <w:rPr/>
      </w:r>
    </w:p>
    <w:sectPr>
      <w:headerReference w:type="default" r:id="rId57"/>
      <w:headerReference w:type="first" r:id="rId58"/>
      <w:footerReference w:type="default" r:id="rId59"/>
      <w:footerReference w:type="first" r:id="rId60"/>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17</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18</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19</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20</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21</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29</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29</w:t>
    </w:r>
    <w:r>
      <w:rPr/>
      <w:fldChar w:fldCharType="end"/>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02 Database Design</w:t>
    </w:r>
    <w:r>
      <w:rPr>
        <w:rFonts w:eastAsia="Nunito" w:cs="Nunito"/>
        <w:color w:val="5B6776"/>
        <w:sz w:val="16"/>
      </w:rPr>
      <w:tab/>
      <w:t>Solution Architecture  ·  Version 1.0</w: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3.pn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4.png"/><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image" Target="media/image5.png"/><Relationship Id="rId21" Type="http://schemas.openxmlformats.org/officeDocument/2006/relationships/header" Target="header8.xml"/><Relationship Id="rId22" Type="http://schemas.openxmlformats.org/officeDocument/2006/relationships/header" Target="header9.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footer" Target="footer10.xml"/><Relationship Id="rId28" Type="http://schemas.openxmlformats.org/officeDocument/2006/relationships/footer" Target="footer11.xml"/><Relationship Id="rId29" Type="http://schemas.openxmlformats.org/officeDocument/2006/relationships/image" Target="media/image6.png"/><Relationship Id="rId30" Type="http://schemas.openxmlformats.org/officeDocument/2006/relationships/header" Target="header12.xml"/><Relationship Id="rId31" Type="http://schemas.openxmlformats.org/officeDocument/2006/relationships/header" Target="header13.xml"/><Relationship Id="rId32" Type="http://schemas.openxmlformats.org/officeDocument/2006/relationships/footer" Target="footer12.xml"/><Relationship Id="rId33" Type="http://schemas.openxmlformats.org/officeDocument/2006/relationships/footer" Target="footer13.xml"/><Relationship Id="rId34" Type="http://schemas.openxmlformats.org/officeDocument/2006/relationships/image" Target="media/image7.png"/><Relationship Id="rId35" Type="http://schemas.openxmlformats.org/officeDocument/2006/relationships/header" Target="header14.xml"/><Relationship Id="rId36" Type="http://schemas.openxmlformats.org/officeDocument/2006/relationships/header" Target="header15.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image" Target="media/image8.png"/><Relationship Id="rId40" Type="http://schemas.openxmlformats.org/officeDocument/2006/relationships/header" Target="header16.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image" Target="media/image9.png"/><Relationship Id="rId45" Type="http://schemas.openxmlformats.org/officeDocument/2006/relationships/header" Target="header18.xml"/><Relationship Id="rId46" Type="http://schemas.openxmlformats.org/officeDocument/2006/relationships/header" Target="header19.xml"/><Relationship Id="rId47" Type="http://schemas.openxmlformats.org/officeDocument/2006/relationships/footer" Target="footer18.xml"/><Relationship Id="rId48" Type="http://schemas.openxmlformats.org/officeDocument/2006/relationships/footer" Target="footer19.xml"/><Relationship Id="rId49" Type="http://schemas.openxmlformats.org/officeDocument/2006/relationships/image" Target="media/image10.png"/><Relationship Id="rId50" Type="http://schemas.openxmlformats.org/officeDocument/2006/relationships/header" Target="header20.xml"/><Relationship Id="rId51" Type="http://schemas.openxmlformats.org/officeDocument/2006/relationships/header" Target="header21.xml"/><Relationship Id="rId52" Type="http://schemas.openxmlformats.org/officeDocument/2006/relationships/footer" Target="footer20.xml"/><Relationship Id="rId53" Type="http://schemas.openxmlformats.org/officeDocument/2006/relationships/footer" Target="footer21.xml"/><Relationship Id="rId54" Type="http://schemas.openxmlformats.org/officeDocument/2006/relationships/image" Target="media/image11.png"/><Relationship Id="rId55" Type="http://schemas.openxmlformats.org/officeDocument/2006/relationships/image" Target="media/image12.png"/><Relationship Id="rId56" Type="http://schemas.openxmlformats.org/officeDocument/2006/relationships/image" Target="media/image13.png"/><Relationship Id="rId57" Type="http://schemas.openxmlformats.org/officeDocument/2006/relationships/header" Target="header22.xml"/><Relationship Id="rId58" Type="http://schemas.openxmlformats.org/officeDocument/2006/relationships/header" Target="header23.xml"/><Relationship Id="rId59" Type="http://schemas.openxmlformats.org/officeDocument/2006/relationships/footer" Target="footer22.xml"/><Relationship Id="rId60" Type="http://schemas.openxmlformats.org/officeDocument/2006/relationships/footer" Target="footer23.xml"/><Relationship Id="rId61" Type="http://schemas.openxmlformats.org/officeDocument/2006/relationships/numbering" Target="numbering.xml"/><Relationship Id="rId62" Type="http://schemas.openxmlformats.org/officeDocument/2006/relationships/fontTable" Target="fontTable.xml"/><Relationship Id="rId63" Type="http://schemas.openxmlformats.org/officeDocument/2006/relationships/settings" Target="settings.xml"/><Relationship Id="rId64" Type="http://schemas.openxmlformats.org/officeDocument/2006/relationships/theme" Target="theme/theme1.xml"/><Relationship Id="rId6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29</Pages>
  <Words>4072</Words>
  <Characters>26052</Characters>
  <CharactersWithSpaces>29660</CharactersWithSpaces>
  <Paragraphs>592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solution architecture Database Design</cp:keywords>
  <dc:language>en-US</dc:language>
  <cp:lastModifiedBy/>
  <dcterms:modified xsi:type="dcterms:W3CDTF">2026-09-29T09:52:03Z</dcterms:modified>
  <cp:revision>2</cp:revision>
  <dc:subject>Solution Architecture</dc:subject>
  <dc:title>BrokerVerse Solution Architecture: 02 Database Design</dc:title>
</cp:coreProperties>
</file>

<file path=docProps/custom.xml><?xml version="1.0" encoding="utf-8"?>
<Properties xmlns="http://schemas.openxmlformats.org/officeDocument/2006/custom-properties" xmlns:vt="http://schemas.openxmlformats.org/officeDocument/2006/docPropsVTypes"/>
</file>