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oter2.xml.rels" ContentType="application/vnd.openxmlformats-package.relationships+xml"/>
  <Override PartName="/word/_rels/document.xml.rels" ContentType="application/vnd.openxmlformats-package.relationships+xml"/>
  <Override PartName="/word/_rels/footer1.xml.rels" ContentType="application/vnd.openxmlformats-package.relationships+xml"/>
  <Override PartName="/word/media/image1.jpeg" ContentType="image/jpeg"/>
  <Override PartName="/word/media/image2.png" ContentType="image/png"/>
  <Override PartName="/word/media/image3.jpeg" ContentType="image/jpeg"/>
  <Override PartName="/word/media/image4.png" ContentType="image/png"/>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drawing>
          <wp:anchor behindDoc="1" distT="0" distB="0" distL="0" distR="0" simplePos="0" locked="0" layoutInCell="0" allowOverlap="1" relativeHeight="21">
            <wp:simplePos x="0" y="0"/>
            <wp:positionH relativeFrom="margin">
              <wp:posOffset>-914400</wp:posOffset>
            </wp:positionH>
            <wp:positionV relativeFrom="margin">
              <wp:posOffset>-914400</wp:posOffset>
            </wp:positionV>
            <wp:extent cx="7553960" cy="10685145"/>
            <wp:effectExtent l="0" t="0" r="0" b="0"/>
            <wp:wrapNone/>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7553960" cy="10685145"/>
                    </a:xfrm>
                    <a:prstGeom prst="rect">
                      <a:avLst/>
                    </a:prstGeom>
                  </pic:spPr>
                </pic:pic>
              </a:graphicData>
            </a:graphic>
          </wp:anchor>
        </w:drawing>
        <w:drawing>
          <wp:anchor behindDoc="1" distT="0" distB="0" distL="0" distR="0" simplePos="0" locked="0" layoutInCell="0" allowOverlap="1" relativeHeight="32">
            <wp:simplePos x="0" y="0"/>
            <wp:positionH relativeFrom="margin">
              <wp:align>center</wp:align>
            </wp:positionH>
            <wp:positionV relativeFrom="margin">
              <wp:posOffset>244475</wp:posOffset>
            </wp:positionV>
            <wp:extent cx="2000250" cy="568325"/>
            <wp:effectExtent l="0" t="0" r="0" b="0"/>
            <wp:wrapNone/>
            <wp:docPr id="2"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
                    <pic:cNvPicPr>
                      <a:picLocks noChangeAspect="1" noChangeArrowheads="1"/>
                    </pic:cNvPicPr>
                  </pic:nvPicPr>
                  <pic:blipFill>
                    <a:blip r:embed="rId3"/>
                    <a:stretch>
                      <a:fillRect/>
                    </a:stretch>
                  </pic:blipFill>
                  <pic:spPr bwMode="auto">
                    <a:xfrm>
                      <a:off x="0" y="0"/>
                      <a:ext cx="2000250" cy="568325"/>
                    </a:xfrm>
                    <a:prstGeom prst="rect">
                      <a:avLst/>
                    </a:prstGeom>
                  </pic:spPr>
                </pic:pic>
              </a:graphicData>
            </a:graphic>
          </wp:anchor>
        </w:drawing>
      </w:r>
    </w:p>
    <w:p>
      <w:pPr>
        <w:pStyle w:val="Normal"/>
        <w:rPr/>
      </w:pPr>
      <w:r>
        <w:rPr/>
        <mc:AlternateContent>
          <mc:Choice Requires="wps">
            <w:drawing>
              <wp:anchor behindDoc="0" distT="45720" distB="45720" distL="114300" distR="114300" simplePos="0" locked="0" layoutInCell="0" allowOverlap="1" relativeHeight="22" wp14:anchorId="3D43415C">
                <wp:simplePos x="0" y="0"/>
                <wp:positionH relativeFrom="page">
                  <wp:posOffset>194310</wp:posOffset>
                </wp:positionH>
                <wp:positionV relativeFrom="paragraph">
                  <wp:posOffset>4124960</wp:posOffset>
                </wp:positionV>
                <wp:extent cx="2599690" cy="266700"/>
                <wp:effectExtent l="0" t="0" r="0" b="0"/>
                <wp:wrapSquare wrapText="bothSides"/>
                <wp:docPr id="3" name="Text Box 2"/>
                <a:graphic xmlns:a="http://schemas.openxmlformats.org/drawingml/2006/main">
                  <a:graphicData uri="http://schemas.microsoft.com/office/word/2010/wordprocessingShape">
                    <wps:wsp>
                      <wps:cNvSpPr/>
                      <wps:spPr>
                        <a:xfrm>
                          <a:off x="0" y="0"/>
                          <a:ext cx="259956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Prepared by – </w:t>
                            </w:r>
                            <w:r>
                              <w:rPr>
                                <w:b/>
                                <w:bCs/>
                                <w:color w:val="1D74BA"/>
                              </w:rPr>
                              <w:t>iorta TechNXT Corp.</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15.3pt;margin-top:324.8pt;width:204.65pt;height:20.95pt;mso-wrap-style:square;v-text-anchor:top;mso-position-horizontal-relative:page" wp14:anchorId="3D43415C">
                <v:fill o:detectmouseclick="t" on="false"/>
                <v:stroke color="#3465a4" weight="9360" joinstyle="miter" endcap="flat"/>
                <v:textbox>
                  <w:txbxContent>
                    <w:p>
                      <w:pPr>
                        <w:pStyle w:val="FrameContents"/>
                        <w:spacing w:before="0" w:after="160"/>
                        <w:rPr>
                          <w:b/>
                          <w:bCs/>
                          <w:color w:val="1D74BA"/>
                        </w:rPr>
                      </w:pPr>
                      <w:r>
                        <w:rPr>
                          <w:color w:val="1D74BA"/>
                        </w:rPr>
                        <w:t xml:space="preserve">Prepared by – </w:t>
                      </w:r>
                      <w:r>
                        <w:rPr>
                          <w:b/>
                          <w:bCs/>
                          <w:color w:val="1D74BA"/>
                        </w:rPr>
                        <w:t>iorta TechNXT Corp.</w:t>
                      </w:r>
                    </w:p>
                  </w:txbxContent>
                </v:textbox>
                <w10:wrap type="square"/>
              </v:rect>
            </w:pict>
          </mc:Fallback>
        </mc:AlternateContent>
        <mc:AlternateContent>
          <mc:Choice Requires="wps">
            <w:drawing>
              <wp:anchor behindDoc="0" distT="45720" distB="45720" distL="113030" distR="114935" simplePos="0" locked="0" layoutInCell="0" allowOverlap="1" relativeHeight="24" wp14:anchorId="58C23128">
                <wp:simplePos x="0" y="0"/>
                <wp:positionH relativeFrom="page">
                  <wp:posOffset>3094990</wp:posOffset>
                </wp:positionH>
                <wp:positionV relativeFrom="paragraph">
                  <wp:posOffset>4124960</wp:posOffset>
                </wp:positionV>
                <wp:extent cx="1599565" cy="266700"/>
                <wp:effectExtent l="0" t="0" r="0" b="0"/>
                <wp:wrapSquare wrapText="bothSides"/>
                <wp:docPr id="4" name="Text Box 2"/>
                <a:graphic xmlns:a="http://schemas.openxmlformats.org/drawingml/2006/main">
                  <a:graphicData uri="http://schemas.microsoft.com/office/word/2010/wordprocessingShape">
                    <wps:wsp>
                      <wps:cNvSpPr/>
                      <wps:spPr>
                        <a:xfrm>
                          <a:off x="0" y="0"/>
                          <a:ext cx="1599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Version - </w:t>
                            </w:r>
                            <w:r>
                              <w:rPr>
                                <w:b/>
                                <w:bCs/>
                                <w:color w:val="1D74BA"/>
                              </w:rPr>
                              <w:t>1.0</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243.7pt;margin-top:324.8pt;width:125.9pt;height:20.95pt;mso-wrap-style:square;v-text-anchor:top;mso-position-horizontal-relative:page" wp14:anchorId="58C23128">
                <v:fill o:detectmouseclick="t" on="false"/>
                <v:stroke color="#3465a4" weight="9360" joinstyle="miter" endcap="flat"/>
                <v:textbox>
                  <w:txbxContent>
                    <w:p>
                      <w:pPr>
                        <w:pStyle w:val="FrameContents"/>
                        <w:spacing w:before="0" w:after="160"/>
                        <w:rPr>
                          <w:b/>
                          <w:bCs/>
                          <w:color w:val="1D74BA"/>
                        </w:rPr>
                      </w:pPr>
                      <w:r>
                        <w:rPr>
                          <w:color w:val="1D74BA"/>
                        </w:rPr>
                        <w:t xml:space="preserve">Version - </w:t>
                      </w:r>
                      <w:r>
                        <w:rPr>
                          <w:b/>
                          <w:bCs/>
                          <w:color w:val="1D74BA"/>
                        </w:rPr>
                        <w:t>1.0</w:t>
                      </w:r>
                    </w:p>
                  </w:txbxContent>
                </v:textbox>
                <w10:wrap type="square"/>
              </v:rect>
            </w:pict>
          </mc:Fallback>
        </mc:AlternateContent>
        <mc:AlternateContent>
          <mc:Choice Requires="wps">
            <w:drawing>
              <wp:anchor behindDoc="0" distT="45720" distB="45720" distL="114300" distR="113665" simplePos="0" locked="0" layoutInCell="0" allowOverlap="1" relativeHeight="26" wp14:anchorId="1BF25123">
                <wp:simplePos x="0" y="0"/>
                <wp:positionH relativeFrom="page">
                  <wp:posOffset>4992370</wp:posOffset>
                </wp:positionH>
                <wp:positionV relativeFrom="paragraph">
                  <wp:posOffset>4124960</wp:posOffset>
                </wp:positionV>
                <wp:extent cx="2400300" cy="266700"/>
                <wp:effectExtent l="0" t="0" r="0" b="0"/>
                <wp:wrapSquare wrapText="bothSides"/>
                <wp:docPr id="5" name="Text Box 2"/>
                <a:graphic xmlns:a="http://schemas.openxmlformats.org/drawingml/2006/main">
                  <a:graphicData uri="http://schemas.microsoft.com/office/word/2010/wordprocessingShape">
                    <wps:wsp>
                      <wps:cNvSpPr/>
                      <wps:spPr>
                        <a:xfrm>
                          <a:off x="0" y="0"/>
                          <a:ext cx="2400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Date - </w:t>
                            </w:r>
                            <w:r>
                              <w:rPr>
                                <w:b/>
                                <w:bCs/>
                                <w:color w:val="1D74BA"/>
                              </w:rPr>
                              <w:t>03 October 2026</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393.1pt;margin-top:324.8pt;width:188.95pt;height:20.95pt;mso-wrap-style:square;v-text-anchor:top;mso-position-horizontal-relative:page" wp14:anchorId="1BF25123">
                <v:fill o:detectmouseclick="t" on="false"/>
                <v:stroke color="#3465a4" weight="9360" joinstyle="miter" endcap="flat"/>
                <v:textbox>
                  <w:txbxContent>
                    <w:p>
                      <w:pPr>
                        <w:pStyle w:val="FrameContents"/>
                        <w:spacing w:before="0" w:after="160"/>
                        <w:rPr>
                          <w:b/>
                          <w:bCs/>
                          <w:color w:val="1D74BA"/>
                        </w:rPr>
                      </w:pPr>
                      <w:r>
                        <w:rPr>
                          <w:color w:val="1D74BA"/>
                        </w:rPr>
                        <w:t xml:space="preserve">Date - </w:t>
                      </w:r>
                      <w:r>
                        <w:rPr>
                          <w:b/>
                          <w:bCs/>
                          <w:color w:val="1D74BA"/>
                        </w:rPr>
                        <w:t>03 October 2026</w:t>
                      </w:r>
                    </w:p>
                  </w:txbxContent>
                </v:textbox>
                <w10:wrap type="square"/>
              </v:rect>
            </w:pict>
          </mc:Fallback>
        </mc:AlternateContent>
        <mc:AlternateContent>
          <mc:Choice Requires="wps">
            <w:drawing>
              <wp:anchor behindDoc="0" distT="45720" distB="46355" distL="114300" distR="114300" simplePos="0" locked="0" layoutInCell="0" allowOverlap="1" relativeHeight="28" wp14:anchorId="01DE2BF4">
                <wp:simplePos x="0" y="0"/>
                <wp:positionH relativeFrom="margin">
                  <wp:align>center</wp:align>
                </wp:positionH>
                <wp:positionV relativeFrom="paragraph">
                  <wp:posOffset>1291590</wp:posOffset>
                </wp:positionV>
                <wp:extent cx="4528820" cy="1249680"/>
                <wp:effectExtent l="0" t="0" r="0" b="0"/>
                <wp:wrapSquare wrapText="bothSides"/>
                <wp:docPr id="6" name="Text Box 2"/>
                <a:graphic xmlns:a="http://schemas.openxmlformats.org/drawingml/2006/main">
                  <a:graphicData uri="http://schemas.microsoft.com/office/word/2010/wordprocessingShape">
                    <wps:wsp>
                      <wps:cNvSpPr/>
                      <wps:spPr>
                        <a:xfrm>
                          <a:off x="0" y="0"/>
                          <a:ext cx="4528800" cy="1249560"/>
                        </a:xfrm>
                        <a:prstGeom prst="rect">
                          <a:avLst/>
                        </a:prstGeom>
                        <a:noFill/>
                        <a:ln w="9525">
                          <a:noFill/>
                        </a:ln>
                      </wps:spPr>
                      <wps:style>
                        <a:lnRef idx="0"/>
                        <a:fillRef idx="0"/>
                        <a:effectRef idx="0"/>
                        <a:fontRef idx="minor"/>
                      </wps:style>
                      <wps:txbx>
                        <w:txbxContent>
                          <w:p>
                            <w:pPr>
                              <w:pStyle w:val="FrameContents"/>
                              <w:rPr>
                                <w:b/>
                                <w:bCs/>
                                <w:color w:val="1D74BA"/>
                                <w:sz w:val="36"/>
                                <w:szCs w:val="36"/>
                                <w:lang w:val="en-MY"/>
                              </w:rPr>
                            </w:pPr>
                            <w:r>
                              <w:rPr>
                                <w:b/>
                                <w:bCs/>
                                <w:color w:val="1D74BA"/>
                                <w:sz w:val="36"/>
                                <w:szCs w:val="36"/>
                                <w:lang w:val="en-MY"/>
                              </w:rPr>
                              <w:t>Change Request Procedure</w:t>
                            </w:r>
                          </w:p>
                          <w:p>
                            <w:pPr>
                              <w:pStyle w:val="FrameContents"/>
                              <w:spacing w:before="0" w:after="160"/>
                              <w:rPr>
                                <w:b/>
                                <w:bCs/>
                                <w:color w:val="1D74BA"/>
                                <w:sz w:val="56"/>
                                <w:szCs w:val="56"/>
                              </w:rPr>
                            </w:pPr>
                            <w:r>
                              <w:rPr/>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01.7pt;width:356.55pt;height:98.35pt;mso-wrap-style:square;v-text-anchor:top;mso-position-horizontal:center;mso-position-horizontal-relative:margin" wp14:anchorId="01DE2BF4">
                <v:fill o:detectmouseclick="t" on="false"/>
                <v:stroke color="#3465a4" weight="9360" joinstyle="miter" endcap="flat"/>
                <v:textbox>
                  <w:txbxContent>
                    <w:p>
                      <w:pPr>
                        <w:pStyle w:val="FrameContents"/>
                        <w:rPr>
                          <w:b/>
                          <w:bCs/>
                          <w:color w:val="1D74BA"/>
                          <w:sz w:val="36"/>
                          <w:szCs w:val="36"/>
                          <w:lang w:val="en-MY"/>
                        </w:rPr>
                      </w:pPr>
                      <w:r>
                        <w:rPr>
                          <w:b/>
                          <w:bCs/>
                          <w:color w:val="1D74BA"/>
                          <w:sz w:val="36"/>
                          <w:szCs w:val="36"/>
                          <w:lang w:val="en-MY"/>
                        </w:rPr>
                        <w:t>Change Request Procedure</w:t>
                      </w:r>
                    </w:p>
                    <w:p>
                      <w:pPr>
                        <w:pStyle w:val="FrameContents"/>
                        <w:spacing w:before="0" w:after="160"/>
                        <w:rPr>
                          <w:b/>
                          <w:bCs/>
                          <w:color w:val="1D74BA"/>
                          <w:sz w:val="56"/>
                          <w:szCs w:val="56"/>
                        </w:rPr>
                      </w:pPr>
                      <w:r>
                        <w:rPr/>
                      </w:r>
                    </w:p>
                  </w:txbxContent>
                </v:textbox>
                <w10:wrap type="square"/>
              </v:rect>
            </w:pict>
          </mc:Fallback>
        </mc:AlternateContent>
        <mc:AlternateContent>
          <mc:Choice Requires="wps">
            <w:drawing>
              <wp:anchor behindDoc="0" distT="45720" distB="50800" distL="114300" distR="114300" simplePos="0" locked="0" layoutInCell="0" allowOverlap="1" relativeHeight="30" wp14:anchorId="204C02CC">
                <wp:simplePos x="0" y="0"/>
                <wp:positionH relativeFrom="margin">
                  <wp:align>center</wp:align>
                </wp:positionH>
                <wp:positionV relativeFrom="paragraph">
                  <wp:posOffset>1979295</wp:posOffset>
                </wp:positionV>
                <wp:extent cx="4528820" cy="337820"/>
                <wp:effectExtent l="0" t="0" r="0" b="5080"/>
                <wp:wrapSquare wrapText="bothSides"/>
                <wp:docPr id="7" name="Text Box 2"/>
                <a:graphic xmlns:a="http://schemas.openxmlformats.org/drawingml/2006/main">
                  <a:graphicData uri="http://schemas.microsoft.com/office/word/2010/wordprocessingShape">
                    <wps:wsp>
                      <wps:cNvSpPr/>
                      <wps:spPr>
                        <a:xfrm>
                          <a:off x="0" y="0"/>
                          <a:ext cx="4528800" cy="337680"/>
                        </a:xfrm>
                        <a:prstGeom prst="rect">
                          <a:avLst/>
                        </a:prstGeom>
                        <a:noFill/>
                        <a:ln w="9525">
                          <a:noFill/>
                        </a:ln>
                      </wps:spPr>
                      <wps:style>
                        <a:lnRef idx="0"/>
                        <a:fillRef idx="0"/>
                        <a:effectRef idx="0"/>
                        <a:fontRef idx="minor"/>
                      </wps:style>
                      <wps:txbx>
                        <w:txbxContent>
                          <w:p>
                            <w:pPr>
                              <w:pStyle w:val="FrameContents"/>
                              <w:spacing w:before="0" w:after="160"/>
                              <w:rPr>
                                <w:b/>
                                <w:bCs/>
                                <w:color w:val="071B2C"/>
                                <w:sz w:val="36"/>
                                <w:szCs w:val="36"/>
                              </w:rPr>
                            </w:pPr>
                            <w:r>
                              <w:rPr>
                                <w:b/>
                                <w:bCs/>
                                <w:color w:val="071B2C"/>
                                <w:sz w:val="36"/>
                                <w:szCs w:val="36"/>
                              </w:rPr>
                              <w:t>With the Change Request Form</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55.85pt;width:356.55pt;height:26.55pt;mso-wrap-style:square;v-text-anchor:top;mso-position-horizontal:center;mso-position-horizontal-relative:margin" wp14:anchorId="204C02CC">
                <v:fill o:detectmouseclick="t" on="false"/>
                <v:stroke color="#3465a4" weight="9360" joinstyle="miter" endcap="flat"/>
                <v:textbox>
                  <w:txbxContent>
                    <w:p>
                      <w:pPr>
                        <w:pStyle w:val="FrameContents"/>
                        <w:spacing w:before="0" w:after="160"/>
                        <w:rPr>
                          <w:b/>
                          <w:bCs/>
                          <w:color w:val="071B2C"/>
                          <w:sz w:val="36"/>
                          <w:szCs w:val="36"/>
                        </w:rPr>
                      </w:pPr>
                      <w:r>
                        <w:rPr>
                          <w:b/>
                          <w:bCs/>
                          <w:color w:val="071B2C"/>
                          <w:sz w:val="36"/>
                          <w:szCs w:val="36"/>
                        </w:rPr>
                        <w:t>With the Change Request Form</w:t>
                      </w:r>
                    </w:p>
                  </w:txbxContent>
                </v:textbox>
                <w10:wrap type="square"/>
              </v:rect>
            </w:pict>
          </mc:Fallback>
        </mc:AlternateContent>
      </w:r>
      <w:r>
        <w:br w:type="page"/>
      </w:r>
    </w:p>
    <w:p>
      <w:pPr>
        <w:pStyle w:val="TOCHeading"/>
        <w:tabs>
          <w:tab w:val="clear" w:pos="720"/>
          <w:tab w:val="left" w:pos="1991" w:leader="none"/>
          <w:tab w:val="center" w:pos="4725" w:leader="none"/>
          <w:tab w:val="right" w:pos="9450" w:leader="none"/>
        </w:tabs>
        <w:spacing w:before="0" w:after="0"/>
        <w:rPr>
          <w:rFonts w:ascii="Segoe UI" w:hAnsi="Segoe UI" w:cs="Segoe UI"/>
          <w:b/>
          <w:color w:val="003399"/>
        </w:rPr>
      </w:pPr>
      <w:r>
        <w:rPr>
          <w:rFonts w:eastAsia="Arial" w:cs="Segoe UI" w:ascii="Segoe UI" w:hAnsi="Segoe UI"/>
          <w:b/>
          <w:color w:val="003399"/>
        </w:rPr>
        <w:t>TABLE OF CONTENTS</w:t>
      </w:r>
    </w:p>
    <w:p>
      <w:pPr>
        <w:pStyle w:val="Normal"/>
        <w:rPr>
          <w:rFonts w:ascii="Segoe UI" w:hAnsi="Segoe UI" w:cs="Segoe UI"/>
          <w:color w:val="101820"/>
        </w:rPr>
      </w:pPr>
      <w:r>
        <w:rPr>
          <w:rFonts w:cs="Segoe UI" w:ascii="Segoe UI" w:hAnsi="Segoe UI"/>
          <w:color w:val="101820"/>
        </w:rPr>
      </w:r>
    </w:p>
    <w:sdt>
      <w:sdtPr>
        <w:docPartObj>
          <w:docPartGallery w:val="Table of Contents"/>
          <w:docPartUnique w:val="true"/>
        </w:docPartObj>
      </w:sdtPr>
      <w:sdtContent>
        <w:p>
          <w:pPr>
            <w:pStyle w:val="TOC1"/>
            <w:tabs>
              <w:tab w:val="clear" w:pos="900"/>
              <w:tab w:val="clear" w:pos="9350"/>
              <w:tab w:val="right" w:pos="9025" w:leader="dot"/>
            </w:tabs>
            <w:rPr/>
          </w:pPr>
          <w:r>
            <w:fldChar w:fldCharType="begin"/>
          </w:r>
          <w:r>
            <w:rPr>
              <w:webHidden/>
              <w:rStyle w:val="IndexLink"/>
            </w:rPr>
            <w:instrText xml:space="preserve"> TOC \z \o "1-2" \u \h</w:instrText>
          </w:r>
          <w:r>
            <w:rPr>
              <w:webHidden/>
              <w:rStyle w:val="IndexLink"/>
            </w:rPr>
            <w:fldChar w:fldCharType="separate"/>
          </w:r>
          <w:hyperlink w:anchor="__RefHeading___Toc154926_4195859891">
            <w:r>
              <w:rPr>
                <w:webHidden/>
                <w:rStyle w:val="IndexLink"/>
              </w:rPr>
              <w:t xml:space="preserve"> </w:t>
            </w:r>
            <w:r>
              <w:rPr>
                <w:rStyle w:val="IndexLink"/>
                <w:i w:val="false"/>
                <w:iCs w:val="false"/>
              </w:rPr>
              <w:t>1. Document Control</w:t>
            </w:r>
            <w:r>
              <w:rPr>
                <w:rStyle w:val="IndexLink"/>
              </w:rPr>
              <w:tab/>
              <w:t>3</w:t>
            </w:r>
          </w:hyperlink>
        </w:p>
        <w:p>
          <w:pPr>
            <w:pStyle w:val="TOC1"/>
            <w:tabs>
              <w:tab w:val="clear" w:pos="900"/>
              <w:tab w:val="clear" w:pos="9350"/>
              <w:tab w:val="right" w:pos="9025" w:leader="dot"/>
            </w:tabs>
            <w:rPr/>
          </w:pPr>
          <w:hyperlink w:anchor="__RefHeading___Toc154928_4195859891">
            <w:r>
              <w:rPr>
                <w:webHidden/>
                <w:rStyle w:val="IndexLink"/>
                <w:i w:val="false"/>
                <w:iCs w:val="false"/>
              </w:rPr>
              <w:t>2. Acronyms</w:t>
            </w:r>
            <w:r>
              <w:rPr>
                <w:rStyle w:val="IndexLink"/>
              </w:rPr>
              <w:tab/>
              <w:t>3</w:t>
            </w:r>
          </w:hyperlink>
        </w:p>
        <w:p>
          <w:pPr>
            <w:pStyle w:val="TOC1"/>
            <w:tabs>
              <w:tab w:val="clear" w:pos="900"/>
              <w:tab w:val="clear" w:pos="9350"/>
              <w:tab w:val="right" w:pos="9025" w:leader="dot"/>
            </w:tabs>
            <w:rPr/>
          </w:pPr>
          <w:hyperlink w:anchor="__RefHeading___Toc154930_4195859891">
            <w:r>
              <w:rPr>
                <w:webHidden/>
                <w:rStyle w:val="IndexLink"/>
              </w:rPr>
              <w:t>3. About this template</w:t>
              <w:tab/>
              <w:t>4</w:t>
            </w:r>
          </w:hyperlink>
        </w:p>
        <w:p>
          <w:pPr>
            <w:pStyle w:val="TOC1"/>
            <w:tabs>
              <w:tab w:val="clear" w:pos="900"/>
              <w:tab w:val="clear" w:pos="9350"/>
              <w:tab w:val="right" w:pos="9025" w:leader="dot"/>
            </w:tabs>
            <w:rPr/>
          </w:pPr>
          <w:hyperlink w:anchor="__RefHeading___Toc154932_4195859891">
            <w:r>
              <w:rPr>
                <w:webHidden/>
                <w:rStyle w:val="IndexLink"/>
              </w:rPr>
              <w:t>4. Purpose and scope</w:t>
              <w:tab/>
              <w:t>5</w:t>
            </w:r>
          </w:hyperlink>
        </w:p>
        <w:p>
          <w:pPr>
            <w:pStyle w:val="TOC2"/>
            <w:tabs>
              <w:tab w:val="clear" w:pos="900"/>
              <w:tab w:val="clear" w:pos="9350"/>
              <w:tab w:val="right" w:pos="9025" w:leader="dot"/>
            </w:tabs>
            <w:rPr/>
          </w:pPr>
          <w:hyperlink w:anchor="__RefHeading___Toc154934_4195859891">
            <w:r>
              <w:rPr>
                <w:webHidden/>
                <w:rStyle w:val="IndexLink"/>
              </w:rPr>
              <w:t>4.1 What is a change request</w:t>
              <w:tab/>
              <w:t>5</w:t>
            </w:r>
          </w:hyperlink>
        </w:p>
        <w:p>
          <w:pPr>
            <w:pStyle w:val="TOC2"/>
            <w:tabs>
              <w:tab w:val="clear" w:pos="900"/>
              <w:tab w:val="clear" w:pos="9350"/>
              <w:tab w:val="right" w:pos="9025" w:leader="dot"/>
            </w:tabs>
            <w:rPr/>
          </w:pPr>
          <w:hyperlink w:anchor="__RefHeading___Toc154936_4195859891">
            <w:r>
              <w:rPr>
                <w:webHidden/>
                <w:rStyle w:val="IndexLink"/>
              </w:rPr>
              <w:t>4.2 What is not a change request</w:t>
              <w:tab/>
              <w:t>5</w:t>
            </w:r>
          </w:hyperlink>
        </w:p>
        <w:p>
          <w:pPr>
            <w:pStyle w:val="TOC1"/>
            <w:tabs>
              <w:tab w:val="clear" w:pos="900"/>
              <w:tab w:val="clear" w:pos="9350"/>
              <w:tab w:val="right" w:pos="9025" w:leader="dot"/>
            </w:tabs>
            <w:rPr/>
          </w:pPr>
          <w:hyperlink w:anchor="__RefHeading___Toc154938_4195859891">
            <w:r>
              <w:rPr>
                <w:webHidden/>
                <w:rStyle w:val="IndexLink"/>
              </w:rPr>
              <w:t>5. Roles</w:t>
              <w:tab/>
              <w:t>6</w:t>
            </w:r>
          </w:hyperlink>
        </w:p>
        <w:p>
          <w:pPr>
            <w:pStyle w:val="TOC1"/>
            <w:tabs>
              <w:tab w:val="clear" w:pos="900"/>
              <w:tab w:val="clear" w:pos="9350"/>
              <w:tab w:val="right" w:pos="9025" w:leader="dot"/>
            </w:tabs>
            <w:rPr/>
          </w:pPr>
          <w:hyperlink w:anchor="__RefHeading___Toc154940_4195859891">
            <w:r>
              <w:rPr>
                <w:webHidden/>
                <w:rStyle w:val="IndexLink"/>
              </w:rPr>
              <w:t>6. Procedure</w:t>
              <w:tab/>
              <w:t>7</w:t>
            </w:r>
          </w:hyperlink>
        </w:p>
        <w:p>
          <w:pPr>
            <w:pStyle w:val="TOC1"/>
            <w:tabs>
              <w:tab w:val="clear" w:pos="900"/>
              <w:tab w:val="clear" w:pos="9350"/>
              <w:tab w:val="right" w:pos="9025" w:leader="dot"/>
            </w:tabs>
            <w:rPr/>
          </w:pPr>
          <w:hyperlink w:anchor="__RefHeading___Toc154942_4195859891">
            <w:r>
              <w:rPr>
                <w:webHidden/>
                <w:rStyle w:val="IndexLink"/>
              </w:rPr>
              <w:t>7. Estimation</w:t>
              <w:tab/>
              <w:t>8</w:t>
            </w:r>
          </w:hyperlink>
        </w:p>
        <w:p>
          <w:pPr>
            <w:pStyle w:val="TOC2"/>
            <w:tabs>
              <w:tab w:val="clear" w:pos="900"/>
              <w:tab w:val="clear" w:pos="9350"/>
              <w:tab w:val="right" w:pos="9025" w:leader="dot"/>
            </w:tabs>
            <w:rPr/>
          </w:pPr>
          <w:hyperlink w:anchor="__RefHeading___Toc154944_4195859891">
            <w:r>
              <w:rPr>
                <w:webHidden/>
                <w:rStyle w:val="IndexLink"/>
              </w:rPr>
              <w:t>7.1 Day rates</w:t>
              <w:tab/>
              <w:t>8</w:t>
            </w:r>
          </w:hyperlink>
        </w:p>
        <w:p>
          <w:pPr>
            <w:pStyle w:val="TOC2"/>
            <w:tabs>
              <w:tab w:val="clear" w:pos="900"/>
              <w:tab w:val="clear" w:pos="9350"/>
              <w:tab w:val="right" w:pos="9025" w:leader="dot"/>
            </w:tabs>
            <w:rPr/>
          </w:pPr>
          <w:hyperlink w:anchor="__RefHeading___Toc154946_4195859891">
            <w:r>
              <w:rPr>
                <w:webHidden/>
                <w:rStyle w:val="IndexLink"/>
              </w:rPr>
              <w:t>7.2 Estimation method</w:t>
              <w:tab/>
              <w:t>8</w:t>
            </w:r>
          </w:hyperlink>
        </w:p>
        <w:p>
          <w:pPr>
            <w:pStyle w:val="TOC2"/>
            <w:tabs>
              <w:tab w:val="clear" w:pos="900"/>
              <w:tab w:val="clear" w:pos="9350"/>
              <w:tab w:val="right" w:pos="9025" w:leader="dot"/>
            </w:tabs>
            <w:rPr/>
          </w:pPr>
          <w:hyperlink w:anchor="__RefHeading___Toc154948_4195859891">
            <w:r>
              <w:rPr>
                <w:webHidden/>
                <w:rStyle w:val="IndexLink"/>
              </w:rPr>
              <w:t>7.3 Estimation bands</w:t>
              <w:tab/>
              <w:t>8</w:t>
            </w:r>
          </w:hyperlink>
        </w:p>
        <w:p>
          <w:pPr>
            <w:pStyle w:val="TOC1"/>
            <w:tabs>
              <w:tab w:val="clear" w:pos="900"/>
              <w:tab w:val="clear" w:pos="9350"/>
              <w:tab w:val="right" w:pos="9025" w:leader="dot"/>
            </w:tabs>
            <w:rPr/>
          </w:pPr>
          <w:hyperlink w:anchor="__RefHeading___Toc154950_4195859891">
            <w:r>
              <w:rPr>
                <w:webHidden/>
                <w:rStyle w:val="IndexLink"/>
              </w:rPr>
              <w:t>8. Approval</w:t>
              <w:tab/>
              <w:t>9</w:t>
            </w:r>
          </w:hyperlink>
        </w:p>
        <w:p>
          <w:pPr>
            <w:pStyle w:val="TOC1"/>
            <w:tabs>
              <w:tab w:val="clear" w:pos="900"/>
              <w:tab w:val="clear" w:pos="9350"/>
              <w:tab w:val="right" w:pos="9025" w:leader="dot"/>
            </w:tabs>
            <w:rPr/>
          </w:pPr>
          <w:hyperlink w:anchor="__RefHeading___Toc154952_4195859891">
            <w:r>
              <w:rPr>
                <w:webHidden/>
                <w:rStyle w:val="IndexLink"/>
              </w:rPr>
              <w:t>9. Impact on timeline and fees</w:t>
              <w:tab/>
              <w:t>10</w:t>
            </w:r>
          </w:hyperlink>
        </w:p>
        <w:p>
          <w:pPr>
            <w:pStyle w:val="TOC1"/>
            <w:tabs>
              <w:tab w:val="clear" w:pos="900"/>
              <w:tab w:val="clear" w:pos="9350"/>
              <w:tab w:val="right" w:pos="9025" w:leader="dot"/>
            </w:tabs>
            <w:rPr/>
          </w:pPr>
          <w:hyperlink w:anchor="__RefHeading___Toc154954_4195859891">
            <w:r>
              <w:rPr>
                <w:webHidden/>
                <w:rStyle w:val="IndexLink"/>
              </w:rPr>
              <w:t>10. Payment</w:t>
              <w:tab/>
              <w:t>11</w:t>
            </w:r>
          </w:hyperlink>
        </w:p>
        <w:p>
          <w:pPr>
            <w:pStyle w:val="TOC1"/>
            <w:tabs>
              <w:tab w:val="clear" w:pos="900"/>
              <w:tab w:val="clear" w:pos="9350"/>
              <w:tab w:val="right" w:pos="9025" w:leader="dot"/>
            </w:tabs>
            <w:rPr/>
          </w:pPr>
          <w:hyperlink w:anchor="__RefHeading___Toc154956_4195859891">
            <w:r>
              <w:rPr>
                <w:webHidden/>
                <w:rStyle w:val="IndexLink"/>
              </w:rPr>
              <w:t>11. Delivery, warranty and support of changes</w:t>
              <w:tab/>
              <w:t>12</w:t>
            </w:r>
          </w:hyperlink>
        </w:p>
        <w:p>
          <w:pPr>
            <w:pStyle w:val="TOC1"/>
            <w:tabs>
              <w:tab w:val="clear" w:pos="900"/>
              <w:tab w:val="clear" w:pos="9350"/>
              <w:tab w:val="right" w:pos="9025" w:leader="dot"/>
            </w:tabs>
            <w:rPr/>
          </w:pPr>
          <w:hyperlink w:anchor="__RefHeading___Toc154958_4195859891">
            <w:r>
              <w:rPr>
                <w:webHidden/>
                <w:rStyle w:val="IndexLink"/>
              </w:rPr>
              <w:t>12. Emergency changes</w:t>
              <w:tab/>
              <w:t>13</w:t>
            </w:r>
          </w:hyperlink>
        </w:p>
        <w:p>
          <w:pPr>
            <w:pStyle w:val="TOC1"/>
            <w:tabs>
              <w:tab w:val="clear" w:pos="900"/>
              <w:tab w:val="clear" w:pos="9350"/>
              <w:tab w:val="right" w:pos="9025" w:leader="dot"/>
            </w:tabs>
            <w:rPr/>
          </w:pPr>
          <w:hyperlink w:anchor="__RefHeading___Toc154960_4195859891">
            <w:r>
              <w:rPr>
                <w:webHidden/>
                <w:rStyle w:val="IndexLink"/>
              </w:rPr>
              <w:t>13. Change Request Form</w:t>
              <w:tab/>
              <w:t>14</w:t>
            </w:r>
          </w:hyperlink>
        </w:p>
        <w:p>
          <w:pPr>
            <w:pStyle w:val="TOC2"/>
            <w:tabs>
              <w:tab w:val="clear" w:pos="900"/>
              <w:tab w:val="clear" w:pos="9350"/>
              <w:tab w:val="right" w:pos="9025" w:leader="dot"/>
            </w:tabs>
            <w:rPr/>
          </w:pPr>
          <w:hyperlink w:anchor="__RefHeading___Toc154962_4195859891">
            <w:r>
              <w:rPr>
                <w:webHidden/>
                <w:rStyle w:val="IndexLink"/>
              </w:rPr>
              <w:t>13.1 Part A: request (Client)</w:t>
              <w:tab/>
              <w:t>14</w:t>
            </w:r>
          </w:hyperlink>
        </w:p>
        <w:p>
          <w:pPr>
            <w:pStyle w:val="TOC2"/>
            <w:tabs>
              <w:tab w:val="clear" w:pos="900"/>
              <w:tab w:val="clear" w:pos="9350"/>
              <w:tab w:val="right" w:pos="9025" w:leader="dot"/>
            </w:tabs>
            <w:rPr/>
          </w:pPr>
          <w:hyperlink w:anchor="__RefHeading___Toc154964_4195859891">
            <w:r>
              <w:rPr>
                <w:webHidden/>
                <w:rStyle w:val="IndexLink"/>
              </w:rPr>
              <w:t>13.2 Part B: impact assessment (iorta TechNXT)</w:t>
              <w:tab/>
              <w:t>14</w:t>
            </w:r>
          </w:hyperlink>
        </w:p>
        <w:p>
          <w:pPr>
            <w:pStyle w:val="TOC2"/>
            <w:tabs>
              <w:tab w:val="clear" w:pos="900"/>
              <w:tab w:val="clear" w:pos="9350"/>
              <w:tab w:val="right" w:pos="9025" w:leader="dot"/>
            </w:tabs>
            <w:rPr/>
          </w:pPr>
          <w:hyperlink w:anchor="__RefHeading___Toc154966_4195859891">
            <w:r>
              <w:rPr>
                <w:webHidden/>
                <w:rStyle w:val="IndexLink"/>
              </w:rPr>
              <w:t>13.3 Part C: estimate (iorta TechNXT)</w:t>
              <w:tab/>
              <w:t>14</w:t>
            </w:r>
          </w:hyperlink>
        </w:p>
        <w:p>
          <w:pPr>
            <w:pStyle w:val="TOC2"/>
            <w:tabs>
              <w:tab w:val="clear" w:pos="900"/>
              <w:tab w:val="clear" w:pos="9350"/>
              <w:tab w:val="right" w:pos="9025" w:leader="dot"/>
            </w:tabs>
            <w:rPr/>
          </w:pPr>
          <w:hyperlink w:anchor="__RefHeading___Toc154968_4195859891">
            <w:r>
              <w:rPr>
                <w:webHidden/>
                <w:rStyle w:val="IndexLink"/>
              </w:rPr>
              <w:t>13.4 Part D: approval (Client)</w:t>
              <w:tab/>
              <w:t>15</w:t>
            </w:r>
          </w:hyperlink>
        </w:p>
        <w:p>
          <w:pPr>
            <w:pStyle w:val="TOC2"/>
            <w:tabs>
              <w:tab w:val="clear" w:pos="900"/>
              <w:tab w:val="clear" w:pos="9350"/>
              <w:tab w:val="right" w:pos="9025" w:leader="dot"/>
            </w:tabs>
            <w:rPr/>
          </w:pPr>
          <w:hyperlink w:anchor="__RefHeading___Toc154970_4195859891">
            <w:r>
              <w:rPr>
                <w:webHidden/>
                <w:rStyle w:val="IndexLink"/>
              </w:rPr>
              <w:t>13.5 Part E: acceptance and closure</w:t>
              <w:tab/>
              <w:t>15</w:t>
            </w:r>
          </w:hyperlink>
        </w:p>
        <w:p>
          <w:pPr>
            <w:pStyle w:val="TOC1"/>
            <w:tabs>
              <w:tab w:val="clear" w:pos="900"/>
              <w:tab w:val="clear" w:pos="9350"/>
              <w:tab w:val="right" w:pos="9025" w:leader="dot"/>
            </w:tabs>
            <w:rPr/>
          </w:pPr>
          <w:hyperlink w:anchor="__RefHeading___Toc154972_4195859891">
            <w:r>
              <w:rPr>
                <w:webHidden/>
                <w:rStyle w:val="IndexLink"/>
              </w:rPr>
              <w:t>14. Change log</w:t>
              <w:tab/>
              <w:t>16</w:t>
            </w:r>
          </w:hyperlink>
        </w:p>
        <w:p>
          <w:pPr>
            <w:pStyle w:val="TOC1"/>
            <w:tabs>
              <w:tab w:val="clear" w:pos="900"/>
              <w:tab w:val="clear" w:pos="9350"/>
              <w:tab w:val="right" w:pos="9025" w:leader="dot"/>
            </w:tabs>
            <w:rPr/>
          </w:pPr>
          <w:hyperlink w:anchor="__RefHeading___Toc154974_4195859891">
            <w:r>
              <w:rPr>
                <w:webHidden/>
                <w:rStyle w:val="IndexLink"/>
                <w:i w:val="false"/>
                <w:iCs w:val="false"/>
              </w:rPr>
              <w:t>15. Document Sign-Off</w:t>
            </w:r>
            <w:r>
              <w:rPr>
                <w:rStyle w:val="IndexLink"/>
              </w:rPr>
              <w:tab/>
              <w:t>17</w:t>
            </w:r>
          </w:hyperlink>
          <w:r>
            <w:rPr>
              <w:rStyle w:val="IndexLink"/>
            </w:rPr>
            <w:fldChar w:fldCharType="end"/>
          </w:r>
        </w:p>
      </w:sdtContent>
    </w:sdt>
    <w:p>
      <w:pPr>
        <w:pStyle w:val="Heading1"/>
        <w:tabs>
          <w:tab w:val="clear" w:pos="720"/>
          <w:tab w:val="left" w:pos="360" w:leader="none"/>
        </w:tabs>
        <w:ind w:hanging="0" w:left="0"/>
        <w:rPr>
          <w:rStyle w:val="BookTitle"/>
          <w:b w:val="false"/>
          <w:bCs w:val="false"/>
          <w:i w:val="false"/>
          <w:i w:val="false"/>
          <w:iCs w:val="false"/>
          <w:spacing w:val="0"/>
        </w:rPr>
      </w:pPr>
      <w:r>
        <w:br w:type="page"/>
      </w:r>
      <w:bookmarkStart w:id="0" w:name="__RefHeading___Toc154926_4195859891"/>
      <w:bookmarkStart w:id="1" w:name="_Toc48319687"/>
      <w:bookmarkStart w:id="2" w:name="_Toc11824118"/>
      <w:bookmarkEnd w:id="0"/>
      <w:r>
        <w:rPr>
          <w:rStyle w:val="BookTitle"/>
          <w:b w:val="false"/>
        </w:rPr>
        <w:t xml:space="preserve"> </w:t>
      </w:r>
      <w:bookmarkStart w:id="3" w:name="_Toc233203387"/>
      <w:r>
        <w:rPr>
          <w:rStyle w:val="BookTitle"/>
          <w:bCs w:val="false"/>
          <w:i w:val="false"/>
          <w:iCs w:val="false"/>
          <w:spacing w:val="0"/>
        </w:rPr>
        <w:t>1.  Document Control</w:t>
      </w:r>
      <w:bookmarkEnd w:id="1"/>
      <w:bookmarkEnd w:id="2"/>
      <w:bookmarkEnd w:id="3"/>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785"/>
        <w:gridCol w:w="1608"/>
        <w:gridCol w:w="1692"/>
        <w:gridCol w:w="1696"/>
        <w:gridCol w:w="1690"/>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Date</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Version</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Author &amp; Business Unit Info</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Reviewed By &amp; Business Unit Info</w:t>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 &amp; Business Unit Info</w:t>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Change History</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03 October 2026</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1.0</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 Corp.</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Legal counsel (to be completed)</w:t>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To be completed</w:t>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Template for discussion; subject to review by the parties' legal counsel</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Normal"/>
        <w:spacing w:before="60" w:after="160"/>
        <w:rPr>
          <w:rFonts w:ascii="Segoe UI" w:hAnsi="Segoe UI" w:eastAsia="Arial" w:cs="Segoe UI"/>
          <w:b/>
          <w:color w:val="D74E0F"/>
          <w:sz w:val="28"/>
        </w:rPr>
      </w:pPr>
      <w:r>
        <w:rPr>
          <w:rFonts w:eastAsia="Arial" w:cs="Segoe UI" w:ascii="Segoe UI" w:hAnsi="Segoe UI"/>
          <w:b/>
          <w:color w:val="D74E0F"/>
          <w:sz w:val="28"/>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Heading1"/>
        <w:tabs>
          <w:tab w:val="clear" w:pos="720"/>
          <w:tab w:val="left" w:pos="360" w:leader="none"/>
        </w:tabs>
        <w:ind w:hanging="0" w:left="0"/>
        <w:rPr>
          <w:rStyle w:val="BookTitle"/>
          <w:b w:val="false"/>
          <w:bCs w:val="false"/>
          <w:i w:val="false"/>
          <w:i w:val="false"/>
          <w:iCs w:val="false"/>
          <w:spacing w:val="0"/>
        </w:rPr>
      </w:pPr>
      <w:bookmarkStart w:id="4" w:name="__RefHeading___Toc154928_4195859891"/>
      <w:bookmarkStart w:id="5" w:name="_Toc233203388"/>
      <w:bookmarkEnd w:id="4"/>
      <w:r>
        <w:rPr>
          <w:rStyle w:val="BookTitle"/>
          <w:bCs w:val="false"/>
          <w:i w:val="false"/>
          <w:iCs w:val="false"/>
          <w:spacing w:val="0"/>
        </w:rPr>
        <w:t>2.  Acronyms</w:t>
      </w:r>
      <w:bookmarkEnd w:id="5"/>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345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514"/>
        <w:gridCol w:w="3712"/>
      </w:tblGrid>
      <w:tr>
        <w:trPr>
          <w:trHeight w:val="440"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Acronym / Symbol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Definition / Meaning</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Business analyst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Change request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MSA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Master Services Agreement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OOTB</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Out of the box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PHP</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Philippine peso</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PM</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Project manager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QA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Quality assurance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SOW</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Statement of work</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UAT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User acceptance testing</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VAT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Value-added tax</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Heading1"/>
        <w:pageBreakBefore w:val="false"/>
        <w:rPr/>
      </w:pPr>
      <w:bookmarkStart w:id="6" w:name="__RefHeading___Toc154930_4195859891"/>
      <w:bookmarkEnd w:id="6"/>
      <w:r>
        <w:rPr>
          <w:rFonts w:eastAsia="Segoe UI" w:cs="Segoe UI" w:ascii="Segoe UI" w:hAnsi="Segoe UI"/>
          <w:b/>
          <w:color w:val="0F4761"/>
          <w:sz w:val="32"/>
        </w:rPr>
        <w:t>3.  About this template</w:t>
      </w:r>
    </w:p>
    <w:p>
      <w:pPr>
        <w:pStyle w:val="Normal"/>
        <w:shd w:val="clear" w:color="auto" w:fill="EAF2FB"/>
        <w:spacing w:before="0" w:after="160"/>
        <w:ind w:left="170"/>
        <w:rPr/>
      </w:pPr>
      <w:r>
        <w:rPr>
          <w:rFonts w:eastAsia="Segoe UI" w:cs="Segoe UI" w:ascii="Segoe UI" w:hAnsi="Segoe UI"/>
          <w:color w:val="101820"/>
          <w:sz w:val="20"/>
        </w:rPr>
        <w:t>Template for discussion; subject to review by the parties' legal counsel.</w:t>
      </w:r>
    </w:p>
    <w:p>
      <w:pPr>
        <w:pStyle w:val="Normal"/>
        <w:spacing w:lineRule="auto" w:line="276" w:before="0" w:after="120"/>
        <w:rPr/>
      </w:pPr>
      <w:r>
        <w:rPr>
          <w:rFonts w:eastAsia="Segoe UI" w:cs="Segoe UI" w:ascii="Segoe UI" w:hAnsi="Segoe UI"/>
          <w:color w:val="101820"/>
          <w:sz w:val="21"/>
        </w:rPr>
        <w:t xml:space="preserve">This Change Request Procedure forms part of the Master Services Agreement (the </w:t>
      </w:r>
      <w:r>
        <w:rPr>
          <w:rFonts w:eastAsia="Segoe UI" w:cs="Segoe UI" w:ascii="Segoe UI" w:hAnsi="Segoe UI"/>
          <w:b/>
          <w:color w:val="101820"/>
          <w:sz w:val="21"/>
        </w:rPr>
        <w:t>MSA</w:t>
      </w:r>
      <w:r>
        <w:rPr>
          <w:rFonts w:eastAsia="Segoe UI" w:cs="Segoe UI" w:ascii="Segoe UI" w:hAnsi="Segoe UI"/>
          <w:color w:val="101820"/>
          <w:sz w:val="21"/>
        </w:rPr>
        <w:t>) between iorta TechNXT Corp. (</w:t>
      </w:r>
      <w:r>
        <w:rPr>
          <w:rFonts w:eastAsia="Segoe UI" w:cs="Segoe UI" w:ascii="Segoe UI" w:hAnsi="Segoe UI"/>
          <w:b/>
          <w:color w:val="101820"/>
          <w:sz w:val="21"/>
        </w:rPr>
        <w:t>iorta TechNXT</w:t>
      </w:r>
      <w:r>
        <w:rPr>
          <w:rFonts w:eastAsia="Segoe UI" w:cs="Segoe UI" w:ascii="Segoe UI" w:hAnsi="Segoe UI"/>
          <w:color w:val="101820"/>
          <w:sz w:val="21"/>
        </w:rPr>
        <w:t xml:space="preserve">) and [Client legal name] (the </w:t>
      </w:r>
      <w:r>
        <w:rPr>
          <w:rFonts w:eastAsia="Segoe UI" w:cs="Segoe UI" w:ascii="Segoe UI" w:hAnsi="Segoe UI"/>
          <w:b/>
          <w:color w:val="101820"/>
          <w:sz w:val="21"/>
        </w:rPr>
        <w:t>Client</w:t>
      </w:r>
      <w:r>
        <w:rPr>
          <w:rFonts w:eastAsia="Segoe UI" w:cs="Segoe UI" w:ascii="Segoe UI" w:hAnsi="Segoe UI"/>
          <w:color w:val="101820"/>
          <w:sz w:val="21"/>
        </w:rPr>
        <w:t>) and of each Order Form. It sets how changes are requested, estimated, approved, priced, delivered and accepted. The Change Request Form is in the last chapters. Text in [square brackets] is a placeholder or an option.</w:t>
      </w:r>
      <w:r>
        <w:br w:type="page"/>
      </w:r>
    </w:p>
    <w:p>
      <w:pPr>
        <w:pStyle w:val="Heading1"/>
        <w:rPr/>
      </w:pPr>
      <w:bookmarkStart w:id="7" w:name="__RefHeading___Toc154932_4195859891"/>
      <w:bookmarkEnd w:id="7"/>
      <w:r>
        <w:rPr>
          <w:rFonts w:eastAsia="Segoe UI" w:cs="Segoe UI" w:ascii="Segoe UI" w:hAnsi="Segoe UI"/>
          <w:b/>
          <w:color w:val="0F4761"/>
          <w:sz w:val="32"/>
        </w:rPr>
        <w:t>4.  Purpose and scope</w:t>
      </w:r>
    </w:p>
    <w:p>
      <w:pPr>
        <w:pStyle w:val="Heading2"/>
        <w:rPr/>
      </w:pPr>
      <w:bookmarkStart w:id="8" w:name="__RefHeading___Toc154934_4195859891"/>
      <w:bookmarkEnd w:id="8"/>
      <w:r>
        <w:rPr>
          <w:rFonts w:eastAsia="Segoe UI" w:cs="Segoe UI"/>
          <w:b/>
          <w:color w:val="0F4761"/>
          <w:sz w:val="26"/>
        </w:rPr>
        <w:t>4.1  What is a change request</w:t>
      </w:r>
    </w:p>
    <w:p>
      <w:pPr>
        <w:pStyle w:val="Normal"/>
        <w:spacing w:lineRule="auto" w:line="276" w:before="0" w:after="120"/>
        <w:rPr/>
      </w:pPr>
      <w:r>
        <w:rPr>
          <w:rFonts w:eastAsia="Segoe UI" w:cs="Segoe UI" w:ascii="Segoe UI" w:hAnsi="Segoe UI"/>
          <w:color w:val="101820"/>
          <w:sz w:val="21"/>
        </w:rPr>
        <w:t>A change request (CR) is any request to change:</w:t>
      </w:r>
    </w:p>
    <w:p>
      <w:pPr>
        <w:pStyle w:val="Normal"/>
        <w:numPr>
          <w:ilvl w:val="0"/>
          <w:numId w:val="8"/>
        </w:numPr>
        <w:spacing w:before="0" w:after="60"/>
        <w:rPr/>
      </w:pPr>
      <w:r>
        <w:rPr>
          <w:rFonts w:eastAsia="Segoe UI" w:cs="Segoe UI" w:ascii="Segoe UI" w:hAnsi="Segoe UI"/>
          <w:color w:val="101820"/>
          <w:sz w:val="21"/>
        </w:rPr>
        <w:t>the scope, plan, size, Deliverables or timeline of an SOW, including a gap in the fit-gap register that the Client wants closed by a change rather than by configuration;</w:t>
      </w:r>
    </w:p>
    <w:p>
      <w:pPr>
        <w:pStyle w:val="Normal"/>
        <w:numPr>
          <w:ilvl w:val="0"/>
          <w:numId w:val="1"/>
        </w:numPr>
        <w:spacing w:before="0" w:after="60"/>
        <w:rPr/>
      </w:pPr>
      <w:r>
        <w:rPr>
          <w:rFonts w:eastAsia="Segoe UI" w:cs="Segoe UI" w:ascii="Segoe UI" w:hAnsi="Segoe UI"/>
          <w:color w:val="101820"/>
          <w:sz w:val="21"/>
        </w:rPr>
        <w:t>the iNXT BrokerVerse OOTB product for the Client: screens, workflows, reports, printed documents, integrations, database or jobs;</w:t>
      </w:r>
    </w:p>
    <w:p>
      <w:pPr>
        <w:pStyle w:val="Normal"/>
        <w:numPr>
          <w:ilvl w:val="0"/>
          <w:numId w:val="1"/>
        </w:numPr>
        <w:spacing w:before="0" w:after="60"/>
        <w:rPr/>
      </w:pPr>
      <w:r>
        <w:rPr>
          <w:rFonts w:eastAsia="Segoe UI" w:cs="Segoe UI" w:ascii="Segoe UI" w:hAnsi="Segoe UI"/>
          <w:color w:val="101820"/>
          <w:sz w:val="21"/>
        </w:rPr>
        <w:t>the Services of an Order Form, such as additional environments, training, data migration or integrations not already ordered.</w:t>
      </w:r>
    </w:p>
    <w:p>
      <w:pPr>
        <w:pStyle w:val="Heading2"/>
        <w:rPr/>
      </w:pPr>
      <w:bookmarkStart w:id="9" w:name="__RefHeading___Toc154936_4195859891"/>
      <w:bookmarkEnd w:id="9"/>
      <w:r>
        <w:rPr>
          <w:rFonts w:eastAsia="Segoe UI" w:cs="Segoe UI"/>
          <w:b/>
          <w:color w:val="0F4761"/>
          <w:sz w:val="26"/>
        </w:rPr>
        <w:t>4.2  What is not a change request</w:t>
      </w:r>
    </w:p>
    <w:p>
      <w:pPr>
        <w:pStyle w:val="Normal"/>
        <w:numPr>
          <w:ilvl w:val="0"/>
          <w:numId w:val="9"/>
        </w:numPr>
        <w:spacing w:before="0" w:after="60"/>
        <w:rPr/>
      </w:pPr>
      <w:r>
        <w:rPr>
          <w:rFonts w:eastAsia="Segoe UI" w:cs="Segoe UI" w:ascii="Segoe UI" w:hAnsi="Segoe UI"/>
          <w:color w:val="101820"/>
          <w:sz w:val="21"/>
        </w:rPr>
        <w:t>Configuration that the Client can make in the delivered screens and settings, or that is in the scope of the SOW.</w:t>
      </w:r>
    </w:p>
    <w:p>
      <w:pPr>
        <w:pStyle w:val="Normal"/>
        <w:numPr>
          <w:ilvl w:val="0"/>
          <w:numId w:val="10"/>
        </w:numPr>
        <w:spacing w:before="0" w:after="60"/>
        <w:rPr/>
      </w:pPr>
      <w:r>
        <w:rPr>
          <w:rFonts w:eastAsia="Segoe UI" w:cs="Segoe UI" w:ascii="Segoe UI" w:hAnsi="Segoe UI"/>
          <w:color w:val="101820"/>
          <w:sz w:val="21"/>
        </w:rPr>
        <w:t>Correction of a defect in the OOTB product, which is handled under the warranty, the AMC or the Subscription.</w:t>
      </w:r>
    </w:p>
    <w:p>
      <w:pPr>
        <w:pStyle w:val="Normal"/>
        <w:numPr>
          <w:ilvl w:val="0"/>
          <w:numId w:val="11"/>
        </w:numPr>
        <w:spacing w:before="0" w:after="60"/>
        <w:rPr/>
      </w:pPr>
      <w:r>
        <w:rPr>
          <w:rFonts w:eastAsia="Segoe UI" w:cs="Segoe UI" w:ascii="Segoe UI" w:hAnsi="Segoe UI"/>
          <w:color w:val="101820"/>
          <w:sz w:val="21"/>
        </w:rPr>
        <w:t>Questions on how to use the product, which go to the service desk.</w:t>
      </w:r>
      <w:r>
        <w:br w:type="page"/>
      </w:r>
    </w:p>
    <w:p>
      <w:pPr>
        <w:pStyle w:val="Heading1"/>
        <w:rPr/>
      </w:pPr>
      <w:bookmarkStart w:id="10" w:name="__RefHeading___Toc154938_4195859891"/>
      <w:bookmarkEnd w:id="10"/>
      <w:r>
        <w:rPr>
          <w:rFonts w:eastAsia="Segoe UI" w:cs="Segoe UI" w:ascii="Segoe UI" w:hAnsi="Segoe UI"/>
          <w:b/>
          <w:color w:val="0F4761"/>
          <w:sz w:val="32"/>
        </w:rPr>
        <w:t>5.  Roles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570"/>
        <w:gridCol w:w="1159"/>
        <w:gridCol w:w="4285"/>
      </w:tblGrid>
      <w:tr>
        <w:trPr>
          <w:tblHeader w:val="true"/>
        </w:trPr>
        <w:tc>
          <w:tcPr>
            <w:tcW w:w="357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Role</w:t>
            </w:r>
          </w:p>
        </w:tc>
        <w:tc>
          <w:tcPr>
            <w:tcW w:w="115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Party</w:t>
            </w:r>
          </w:p>
        </w:tc>
        <w:tc>
          <w:tcPr>
            <w:tcW w:w="428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Responsibility</w:t>
            </w:r>
          </w:p>
        </w:tc>
      </w:tr>
      <w:tr>
        <w:trPr/>
        <w:tc>
          <w:tcPr>
            <w:tcW w:w="35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Requester</w:t>
            </w:r>
          </w:p>
        </w:tc>
        <w:tc>
          <w:tcPr>
            <w:tcW w:w="11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w:t>
            </w:r>
          </w:p>
        </w:tc>
        <w:tc>
          <w:tcPr>
            <w:tcW w:w="42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Writes the CR with the business need and examples</w:t>
            </w:r>
          </w:p>
        </w:tc>
      </w:tr>
      <w:tr>
        <w:trPr/>
        <w:tc>
          <w:tcPr>
            <w:tcW w:w="35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 change owner</w:t>
            </w:r>
          </w:p>
        </w:tc>
        <w:tc>
          <w:tcPr>
            <w:tcW w:w="11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w:t>
            </w:r>
          </w:p>
        </w:tc>
        <w:tc>
          <w:tcPr>
            <w:tcW w:w="42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Reviews the impact assessment with the process owner and submits it for approval</w:t>
            </w:r>
          </w:p>
        </w:tc>
      </w:tr>
      <w:tr>
        <w:trPr/>
        <w:tc>
          <w:tcPr>
            <w:tcW w:w="35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 project or account manager</w:t>
            </w:r>
          </w:p>
        </w:tc>
        <w:tc>
          <w:tcPr>
            <w:tcW w:w="11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w:t>
            </w:r>
          </w:p>
        </w:tc>
        <w:tc>
          <w:tcPr>
            <w:tcW w:w="42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Logs the CR, coordinates the impact assessment and the estimate, tracks the CR to closure</w:t>
            </w:r>
          </w:p>
        </w:tc>
      </w:tr>
      <w:tr>
        <w:trPr/>
        <w:tc>
          <w:tcPr>
            <w:tcW w:w="35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Estimator</w:t>
            </w:r>
          </w:p>
        </w:tc>
        <w:tc>
          <w:tcPr>
            <w:tcW w:w="11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w:t>
            </w:r>
          </w:p>
        </w:tc>
        <w:tc>
          <w:tcPr>
            <w:tcW w:w="42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Business analyst and lead developer who estimate the effort</w:t>
            </w:r>
          </w:p>
        </w:tc>
      </w:tr>
      <w:tr>
        <w:trPr/>
        <w:tc>
          <w:tcPr>
            <w:tcW w:w="35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Approver</w:t>
            </w:r>
          </w:p>
        </w:tc>
        <w:tc>
          <w:tcPr>
            <w:tcW w:w="11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w:t>
            </w:r>
          </w:p>
        </w:tc>
        <w:tc>
          <w:tcPr>
            <w:tcW w:w="42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Approves by band, as set in the Approval chapter</w:t>
            </w:r>
          </w:p>
        </w:tc>
      </w:tr>
      <w:tr>
        <w:trPr/>
        <w:tc>
          <w:tcPr>
            <w:tcW w:w="35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Steering committee</w:t>
            </w:r>
          </w:p>
        </w:tc>
        <w:tc>
          <w:tcPr>
            <w:tcW w:w="11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Both</w:t>
            </w:r>
          </w:p>
        </w:tc>
        <w:tc>
          <w:tcPr>
            <w:tcW w:w="42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Approves Large CRs and any CR that affects the go-live date</w:t>
            </w:r>
          </w:p>
        </w:tc>
      </w:tr>
    </w:tbl>
    <w:p>
      <w:pPr>
        <w:pStyle w:val="Normal"/>
        <w:spacing w:before="0" w:after="80"/>
        <w:rPr/>
      </w:pPr>
      <w:r>
        <w:rPr/>
      </w:r>
      <w:r>
        <w:br w:type="page"/>
      </w:r>
    </w:p>
    <w:p>
      <w:pPr>
        <w:pStyle w:val="Heading1"/>
        <w:rPr/>
      </w:pPr>
      <w:bookmarkStart w:id="11" w:name="__RefHeading___Toc154940_4195859891"/>
      <w:bookmarkEnd w:id="11"/>
      <w:r>
        <w:rPr>
          <w:rFonts w:eastAsia="Segoe UI" w:cs="Segoe UI" w:ascii="Segoe UI" w:hAnsi="Segoe UI"/>
          <w:b/>
          <w:color w:val="0F4761"/>
          <w:sz w:val="32"/>
        </w:rPr>
        <w:t>6.  Procedure</w:t>
      </w:r>
    </w:p>
    <w:p>
      <w:pPr>
        <w:pStyle w:val="Normal"/>
        <w:numPr>
          <w:ilvl w:val="0"/>
          <w:numId w:val="12"/>
        </w:numPr>
        <w:spacing w:before="0" w:after="60"/>
        <w:rPr/>
      </w:pPr>
      <w:r>
        <w:rPr>
          <w:rFonts w:eastAsia="Segoe UI" w:cs="Segoe UI" w:ascii="Segoe UI" w:hAnsi="Segoe UI"/>
          <w:b/>
          <w:color w:val="101820"/>
          <w:sz w:val="21"/>
        </w:rPr>
        <w:t>Request.</w:t>
      </w:r>
      <w:r>
        <w:rPr>
          <w:rFonts w:eastAsia="Segoe UI" w:cs="Segoe UI" w:ascii="Segoe UI" w:hAnsi="Segoe UI"/>
          <w:color w:val="101820"/>
          <w:sz w:val="21"/>
        </w:rPr>
        <w:t xml:space="preserve"> The requester completes Part A of the Change Request Form and sends it to the iorta TechNXT project or account manager.</w:t>
      </w:r>
    </w:p>
    <w:p>
      <w:pPr>
        <w:pStyle w:val="Normal"/>
        <w:numPr>
          <w:ilvl w:val="0"/>
          <w:numId w:val="13"/>
        </w:numPr>
        <w:spacing w:before="0" w:after="60"/>
        <w:rPr/>
      </w:pPr>
      <w:r>
        <w:rPr>
          <w:rFonts w:eastAsia="Segoe UI" w:cs="Segoe UI" w:ascii="Segoe UI" w:hAnsi="Segoe UI"/>
          <w:b/>
          <w:color w:val="101820"/>
          <w:sz w:val="21"/>
        </w:rPr>
        <w:t>Log.</w:t>
      </w:r>
      <w:r>
        <w:rPr>
          <w:rFonts w:eastAsia="Segoe UI" w:cs="Segoe UI" w:ascii="Segoe UI" w:hAnsi="Segoe UI"/>
          <w:color w:val="101820"/>
          <w:sz w:val="21"/>
        </w:rPr>
        <w:t xml:space="preserve"> iorta TechNXT logs the CR with a number and acknowledges it within 2 Business Days.</w:t>
      </w:r>
    </w:p>
    <w:p>
      <w:pPr>
        <w:pStyle w:val="Normal"/>
        <w:numPr>
          <w:ilvl w:val="0"/>
          <w:numId w:val="14"/>
        </w:numPr>
        <w:spacing w:before="0" w:after="60"/>
        <w:rPr/>
      </w:pPr>
      <w:r>
        <w:rPr>
          <w:rFonts w:eastAsia="Segoe UI" w:cs="Segoe UI" w:ascii="Segoe UI" w:hAnsi="Segoe UI"/>
          <w:b/>
          <w:color w:val="101820"/>
          <w:sz w:val="21"/>
        </w:rPr>
        <w:t>Impact assessment.</w:t>
      </w:r>
      <w:r>
        <w:rPr>
          <w:rFonts w:eastAsia="Segoe UI" w:cs="Segoe UI" w:ascii="Segoe UI" w:hAnsi="Segoe UI"/>
          <w:color w:val="101820"/>
          <w:sz w:val="21"/>
        </w:rPr>
        <w:t xml:space="preserve"> iorta TechNXT returns Parts B and C (impact and estimate) within 5 Business Days for a Small CR and within 10 Business Days for a Medium or Large CR. The assessment states whether the need can be met by configuration instead.</w:t>
      </w:r>
    </w:p>
    <w:p>
      <w:pPr>
        <w:pStyle w:val="Normal"/>
        <w:numPr>
          <w:ilvl w:val="0"/>
          <w:numId w:val="15"/>
        </w:numPr>
        <w:spacing w:before="0" w:after="60"/>
        <w:rPr/>
      </w:pPr>
      <w:r>
        <w:rPr>
          <w:rFonts w:eastAsia="Segoe UI" w:cs="Segoe UI" w:ascii="Segoe UI" w:hAnsi="Segoe UI"/>
          <w:b/>
          <w:color w:val="101820"/>
          <w:sz w:val="21"/>
        </w:rPr>
        <w:t>Clarification.</w:t>
      </w:r>
      <w:r>
        <w:rPr>
          <w:rFonts w:eastAsia="Segoe UI" w:cs="Segoe UI" w:ascii="Segoe UI" w:hAnsi="Segoe UI"/>
          <w:color w:val="101820"/>
          <w:sz w:val="21"/>
        </w:rPr>
        <w:t xml:space="preserve"> If more information is needed, the clock stops until the Client provides it.</w:t>
      </w:r>
    </w:p>
    <w:p>
      <w:pPr>
        <w:pStyle w:val="Normal"/>
        <w:numPr>
          <w:ilvl w:val="0"/>
          <w:numId w:val="16"/>
        </w:numPr>
        <w:spacing w:before="0" w:after="60"/>
        <w:rPr/>
      </w:pPr>
      <w:r>
        <w:rPr>
          <w:rFonts w:eastAsia="Segoe UI" w:cs="Segoe UI" w:ascii="Segoe UI" w:hAnsi="Segoe UI"/>
          <w:b/>
          <w:color w:val="101820"/>
          <w:sz w:val="21"/>
        </w:rPr>
        <w:t>Review.</w:t>
      </w:r>
      <w:r>
        <w:rPr>
          <w:rFonts w:eastAsia="Segoe UI" w:cs="Segoe UI" w:ascii="Segoe UI" w:hAnsi="Segoe UI"/>
          <w:color w:val="101820"/>
          <w:sz w:val="21"/>
        </w:rPr>
        <w:t xml:space="preserve"> The Client change owner reviews the assessment with the process owner.</w:t>
      </w:r>
    </w:p>
    <w:p>
      <w:pPr>
        <w:pStyle w:val="Normal"/>
        <w:numPr>
          <w:ilvl w:val="0"/>
          <w:numId w:val="17"/>
        </w:numPr>
        <w:spacing w:before="0" w:after="60"/>
        <w:rPr/>
      </w:pPr>
      <w:r>
        <w:rPr>
          <w:rFonts w:eastAsia="Segoe UI" w:cs="Segoe UI" w:ascii="Segoe UI" w:hAnsi="Segoe UI"/>
          <w:b/>
          <w:color w:val="101820"/>
          <w:sz w:val="21"/>
        </w:rPr>
        <w:t>Approval.</w:t>
      </w:r>
      <w:r>
        <w:rPr>
          <w:rFonts w:eastAsia="Segoe UI" w:cs="Segoe UI" w:ascii="Segoe UI" w:hAnsi="Segoe UI"/>
          <w:color w:val="101820"/>
          <w:sz w:val="21"/>
        </w:rPr>
        <w:t xml:space="preserve"> The approver of the band signs Part D, or rejects or defers the CR with the reason. Approval of the price is required before work starts.</w:t>
      </w:r>
    </w:p>
    <w:p>
      <w:pPr>
        <w:pStyle w:val="Normal"/>
        <w:numPr>
          <w:ilvl w:val="0"/>
          <w:numId w:val="18"/>
        </w:numPr>
        <w:spacing w:before="0" w:after="60"/>
        <w:rPr/>
      </w:pPr>
      <w:r>
        <w:rPr>
          <w:rFonts w:eastAsia="Segoe UI" w:cs="Segoe UI" w:ascii="Segoe UI" w:hAnsi="Segoe UI"/>
          <w:b/>
          <w:color w:val="101820"/>
          <w:sz w:val="21"/>
        </w:rPr>
        <w:t>Plan.</w:t>
      </w:r>
      <w:r>
        <w:rPr>
          <w:rFonts w:eastAsia="Segoe UI" w:cs="Segoe UI" w:ascii="Segoe UI" w:hAnsi="Segoe UI"/>
          <w:color w:val="101820"/>
          <w:sz w:val="21"/>
        </w:rPr>
        <w:t xml:space="preserve"> The approved CR is added to the plan and the RAID log, with its delivery date.</w:t>
      </w:r>
    </w:p>
    <w:p>
      <w:pPr>
        <w:pStyle w:val="Normal"/>
        <w:numPr>
          <w:ilvl w:val="0"/>
          <w:numId w:val="19"/>
        </w:numPr>
        <w:spacing w:before="0" w:after="60"/>
        <w:rPr/>
      </w:pPr>
      <w:r>
        <w:rPr>
          <w:rFonts w:eastAsia="Segoe UI" w:cs="Segoe UI" w:ascii="Segoe UI" w:hAnsi="Segoe UI"/>
          <w:b/>
          <w:color w:val="101820"/>
          <w:sz w:val="21"/>
        </w:rPr>
        <w:t>Build and test.</w:t>
      </w:r>
      <w:r>
        <w:rPr>
          <w:rFonts w:eastAsia="Segoe UI" w:cs="Segoe UI" w:ascii="Segoe UI" w:hAnsi="Segoe UI"/>
          <w:color w:val="101820"/>
          <w:sz w:val="21"/>
        </w:rPr>
        <w:t xml:space="preserve"> iorta TechNXT builds and tests the change in the test environment under its code fix and regression testing standards.</w:t>
      </w:r>
    </w:p>
    <w:p>
      <w:pPr>
        <w:pStyle w:val="Normal"/>
        <w:numPr>
          <w:ilvl w:val="0"/>
          <w:numId w:val="20"/>
        </w:numPr>
        <w:spacing w:before="0" w:after="60"/>
        <w:rPr/>
      </w:pPr>
      <w:r>
        <w:rPr>
          <w:rFonts w:eastAsia="Segoe UI" w:cs="Segoe UI" w:ascii="Segoe UI" w:hAnsi="Segoe UI"/>
          <w:b/>
          <w:color w:val="101820"/>
          <w:sz w:val="21"/>
        </w:rPr>
        <w:t>UAT and acceptance.</w:t>
      </w:r>
      <w:r>
        <w:rPr>
          <w:rFonts w:eastAsia="Segoe UI" w:cs="Segoe UI" w:ascii="Segoe UI" w:hAnsi="Segoe UI"/>
          <w:color w:val="101820"/>
          <w:sz w:val="21"/>
        </w:rPr>
        <w:t xml:space="preserve"> The Client tests the change in UAT and accepts it in Part E within 5 Business Days of delivery to UAT. Deemed acceptance applies as in the SOW.</w:t>
      </w:r>
    </w:p>
    <w:p>
      <w:pPr>
        <w:pStyle w:val="Normal"/>
        <w:numPr>
          <w:ilvl w:val="0"/>
          <w:numId w:val="21"/>
        </w:numPr>
        <w:spacing w:before="0" w:after="60"/>
        <w:rPr/>
      </w:pPr>
      <w:r>
        <w:rPr>
          <w:rFonts w:eastAsia="Segoe UI" w:cs="Segoe UI" w:ascii="Segoe UI" w:hAnsi="Segoe UI"/>
          <w:b/>
          <w:color w:val="101820"/>
          <w:sz w:val="21"/>
        </w:rPr>
        <w:t>Deploy.</w:t>
      </w:r>
      <w:r>
        <w:rPr>
          <w:rFonts w:eastAsia="Segoe UI" w:cs="Segoe UI" w:ascii="Segoe UI" w:hAnsi="Segoe UI"/>
          <w:color w:val="101820"/>
          <w:sz w:val="21"/>
        </w:rPr>
        <w:t xml:space="preserve"> The change is deployed to production under the release process of the Annual Maintenance and Support Agreement.</w:t>
      </w:r>
    </w:p>
    <w:p>
      <w:pPr>
        <w:pStyle w:val="Normal"/>
        <w:numPr>
          <w:ilvl w:val="0"/>
          <w:numId w:val="22"/>
        </w:numPr>
        <w:spacing w:before="0" w:after="60"/>
        <w:rPr/>
      </w:pPr>
      <w:r>
        <w:rPr>
          <w:rFonts w:eastAsia="Segoe UI" w:cs="Segoe UI" w:ascii="Segoe UI" w:hAnsi="Segoe UI"/>
          <w:b/>
          <w:color w:val="101820"/>
          <w:sz w:val="21"/>
        </w:rPr>
        <w:t>Close.</w:t>
      </w:r>
      <w:r>
        <w:rPr>
          <w:rFonts w:eastAsia="Segoe UI" w:cs="Segoe UI" w:ascii="Segoe UI" w:hAnsi="Segoe UI"/>
          <w:color w:val="101820"/>
          <w:sz w:val="21"/>
        </w:rPr>
        <w:t xml:space="preserve"> iorta TechNXT closes the CR in the log. Rejected and deferred CRs stay in the log with the reason.</w:t>
      </w:r>
    </w:p>
    <w:p>
      <w:pPr>
        <w:pStyle w:val="Normal"/>
        <w:spacing w:lineRule="auto" w:line="276" w:before="0" w:after="120"/>
        <w:rPr/>
      </w:pPr>
      <w:r>
        <w:rPr>
          <w:rFonts w:eastAsia="Segoe UI" w:cs="Segoe UI" w:ascii="Segoe UI" w:hAnsi="Segoe UI"/>
          <w:color w:val="101820"/>
          <w:sz w:val="21"/>
        </w:rPr>
        <w:t>An impact assessment that takes more than 2 man-days of analysis (for example for a Large CR) may itself be charged as a Small CR, if the Client agrees in advance.</w:t>
      </w:r>
      <w:r>
        <w:br w:type="page"/>
      </w:r>
    </w:p>
    <w:p>
      <w:pPr>
        <w:pStyle w:val="Heading1"/>
        <w:rPr/>
      </w:pPr>
      <w:bookmarkStart w:id="12" w:name="__RefHeading___Toc154942_4195859891"/>
      <w:bookmarkEnd w:id="12"/>
      <w:r>
        <w:rPr>
          <w:rFonts w:eastAsia="Segoe UI" w:cs="Segoe UI" w:ascii="Segoe UI" w:hAnsi="Segoe UI"/>
          <w:b/>
          <w:color w:val="0F4761"/>
          <w:sz w:val="32"/>
        </w:rPr>
        <w:t>7.  Estimation</w:t>
      </w:r>
    </w:p>
    <w:p>
      <w:pPr>
        <w:pStyle w:val="Heading2"/>
        <w:rPr/>
      </w:pPr>
      <w:bookmarkStart w:id="13" w:name="__RefHeading___Toc154944_4195859891"/>
      <w:bookmarkEnd w:id="13"/>
      <w:r>
        <w:rPr>
          <w:rFonts w:eastAsia="Segoe UI" w:cs="Segoe UI"/>
          <w:b/>
          <w:color w:val="0F4761"/>
          <w:sz w:val="26"/>
        </w:rPr>
        <w:t>7.1  Day rates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05"/>
        <w:gridCol w:w="5808"/>
      </w:tblGrid>
      <w:tr>
        <w:trPr>
          <w:tblHeader w:val="true"/>
        </w:trPr>
        <w:tc>
          <w:tcPr>
            <w:tcW w:w="32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Role</w:t>
            </w:r>
          </w:p>
        </w:tc>
        <w:tc>
          <w:tcPr>
            <w:tcW w:w="580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Day rate (PHP, excluding VAT)</w:t>
            </w:r>
          </w:p>
        </w:tc>
      </w:tr>
      <w:tr>
        <w:trPr/>
        <w:tc>
          <w:tcPr>
            <w:tcW w:w="32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Business analyst</w:t>
            </w:r>
          </w:p>
        </w:tc>
        <w:tc>
          <w:tcPr>
            <w:tcW w:w="58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18,000.00</w:t>
            </w:r>
          </w:p>
        </w:tc>
      </w:tr>
      <w:tr>
        <w:trPr/>
        <w:tc>
          <w:tcPr>
            <w:tcW w:w="32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Developer</w:t>
            </w:r>
          </w:p>
        </w:tc>
        <w:tc>
          <w:tcPr>
            <w:tcW w:w="58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16,000.00</w:t>
            </w:r>
          </w:p>
        </w:tc>
      </w:tr>
      <w:tr>
        <w:trPr/>
        <w:tc>
          <w:tcPr>
            <w:tcW w:w="32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QA engineer</w:t>
            </w:r>
          </w:p>
        </w:tc>
        <w:tc>
          <w:tcPr>
            <w:tcW w:w="58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12,000.00</w:t>
            </w:r>
          </w:p>
        </w:tc>
      </w:tr>
      <w:tr>
        <w:trPr/>
        <w:tc>
          <w:tcPr>
            <w:tcW w:w="32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Project manager</w:t>
            </w:r>
          </w:p>
        </w:tc>
        <w:tc>
          <w:tcPr>
            <w:tcW w:w="58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22,000.00</w:t>
            </w:r>
          </w:p>
        </w:tc>
      </w:tr>
      <w:tr>
        <w:trPr/>
        <w:tc>
          <w:tcPr>
            <w:tcW w:w="32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Blended rate</w:t>
            </w:r>
          </w:p>
        </w:tc>
        <w:tc>
          <w:tcPr>
            <w:tcW w:w="58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16,100.00</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A man-day is 8 hours. Day rates are fixed for 12 months from the date of the Order Form and may then be reviewed once a year with 60 days' written notice. The rates of the signed Order Form prevail over this table. The same rates, with the optional services, are listed in the Service Catalogue and Rate Annex.</w:t>
      </w:r>
    </w:p>
    <w:p>
      <w:pPr>
        <w:pStyle w:val="Heading2"/>
        <w:rPr/>
      </w:pPr>
      <w:bookmarkStart w:id="14" w:name="__RefHeading___Toc154946_4195859891"/>
      <w:bookmarkEnd w:id="14"/>
      <w:r>
        <w:rPr>
          <w:rFonts w:eastAsia="Segoe UI" w:cs="Segoe UI"/>
          <w:b/>
          <w:color w:val="0F4761"/>
          <w:sz w:val="26"/>
        </w:rPr>
        <w:t>7.2  Estimation method</w:t>
      </w:r>
    </w:p>
    <w:p>
      <w:pPr>
        <w:pStyle w:val="Normal"/>
        <w:numPr>
          <w:ilvl w:val="0"/>
          <w:numId w:val="23"/>
        </w:numPr>
        <w:spacing w:before="0" w:after="60"/>
        <w:rPr/>
      </w:pPr>
      <w:r>
        <w:rPr>
          <w:rFonts w:eastAsia="Segoe UI" w:cs="Segoe UI" w:ascii="Segoe UI" w:hAnsi="Segoe UI"/>
          <w:color w:val="101820"/>
          <w:sz w:val="21"/>
        </w:rPr>
        <w:t>The developer man-days are estimated from the screens, APIs, reports, database changes and jobs affected.</w:t>
      </w:r>
    </w:p>
    <w:p>
      <w:pPr>
        <w:pStyle w:val="Normal"/>
        <w:numPr>
          <w:ilvl w:val="0"/>
          <w:numId w:val="24"/>
        </w:numPr>
        <w:spacing w:before="0" w:after="60"/>
        <w:rPr/>
      </w:pPr>
      <w:r>
        <w:rPr>
          <w:rFonts w:eastAsia="Segoe UI" w:cs="Segoe UI" w:ascii="Segoe UI" w:hAnsi="Segoe UI"/>
          <w:color w:val="101820"/>
          <w:sz w:val="21"/>
        </w:rPr>
        <w:t>Business analysis is 30% of development; testing is 40% of development; project management is 10% of analysis, development and testing; contingency is 10% of the total. Each line rounds up to the half day.</w:t>
      </w:r>
    </w:p>
    <w:p>
      <w:pPr>
        <w:pStyle w:val="Normal"/>
        <w:numPr>
          <w:ilvl w:val="0"/>
          <w:numId w:val="25"/>
        </w:numPr>
        <w:spacing w:before="0" w:after="60"/>
        <w:rPr/>
      </w:pPr>
      <w:r>
        <w:rPr>
          <w:rFonts w:eastAsia="Segoe UI" w:cs="Segoe UI" w:ascii="Segoe UI" w:hAnsi="Segoe UI"/>
          <w:color w:val="101820"/>
          <w:sz w:val="21"/>
        </w:rPr>
        <w:t>The price is the man-days of each role times the role's day rate, and the contingency at the blended rate.</w:t>
      </w:r>
    </w:p>
    <w:p>
      <w:pPr>
        <w:pStyle w:val="Normal"/>
        <w:numPr>
          <w:ilvl w:val="0"/>
          <w:numId w:val="26"/>
        </w:numPr>
        <w:spacing w:before="0" w:after="60"/>
        <w:rPr/>
      </w:pPr>
      <w:r>
        <w:rPr>
          <w:rFonts w:eastAsia="Segoe UI" w:cs="Segoe UI" w:ascii="Segoe UI" w:hAnsi="Segoe UI"/>
          <w:color w:val="101820"/>
          <w:sz w:val="21"/>
        </w:rPr>
        <w:t>The estimate is a fixed price for the described change unless Part C states it is on time and materials with a cap.</w:t>
      </w:r>
    </w:p>
    <w:p>
      <w:pPr>
        <w:pStyle w:val="Heading2"/>
        <w:rPr/>
      </w:pPr>
      <w:bookmarkStart w:id="15" w:name="__RefHeading___Toc154948_4195859891"/>
      <w:bookmarkEnd w:id="15"/>
      <w:r>
        <w:rPr>
          <w:rFonts w:eastAsia="Segoe UI" w:cs="Segoe UI"/>
          <w:b/>
          <w:color w:val="0F4761"/>
          <w:sz w:val="26"/>
        </w:rPr>
        <w:t>7.3  Estimation bands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1126"/>
        <w:gridCol w:w="2829"/>
        <w:gridCol w:w="2661"/>
        <w:gridCol w:w="1492"/>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Band</w:t>
            </w:r>
          </w:p>
        </w:tc>
        <w:tc>
          <w:tcPr>
            <w:tcW w:w="112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Total man-days</w:t>
            </w:r>
          </w:p>
        </w:tc>
        <w:tc>
          <w:tcPr>
            <w:tcW w:w="282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Indicative price range (PHP, blended)</w:t>
            </w:r>
          </w:p>
        </w:tc>
        <w:tc>
          <w:tcPr>
            <w:tcW w:w="266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Example</w:t>
            </w:r>
          </w:p>
        </w:tc>
        <w:tc>
          <w:tcPr>
            <w:tcW w:w="149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Example price (PHP)</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Small</w:t>
            </w:r>
          </w:p>
        </w:tc>
        <w:tc>
          <w:tcPr>
            <w:tcW w:w="11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0.5 to 5</w:t>
            </w:r>
          </w:p>
        </w:tc>
        <w:tc>
          <w:tcPr>
            <w:tcW w:w="28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8,050.00 to 80,500.00</w:t>
            </w:r>
          </w:p>
        </w:tc>
        <w:tc>
          <w:tcPr>
            <w:tcW w:w="26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 developer days, 5 days in total</w:t>
            </w:r>
          </w:p>
        </w:tc>
        <w:tc>
          <w:tcPr>
            <w:tcW w:w="14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81,050.00</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Medium</w:t>
            </w:r>
          </w:p>
        </w:tc>
        <w:tc>
          <w:tcPr>
            <w:tcW w:w="11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5.5 to 20</w:t>
            </w:r>
          </w:p>
        </w:tc>
        <w:tc>
          <w:tcPr>
            <w:tcW w:w="28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88,550.00 to 322,000.00</w:t>
            </w:r>
          </w:p>
        </w:tc>
        <w:tc>
          <w:tcPr>
            <w:tcW w:w="26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 developer days, 16 days in total</w:t>
            </w:r>
          </w:p>
        </w:tc>
        <w:tc>
          <w:tcPr>
            <w:tcW w:w="14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250,150.00</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Large</w:t>
            </w:r>
          </w:p>
        </w:tc>
        <w:tc>
          <w:tcPr>
            <w:tcW w:w="11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20.5 to 60</w:t>
            </w:r>
          </w:p>
        </w:tc>
        <w:tc>
          <w:tcPr>
            <w:tcW w:w="28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330,050.00 to 966,000.00</w:t>
            </w:r>
          </w:p>
        </w:tc>
        <w:tc>
          <w:tcPr>
            <w:tcW w:w="26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20 developer days, 42 days in total</w:t>
            </w:r>
          </w:p>
        </w:tc>
        <w:tc>
          <w:tcPr>
            <w:tcW w:w="14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665,400.00</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Project</w:t>
            </w:r>
          </w:p>
        </w:tc>
        <w:tc>
          <w:tcPr>
            <w:tcW w:w="11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Above 60</w:t>
            </w:r>
          </w:p>
        </w:tc>
        <w:tc>
          <w:tcPr>
            <w:tcW w:w="28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Separate SOW</w:t>
            </w:r>
          </w:p>
        </w:tc>
        <w:tc>
          <w:tcPr>
            <w:tcW w:w="26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 applicable</w:t>
            </w:r>
          </w:p>
        </w:tc>
        <w:tc>
          <w:tcPr>
            <w:tcW w:w="14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 applicable</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Examples of each band: Small, a new report column or filter, document template wording, a new validation or field; Medium, a new report, letter or statement, a change to a commission or tax computation, a new upload template; Large, a new screen set, a new insurer or bank integration, a new workflow with approvals.</w:t>
      </w:r>
      <w:r>
        <w:br w:type="page"/>
      </w:r>
    </w:p>
    <w:p>
      <w:pPr>
        <w:pStyle w:val="Heading1"/>
        <w:rPr/>
      </w:pPr>
      <w:bookmarkStart w:id="16" w:name="__RefHeading___Toc154950_4195859891"/>
      <w:bookmarkEnd w:id="16"/>
      <w:r>
        <w:rPr>
          <w:rFonts w:eastAsia="Segoe UI" w:cs="Segoe UI" w:ascii="Segoe UI" w:hAnsi="Segoe UI"/>
          <w:b/>
          <w:color w:val="0F4761"/>
          <w:sz w:val="32"/>
        </w:rPr>
        <w:t>8.  Approval</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62"/>
        <w:gridCol w:w="3938"/>
        <w:gridCol w:w="2714"/>
      </w:tblGrid>
      <w:tr>
        <w:trPr>
          <w:tblHeader w:val="true"/>
        </w:trPr>
        <w:tc>
          <w:tcPr>
            <w:tcW w:w="236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Band</w:t>
            </w:r>
          </w:p>
        </w:tc>
        <w:tc>
          <w:tcPr>
            <w:tcW w:w="393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Client approver</w:t>
            </w:r>
          </w:p>
        </w:tc>
        <w:tc>
          <w:tcPr>
            <w:tcW w:w="271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iorta TechNXT approver</w:t>
            </w:r>
          </w:p>
        </w:tc>
      </w:tr>
      <w:tr>
        <w:trPr/>
        <w:tc>
          <w:tcPr>
            <w:tcW w:w="2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Small</w:t>
            </w:r>
          </w:p>
        </w:tc>
        <w:tc>
          <w:tcPr>
            <w:tcW w:w="39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 IT or operations head</w:t>
            </w:r>
          </w:p>
        </w:tc>
        <w:tc>
          <w:tcPr>
            <w:tcW w:w="271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Project or account manager</w:t>
            </w:r>
          </w:p>
        </w:tc>
      </w:tr>
      <w:tr>
        <w:trPr/>
        <w:tc>
          <w:tcPr>
            <w:tcW w:w="2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Medium</w:t>
            </w:r>
          </w:p>
        </w:tc>
        <w:tc>
          <w:tcPr>
            <w:tcW w:w="39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 sponsor</w:t>
            </w:r>
          </w:p>
        </w:tc>
        <w:tc>
          <w:tcPr>
            <w:tcW w:w="271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Head of delivery</w:t>
            </w:r>
          </w:p>
        </w:tc>
      </w:tr>
      <w:tr>
        <w:trPr/>
        <w:tc>
          <w:tcPr>
            <w:tcW w:w="2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Large</w:t>
            </w:r>
          </w:p>
        </w:tc>
        <w:tc>
          <w:tcPr>
            <w:tcW w:w="39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Steering committee</w:t>
            </w:r>
          </w:p>
        </w:tc>
        <w:tc>
          <w:tcPr>
            <w:tcW w:w="271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Head of delivery and sales head</w:t>
            </w:r>
          </w:p>
        </w:tc>
      </w:tr>
      <w:tr>
        <w:trPr/>
        <w:tc>
          <w:tcPr>
            <w:tcW w:w="2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Project (above 60 man-days)</w:t>
            </w:r>
          </w:p>
        </w:tc>
        <w:tc>
          <w:tcPr>
            <w:tcW w:w="39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Separate SOW signed by authorised signatories</w:t>
            </w:r>
          </w:p>
        </w:tc>
        <w:tc>
          <w:tcPr>
            <w:tcW w:w="271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Authorised signatory</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Any CR that moves the go-live date or the total fees of an Order Form by more than [10%] needs the written approval of the Client sponsor and the steering committee, whatever its band.</w:t>
      </w:r>
      <w:r>
        <w:br w:type="page"/>
      </w:r>
    </w:p>
    <w:p>
      <w:pPr>
        <w:pStyle w:val="Heading1"/>
        <w:rPr/>
      </w:pPr>
      <w:bookmarkStart w:id="17" w:name="__RefHeading___Toc154952_4195859891"/>
      <w:bookmarkEnd w:id="17"/>
      <w:r>
        <w:rPr>
          <w:rFonts w:eastAsia="Segoe UI" w:cs="Segoe UI" w:ascii="Segoe UI" w:hAnsi="Segoe UI"/>
          <w:b/>
          <w:color w:val="0F4761"/>
          <w:sz w:val="32"/>
        </w:rPr>
        <w:t>9.  Impact on timeline and fees</w:t>
      </w:r>
    </w:p>
    <w:p>
      <w:pPr>
        <w:pStyle w:val="Normal"/>
        <w:numPr>
          <w:ilvl w:val="0"/>
          <w:numId w:val="27"/>
        </w:numPr>
        <w:spacing w:before="0" w:after="60"/>
        <w:rPr/>
      </w:pPr>
      <w:r>
        <w:rPr>
          <w:rFonts w:eastAsia="Segoe UI" w:cs="Segoe UI" w:ascii="Segoe UI" w:hAnsi="Segoe UI"/>
          <w:color w:val="101820"/>
          <w:sz w:val="21"/>
        </w:rPr>
        <w:t>The impact assessment states the effect of the CR on: the plan and the go-live date; other Deliverables; the fees; the recurring fees (for example a new environment or a new integration that needs monitoring); support.</w:t>
      </w:r>
    </w:p>
    <w:p>
      <w:pPr>
        <w:pStyle w:val="Normal"/>
        <w:numPr>
          <w:ilvl w:val="0"/>
          <w:numId w:val="28"/>
        </w:numPr>
        <w:spacing w:before="0" w:after="60"/>
        <w:rPr/>
      </w:pPr>
      <w:r>
        <w:rPr>
          <w:rFonts w:eastAsia="Segoe UI" w:cs="Segoe UI" w:ascii="Segoe UI" w:hAnsi="Segoe UI"/>
          <w:color w:val="101820"/>
          <w:sz w:val="21"/>
        </w:rPr>
        <w:t>An approved CR changes the plan and the fees of the Order Form from its approval date. The Order Form is not otherwise amended.</w:t>
      </w:r>
    </w:p>
    <w:p>
      <w:pPr>
        <w:pStyle w:val="Normal"/>
        <w:numPr>
          <w:ilvl w:val="0"/>
          <w:numId w:val="29"/>
        </w:numPr>
        <w:spacing w:before="0" w:after="60"/>
        <w:rPr/>
      </w:pPr>
      <w:r>
        <w:rPr>
          <w:rFonts w:eastAsia="Segoe UI" w:cs="Segoe UI" w:ascii="Segoe UI" w:hAnsi="Segoe UI"/>
          <w:color w:val="101820"/>
          <w:sz w:val="21"/>
        </w:rPr>
        <w:t>CRs approved during the implementation may be scheduled after go-live so that the OOTB go-live date holds. The steering committee decides.</w:t>
      </w:r>
    </w:p>
    <w:p>
      <w:pPr>
        <w:pStyle w:val="Normal"/>
        <w:numPr>
          <w:ilvl w:val="0"/>
          <w:numId w:val="30"/>
        </w:numPr>
        <w:spacing w:before="0" w:after="60"/>
        <w:rPr/>
      </w:pPr>
      <w:r>
        <w:rPr>
          <w:rFonts w:eastAsia="Segoe UI" w:cs="Segoe UI" w:ascii="Segoe UI" w:hAnsi="Segoe UI"/>
          <w:color w:val="101820"/>
          <w:sz w:val="21"/>
        </w:rPr>
        <w:t>Delay caused by a CR that the Client approves is not a delay attributable to iorta TechNXT.</w:t>
      </w:r>
      <w:r>
        <w:br w:type="page"/>
      </w:r>
    </w:p>
    <w:p>
      <w:pPr>
        <w:pStyle w:val="Heading1"/>
        <w:rPr/>
      </w:pPr>
      <w:bookmarkStart w:id="18" w:name="__RefHeading___Toc154954_4195859891"/>
      <w:bookmarkEnd w:id="18"/>
      <w:r>
        <w:rPr>
          <w:rFonts w:eastAsia="Segoe UI" w:cs="Segoe UI" w:ascii="Segoe UI" w:hAnsi="Segoe UI"/>
          <w:b/>
          <w:color w:val="0F4761"/>
          <w:sz w:val="32"/>
        </w:rPr>
        <w:t>10.  Payment</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458"/>
        <w:gridCol w:w="6555"/>
      </w:tblGrid>
      <w:tr>
        <w:trPr>
          <w:tblHeader w:val="true"/>
        </w:trPr>
        <w:tc>
          <w:tcPr>
            <w:tcW w:w="245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Band</w:t>
            </w:r>
          </w:p>
        </w:tc>
        <w:tc>
          <w:tcPr>
            <w:tcW w:w="655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Payment terms</w:t>
            </w:r>
          </w:p>
        </w:tc>
      </w:tr>
      <w:tr>
        <w:trPr/>
        <w:tc>
          <w:tcPr>
            <w:tcW w:w="24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Small</w:t>
            </w:r>
          </w:p>
        </w:tc>
        <w:tc>
          <w:tcPr>
            <w:tcW w:w="65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100% on delivery to production</w:t>
            </w:r>
          </w:p>
        </w:tc>
      </w:tr>
      <w:tr>
        <w:trPr/>
        <w:tc>
          <w:tcPr>
            <w:tcW w:w="24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Medium</w:t>
            </w:r>
          </w:p>
        </w:tc>
        <w:tc>
          <w:tcPr>
            <w:tcW w:w="65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50% on approval, 50% on UAT sign-off</w:t>
            </w:r>
          </w:p>
        </w:tc>
      </w:tr>
      <w:tr>
        <w:trPr/>
        <w:tc>
          <w:tcPr>
            <w:tcW w:w="24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Large</w:t>
            </w:r>
          </w:p>
        </w:tc>
        <w:tc>
          <w:tcPr>
            <w:tcW w:w="65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30% on approval, 50% on UAT sign-off, 20% on deployment to production</w:t>
            </w:r>
          </w:p>
        </w:tc>
      </w:tr>
      <w:tr>
        <w:trPr/>
        <w:tc>
          <w:tcPr>
            <w:tcW w:w="24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Time and materials</w:t>
            </w:r>
          </w:p>
        </w:tc>
        <w:tc>
          <w:tcPr>
            <w:tcW w:w="65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Monthly in arrears at actual man-days, up to the approved cap</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Invoices are payable within 30 days; VAT is added and withholding tax is handled under the MSA.</w:t>
      </w:r>
      <w:r>
        <w:br w:type="page"/>
      </w:r>
    </w:p>
    <w:p>
      <w:pPr>
        <w:pStyle w:val="Heading1"/>
        <w:rPr/>
      </w:pPr>
      <w:bookmarkStart w:id="19" w:name="__RefHeading___Toc154956_4195859891"/>
      <w:bookmarkEnd w:id="19"/>
      <w:r>
        <w:rPr>
          <w:rFonts w:eastAsia="Segoe UI" w:cs="Segoe UI" w:ascii="Segoe UI" w:hAnsi="Segoe UI"/>
          <w:b/>
          <w:color w:val="0F4761"/>
          <w:sz w:val="32"/>
        </w:rPr>
        <w:t>11.  Delivery, warranty and support of changes</w:t>
      </w:r>
    </w:p>
    <w:p>
      <w:pPr>
        <w:pStyle w:val="Normal"/>
        <w:numPr>
          <w:ilvl w:val="0"/>
          <w:numId w:val="31"/>
        </w:numPr>
        <w:spacing w:before="0" w:after="60"/>
        <w:rPr/>
      </w:pPr>
      <w:r>
        <w:rPr>
          <w:rFonts w:eastAsia="Segoe UI" w:cs="Segoe UI" w:ascii="Segoe UI" w:hAnsi="Segoe UI"/>
          <w:color w:val="101820"/>
          <w:sz w:val="21"/>
        </w:rPr>
        <w:t>iorta TechNXT corrects defects in a delivered CR found within 30 days of its deployment to production at no charge.</w:t>
      </w:r>
    </w:p>
    <w:p>
      <w:pPr>
        <w:pStyle w:val="Normal"/>
        <w:numPr>
          <w:ilvl w:val="0"/>
          <w:numId w:val="32"/>
        </w:numPr>
        <w:spacing w:before="0" w:after="60"/>
        <w:rPr/>
      </w:pPr>
      <w:r>
        <w:rPr>
          <w:rFonts w:eastAsia="Segoe UI" w:cs="Segoe UI" w:ascii="Segoe UI" w:hAnsi="Segoe UI"/>
          <w:color w:val="101820"/>
          <w:sz w:val="21"/>
        </w:rPr>
        <w:t>A CR changes the OOTB version for the Client only. The changed code is covered by the AMC or the Subscription only when iorta TechNXT merges it into the product line, which iorta TechNXT decides and states in Part C. Otherwise, support of the change after the 30-day period is billed at day rates.</w:t>
      </w:r>
    </w:p>
    <w:p>
      <w:pPr>
        <w:pStyle w:val="Normal"/>
        <w:numPr>
          <w:ilvl w:val="0"/>
          <w:numId w:val="33"/>
        </w:numPr>
        <w:spacing w:before="0" w:after="60"/>
        <w:rPr/>
      </w:pPr>
      <w:r>
        <w:rPr>
          <w:rFonts w:eastAsia="Segoe UI" w:cs="Segoe UI" w:ascii="Segoe UI" w:hAnsi="Segoe UI"/>
          <w:color w:val="101820"/>
          <w:sz w:val="21"/>
        </w:rPr>
        <w:t>All Intellectual Property Rights in the work product of a CR belong to iorta TechNXT, as stated in the MSA. Client Data and the Client's own content remain the Client's.</w:t>
      </w:r>
      <w:r>
        <w:br w:type="page"/>
      </w:r>
    </w:p>
    <w:p>
      <w:pPr>
        <w:pStyle w:val="Heading1"/>
        <w:rPr/>
      </w:pPr>
      <w:bookmarkStart w:id="20" w:name="__RefHeading___Toc154958_4195859891"/>
      <w:bookmarkEnd w:id="20"/>
      <w:r>
        <w:rPr>
          <w:rFonts w:eastAsia="Segoe UI" w:cs="Segoe UI" w:ascii="Segoe UI" w:hAnsi="Segoe UI"/>
          <w:b/>
          <w:color w:val="0F4761"/>
          <w:sz w:val="32"/>
        </w:rPr>
        <w:t>12.  Emergency changes</w:t>
      </w:r>
    </w:p>
    <w:p>
      <w:pPr>
        <w:pStyle w:val="Normal"/>
        <w:spacing w:lineRule="auto" w:line="276" w:before="0" w:after="120"/>
        <w:rPr/>
      </w:pPr>
      <w:r>
        <w:rPr>
          <w:rFonts w:eastAsia="Segoe UI" w:cs="Segoe UI" w:ascii="Segoe UI" w:hAnsi="Segoe UI"/>
          <w:color w:val="101820"/>
          <w:sz w:val="21"/>
        </w:rPr>
        <w:t>A change needed to restore service or meet a legal deadline may be made on the verbal approval of the Client approver of the band, confirmed by e-mail within 1 Business Day, with the Change Request Form completed within 5 Business Days.</w:t>
      </w:r>
      <w:r>
        <w:br w:type="page"/>
      </w:r>
    </w:p>
    <w:p>
      <w:pPr>
        <w:pStyle w:val="Heading1"/>
        <w:rPr/>
      </w:pPr>
      <w:bookmarkStart w:id="21" w:name="__RefHeading___Toc154960_4195859891"/>
      <w:bookmarkEnd w:id="21"/>
      <w:r>
        <w:rPr>
          <w:rFonts w:eastAsia="Segoe UI" w:cs="Segoe UI" w:ascii="Segoe UI" w:hAnsi="Segoe UI"/>
          <w:b/>
          <w:color w:val="0F4761"/>
          <w:sz w:val="32"/>
        </w:rPr>
        <w:t>13.  Change Request Form</w:t>
      </w:r>
    </w:p>
    <w:p>
      <w:pPr>
        <w:pStyle w:val="Heading2"/>
        <w:rPr/>
      </w:pPr>
      <w:bookmarkStart w:id="22" w:name="__RefHeading___Toc154962_4195859891"/>
      <w:bookmarkEnd w:id="22"/>
      <w:r>
        <w:rPr>
          <w:rFonts w:eastAsia="Segoe UI" w:cs="Segoe UI"/>
          <w:b/>
          <w:color w:val="0F4761"/>
          <w:sz w:val="26"/>
        </w:rPr>
        <w:t>13.1  Part A: request (Client)</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923"/>
        <w:gridCol w:w="5090"/>
      </w:tblGrid>
      <w:tr>
        <w:trPr>
          <w:tblHeader w:val="true"/>
        </w:trPr>
        <w:tc>
          <w:tcPr>
            <w:tcW w:w="392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Field</w:t>
            </w:r>
          </w:p>
        </w:tc>
        <w:tc>
          <w:tcPr>
            <w:tcW w:w="509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Entry</w:t>
            </w:r>
          </w:p>
        </w:tc>
      </w:tr>
      <w:tr>
        <w:trPr/>
        <w:tc>
          <w:tcPr>
            <w:tcW w:w="39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CR number (assigned by iorta TechNXT)</w:t>
            </w:r>
          </w:p>
        </w:tc>
        <w:tc>
          <w:tcPr>
            <w:tcW w:w="50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[CR-year-number]</w:t>
            </w:r>
          </w:p>
        </w:tc>
      </w:tr>
      <w:tr>
        <w:trPr/>
        <w:tc>
          <w:tcPr>
            <w:tcW w:w="39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Order Form or contract</w:t>
            </w:r>
          </w:p>
        </w:tc>
        <w:tc>
          <w:tcPr>
            <w:tcW w:w="50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[number]</w:t>
            </w:r>
          </w:p>
        </w:tc>
      </w:tr>
      <w:tr>
        <w:trPr/>
        <w:tc>
          <w:tcPr>
            <w:tcW w:w="39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Date raised</w:t>
            </w:r>
          </w:p>
        </w:tc>
        <w:tc>
          <w:tcPr>
            <w:tcW w:w="50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[date]</w:t>
            </w:r>
          </w:p>
        </w:tc>
      </w:tr>
      <w:tr>
        <w:trPr/>
        <w:tc>
          <w:tcPr>
            <w:tcW w:w="39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Requester (name, role, e-mail)</w:t>
            </w:r>
          </w:p>
        </w:tc>
        <w:tc>
          <w:tcPr>
            <w:tcW w:w="50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[entry]</w:t>
            </w:r>
          </w:p>
        </w:tc>
      </w:tr>
      <w:tr>
        <w:trPr/>
        <w:tc>
          <w:tcPr>
            <w:tcW w:w="39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Title of the change</w:t>
            </w:r>
          </w:p>
        </w:tc>
        <w:tc>
          <w:tcPr>
            <w:tcW w:w="50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[short title]</w:t>
            </w:r>
          </w:p>
        </w:tc>
      </w:tr>
      <w:tr>
        <w:trPr/>
        <w:tc>
          <w:tcPr>
            <w:tcW w:w="39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Description of the change</w:t>
            </w:r>
          </w:p>
        </w:tc>
        <w:tc>
          <w:tcPr>
            <w:tcW w:w="50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[what should change; screens, reports, documents affected]</w:t>
            </w:r>
          </w:p>
        </w:tc>
      </w:tr>
      <w:tr>
        <w:trPr/>
        <w:tc>
          <w:tcPr>
            <w:tcW w:w="39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Business reason and benefit</w:t>
            </w:r>
          </w:p>
        </w:tc>
        <w:tc>
          <w:tcPr>
            <w:tcW w:w="50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[why the change is needed]</w:t>
            </w:r>
          </w:p>
        </w:tc>
      </w:tr>
      <w:tr>
        <w:trPr/>
        <w:tc>
          <w:tcPr>
            <w:tcW w:w="39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Examples and attachments</w:t>
            </w:r>
          </w:p>
        </w:tc>
        <w:tc>
          <w:tcPr>
            <w:tcW w:w="50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[sample documents, screenshots with personal data covered]</w:t>
            </w:r>
          </w:p>
        </w:tc>
      </w:tr>
      <w:tr>
        <w:trPr/>
        <w:tc>
          <w:tcPr>
            <w:tcW w:w="39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Requested by date and reason</w:t>
            </w:r>
          </w:p>
        </w:tc>
        <w:tc>
          <w:tcPr>
            <w:tcW w:w="50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[date; reason, for example a regulatory deadline]</w:t>
            </w:r>
          </w:p>
        </w:tc>
      </w:tr>
      <w:tr>
        <w:trPr/>
        <w:tc>
          <w:tcPr>
            <w:tcW w:w="39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Priority proposed</w:t>
            </w:r>
          </w:p>
        </w:tc>
        <w:tc>
          <w:tcPr>
            <w:tcW w:w="50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[High / Medium / Low]</w:t>
            </w:r>
          </w:p>
        </w:tc>
      </w:tr>
      <w:tr>
        <w:trPr/>
        <w:tc>
          <w:tcPr>
            <w:tcW w:w="39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Regulatory or legal driver</w:t>
            </w:r>
          </w:p>
        </w:tc>
        <w:tc>
          <w:tcPr>
            <w:tcW w:w="50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[Yes: reference / No]</w:t>
            </w:r>
          </w:p>
        </w:tc>
      </w:tr>
    </w:tbl>
    <w:p>
      <w:pPr>
        <w:pStyle w:val="Normal"/>
        <w:spacing w:before="0" w:after="80"/>
        <w:rPr/>
      </w:pPr>
      <w:r>
        <w:rPr/>
      </w:r>
    </w:p>
    <w:p>
      <w:pPr>
        <w:pStyle w:val="Heading2"/>
        <w:rPr/>
      </w:pPr>
      <w:bookmarkStart w:id="23" w:name="__RefHeading___Toc154964_4195859891"/>
      <w:bookmarkEnd w:id="23"/>
      <w:r>
        <w:rPr>
          <w:rFonts w:eastAsia="Segoe UI" w:cs="Segoe UI"/>
          <w:b/>
          <w:color w:val="0F4761"/>
          <w:sz w:val="26"/>
        </w:rPr>
        <w:t>13.2  Part B: impact assessment (iorta TechNXT)</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847"/>
        <w:gridCol w:w="3166"/>
      </w:tblGrid>
      <w:tr>
        <w:trPr>
          <w:tblHeader w:val="true"/>
        </w:trPr>
        <w:tc>
          <w:tcPr>
            <w:tcW w:w="584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Field</w:t>
            </w:r>
          </w:p>
        </w:tc>
        <w:tc>
          <w:tcPr>
            <w:tcW w:w="316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Entry</w:t>
            </w:r>
          </w:p>
        </w:tc>
      </w:tr>
      <w:tr>
        <w:trPr/>
        <w:tc>
          <w:tcPr>
            <w:tcW w:w="58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Need met by configuration instead</w:t>
            </w:r>
          </w:p>
        </w:tc>
        <w:tc>
          <w:tcPr>
            <w:tcW w:w="31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[Yes: how / No]</w:t>
            </w:r>
          </w:p>
        </w:tc>
      </w:tr>
      <w:tr>
        <w:trPr/>
        <w:tc>
          <w:tcPr>
            <w:tcW w:w="58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Modules, screens, APIs, reports, database and jobs affected</w:t>
            </w:r>
          </w:p>
        </w:tc>
        <w:tc>
          <w:tcPr>
            <w:tcW w:w="31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[list]</w:t>
            </w:r>
          </w:p>
        </w:tc>
      </w:tr>
      <w:tr>
        <w:trPr/>
        <w:tc>
          <w:tcPr>
            <w:tcW w:w="58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Effect on other Deliverables</w:t>
            </w:r>
          </w:p>
        </w:tc>
        <w:tc>
          <w:tcPr>
            <w:tcW w:w="31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[entry]</w:t>
            </w:r>
          </w:p>
        </w:tc>
      </w:tr>
      <w:tr>
        <w:trPr/>
        <w:tc>
          <w:tcPr>
            <w:tcW w:w="58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Effect on the plan and the go-live date</w:t>
            </w:r>
          </w:p>
        </w:tc>
        <w:tc>
          <w:tcPr>
            <w:tcW w:w="31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[none / number of days]</w:t>
            </w:r>
          </w:p>
        </w:tc>
      </w:tr>
      <w:tr>
        <w:trPr/>
        <w:tc>
          <w:tcPr>
            <w:tcW w:w="58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Effect on recurring fees and support</w:t>
            </w:r>
          </w:p>
        </w:tc>
        <w:tc>
          <w:tcPr>
            <w:tcW w:w="31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[entry]</w:t>
            </w:r>
          </w:p>
        </w:tc>
      </w:tr>
      <w:tr>
        <w:trPr/>
        <w:tc>
          <w:tcPr>
            <w:tcW w:w="58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Risks and assumptions</w:t>
            </w:r>
          </w:p>
        </w:tc>
        <w:tc>
          <w:tcPr>
            <w:tcW w:w="31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[entry]</w:t>
            </w:r>
          </w:p>
        </w:tc>
      </w:tr>
      <w:tr>
        <w:trPr/>
        <w:tc>
          <w:tcPr>
            <w:tcW w:w="58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Change merged into the product line</w:t>
            </w:r>
          </w:p>
        </w:tc>
        <w:tc>
          <w:tcPr>
            <w:tcW w:w="31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[Yes / No / To be decided]</w:t>
            </w:r>
          </w:p>
        </w:tc>
      </w:tr>
    </w:tbl>
    <w:p>
      <w:pPr>
        <w:pStyle w:val="Normal"/>
        <w:spacing w:before="0" w:after="80"/>
        <w:rPr/>
      </w:pPr>
      <w:r>
        <w:rPr/>
      </w:r>
    </w:p>
    <w:p>
      <w:pPr>
        <w:pStyle w:val="Heading2"/>
        <w:rPr/>
      </w:pPr>
      <w:bookmarkStart w:id="24" w:name="__RefHeading___Toc154966_4195859891"/>
      <w:bookmarkEnd w:id="24"/>
      <w:r>
        <w:rPr>
          <w:rFonts w:eastAsia="Segoe UI" w:cs="Segoe UI"/>
          <w:b/>
          <w:color w:val="0F4761"/>
          <w:sz w:val="26"/>
        </w:rPr>
        <w:t>13.3  Part C: estimate (iorta TechNXT)</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621"/>
        <w:gridCol w:w="1123"/>
        <w:gridCol w:w="1760"/>
        <w:gridCol w:w="1510"/>
      </w:tblGrid>
      <w:tr>
        <w:trPr>
          <w:tblHeader w:val="true"/>
        </w:trPr>
        <w:tc>
          <w:tcPr>
            <w:tcW w:w="462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Role</w:t>
            </w:r>
          </w:p>
        </w:tc>
        <w:tc>
          <w:tcPr>
            <w:tcW w:w="112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Man-days</w:t>
            </w:r>
          </w:p>
        </w:tc>
        <w:tc>
          <w:tcPr>
            <w:tcW w:w="176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Day rate (PHP)</w:t>
            </w:r>
          </w:p>
        </w:tc>
        <w:tc>
          <w:tcPr>
            <w:tcW w:w="151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Amount (PHP)</w:t>
            </w:r>
          </w:p>
        </w:tc>
      </w:tr>
      <w:tr>
        <w:trPr/>
        <w:tc>
          <w:tcPr>
            <w:tcW w:w="46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Developer</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[days]</w:t>
            </w:r>
          </w:p>
        </w:tc>
        <w:tc>
          <w:tcPr>
            <w:tcW w:w="17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16,000.00</w:t>
            </w:r>
          </w:p>
        </w:tc>
        <w:tc>
          <w:tcPr>
            <w:tcW w:w="1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[amount]</w:t>
            </w:r>
          </w:p>
        </w:tc>
      </w:tr>
      <w:tr>
        <w:trPr/>
        <w:tc>
          <w:tcPr>
            <w:tcW w:w="46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Business analyst (30% of development)</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[days]</w:t>
            </w:r>
          </w:p>
        </w:tc>
        <w:tc>
          <w:tcPr>
            <w:tcW w:w="17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18,000.00</w:t>
            </w:r>
          </w:p>
        </w:tc>
        <w:tc>
          <w:tcPr>
            <w:tcW w:w="1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[amount]</w:t>
            </w:r>
          </w:p>
        </w:tc>
      </w:tr>
      <w:tr>
        <w:trPr/>
        <w:tc>
          <w:tcPr>
            <w:tcW w:w="46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QA engineer (40% of development)</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[days]</w:t>
            </w:r>
          </w:p>
        </w:tc>
        <w:tc>
          <w:tcPr>
            <w:tcW w:w="17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12,000.00</w:t>
            </w:r>
          </w:p>
        </w:tc>
        <w:tc>
          <w:tcPr>
            <w:tcW w:w="1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[amount]</w:t>
            </w:r>
          </w:p>
        </w:tc>
      </w:tr>
      <w:tr>
        <w:trPr/>
        <w:tc>
          <w:tcPr>
            <w:tcW w:w="46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Project manager (10% of the above)</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[days]</w:t>
            </w:r>
          </w:p>
        </w:tc>
        <w:tc>
          <w:tcPr>
            <w:tcW w:w="17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22,000.00</w:t>
            </w:r>
          </w:p>
        </w:tc>
        <w:tc>
          <w:tcPr>
            <w:tcW w:w="1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[amount]</w:t>
            </w:r>
          </w:p>
        </w:tc>
      </w:tr>
      <w:tr>
        <w:trPr/>
        <w:tc>
          <w:tcPr>
            <w:tcW w:w="46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Contingency (10% of the total)</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[days]</w:t>
            </w:r>
          </w:p>
        </w:tc>
        <w:tc>
          <w:tcPr>
            <w:tcW w:w="17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16,100.00</w:t>
            </w:r>
          </w:p>
        </w:tc>
        <w:tc>
          <w:tcPr>
            <w:tcW w:w="1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[amount]</w:t>
            </w:r>
          </w:p>
        </w:tc>
      </w:tr>
      <w:tr>
        <w:trPr/>
        <w:tc>
          <w:tcPr>
            <w:tcW w:w="46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Total, excluding VAT</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[days]</w:t>
            </w:r>
          </w:p>
        </w:tc>
        <w:tc>
          <w:tcPr>
            <w:tcW w:w="17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1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[amount]</w:t>
            </w:r>
          </w:p>
        </w:tc>
      </w:tr>
    </w:tbl>
    <w:p>
      <w:pPr>
        <w:pStyle w:val="Normal"/>
        <w:spacing w:before="0" w:after="80"/>
        <w:rPr/>
      </w:pPr>
      <w:r>
        <w:rPr/>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672"/>
        <w:gridCol w:w="5341"/>
      </w:tblGrid>
      <w:tr>
        <w:trPr>
          <w:tblHeader w:val="true"/>
        </w:trPr>
        <w:tc>
          <w:tcPr>
            <w:tcW w:w="367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Field</w:t>
            </w:r>
          </w:p>
        </w:tc>
        <w:tc>
          <w:tcPr>
            <w:tcW w:w="534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Entry</w:t>
            </w:r>
          </w:p>
        </w:tc>
      </w:tr>
      <w:tr>
        <w:trPr/>
        <w:tc>
          <w:tcPr>
            <w:tcW w:w="36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Band</w:t>
            </w:r>
          </w:p>
        </w:tc>
        <w:tc>
          <w:tcPr>
            <w:tcW w:w="53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[Small / Medium / Large]</w:t>
            </w:r>
          </w:p>
        </w:tc>
      </w:tr>
      <w:tr>
        <w:trPr/>
        <w:tc>
          <w:tcPr>
            <w:tcW w:w="36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Pricing basis</w:t>
            </w:r>
          </w:p>
        </w:tc>
        <w:tc>
          <w:tcPr>
            <w:tcW w:w="53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[Fixed price / Time and materials with a cap of PHP amount]</w:t>
            </w:r>
          </w:p>
        </w:tc>
      </w:tr>
      <w:tr>
        <w:trPr/>
        <w:tc>
          <w:tcPr>
            <w:tcW w:w="36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Payment terms</w:t>
            </w:r>
          </w:p>
        </w:tc>
        <w:tc>
          <w:tcPr>
            <w:tcW w:w="53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 the band]</w:t>
            </w:r>
          </w:p>
        </w:tc>
      </w:tr>
      <w:tr>
        <w:trPr/>
        <w:tc>
          <w:tcPr>
            <w:tcW w:w="36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Proposed delivery to UAT</w:t>
            </w:r>
          </w:p>
        </w:tc>
        <w:tc>
          <w:tcPr>
            <w:tcW w:w="53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[date]</w:t>
            </w:r>
          </w:p>
        </w:tc>
      </w:tr>
      <w:tr>
        <w:trPr/>
        <w:tc>
          <w:tcPr>
            <w:tcW w:w="36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Proposed deployment to production</w:t>
            </w:r>
          </w:p>
        </w:tc>
        <w:tc>
          <w:tcPr>
            <w:tcW w:w="53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[date]</w:t>
            </w:r>
          </w:p>
        </w:tc>
      </w:tr>
      <w:tr>
        <w:trPr/>
        <w:tc>
          <w:tcPr>
            <w:tcW w:w="36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Estimate valid until</w:t>
            </w:r>
          </w:p>
        </w:tc>
        <w:tc>
          <w:tcPr>
            <w:tcW w:w="53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[date, 30 days from issue]</w:t>
            </w:r>
          </w:p>
        </w:tc>
      </w:tr>
      <w:tr>
        <w:trPr/>
        <w:tc>
          <w:tcPr>
            <w:tcW w:w="36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Prepared by</w:t>
            </w:r>
          </w:p>
        </w:tc>
        <w:tc>
          <w:tcPr>
            <w:tcW w:w="53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 role, date]</w:t>
            </w:r>
          </w:p>
        </w:tc>
      </w:tr>
    </w:tbl>
    <w:p>
      <w:pPr>
        <w:pStyle w:val="Normal"/>
        <w:spacing w:before="0" w:after="80"/>
        <w:rPr/>
      </w:pPr>
      <w:r>
        <w:rPr/>
      </w:r>
    </w:p>
    <w:p>
      <w:pPr>
        <w:pStyle w:val="Heading2"/>
        <w:rPr/>
      </w:pPr>
      <w:bookmarkStart w:id="25" w:name="__RefHeading___Toc154968_4195859891"/>
      <w:bookmarkEnd w:id="25"/>
      <w:r>
        <w:rPr>
          <w:rFonts w:eastAsia="Segoe UI" w:cs="Segoe UI"/>
          <w:b/>
          <w:color w:val="0F4761"/>
          <w:sz w:val="26"/>
        </w:rPr>
        <w:t>13.4  Part D: approval (Client)</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924"/>
        <w:gridCol w:w="2856"/>
        <w:gridCol w:w="1327"/>
        <w:gridCol w:w="906"/>
      </w:tblGrid>
      <w:tr>
        <w:trPr>
          <w:tblHeader w:val="true"/>
        </w:trPr>
        <w:tc>
          <w:tcPr>
            <w:tcW w:w="392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Decision</w:t>
            </w:r>
          </w:p>
        </w:tc>
        <w:tc>
          <w:tcPr>
            <w:tcW w:w="285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Name and title</w:t>
            </w:r>
          </w:p>
        </w:tc>
        <w:tc>
          <w:tcPr>
            <w:tcW w:w="132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Signature</w:t>
            </w:r>
          </w:p>
        </w:tc>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Date</w:t>
            </w:r>
          </w:p>
        </w:tc>
      </w:tr>
      <w:tr>
        <w:trPr/>
        <w:tc>
          <w:tcPr>
            <w:tcW w:w="39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[Approved / Rejected / Deferred to date]</w:t>
            </w:r>
          </w:p>
        </w:tc>
        <w:tc>
          <w:tcPr>
            <w:tcW w:w="28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 approver of the band]</w:t>
            </w:r>
          </w:p>
        </w:tc>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____________</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[date]</w:t>
            </w:r>
          </w:p>
        </w:tc>
      </w:tr>
      <w:tr>
        <w:trPr/>
        <w:tc>
          <w:tcPr>
            <w:tcW w:w="39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Reason if rejected or deferred</w:t>
            </w:r>
          </w:p>
        </w:tc>
        <w:tc>
          <w:tcPr>
            <w:tcW w:w="28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[entry]</w:t>
            </w:r>
          </w:p>
        </w:tc>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39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Accepted for iorta TechNXT</w:t>
            </w:r>
          </w:p>
        </w:tc>
        <w:tc>
          <w:tcPr>
            <w:tcW w:w="28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 and title]</w:t>
            </w:r>
          </w:p>
        </w:tc>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____________</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[date]</w:t>
            </w:r>
          </w:p>
        </w:tc>
      </w:tr>
    </w:tbl>
    <w:p>
      <w:pPr>
        <w:pStyle w:val="Normal"/>
        <w:spacing w:before="0" w:after="80"/>
        <w:rPr/>
      </w:pPr>
      <w:r>
        <w:rPr/>
      </w:r>
    </w:p>
    <w:p>
      <w:pPr>
        <w:pStyle w:val="Heading2"/>
        <w:rPr/>
      </w:pPr>
      <w:bookmarkStart w:id="26" w:name="__RefHeading___Toc154970_4195859891"/>
      <w:bookmarkEnd w:id="26"/>
      <w:r>
        <w:rPr>
          <w:rFonts w:eastAsia="Segoe UI" w:cs="Segoe UI"/>
          <w:b/>
          <w:color w:val="0F4761"/>
          <w:sz w:val="26"/>
        </w:rPr>
        <w:t>13.5  Part E: acceptance and closure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87"/>
        <w:gridCol w:w="5926"/>
      </w:tblGrid>
      <w:tr>
        <w:trPr>
          <w:tblHeader w:val="true"/>
        </w:trPr>
        <w:tc>
          <w:tcPr>
            <w:tcW w:w="308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Field</w:t>
            </w:r>
          </w:p>
        </w:tc>
        <w:tc>
          <w:tcPr>
            <w:tcW w:w="592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Entry</w:t>
            </w:r>
          </w:p>
        </w:tc>
      </w:tr>
      <w:tr>
        <w:trPr/>
        <w:tc>
          <w:tcPr>
            <w:tcW w:w="30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Delivered to UAT on</w:t>
            </w:r>
          </w:p>
        </w:tc>
        <w:tc>
          <w:tcPr>
            <w:tcW w:w="59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[date]</w:t>
            </w:r>
          </w:p>
        </w:tc>
      </w:tr>
      <w:tr>
        <w:trPr/>
        <w:tc>
          <w:tcPr>
            <w:tcW w:w="30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UAT result</w:t>
            </w:r>
          </w:p>
        </w:tc>
        <w:tc>
          <w:tcPr>
            <w:tcW w:w="59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[Accepted / Accepted with open items / Not accepted: reasons]</w:t>
            </w:r>
          </w:p>
        </w:tc>
      </w:tr>
      <w:tr>
        <w:trPr/>
        <w:tc>
          <w:tcPr>
            <w:tcW w:w="30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Accepted by (Client)</w:t>
            </w:r>
          </w:p>
        </w:tc>
        <w:tc>
          <w:tcPr>
            <w:tcW w:w="59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 title, signature, date]</w:t>
            </w:r>
          </w:p>
        </w:tc>
      </w:tr>
      <w:tr>
        <w:trPr/>
        <w:tc>
          <w:tcPr>
            <w:tcW w:w="30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Deployed to production on</w:t>
            </w:r>
          </w:p>
        </w:tc>
        <w:tc>
          <w:tcPr>
            <w:tcW w:w="59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[date, release number]</w:t>
            </w:r>
          </w:p>
        </w:tc>
      </w:tr>
      <w:tr>
        <w:trPr/>
        <w:tc>
          <w:tcPr>
            <w:tcW w:w="30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Closed by (iorta TechNXT)</w:t>
            </w:r>
          </w:p>
        </w:tc>
        <w:tc>
          <w:tcPr>
            <w:tcW w:w="59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 date]</w:t>
            </w:r>
          </w:p>
        </w:tc>
      </w:tr>
    </w:tbl>
    <w:p>
      <w:pPr>
        <w:pStyle w:val="Normal"/>
        <w:spacing w:before="0" w:after="80"/>
        <w:rPr/>
      </w:pPr>
      <w:r>
        <w:rPr/>
      </w:r>
      <w:r>
        <w:br w:type="page"/>
      </w:r>
    </w:p>
    <w:p>
      <w:pPr>
        <w:pStyle w:val="Heading1"/>
        <w:rPr/>
      </w:pPr>
      <w:bookmarkStart w:id="27" w:name="__RefHeading___Toc154972_4195859891"/>
      <w:bookmarkEnd w:id="27"/>
      <w:r>
        <w:rPr>
          <w:rFonts w:eastAsia="Segoe UI" w:cs="Segoe UI" w:ascii="Segoe UI" w:hAnsi="Segoe UI"/>
          <w:b/>
          <w:color w:val="0F4761"/>
          <w:sz w:val="32"/>
        </w:rPr>
        <w:t>14.  Change log</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39"/>
        <w:gridCol w:w="775"/>
        <w:gridCol w:w="774"/>
        <w:gridCol w:w="956"/>
        <w:gridCol w:w="1081"/>
        <w:gridCol w:w="839"/>
        <w:gridCol w:w="1117"/>
        <w:gridCol w:w="1221"/>
        <w:gridCol w:w="912"/>
      </w:tblGrid>
      <w:tr>
        <w:trPr>
          <w:tblHeader w:val="true"/>
        </w:trPr>
        <w:tc>
          <w:tcPr>
            <w:tcW w:w="133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CR number</w:t>
            </w:r>
          </w:p>
        </w:tc>
        <w:tc>
          <w:tcPr>
            <w:tcW w:w="77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Title</w:t>
            </w:r>
          </w:p>
        </w:tc>
        <w:tc>
          <w:tcPr>
            <w:tcW w:w="77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Band</w:t>
            </w:r>
          </w:p>
        </w:tc>
        <w:tc>
          <w:tcPr>
            <w:tcW w:w="95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Man-days</w:t>
            </w:r>
          </w:p>
        </w:tc>
        <w:tc>
          <w:tcPr>
            <w:tcW w:w="108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Price (PHP)</w:t>
            </w:r>
          </w:p>
        </w:tc>
        <w:tc>
          <w:tcPr>
            <w:tcW w:w="83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Status</w:t>
            </w:r>
          </w:p>
        </w:tc>
        <w:tc>
          <w:tcPr>
            <w:tcW w:w="111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Approved on</w:t>
            </w:r>
          </w:p>
        </w:tc>
        <w:tc>
          <w:tcPr>
            <w:tcW w:w="122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Delivered on</w:t>
            </w:r>
          </w:p>
        </w:tc>
        <w:tc>
          <w:tcPr>
            <w:tcW w:w="91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Closed on</w:t>
            </w:r>
          </w:p>
        </w:tc>
      </w:tr>
      <w:tr>
        <w:trPr/>
        <w:tc>
          <w:tcPr>
            <w:tcW w:w="13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[CR-2026-001]</w:t>
            </w:r>
          </w:p>
        </w:tc>
        <w:tc>
          <w:tcPr>
            <w:tcW w:w="7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[title]</w:t>
            </w:r>
          </w:p>
        </w:tc>
        <w:tc>
          <w:tcPr>
            <w:tcW w:w="7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[band]</w:t>
            </w:r>
          </w:p>
        </w:tc>
        <w:tc>
          <w:tcPr>
            <w:tcW w:w="9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[days]</w:t>
            </w:r>
          </w:p>
        </w:tc>
        <w:tc>
          <w:tcPr>
            <w:tcW w:w="10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[amount]</w:t>
            </w:r>
          </w:p>
        </w:tc>
        <w:tc>
          <w:tcPr>
            <w:tcW w:w="8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[status]</w:t>
            </w:r>
          </w:p>
        </w:tc>
        <w:tc>
          <w:tcPr>
            <w:tcW w:w="11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[date]</w:t>
            </w:r>
          </w:p>
        </w:tc>
        <w:tc>
          <w:tcPr>
            <w:tcW w:w="12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[date]</w:t>
            </w:r>
          </w:p>
        </w:tc>
        <w:tc>
          <w:tcPr>
            <w:tcW w:w="9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[date]</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Status values: Logged, Assessed, Approved, In progress, In UAT, Deployed, Closed, Rejected, Deferred.</w:t>
      </w:r>
      <w:r>
        <w:br w:type="page"/>
      </w:r>
    </w:p>
    <w:p>
      <w:pPr>
        <w:pStyle w:val="Heading1"/>
        <w:tabs>
          <w:tab w:val="clear" w:pos="720"/>
          <w:tab w:val="left" w:pos="360" w:leader="none"/>
        </w:tabs>
        <w:spacing w:lineRule="auto" w:line="360"/>
        <w:ind w:hanging="0" w:left="0"/>
        <w:rPr>
          <w:rStyle w:val="BookTitle"/>
          <w:b w:val="false"/>
          <w:bCs w:val="false"/>
          <w:i w:val="false"/>
          <w:i w:val="false"/>
          <w:iCs w:val="false"/>
          <w:spacing w:val="0"/>
        </w:rPr>
      </w:pPr>
      <w:bookmarkStart w:id="28" w:name="__RefHeading___Toc154974_4195859891"/>
      <w:bookmarkStart w:id="29" w:name="_Toc233203395"/>
      <w:bookmarkEnd w:id="28"/>
      <w:r>
        <w:rPr>
          <w:rStyle w:val="BookTitle"/>
          <w:bCs w:val="false"/>
          <w:i w:val="false"/>
          <w:iCs w:val="false"/>
          <w:spacing w:val="0"/>
        </w:rPr>
        <w:t>15.  Document Sign-Off</w:t>
      </w:r>
      <w:bookmarkEnd w:id="29"/>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457"/>
        <w:gridCol w:w="3859"/>
        <w:gridCol w:w="1727"/>
        <w:gridCol w:w="1982"/>
      </w:tblGrid>
      <w:tr>
        <w:trPr>
          <w:trHeight w:val="440"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Serial Number</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Description</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Owner</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Status</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Review and completion by the parties' legal counsel before signature</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Open</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3294"/>
        <w:gridCol w:w="1828"/>
        <w:gridCol w:w="2349"/>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 Off Date</w:t>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Signature</w:t>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w:t>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Department &amp; Project Role</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rPr/>
      </w:pPr>
      <w:r>
        <w:rPr/>
      </w:r>
      <w:r>
        <w:br w:type="page"/>
      </w:r>
    </w:p>
    <w:p>
      <w:pPr>
        <w:pStyle w:val="Normal"/>
        <w:spacing w:before="0" w:after="160"/>
        <w:rPr/>
      </w:pPr>
      <w:r>
        <w:rPr/>
      </w:r>
    </w:p>
    <w:p>
      <w:pPr>
        <w:pStyle w:val="Normal"/>
        <w:widowControl/>
        <w:bidi w:val="0"/>
        <w:spacing w:lineRule="auto" w:line="278" w:before="0" w:after="160"/>
        <w:jc w:val="left"/>
        <w:rPr/>
      </w:pPr>
      <w:r>
        <w:rPr/>
        <w:drawing>
          <wp:anchor behindDoc="1" distT="0" distB="0" distL="0" distR="0" simplePos="0" locked="0" layoutInCell="0" allowOverlap="1" relativeHeight="20">
            <wp:simplePos x="0" y="0"/>
            <wp:positionH relativeFrom="margin">
              <wp:align>center</wp:align>
            </wp:positionH>
            <wp:positionV relativeFrom="margin">
              <wp:align>center</wp:align>
            </wp:positionV>
            <wp:extent cx="7548245" cy="10677525"/>
            <wp:effectExtent l="0" t="0" r="0" b="0"/>
            <wp:wrapNone/>
            <wp:docPr id="8"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
                    <pic:cNvPicPr>
                      <a:picLocks noChangeAspect="1" noChangeArrowheads="1"/>
                    </pic:cNvPicPr>
                  </pic:nvPicPr>
                  <pic:blipFill>
                    <a:blip r:embed="rId4"/>
                    <a:stretch>
                      <a:fillRect/>
                    </a:stretch>
                  </pic:blipFill>
                  <pic:spPr bwMode="auto">
                    <a:xfrm>
                      <a:off x="0" y="0"/>
                      <a:ext cx="7548245" cy="10677525"/>
                    </a:xfrm>
                    <a:prstGeom prst="rect">
                      <a:avLst/>
                    </a:prstGeom>
                  </pic:spPr>
                </pic:pic>
              </a:graphicData>
            </a:graphic>
          </wp:anchor>
        </w:drawing>
      </w:r>
    </w:p>
    <w:sectPr>
      <w:footerReference w:type="default" r:id="rId5"/>
      <w:footerReference w:type="first" r:id="rId6"/>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Segoe UI">
    <w:charset w:val="01"/>
    <w:family w:val="roman"/>
    <w:pitch w:val="variable"/>
  </w:font>
  <w:font w:name="Liberation Sans">
    <w:altName w:val="Arial"/>
    <w:charset w:val="01"/>
    <w:family w:val="swiss"/>
    <w:pitch w:val="variable"/>
  </w:font>
  <w:font w:name="Aria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19">
          <wp:simplePos x="0" y="0"/>
          <wp:positionH relativeFrom="page">
            <wp:align>left</wp:align>
          </wp:positionH>
          <wp:positionV relativeFrom="paragraph">
            <wp:posOffset>-708025</wp:posOffset>
          </wp:positionV>
          <wp:extent cx="8778240" cy="885190"/>
          <wp:effectExtent l="0" t="0" r="0" b="0"/>
          <wp:wrapNone/>
          <wp:docPr id="9"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19">
          <wp:simplePos x="0" y="0"/>
          <wp:positionH relativeFrom="page">
            <wp:align>left</wp:align>
          </wp:positionH>
          <wp:positionV relativeFrom="paragraph">
            <wp:posOffset>-708025</wp:posOffset>
          </wp:positionV>
          <wp:extent cx="8778240" cy="885190"/>
          <wp:effectExtent l="0" t="0" r="0" b="0"/>
          <wp:wrapNone/>
          <wp:docPr id="10"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1"/>
    <w:lvlOverride w:ilvl="0">
      <w:startOverride w:val="1"/>
    </w:lvlOverride>
  </w:num>
  <w:num w:numId="9">
    <w:abstractNumId w:val="1"/>
    <w:lvlOverride w:ilvl="0">
      <w:startOverride w:val="1"/>
    </w:lvlOverride>
  </w:num>
  <w:num w:numId="10">
    <w:abstractNumId w:val="1"/>
  </w:num>
  <w:num w:numId="11">
    <w:abstractNumId w:val="1"/>
  </w:num>
  <w:num w:numId="12">
    <w:abstractNumId w:val="1"/>
    <w:lvlOverride w:ilvl="0">
      <w:startOverride w:val="1"/>
    </w:lvlOverride>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lvlOverride w:ilvl="0">
      <w:startOverride w:val="1"/>
    </w:lvlOverride>
  </w:num>
  <w:num w:numId="24">
    <w:abstractNumId w:val="1"/>
  </w:num>
  <w:num w:numId="25">
    <w:abstractNumId w:val="1"/>
  </w:num>
  <w:num w:numId="26">
    <w:abstractNumId w:val="1"/>
  </w:num>
  <w:num w:numId="27">
    <w:abstractNumId w:val="1"/>
    <w:lvlOverride w:ilvl="0">
      <w:startOverride w:val="1"/>
    </w:lvlOverride>
  </w:num>
  <w:num w:numId="28">
    <w:abstractNumId w:val="1"/>
  </w:num>
  <w:num w:numId="29">
    <w:abstractNumId w:val="1"/>
  </w:num>
  <w:num w:numId="30">
    <w:abstractNumId w:val="1"/>
  </w:num>
  <w:num w:numId="31">
    <w:abstractNumId w:val="1"/>
    <w:lvlOverride w:ilvl="0">
      <w:startOverride w:val="1"/>
    </w:lvlOverride>
  </w:num>
  <w:num w:numId="32">
    <w:abstractNumId w:val="1"/>
  </w:num>
  <w:num w:numId="33">
    <w:abstractNumId w:val="1"/>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ＭＳ 明朝" w:cs="Arial"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left"/>
    </w:pPr>
    <w:rPr>
      <w:rFonts w:ascii="Aptos" w:hAnsi="Aptos" w:eastAsia="ＭＳ 明朝" w:cs="Arial" w:asciiTheme="minorHAnsi" w:cstheme="minorBidi" w:eastAsiaTheme="minorEastAsia" w:hAnsiTheme="minorHAnsi"/>
      <w:color w:val="auto"/>
      <w:kern w:val="0"/>
      <w:sz w:val="24"/>
      <w:szCs w:val="24"/>
      <w:lang w:val="en-US" w:eastAsia="ja-JP" w:bidi="ar-SA"/>
    </w:rPr>
  </w:style>
  <w:style w:type="paragraph" w:styleId="Heading1">
    <w:name w:val="Heading 1"/>
    <w:basedOn w:val="Normal"/>
    <w:next w:val="Normal"/>
    <w:link w:val="Heading1Char"/>
    <w:uiPriority w:val="9"/>
    <w:qFormat/>
    <w:rsid w:val="002b183a"/>
    <w:pPr>
      <w:keepNext w:val="true"/>
      <w:keepLines/>
      <w:spacing w:before="240" w:after="0"/>
      <w:outlineLvl w:val="0"/>
    </w:pPr>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paragraph" w:styleId="Heading2" w:customStyle="1">
    <w:name w:val="Heading 2"/>
    <w:basedOn w:val="Normal"/>
    <w:qFormat/>
    <w:pPr>
      <w:keepNext w:val="true"/>
      <w:spacing w:before="240" w:after="80"/>
      <w:outlineLvl w:val="1"/>
    </w:pPr>
    <w:rPr>
      <w:rFonts w:ascii="Segoe UI" w:hAnsi="Segoe UI"/>
      <w:b/>
      <w:color w:val="0F4761"/>
      <w:sz w:val="26"/>
    </w:rPr>
  </w:style>
  <w:style w:type="paragraph" w:styleId="Heading3" w:customStyle="1">
    <w:name w:val="Heading 3"/>
    <w:basedOn w:val="Normal"/>
    <w:qFormat/>
    <w:pPr>
      <w:keepNext w:val="true"/>
      <w:spacing w:before="240" w:after="80"/>
      <w:outlineLvl w:val="2"/>
    </w:pPr>
    <w:rPr>
      <w:rFonts w:ascii="Segoe UI" w:hAnsi="Segoe UI"/>
      <w:b/>
      <w:color w:val="0F4761"/>
      <w:sz w:val="23"/>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7526c4"/>
    <w:rPr/>
  </w:style>
  <w:style w:type="character" w:styleId="FooterChar" w:customStyle="1">
    <w:name w:val="Footer Char"/>
    <w:basedOn w:val="DefaultParagraphFont"/>
    <w:link w:val="Footer"/>
    <w:uiPriority w:val="99"/>
    <w:qFormat/>
    <w:rsid w:val="007a4a03"/>
    <w:rPr/>
  </w:style>
  <w:style w:type="character" w:styleId="Heading1Char" w:customStyle="1">
    <w:name w:val="Heading 1 Char"/>
    <w:basedOn w:val="DefaultParagraphFont"/>
    <w:link w:val="Heading1"/>
    <w:uiPriority w:val="9"/>
    <w:qFormat/>
    <w:rsid w:val="002b183a"/>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character" w:styleId="Hyperlink">
    <w:name w:val="Hyperlink"/>
    <w:uiPriority w:val="99"/>
    <w:unhideWhenUsed/>
    <w:rsid w:val="002b183a"/>
    <w:rPr>
      <w:color w:val="0000FF"/>
      <w:u w:val="single"/>
    </w:rPr>
  </w:style>
  <w:style w:type="character" w:styleId="BookTitle">
    <w:name w:val="Book Title"/>
    <w:uiPriority w:val="33"/>
    <w:qFormat/>
    <w:rsid w:val="002b183a"/>
    <w:rPr>
      <w:b/>
      <w:bCs/>
      <w:i/>
      <w:iCs/>
      <w:spacing w:val="5"/>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1b9ac10c"/>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1b9ac10c"/>
    <w:pPr>
      <w:tabs>
        <w:tab w:val="clear" w:pos="720"/>
        <w:tab w:val="center" w:pos="4680" w:leader="none"/>
        <w:tab w:val="right" w:pos="9360" w:leader="none"/>
      </w:tabs>
      <w:spacing w:lineRule="auto" w:line="240" w:before="0" w:after="0"/>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2b183a"/>
    <w:pPr>
      <w:spacing w:lineRule="auto" w:line="276" w:before="480" w:after="0"/>
      <w:outlineLvl w:val="9"/>
    </w:pPr>
    <w:rPr>
      <w:rFonts w:ascii="Arial" w:hAnsi="Arial" w:eastAsia="Times New Roman" w:cs="Arial"/>
      <w:bCs/>
      <w:color w:themeColor="accent1" w:themeShade="bf" w:val="365F91"/>
      <w:sz w:val="28"/>
      <w:szCs w:val="28"/>
      <w:lang w:eastAsia="en-US"/>
    </w:rPr>
  </w:style>
  <w:style w:type="paragraph" w:styleId="TOC1">
    <w:name w:val="TOC 1"/>
    <w:basedOn w:val="Normal"/>
    <w:next w:val="Normal"/>
    <w:autoRedefine/>
    <w:uiPriority w:val="39"/>
    <w:unhideWhenUsed/>
    <w:qFormat/>
    <w:rsid w:val="002b183a"/>
    <w:pPr>
      <w:tabs>
        <w:tab w:val="clear" w:pos="720"/>
        <w:tab w:val="left" w:pos="900" w:leader="none"/>
        <w:tab w:val="right" w:pos="9350" w:leader="dot"/>
      </w:tabs>
      <w:spacing w:lineRule="auto" w:line="276" w:before="0" w:after="100"/>
      <w:jc w:val="both"/>
    </w:pPr>
    <w:rPr>
      <w:rFonts w:ascii="Segoe UI" w:hAnsi="Segoe UI" w:eastAsia="Times New Roman" w:cs="Times New Roman"/>
      <w:b/>
      <w:color w:val="101820"/>
      <w:sz w:val="20"/>
      <w:szCs w:val="22"/>
      <w:lang w:eastAsia="en-US"/>
    </w:rPr>
  </w:style>
  <w:style w:type="paragraph" w:styleId="TOC2" w:customStyle="1">
    <w:name w:val="TOC 2"/>
    <w:basedOn w:val="TOC1"/>
    <w:pPr>
      <w:ind w:left="340"/>
    </w:pPr>
    <w:rPr/>
  </w:style>
  <w:style w:type="paragraph" w:styleId="TOC3" w:customStyle="1">
    <w:name w:val="TOC 3"/>
    <w:basedOn w:val="TOC1"/>
    <w:pPr>
      <w:ind w:left="68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Relationship Id="rId12" Type="http://schemas.openxmlformats.org/officeDocument/2006/relationships/customXml" Target="../customXml/item2.xml"/><Relationship Id="rId13" Type="http://schemas.openxmlformats.org/officeDocument/2006/relationships/customXml" Target="../customXml/item3.xml"/><Relationship Id="rId14" Type="http://schemas.openxmlformats.org/officeDocument/2006/relationships/customXml" Target="../customXml/item4.xml"/>
</Relationships>
</file>

<file path=word/_rels/footer1.xml.rels><?xml version="1.0" encoding="UTF-8"?>
<Relationships xmlns="http://schemas.openxmlformats.org/package/2006/relationships"><Relationship Id="rId1" Type="http://schemas.openxmlformats.org/officeDocument/2006/relationships/image" Target="media/image4.png"/>
</Relationships>
</file>

<file path=word/_rels/footer2.xml.rels><?xml version="1.0" encoding="UTF-8"?>
<Relationships xmlns="http://schemas.openxmlformats.org/package/2006/relationships"><Relationship Id="rId1" Type="http://schemas.openxmlformats.org/officeDocument/2006/relationships/image" Target="media/image4.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B5F57171CF124DA305F5F2F2C90404" ma:contentTypeVersion="10" ma:contentTypeDescription="Create a new document." ma:contentTypeScope="" ma:versionID="5fc2ae173fd82ea9f4710d62b9055a3a">
  <xsd:schema xmlns:xsd="http://www.w3.org/2001/XMLSchema" xmlns:xs="http://www.w3.org/2001/XMLSchema" xmlns:p="http://schemas.microsoft.com/office/2006/metadata/properties" xmlns:ns3="fcd4fbc6-d149-41e6-b5a3-0f2dc7078962" targetNamespace="http://schemas.microsoft.com/office/2006/metadata/properties" ma:root="true" ma:fieldsID="47065ddf53e9fb8c6afaae7654624852" ns3:_="">
    <xsd:import namespace="fcd4fbc6-d149-41e6-b5a3-0f2dc707896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d4fbc6-d149-41e6-b5a3-0f2dc70789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fcd4fbc6-d149-41e6-b5a3-0f2dc7078962" xsi:nil="true"/>
  </documentManagement>
</p:properties>
</file>

<file path=customXml/itemProps1.xml><?xml version="1.0" encoding="utf-8"?>
<ds:datastoreItem xmlns:ds="http://schemas.openxmlformats.org/officeDocument/2006/customXml" ds:itemID="{C0CA43DA-C851-4C9F-AA9A-3B73EDF75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d4fbc6-d149-41e6-b5a3-0f2dc7078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CE9AF4-17E0-496B-86F7-DDAE56028FB6}">
  <ds:schemaRefs>
    <ds:schemaRef ds:uri="http://schemas.microsoft.com/sharepoint/v3/contenttype/forms"/>
  </ds:schemaRefs>
</ds:datastoreItem>
</file>

<file path=customXml/itemProps3.xml><?xml version="1.0" encoding="utf-8"?>
<ds:datastoreItem xmlns:ds="http://schemas.openxmlformats.org/officeDocument/2006/customXml" ds:itemID="{F85506AB-341E-4DB7-9E6C-94E21EE12267}">
  <ds:schemaRefs>
    <ds:schemaRef ds:uri="http://schemas.openxmlformats.org/officeDocument/2006/bibliography"/>
  </ds:schemaRefs>
</ds:datastoreItem>
</file>

<file path=customXml/itemProps4.xml><?xml version="1.0" encoding="utf-8"?>
<ds:datastoreItem xmlns:ds="http://schemas.openxmlformats.org/officeDocument/2006/customXml" ds:itemID="{FCAF19BD-2A20-432E-A6D3-31F36EF57940}">
  <ds:schemaRefs>
    <ds:schemaRef ds:uri="http://schemas.microsoft.com/office/2006/metadata/properties"/>
    <ds:schemaRef ds:uri="http://schemas.microsoft.com/office/infopath/2007/PartnerControls"/>
    <ds:schemaRef ds:uri="fcd4fbc6-d149-41e6-b5a3-0f2dc7078962"/>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LibreOffice/24.2.7.2$Linux_X86_64 LibreOffice_project/420$Build-2</Application>
  <AppVersion>15.0000</AppVersion>
  <Pages>8</Pages>
  <Words>812</Words>
  <Characters>4634</Characters>
  <CharactersWithSpaces>5436</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2026-06-24T05:58:00Z</dcterms:created>
  <dc:creator>Andrew R</dc:creator>
  <dc:description/>
  <dc:language>en-US</dc:language>
  <cp:lastModifiedBy/>
  <dcterms:modified xsi:type="dcterms:W3CDTF">2026-10-03T20:25:10Z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0x01010010B5F57171CF124DA305F5F2F2C90404</vt:lpwstr>
  </property>
</Properties>
</file>