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Under RA 10173 and NPC rules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Under RA 10173 and NPC rules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3567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63569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63571_4195859891">
            <w:r>
              <w:rPr>
                <w:webHidden/>
                <w:rStyle w:val="IndexLink"/>
              </w:rPr>
              <w:t>3. About this template</w:t>
              <w:tab/>
              <w:t>5</w:t>
            </w:r>
          </w:hyperlink>
        </w:p>
        <w:p>
          <w:pPr>
            <w:pStyle w:val="TOC1"/>
            <w:tabs>
              <w:tab w:val="clear" w:pos="900"/>
              <w:tab w:val="clear" w:pos="9350"/>
              <w:tab w:val="right" w:pos="9025" w:leader="dot"/>
            </w:tabs>
            <w:rPr/>
          </w:pPr>
          <w:hyperlink w:anchor="__RefHeading___Toc163573_4195859891">
            <w:r>
              <w:rPr>
                <w:webHidden/>
                <w:rStyle w:val="IndexLink"/>
              </w:rPr>
              <w:t>4. Parties and roles</w:t>
              <w:tab/>
              <w:t>6</w:t>
            </w:r>
          </w:hyperlink>
        </w:p>
        <w:p>
          <w:pPr>
            <w:pStyle w:val="TOC2"/>
            <w:tabs>
              <w:tab w:val="clear" w:pos="900"/>
              <w:tab w:val="clear" w:pos="9350"/>
              <w:tab w:val="right" w:pos="9025" w:leader="dot"/>
            </w:tabs>
            <w:rPr/>
          </w:pPr>
          <w:hyperlink w:anchor="__RefHeading___Toc163575_4195859891">
            <w:r>
              <w:rPr>
                <w:webHidden/>
                <w:rStyle w:val="IndexLink"/>
              </w:rPr>
              <w:t>4.1 Parties</w:t>
              <w:tab/>
              <w:t>6</w:t>
            </w:r>
          </w:hyperlink>
        </w:p>
        <w:p>
          <w:pPr>
            <w:pStyle w:val="TOC2"/>
            <w:tabs>
              <w:tab w:val="clear" w:pos="900"/>
              <w:tab w:val="clear" w:pos="9350"/>
              <w:tab w:val="right" w:pos="9025" w:leader="dot"/>
            </w:tabs>
            <w:rPr/>
          </w:pPr>
          <w:hyperlink w:anchor="__RefHeading___Toc163577_4195859891">
            <w:r>
              <w:rPr>
                <w:webHidden/>
                <w:rStyle w:val="IndexLink"/>
              </w:rPr>
              <w:t>4.2 Roles</w:t>
              <w:tab/>
              <w:t>6</w:t>
            </w:r>
          </w:hyperlink>
        </w:p>
        <w:p>
          <w:pPr>
            <w:pStyle w:val="TOC1"/>
            <w:tabs>
              <w:tab w:val="clear" w:pos="900"/>
              <w:tab w:val="clear" w:pos="9350"/>
              <w:tab w:val="right" w:pos="9025" w:leader="dot"/>
            </w:tabs>
            <w:rPr/>
          </w:pPr>
          <w:hyperlink w:anchor="__RefHeading___Toc163579_4195859891">
            <w:r>
              <w:rPr>
                <w:webHidden/>
                <w:rStyle w:val="IndexLink"/>
              </w:rPr>
              <w:t>5. Definitions</w:t>
              <w:tab/>
              <w:t>7</w:t>
            </w:r>
          </w:hyperlink>
        </w:p>
        <w:p>
          <w:pPr>
            <w:pStyle w:val="TOC1"/>
            <w:tabs>
              <w:tab w:val="clear" w:pos="900"/>
              <w:tab w:val="clear" w:pos="9350"/>
              <w:tab w:val="right" w:pos="9025" w:leader="dot"/>
            </w:tabs>
            <w:rPr/>
          </w:pPr>
          <w:hyperlink w:anchor="__RefHeading___Toc163581_4195859891">
            <w:r>
              <w:rPr>
                <w:webHidden/>
                <w:rStyle w:val="IndexLink"/>
              </w:rPr>
              <w:t>6. Subject matter of the processing</w:t>
              <w:tab/>
              <w:t>8</w:t>
            </w:r>
          </w:hyperlink>
        </w:p>
        <w:p>
          <w:pPr>
            <w:pStyle w:val="TOC1"/>
            <w:tabs>
              <w:tab w:val="clear" w:pos="900"/>
              <w:tab w:val="clear" w:pos="9350"/>
              <w:tab w:val="right" w:pos="9025" w:leader="dot"/>
            </w:tabs>
            <w:rPr/>
          </w:pPr>
          <w:hyperlink w:anchor="__RefHeading___Toc163583_4195859891">
            <w:r>
              <w:rPr>
                <w:webHidden/>
                <w:rStyle w:val="IndexLink"/>
              </w:rPr>
              <w:t>7. Obligations of the Processor</w:t>
              <w:tab/>
              <w:t>9</w:t>
            </w:r>
          </w:hyperlink>
        </w:p>
        <w:p>
          <w:pPr>
            <w:pStyle w:val="TOC2"/>
            <w:tabs>
              <w:tab w:val="clear" w:pos="900"/>
              <w:tab w:val="clear" w:pos="9350"/>
              <w:tab w:val="right" w:pos="9025" w:leader="dot"/>
            </w:tabs>
            <w:rPr/>
          </w:pPr>
          <w:hyperlink w:anchor="__RefHeading___Toc163585_4195859891">
            <w:r>
              <w:rPr>
                <w:webHidden/>
                <w:rStyle w:val="IndexLink"/>
              </w:rPr>
              <w:t>7.1 Instructions</w:t>
              <w:tab/>
              <w:t>9</w:t>
            </w:r>
          </w:hyperlink>
        </w:p>
        <w:p>
          <w:pPr>
            <w:pStyle w:val="TOC2"/>
            <w:tabs>
              <w:tab w:val="clear" w:pos="900"/>
              <w:tab w:val="clear" w:pos="9350"/>
              <w:tab w:val="right" w:pos="9025" w:leader="dot"/>
            </w:tabs>
            <w:rPr/>
          </w:pPr>
          <w:hyperlink w:anchor="__RefHeading___Toc163587_4195859891">
            <w:r>
              <w:rPr>
                <w:webHidden/>
                <w:rStyle w:val="IndexLink"/>
              </w:rPr>
              <w:t>7.2 Confidentiality</w:t>
              <w:tab/>
              <w:t>9</w:t>
            </w:r>
          </w:hyperlink>
        </w:p>
        <w:p>
          <w:pPr>
            <w:pStyle w:val="TOC2"/>
            <w:tabs>
              <w:tab w:val="clear" w:pos="900"/>
              <w:tab w:val="clear" w:pos="9350"/>
              <w:tab w:val="right" w:pos="9025" w:leader="dot"/>
            </w:tabs>
            <w:rPr/>
          </w:pPr>
          <w:hyperlink w:anchor="__RefHeading___Toc163589_4195859891">
            <w:r>
              <w:rPr>
                <w:webHidden/>
                <w:rStyle w:val="IndexLink"/>
              </w:rPr>
              <w:t>7.3 Security</w:t>
              <w:tab/>
              <w:t>9</w:t>
            </w:r>
          </w:hyperlink>
        </w:p>
        <w:p>
          <w:pPr>
            <w:pStyle w:val="TOC2"/>
            <w:tabs>
              <w:tab w:val="clear" w:pos="900"/>
              <w:tab w:val="clear" w:pos="9350"/>
              <w:tab w:val="right" w:pos="9025" w:leader="dot"/>
            </w:tabs>
            <w:rPr/>
          </w:pPr>
          <w:hyperlink w:anchor="__RefHeading___Toc163591_4195859891">
            <w:r>
              <w:rPr>
                <w:webHidden/>
                <w:rStyle w:val="IndexLink"/>
              </w:rPr>
              <w:t>7.4 Sub-processors</w:t>
              <w:tab/>
              <w:t>9</w:t>
            </w:r>
          </w:hyperlink>
        </w:p>
        <w:p>
          <w:pPr>
            <w:pStyle w:val="TOC2"/>
            <w:tabs>
              <w:tab w:val="clear" w:pos="900"/>
              <w:tab w:val="clear" w:pos="9350"/>
              <w:tab w:val="right" w:pos="9025" w:leader="dot"/>
            </w:tabs>
            <w:rPr/>
          </w:pPr>
          <w:hyperlink w:anchor="__RefHeading___Toc163593_4195859891">
            <w:r>
              <w:rPr>
                <w:webHidden/>
                <w:rStyle w:val="IndexLink"/>
              </w:rPr>
              <w:t>7.5 Assistance</w:t>
              <w:tab/>
              <w:t>9</w:t>
            </w:r>
          </w:hyperlink>
        </w:p>
        <w:p>
          <w:pPr>
            <w:pStyle w:val="TOC2"/>
            <w:tabs>
              <w:tab w:val="clear" w:pos="900"/>
              <w:tab w:val="clear" w:pos="9350"/>
              <w:tab w:val="right" w:pos="9025" w:leader="dot"/>
            </w:tabs>
            <w:rPr/>
          </w:pPr>
          <w:hyperlink w:anchor="__RefHeading___Toc163595_4195859891">
            <w:r>
              <w:rPr>
                <w:webHidden/>
                <w:rStyle w:val="IndexLink"/>
              </w:rPr>
              <w:t>7.6 Records</w:t>
              <w:tab/>
              <w:t>10</w:t>
            </w:r>
          </w:hyperlink>
        </w:p>
        <w:p>
          <w:pPr>
            <w:pStyle w:val="TOC1"/>
            <w:tabs>
              <w:tab w:val="clear" w:pos="900"/>
              <w:tab w:val="clear" w:pos="9350"/>
              <w:tab w:val="right" w:pos="9025" w:leader="dot"/>
            </w:tabs>
            <w:rPr/>
          </w:pPr>
          <w:hyperlink w:anchor="__RefHeading___Toc163597_4195859891">
            <w:r>
              <w:rPr>
                <w:webHidden/>
                <w:rStyle w:val="IndexLink"/>
              </w:rPr>
              <w:t>8. Personal data breach</w:t>
              <w:tab/>
              <w:t>11</w:t>
            </w:r>
          </w:hyperlink>
        </w:p>
        <w:p>
          <w:pPr>
            <w:pStyle w:val="TOC2"/>
            <w:tabs>
              <w:tab w:val="clear" w:pos="900"/>
              <w:tab w:val="clear" w:pos="9350"/>
              <w:tab w:val="right" w:pos="9025" w:leader="dot"/>
            </w:tabs>
            <w:rPr/>
          </w:pPr>
          <w:hyperlink w:anchor="__RefHeading___Toc163599_4195859891">
            <w:r>
              <w:rPr>
                <w:webHidden/>
                <w:rStyle w:val="IndexLink"/>
              </w:rPr>
              <w:t>8.1 Notification to the Controller</w:t>
              <w:tab/>
              <w:t>11</w:t>
            </w:r>
          </w:hyperlink>
        </w:p>
        <w:p>
          <w:pPr>
            <w:pStyle w:val="TOC2"/>
            <w:tabs>
              <w:tab w:val="clear" w:pos="900"/>
              <w:tab w:val="clear" w:pos="9350"/>
              <w:tab w:val="right" w:pos="9025" w:leader="dot"/>
            </w:tabs>
            <w:rPr/>
          </w:pPr>
          <w:hyperlink w:anchor="__RefHeading___Toc163601_4195859891">
            <w:r>
              <w:rPr>
                <w:webHidden/>
                <w:rStyle w:val="IndexLink"/>
              </w:rPr>
              <w:t>8.2 Notification to the NPC and data subjects</w:t>
              <w:tab/>
              <w:t>11</w:t>
            </w:r>
          </w:hyperlink>
        </w:p>
        <w:p>
          <w:pPr>
            <w:pStyle w:val="TOC2"/>
            <w:tabs>
              <w:tab w:val="clear" w:pos="900"/>
              <w:tab w:val="clear" w:pos="9350"/>
              <w:tab w:val="right" w:pos="9025" w:leader="dot"/>
            </w:tabs>
            <w:rPr/>
          </w:pPr>
          <w:hyperlink w:anchor="__RefHeading___Toc163603_4195859891">
            <w:r>
              <w:rPr>
                <w:webHidden/>
                <w:rStyle w:val="IndexLink"/>
              </w:rPr>
              <w:t>8.3 Containment and evidence</w:t>
              <w:tab/>
              <w:t>11</w:t>
            </w:r>
          </w:hyperlink>
        </w:p>
        <w:p>
          <w:pPr>
            <w:pStyle w:val="TOC2"/>
            <w:tabs>
              <w:tab w:val="clear" w:pos="900"/>
              <w:tab w:val="clear" w:pos="9350"/>
              <w:tab w:val="right" w:pos="9025" w:leader="dot"/>
            </w:tabs>
            <w:rPr/>
          </w:pPr>
          <w:hyperlink w:anchor="__RefHeading___Toc163605_4195859891">
            <w:r>
              <w:rPr>
                <w:webHidden/>
                <w:rStyle w:val="IndexLink"/>
              </w:rPr>
              <w:t>8.4 Costs</w:t>
              <w:tab/>
              <w:t>11</w:t>
            </w:r>
          </w:hyperlink>
        </w:p>
        <w:p>
          <w:pPr>
            <w:pStyle w:val="TOC1"/>
            <w:tabs>
              <w:tab w:val="clear" w:pos="900"/>
              <w:tab w:val="clear" w:pos="9350"/>
              <w:tab w:val="right" w:pos="9025" w:leader="dot"/>
            </w:tabs>
            <w:rPr/>
          </w:pPr>
          <w:hyperlink w:anchor="__RefHeading___Toc163607_4195859891">
            <w:r>
              <w:rPr>
                <w:webHidden/>
                <w:rStyle w:val="IndexLink"/>
              </w:rPr>
              <w:t>9. Data subject requests</w:t>
              <w:tab/>
              <w:t>12</w:t>
            </w:r>
          </w:hyperlink>
        </w:p>
        <w:p>
          <w:pPr>
            <w:pStyle w:val="TOC1"/>
            <w:tabs>
              <w:tab w:val="clear" w:pos="900"/>
              <w:tab w:val="clear" w:pos="9350"/>
              <w:tab w:val="right" w:pos="9025" w:leader="dot"/>
            </w:tabs>
            <w:rPr/>
          </w:pPr>
          <w:hyperlink w:anchor="__RefHeading___Toc163609_4195859891">
            <w:r>
              <w:rPr>
                <w:webHidden/>
                <w:rStyle w:val="IndexLink"/>
              </w:rPr>
              <w:t>10. Audits</w:t>
              <w:tab/>
              <w:t>13</w:t>
            </w:r>
          </w:hyperlink>
        </w:p>
        <w:p>
          <w:pPr>
            <w:pStyle w:val="TOC1"/>
            <w:tabs>
              <w:tab w:val="clear" w:pos="900"/>
              <w:tab w:val="clear" w:pos="9350"/>
              <w:tab w:val="right" w:pos="9025" w:leader="dot"/>
            </w:tabs>
            <w:rPr/>
          </w:pPr>
          <w:hyperlink w:anchor="__RefHeading___Toc163611_4195859891">
            <w:r>
              <w:rPr>
                <w:webHidden/>
                <w:rStyle w:val="IndexLink"/>
              </w:rPr>
              <w:t>11. Transfers outside the Philippines</w:t>
              <w:tab/>
              <w:t>14</w:t>
            </w:r>
          </w:hyperlink>
        </w:p>
        <w:p>
          <w:pPr>
            <w:pStyle w:val="TOC1"/>
            <w:tabs>
              <w:tab w:val="clear" w:pos="900"/>
              <w:tab w:val="clear" w:pos="9350"/>
              <w:tab w:val="right" w:pos="9025" w:leader="dot"/>
            </w:tabs>
            <w:rPr/>
          </w:pPr>
          <w:hyperlink w:anchor="__RefHeading___Toc163613_4195859891">
            <w:r>
              <w:rPr>
                <w:webHidden/>
                <w:rStyle w:val="IndexLink"/>
              </w:rPr>
              <w:t>12. Return and deletion</w:t>
              <w:tab/>
              <w:t>15</w:t>
            </w:r>
          </w:hyperlink>
        </w:p>
        <w:p>
          <w:pPr>
            <w:pStyle w:val="TOC1"/>
            <w:tabs>
              <w:tab w:val="clear" w:pos="900"/>
              <w:tab w:val="clear" w:pos="9350"/>
              <w:tab w:val="right" w:pos="9025" w:leader="dot"/>
            </w:tabs>
            <w:rPr/>
          </w:pPr>
          <w:hyperlink w:anchor="__RefHeading___Toc163615_4195859891">
            <w:r>
              <w:rPr>
                <w:webHidden/>
                <w:rStyle w:val="IndexLink"/>
              </w:rPr>
              <w:t>13. Controller obligations</w:t>
              <w:tab/>
              <w:t>16</w:t>
            </w:r>
          </w:hyperlink>
        </w:p>
        <w:p>
          <w:pPr>
            <w:pStyle w:val="TOC1"/>
            <w:tabs>
              <w:tab w:val="clear" w:pos="900"/>
              <w:tab w:val="clear" w:pos="9350"/>
              <w:tab w:val="right" w:pos="9025" w:leader="dot"/>
            </w:tabs>
            <w:rPr/>
          </w:pPr>
          <w:hyperlink w:anchor="__RefHeading___Toc163617_4195859891">
            <w:r>
              <w:rPr>
                <w:webHidden/>
                <w:rStyle w:val="IndexLink"/>
              </w:rPr>
              <w:t>14. Liability and term</w:t>
              <w:tab/>
              <w:t>17</w:t>
            </w:r>
          </w:hyperlink>
        </w:p>
        <w:p>
          <w:pPr>
            <w:pStyle w:val="TOC1"/>
            <w:tabs>
              <w:tab w:val="clear" w:pos="900"/>
              <w:tab w:val="clear" w:pos="9350"/>
              <w:tab w:val="right" w:pos="9025" w:leader="dot"/>
            </w:tabs>
            <w:rPr/>
          </w:pPr>
          <w:hyperlink w:anchor="__RefHeading___Toc163619_4195859891">
            <w:r>
              <w:rPr>
                <w:webHidden/>
                <w:rStyle w:val="IndexLink"/>
              </w:rPr>
              <w:t>15. Signatures</w:t>
              <w:tab/>
              <w:t>18</w:t>
            </w:r>
          </w:hyperlink>
        </w:p>
        <w:p>
          <w:pPr>
            <w:pStyle w:val="TOC1"/>
            <w:tabs>
              <w:tab w:val="clear" w:pos="900"/>
              <w:tab w:val="clear" w:pos="9350"/>
              <w:tab w:val="right" w:pos="9025" w:leader="dot"/>
            </w:tabs>
            <w:rPr/>
          </w:pPr>
          <w:hyperlink w:anchor="__RefHeading___Toc163621_4195859891">
            <w:r>
              <w:rPr>
                <w:webHidden/>
                <w:rStyle w:val="IndexLink"/>
              </w:rPr>
              <w:t>16. Annex 1: description of the processing</w:t>
              <w:tab/>
              <w:t>19</w:t>
            </w:r>
          </w:hyperlink>
        </w:p>
        <w:p>
          <w:pPr>
            <w:pStyle w:val="TOC2"/>
            <w:tabs>
              <w:tab w:val="clear" w:pos="900"/>
              <w:tab w:val="clear" w:pos="9350"/>
              <w:tab w:val="right" w:pos="9025" w:leader="dot"/>
            </w:tabs>
            <w:rPr/>
          </w:pPr>
          <w:hyperlink w:anchor="__RefHeading___Toc163623_4195859891">
            <w:r>
              <w:rPr>
                <w:webHidden/>
                <w:rStyle w:val="IndexLink"/>
              </w:rPr>
              <w:t>16.1 Purpose and nature</w:t>
              <w:tab/>
              <w:t>19</w:t>
            </w:r>
          </w:hyperlink>
        </w:p>
        <w:p>
          <w:pPr>
            <w:pStyle w:val="TOC2"/>
            <w:tabs>
              <w:tab w:val="clear" w:pos="900"/>
              <w:tab w:val="clear" w:pos="9350"/>
              <w:tab w:val="right" w:pos="9025" w:leader="dot"/>
            </w:tabs>
            <w:rPr/>
          </w:pPr>
          <w:hyperlink w:anchor="__RefHeading___Toc163625_4195859891">
            <w:r>
              <w:rPr>
                <w:webHidden/>
                <w:rStyle w:val="IndexLink"/>
              </w:rPr>
              <w:t>16.2 Data subjects and Personal Data</w:t>
              <w:tab/>
              <w:t>19</w:t>
            </w:r>
          </w:hyperlink>
        </w:p>
        <w:p>
          <w:pPr>
            <w:pStyle w:val="TOC1"/>
            <w:tabs>
              <w:tab w:val="clear" w:pos="900"/>
              <w:tab w:val="clear" w:pos="9350"/>
              <w:tab w:val="right" w:pos="9025" w:leader="dot"/>
            </w:tabs>
            <w:rPr/>
          </w:pPr>
          <w:hyperlink w:anchor="__RefHeading___Toc163627_4195859891">
            <w:r>
              <w:rPr>
                <w:webHidden/>
                <w:rStyle w:val="IndexLink"/>
              </w:rPr>
              <w:t>17. Annex 2: security measures</w:t>
              <w:tab/>
              <w:t>20</w:t>
            </w:r>
          </w:hyperlink>
        </w:p>
        <w:p>
          <w:pPr>
            <w:pStyle w:val="TOC2"/>
            <w:tabs>
              <w:tab w:val="clear" w:pos="900"/>
              <w:tab w:val="clear" w:pos="9350"/>
              <w:tab w:val="right" w:pos="9025" w:leader="dot"/>
            </w:tabs>
            <w:rPr/>
          </w:pPr>
          <w:hyperlink w:anchor="__RefHeading___Toc163629_4195859891">
            <w:r>
              <w:rPr>
                <w:webHidden/>
                <w:rStyle w:val="IndexLink"/>
              </w:rPr>
              <w:t>17.1 Organisational</w:t>
              <w:tab/>
              <w:t>20</w:t>
            </w:r>
          </w:hyperlink>
        </w:p>
        <w:p>
          <w:pPr>
            <w:pStyle w:val="TOC2"/>
            <w:tabs>
              <w:tab w:val="clear" w:pos="900"/>
              <w:tab w:val="clear" w:pos="9350"/>
              <w:tab w:val="right" w:pos="9025" w:leader="dot"/>
            </w:tabs>
            <w:rPr/>
          </w:pPr>
          <w:hyperlink w:anchor="__RefHeading___Toc163631_4195859891">
            <w:r>
              <w:rPr>
                <w:webHidden/>
                <w:rStyle w:val="IndexLink"/>
              </w:rPr>
              <w:t>17.2 Physical</w:t>
              <w:tab/>
              <w:t>20</w:t>
            </w:r>
          </w:hyperlink>
        </w:p>
        <w:p>
          <w:pPr>
            <w:pStyle w:val="TOC2"/>
            <w:tabs>
              <w:tab w:val="clear" w:pos="900"/>
              <w:tab w:val="clear" w:pos="9350"/>
              <w:tab w:val="right" w:pos="9025" w:leader="dot"/>
            </w:tabs>
            <w:rPr/>
          </w:pPr>
          <w:hyperlink w:anchor="__RefHeading___Toc163633_4195859891">
            <w:r>
              <w:rPr>
                <w:webHidden/>
                <w:rStyle w:val="IndexLink"/>
              </w:rPr>
              <w:t>17.3 Technical (application)</w:t>
              <w:tab/>
              <w:t>20</w:t>
            </w:r>
          </w:hyperlink>
        </w:p>
        <w:p>
          <w:pPr>
            <w:pStyle w:val="TOC2"/>
            <w:tabs>
              <w:tab w:val="clear" w:pos="900"/>
              <w:tab w:val="clear" w:pos="9350"/>
              <w:tab w:val="right" w:pos="9025" w:leader="dot"/>
            </w:tabs>
            <w:rPr/>
          </w:pPr>
          <w:hyperlink w:anchor="__RefHeading___Toc163635_4195859891">
            <w:r>
              <w:rPr>
                <w:webHidden/>
                <w:rStyle w:val="IndexLink"/>
              </w:rPr>
              <w:t>17.4 Technical (infrastructure, where the Processor hosts)</w:t>
              <w:tab/>
              <w:t>20</w:t>
            </w:r>
          </w:hyperlink>
        </w:p>
        <w:p>
          <w:pPr>
            <w:pStyle w:val="TOC1"/>
            <w:tabs>
              <w:tab w:val="clear" w:pos="900"/>
              <w:tab w:val="clear" w:pos="9350"/>
              <w:tab w:val="right" w:pos="9025" w:leader="dot"/>
            </w:tabs>
            <w:rPr/>
          </w:pPr>
          <w:hyperlink w:anchor="__RefHeading___Toc163637_4195859891">
            <w:r>
              <w:rPr>
                <w:webHidden/>
                <w:rStyle w:val="IndexLink"/>
              </w:rPr>
              <w:t>18. Annex 3: authorised sub-processors</w:t>
              <w:tab/>
              <w:t>22</w:t>
            </w:r>
          </w:hyperlink>
        </w:p>
        <w:p>
          <w:pPr>
            <w:pStyle w:val="TOC1"/>
            <w:tabs>
              <w:tab w:val="clear" w:pos="900"/>
              <w:tab w:val="clear" w:pos="9350"/>
              <w:tab w:val="right" w:pos="9025" w:leader="dot"/>
            </w:tabs>
            <w:rPr/>
          </w:pPr>
          <w:hyperlink w:anchor="__RefHeading___Toc163639_4195859891">
            <w:r>
              <w:rPr>
                <w:webHidden/>
                <w:rStyle w:val="IndexLink"/>
                <w:i w:val="false"/>
                <w:iCs w:val="false"/>
              </w:rPr>
              <w:t>19.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3567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3569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3571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Data Processing Agreement (the </w:t>
      </w:r>
      <w:r>
        <w:rPr>
          <w:rFonts w:eastAsia="Segoe UI" w:cs="Segoe UI" w:ascii="Segoe UI" w:hAnsi="Segoe UI"/>
          <w:b/>
          <w:color w:val="101820"/>
          <w:sz w:val="21"/>
        </w:rPr>
        <w:t>Agreement</w:t>
      </w:r>
      <w:r>
        <w:rPr>
          <w:rFonts w:eastAsia="Segoe UI" w:cs="Segoe UI" w:ascii="Segoe UI" w:hAnsi="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eastAsia="Segoe UI" w:cs="Segoe UI" w:ascii="Segoe UI" w:hAnsi="Segoe UI"/>
          <w:b/>
          <w:color w:val="101820"/>
          <w:sz w:val="21"/>
        </w:rPr>
        <w:t>DPA</w:t>
      </w:r>
      <w:r>
        <w:rPr>
          <w:rFonts w:eastAsia="Segoe UI" w:cs="Segoe UI" w:ascii="Segoe UI" w:hAnsi="Segoe UI"/>
          <w:color w:val="101820"/>
          <w:sz w:val="21"/>
        </w:rPr>
        <w:t xml:space="preserve">), its Implementing Rules and Regulations (the </w:t>
      </w:r>
      <w:r>
        <w:rPr>
          <w:rFonts w:eastAsia="Segoe UI" w:cs="Segoe UI" w:ascii="Segoe UI" w:hAnsi="Segoe UI"/>
          <w:b/>
          <w:color w:val="101820"/>
          <w:sz w:val="21"/>
        </w:rPr>
        <w:t>IRR</w:t>
      </w:r>
      <w:r>
        <w:rPr>
          <w:rFonts w:eastAsia="Segoe UI" w:cs="Segoe UI" w:ascii="Segoe UI" w:hAnsi="Segoe UI"/>
          <w:color w:val="101820"/>
          <w:sz w:val="21"/>
        </w:rPr>
        <w:t xml:space="preserve">) and the issuances of the National Privacy Commission (the </w:t>
      </w:r>
      <w:r>
        <w:rPr>
          <w:rFonts w:eastAsia="Segoe UI" w:cs="Segoe UI" w:ascii="Segoe UI" w:hAnsi="Segoe UI"/>
          <w:b/>
          <w:color w:val="101820"/>
          <w:sz w:val="21"/>
        </w:rPr>
        <w:t>NPC</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and of every Order Form under which iorta TechNXT processes personal data. Text in [square brackets] is a placeholder or an option. The Parties' data protection officers should review the current NPC issuances before signature.</w:t>
      </w:r>
      <w:r>
        <w:br w:type="page"/>
      </w:r>
    </w:p>
    <w:p>
      <w:pPr>
        <w:pStyle w:val="Heading1"/>
        <w:rPr/>
      </w:pPr>
      <w:bookmarkStart w:id="7" w:name="__RefHeading___Toc163573_4195859891"/>
      <w:bookmarkEnd w:id="7"/>
      <w:r>
        <w:rPr>
          <w:rFonts w:eastAsia="Segoe UI" w:cs="Segoe UI" w:ascii="Segoe UI" w:hAnsi="Segoe UI"/>
          <w:b/>
          <w:color w:val="0F4761"/>
          <w:sz w:val="32"/>
        </w:rPr>
        <w:t>4.  Parties and roles</w:t>
      </w:r>
    </w:p>
    <w:p>
      <w:pPr>
        <w:pStyle w:val="Heading2"/>
        <w:rPr/>
      </w:pPr>
      <w:bookmarkStart w:id="8" w:name="__RefHeading___Toc163575_4195859891"/>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Agreement is made on [date] between:</w:t>
      </w:r>
    </w:p>
    <w:p>
      <w:pPr>
        <w:pStyle w:val="Normal"/>
        <w:numPr>
          <w:ilvl w:val="0"/>
          <w:numId w:val="15"/>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Controller</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Processor</w:t>
      </w:r>
      <w:r>
        <w:rPr>
          <w:rFonts w:eastAsia="Segoe UI" w:cs="Segoe UI" w:ascii="Segoe UI" w:hAnsi="Segoe UI"/>
          <w:color w:val="101820"/>
          <w:sz w:val="21"/>
        </w:rPr>
        <w:t>).</w:t>
      </w:r>
    </w:p>
    <w:p>
      <w:pPr>
        <w:pStyle w:val="Heading2"/>
        <w:rPr/>
      </w:pPr>
      <w:bookmarkStart w:id="9" w:name="__RefHeading___Toc163577_4195859891"/>
      <w:bookmarkEnd w:id="9"/>
      <w:r>
        <w:rPr>
          <w:rFonts w:eastAsia="Segoe UI" w:cs="Segoe UI"/>
          <w:b/>
          <w:color w:val="0F4761"/>
          <w:sz w:val="26"/>
        </w:rPr>
        <w:t>4.2  Roles</w:t>
      </w:r>
    </w:p>
    <w:p>
      <w:pPr>
        <w:pStyle w:val="Normal"/>
        <w:numPr>
          <w:ilvl w:val="0"/>
          <w:numId w:val="16"/>
        </w:numPr>
        <w:spacing w:before="0" w:after="60"/>
        <w:rPr/>
      </w:pPr>
      <w:r>
        <w:rPr>
          <w:rFonts w:eastAsia="Segoe UI" w:cs="Segoe UI" w:ascii="Segoe UI" w:hAnsi="Segoe UI"/>
          <w:color w:val="101820"/>
          <w:sz w:val="21"/>
        </w:rPr>
        <w:t>The Controller is the personal information controller. It decides the purposes and means of the processing of personal data of its prospects, clients, claimants, payees, referrers and staff in iNXT BrokerVerse.</w:t>
      </w:r>
    </w:p>
    <w:p>
      <w:pPr>
        <w:pStyle w:val="Normal"/>
        <w:numPr>
          <w:ilvl w:val="0"/>
          <w:numId w:val="17"/>
        </w:numPr>
        <w:spacing w:before="0" w:after="60"/>
        <w:rPr/>
      </w:pPr>
      <w:r>
        <w:rPr>
          <w:rFonts w:eastAsia="Segoe UI" w:cs="Segoe UI" w:ascii="Segoe UI" w:hAnsi="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pStyle w:val="Normal"/>
        <w:numPr>
          <w:ilvl w:val="0"/>
          <w:numId w:val="18"/>
        </w:numPr>
        <w:spacing w:before="0" w:after="60"/>
        <w:rPr/>
      </w:pPr>
      <w:r>
        <w:rPr>
          <w:rFonts w:eastAsia="Segoe UI" w:cs="Segoe UI" w:ascii="Segoe UI" w:hAnsi="Segoe UI"/>
          <w:color w:val="101820"/>
          <w:sz w:val="21"/>
        </w:rPr>
        <w:t>The cloud or data centre provider used for hosting, and any other party listed in Annex 3, is a sub-processor of the Processor.</w:t>
      </w:r>
    </w:p>
    <w:p>
      <w:pPr>
        <w:pStyle w:val="Normal"/>
        <w:numPr>
          <w:ilvl w:val="0"/>
          <w:numId w:val="19"/>
        </w:numPr>
        <w:spacing w:before="0" w:after="60"/>
        <w:rPr/>
      </w:pPr>
      <w:r>
        <w:rPr>
          <w:rFonts w:eastAsia="Segoe UI" w:cs="Segoe UI" w:ascii="Segoe UI" w:hAnsi="Segoe UI"/>
          <w:color w:val="101820"/>
          <w:sz w:val="21"/>
        </w:rPr>
        <w:t>Insurers, reinsurers, payment gateways and banks that receive personal data from the Controller are separate controllers or processors under the Controller's own agreements with them, and are not sub-processors of the Processor.</w:t>
      </w:r>
      <w:r>
        <w:br w:type="page"/>
      </w:r>
    </w:p>
    <w:p>
      <w:pPr>
        <w:pStyle w:val="Heading1"/>
        <w:rPr/>
      </w:pPr>
      <w:bookmarkStart w:id="10" w:name="__RefHeading___Toc163579_4195859891"/>
      <w:bookmarkEnd w:id="10"/>
      <w:r>
        <w:rPr>
          <w:rFonts w:eastAsia="Segoe UI" w:cs="Segoe UI" w:ascii="Segoe UI" w:hAnsi="Segoe UI"/>
          <w:b/>
          <w:color w:val="0F4761"/>
          <w:sz w:val="32"/>
        </w:rPr>
        <w:t>5.  Definitions</w:t>
      </w:r>
    </w:p>
    <w:p>
      <w:pPr>
        <w:pStyle w:val="Normal"/>
        <w:spacing w:lineRule="auto" w:line="276" w:before="0" w:after="120"/>
        <w:rPr/>
      </w:pPr>
      <w:r>
        <w:rPr>
          <w:rFonts w:eastAsia="Segoe UI" w:cs="Segoe UI" w:ascii="Segoe UI" w:hAnsi="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eastAsia="Segoe UI" w:cs="Segoe UI" w:ascii="Segoe UI" w:hAnsi="Segoe UI"/>
          <w:b/>
          <w:color w:val="101820"/>
          <w:sz w:val="21"/>
        </w:rPr>
        <w:t>Personal Data</w:t>
      </w:r>
      <w:r>
        <w:rPr>
          <w:rFonts w:eastAsia="Segoe UI" w:cs="Segoe UI" w:ascii="Segoe UI" w:hAnsi="Segoe UI"/>
          <w:color w:val="101820"/>
          <w:sz w:val="21"/>
        </w:rPr>
        <w:t xml:space="preserve"> means any of those categories of information processed by the Processor under this Agreement. </w:t>
      </w:r>
      <w:r>
        <w:rPr>
          <w:rFonts w:eastAsia="Segoe UI" w:cs="Segoe UI" w:ascii="Segoe UI" w:hAnsi="Segoe UI"/>
          <w:b/>
          <w:color w:val="101820"/>
          <w:sz w:val="21"/>
        </w:rPr>
        <w:t>Services</w:t>
      </w:r>
      <w:r>
        <w:rPr>
          <w:rFonts w:eastAsia="Segoe UI" w:cs="Segoe UI" w:ascii="Segoe UI" w:hAnsi="Segoe UI"/>
          <w:color w:val="101820"/>
          <w:sz w:val="21"/>
        </w:rPr>
        <w:t xml:space="preserve"> and other capitalised terms have the meaning given in the MSA.</w:t>
      </w:r>
      <w:r>
        <w:br w:type="page"/>
      </w:r>
    </w:p>
    <w:p>
      <w:pPr>
        <w:pStyle w:val="Heading1"/>
        <w:rPr/>
      </w:pPr>
      <w:bookmarkStart w:id="11" w:name="__RefHeading___Toc163581_4195859891"/>
      <w:bookmarkEnd w:id="11"/>
      <w:r>
        <w:rPr>
          <w:rFonts w:eastAsia="Segoe UI" w:cs="Segoe UI" w:ascii="Segoe UI" w:hAnsi="Segoe UI"/>
          <w:b/>
          <w:color w:val="0F4761"/>
          <w:sz w:val="32"/>
        </w:rPr>
        <w:t>6.  Subject matter of the processing</w:t>
      </w:r>
    </w:p>
    <w:p>
      <w:pPr>
        <w:pStyle w:val="Normal"/>
        <w:spacing w:lineRule="auto" w:line="276" w:before="0" w:after="120"/>
        <w:rPr/>
      </w:pPr>
      <w:r>
        <w:rPr>
          <w:rFonts w:eastAsia="Segoe UI" w:cs="Segoe UI" w:ascii="Segoe UI" w:hAnsi="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r>
        <w:br w:type="page"/>
      </w:r>
    </w:p>
    <w:p>
      <w:pPr>
        <w:pStyle w:val="Heading1"/>
        <w:rPr/>
      </w:pPr>
      <w:bookmarkStart w:id="12" w:name="__RefHeading___Toc163583_4195859891"/>
      <w:bookmarkEnd w:id="12"/>
      <w:r>
        <w:rPr>
          <w:rFonts w:eastAsia="Segoe UI" w:cs="Segoe UI" w:ascii="Segoe UI" w:hAnsi="Segoe UI"/>
          <w:b/>
          <w:color w:val="0F4761"/>
          <w:sz w:val="32"/>
        </w:rPr>
        <w:t>7.  Obligations of the Processor</w:t>
      </w:r>
    </w:p>
    <w:p>
      <w:pPr>
        <w:pStyle w:val="Heading2"/>
        <w:rPr/>
      </w:pPr>
      <w:bookmarkStart w:id="13" w:name="__RefHeading___Toc163585_4195859891"/>
      <w:bookmarkEnd w:id="13"/>
      <w:r>
        <w:rPr>
          <w:rFonts w:eastAsia="Segoe UI" w:cs="Segoe UI"/>
          <w:b/>
          <w:color w:val="0F4761"/>
          <w:sz w:val="26"/>
        </w:rPr>
        <w:t>7.1  Instructions</w:t>
      </w:r>
    </w:p>
    <w:p>
      <w:pPr>
        <w:pStyle w:val="Normal"/>
        <w:numPr>
          <w:ilvl w:val="0"/>
          <w:numId w:val="20"/>
        </w:numPr>
        <w:spacing w:before="0" w:after="60"/>
        <w:rPr/>
      </w:pPr>
      <w:r>
        <w:rPr>
          <w:rFonts w:eastAsia="Segoe UI" w:cs="Segoe UI" w:ascii="Segoe UI" w:hAnsi="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pStyle w:val="Normal"/>
        <w:numPr>
          <w:ilvl w:val="0"/>
          <w:numId w:val="21"/>
        </w:numPr>
        <w:spacing w:before="0" w:after="60"/>
        <w:rPr/>
      </w:pPr>
      <w:r>
        <w:rPr>
          <w:rFonts w:eastAsia="Segoe UI" w:cs="Segoe UI" w:ascii="Segoe UI" w:hAnsi="Segoe UI"/>
          <w:color w:val="101820"/>
          <w:sz w:val="21"/>
        </w:rPr>
        <w:t>The Processor informs the Controller immediately if, in its opinion, an instruction breaches the DPA, and may suspend that instruction until the Controller confirms or changes it.</w:t>
      </w:r>
    </w:p>
    <w:p>
      <w:pPr>
        <w:pStyle w:val="Normal"/>
        <w:numPr>
          <w:ilvl w:val="0"/>
          <w:numId w:val="22"/>
        </w:numPr>
        <w:spacing w:before="0" w:after="60"/>
        <w:rPr/>
      </w:pPr>
      <w:r>
        <w:rPr>
          <w:rFonts w:eastAsia="Segoe UI" w:cs="Segoe UI" w:ascii="Segoe UI" w:hAnsi="Segoe UI"/>
          <w:color w:val="101820"/>
          <w:sz w:val="21"/>
        </w:rPr>
        <w:t>If law requires the Processor to process Personal Data otherwise, it informs the Controller before processing, unless the law prohibits this.</w:t>
      </w:r>
    </w:p>
    <w:p>
      <w:pPr>
        <w:pStyle w:val="Heading2"/>
        <w:rPr/>
      </w:pPr>
      <w:bookmarkStart w:id="14" w:name="__RefHeading___Toc163587_4195859891"/>
      <w:bookmarkEnd w:id="14"/>
      <w:r>
        <w:rPr>
          <w:rFonts w:eastAsia="Segoe UI" w:cs="Segoe UI"/>
          <w:b/>
          <w:color w:val="0F4761"/>
          <w:sz w:val="26"/>
        </w:rPr>
        <w:t>7.2  Confidentiality</w:t>
      </w:r>
    </w:p>
    <w:p>
      <w:pPr>
        <w:pStyle w:val="Normal"/>
        <w:spacing w:lineRule="auto" w:line="276" w:before="0" w:after="120"/>
        <w:rPr/>
      </w:pPr>
      <w:r>
        <w:rPr>
          <w:rFonts w:eastAsia="Segoe UI" w:cs="Segoe UI" w:ascii="Segoe UI" w:hAnsi="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rPr/>
      </w:pPr>
      <w:bookmarkStart w:id="15" w:name="__RefHeading___Toc163589_4195859891"/>
      <w:bookmarkEnd w:id="15"/>
      <w:r>
        <w:rPr>
          <w:rFonts w:eastAsia="Segoe UI" w:cs="Segoe UI"/>
          <w:b/>
          <w:color w:val="0F4761"/>
          <w:sz w:val="26"/>
        </w:rPr>
        <w:t>7.3  Security</w:t>
      </w:r>
    </w:p>
    <w:p>
      <w:pPr>
        <w:pStyle w:val="Normal"/>
        <w:spacing w:lineRule="auto" w:line="276" w:before="0" w:after="120"/>
        <w:rPr/>
      </w:pPr>
      <w:r>
        <w:rPr>
          <w:rFonts w:eastAsia="Segoe UI" w:cs="Segoe UI" w:ascii="Segoe UI" w:hAnsi="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rPr/>
      </w:pPr>
      <w:bookmarkStart w:id="16" w:name="__RefHeading___Toc163591_4195859891"/>
      <w:bookmarkEnd w:id="16"/>
      <w:r>
        <w:rPr>
          <w:rFonts w:eastAsia="Segoe UI" w:cs="Segoe UI"/>
          <w:b/>
          <w:color w:val="0F4761"/>
          <w:sz w:val="26"/>
        </w:rPr>
        <w:t>7.4  Sub-processors</w:t>
      </w:r>
    </w:p>
    <w:p>
      <w:pPr>
        <w:pStyle w:val="Normal"/>
        <w:numPr>
          <w:ilvl w:val="0"/>
          <w:numId w:val="23"/>
        </w:numPr>
        <w:spacing w:before="0" w:after="60"/>
        <w:rPr/>
      </w:pPr>
      <w:r>
        <w:rPr>
          <w:rFonts w:eastAsia="Segoe UI" w:cs="Segoe UI" w:ascii="Segoe UI" w:hAnsi="Segoe UI"/>
          <w:color w:val="101820"/>
          <w:sz w:val="21"/>
        </w:rPr>
        <w:t>The Controller gives general authorisation for the sub-processors listed in Annex 3.</w:t>
      </w:r>
    </w:p>
    <w:p>
      <w:pPr>
        <w:pStyle w:val="Normal"/>
        <w:numPr>
          <w:ilvl w:val="0"/>
          <w:numId w:val="24"/>
        </w:numPr>
        <w:spacing w:before="0" w:after="60"/>
        <w:rPr/>
      </w:pPr>
      <w:r>
        <w:rPr>
          <w:rFonts w:eastAsia="Segoe UI" w:cs="Segoe UI" w:ascii="Segoe UI" w:hAnsi="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pStyle w:val="Normal"/>
        <w:numPr>
          <w:ilvl w:val="0"/>
          <w:numId w:val="25"/>
        </w:numPr>
        <w:spacing w:before="0" w:after="60"/>
        <w:rPr/>
      </w:pPr>
      <w:r>
        <w:rPr>
          <w:rFonts w:eastAsia="Segoe UI" w:cs="Segoe UI" w:ascii="Segoe UI" w:hAnsi="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rPr/>
      </w:pPr>
      <w:bookmarkStart w:id="17" w:name="__RefHeading___Toc163593_4195859891"/>
      <w:bookmarkEnd w:id="17"/>
      <w:r>
        <w:rPr>
          <w:rFonts w:eastAsia="Segoe UI" w:cs="Segoe UI"/>
          <w:b/>
          <w:color w:val="0F4761"/>
          <w:sz w:val="26"/>
        </w:rPr>
        <w:t>7.5  Assistance</w:t>
      </w:r>
    </w:p>
    <w:p>
      <w:pPr>
        <w:pStyle w:val="Normal"/>
        <w:spacing w:lineRule="auto" w:line="276" w:before="0" w:after="120"/>
        <w:rPr/>
      </w:pPr>
      <w:r>
        <w:rPr>
          <w:rFonts w:eastAsia="Segoe UI" w:cs="Segoe UI" w:ascii="Segoe UI" w:hAnsi="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pStyle w:val="Normal"/>
        <w:numPr>
          <w:ilvl w:val="0"/>
          <w:numId w:val="26"/>
        </w:numPr>
        <w:spacing w:before="0" w:after="60"/>
        <w:rPr/>
      </w:pPr>
      <w:r>
        <w:rPr>
          <w:rFonts w:eastAsia="Segoe UI" w:cs="Segoe UI" w:ascii="Segoe UI" w:hAnsi="Segoe UI"/>
          <w:color w:val="101820"/>
          <w:sz w:val="21"/>
        </w:rPr>
        <w:t>responses to data subjects exercising their rights;</w:t>
      </w:r>
    </w:p>
    <w:p>
      <w:pPr>
        <w:pStyle w:val="Normal"/>
        <w:numPr>
          <w:ilvl w:val="0"/>
          <w:numId w:val="27"/>
        </w:numPr>
        <w:spacing w:before="0" w:after="60"/>
        <w:rPr/>
      </w:pPr>
      <w:r>
        <w:rPr>
          <w:rFonts w:eastAsia="Segoe UI" w:cs="Segoe UI" w:ascii="Segoe UI" w:hAnsi="Segoe UI"/>
          <w:color w:val="101820"/>
          <w:sz w:val="21"/>
        </w:rPr>
        <w:t>security of processing;</w:t>
      </w:r>
    </w:p>
    <w:p>
      <w:pPr>
        <w:pStyle w:val="Normal"/>
        <w:numPr>
          <w:ilvl w:val="0"/>
          <w:numId w:val="28"/>
        </w:numPr>
        <w:spacing w:before="0" w:after="60"/>
        <w:rPr/>
      </w:pPr>
      <w:r>
        <w:rPr>
          <w:rFonts w:eastAsia="Segoe UI" w:cs="Segoe UI" w:ascii="Segoe UI" w:hAnsi="Segoe UI"/>
          <w:color w:val="101820"/>
          <w:sz w:val="21"/>
        </w:rPr>
        <w:t>notification of personal data breaches to the NPC and to data subjects;</w:t>
      </w:r>
    </w:p>
    <w:p>
      <w:pPr>
        <w:pStyle w:val="Normal"/>
        <w:numPr>
          <w:ilvl w:val="0"/>
          <w:numId w:val="29"/>
        </w:numPr>
        <w:spacing w:before="0" w:after="60"/>
        <w:rPr/>
      </w:pPr>
      <w:r>
        <w:rPr>
          <w:rFonts w:eastAsia="Segoe UI" w:cs="Segoe UI" w:ascii="Segoe UI" w:hAnsi="Segoe UI"/>
          <w:color w:val="101820"/>
          <w:sz w:val="21"/>
        </w:rPr>
        <w:t>privacy impact assessments and consultations with the NPC;</w:t>
      </w:r>
    </w:p>
    <w:p>
      <w:pPr>
        <w:pStyle w:val="Normal"/>
        <w:numPr>
          <w:ilvl w:val="0"/>
          <w:numId w:val="30"/>
        </w:numPr>
        <w:spacing w:before="0" w:after="60"/>
        <w:rPr/>
      </w:pPr>
      <w:r>
        <w:rPr>
          <w:rFonts w:eastAsia="Segoe UI" w:cs="Segoe UI" w:ascii="Segoe UI" w:hAnsi="Segoe UI"/>
          <w:color w:val="101820"/>
          <w:sz w:val="21"/>
        </w:rPr>
        <w:t>registration of data processing systems with the NPC where required.</w:t>
      </w:r>
    </w:p>
    <w:p>
      <w:pPr>
        <w:pStyle w:val="Heading2"/>
        <w:rPr/>
      </w:pPr>
      <w:bookmarkStart w:id="18" w:name="__RefHeading___Toc163595_4195859891"/>
      <w:bookmarkEnd w:id="18"/>
      <w:r>
        <w:rPr>
          <w:rFonts w:eastAsia="Segoe UI" w:cs="Segoe UI"/>
          <w:b/>
          <w:color w:val="0F4761"/>
          <w:sz w:val="26"/>
        </w:rPr>
        <w:t>7.6  Records</w:t>
      </w:r>
    </w:p>
    <w:p>
      <w:pPr>
        <w:pStyle w:val="Normal"/>
        <w:spacing w:lineRule="auto" w:line="276" w:before="0" w:after="120"/>
        <w:rPr/>
      </w:pPr>
      <w:r>
        <w:rPr>
          <w:rFonts w:eastAsia="Segoe UI" w:cs="Segoe UI" w:ascii="Segoe UI" w:hAnsi="Segoe UI"/>
          <w:color w:val="101820"/>
          <w:sz w:val="21"/>
        </w:rPr>
        <w:t>The Processor keeps a record of the processing activities it performs for the Controller and makes it available to the Controller and, on request, to the NPC.</w:t>
      </w:r>
      <w:r>
        <w:br w:type="page"/>
      </w:r>
    </w:p>
    <w:p>
      <w:pPr>
        <w:pStyle w:val="Heading1"/>
        <w:rPr/>
      </w:pPr>
      <w:bookmarkStart w:id="19" w:name="__RefHeading___Toc163597_4195859891"/>
      <w:bookmarkEnd w:id="19"/>
      <w:r>
        <w:rPr>
          <w:rFonts w:eastAsia="Segoe UI" w:cs="Segoe UI" w:ascii="Segoe UI" w:hAnsi="Segoe UI"/>
          <w:b/>
          <w:color w:val="0F4761"/>
          <w:sz w:val="32"/>
        </w:rPr>
        <w:t>8.  Personal data breach</w:t>
      </w:r>
    </w:p>
    <w:p>
      <w:pPr>
        <w:pStyle w:val="Heading2"/>
        <w:rPr/>
      </w:pPr>
      <w:bookmarkStart w:id="20" w:name="__RefHeading___Toc163599_4195859891"/>
      <w:bookmarkEnd w:id="20"/>
      <w:r>
        <w:rPr>
          <w:rFonts w:eastAsia="Segoe UI" w:cs="Segoe UI"/>
          <w:b/>
          <w:color w:val="0F4761"/>
          <w:sz w:val="26"/>
        </w:rPr>
        <w:t>8.1  Notification to the Controller</w:t>
      </w:r>
    </w:p>
    <w:p>
      <w:pPr>
        <w:pStyle w:val="Normal"/>
        <w:numPr>
          <w:ilvl w:val="0"/>
          <w:numId w:val="31"/>
        </w:numPr>
        <w:spacing w:before="0" w:after="60"/>
        <w:rPr/>
      </w:pPr>
      <w:r>
        <w:rPr>
          <w:rFonts w:eastAsia="Segoe UI" w:cs="Segoe UI" w:ascii="Segoe UI" w:hAnsi="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pStyle w:val="Normal"/>
        <w:numPr>
          <w:ilvl w:val="0"/>
          <w:numId w:val="32"/>
        </w:numPr>
        <w:spacing w:before="0" w:after="60"/>
        <w:rPr/>
      </w:pPr>
      <w:r>
        <w:rPr>
          <w:rFonts w:eastAsia="Segoe UI" w:cs="Segoe UI" w:ascii="Segoe UI" w:hAnsi="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rPr/>
      </w:pPr>
      <w:bookmarkStart w:id="21" w:name="__RefHeading___Toc163601_4195859891"/>
      <w:bookmarkEnd w:id="21"/>
      <w:r>
        <w:rPr>
          <w:rFonts w:eastAsia="Segoe UI" w:cs="Segoe UI"/>
          <w:b/>
          <w:color w:val="0F4761"/>
          <w:sz w:val="26"/>
        </w:rPr>
        <w:t>8.2  Notification to the NPC and data subjects</w:t>
      </w:r>
    </w:p>
    <w:p>
      <w:pPr>
        <w:pStyle w:val="Normal"/>
        <w:spacing w:lineRule="auto" w:line="276" w:before="0" w:after="120"/>
        <w:rPr/>
      </w:pPr>
      <w:r>
        <w:rPr>
          <w:rFonts w:eastAsia="Segoe UI" w:cs="Segoe UI" w:ascii="Segoe UI" w:hAnsi="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rPr/>
      </w:pPr>
      <w:bookmarkStart w:id="22" w:name="__RefHeading___Toc163603_4195859891"/>
      <w:bookmarkEnd w:id="22"/>
      <w:r>
        <w:rPr>
          <w:rFonts w:eastAsia="Segoe UI" w:cs="Segoe UI"/>
          <w:b/>
          <w:color w:val="0F4761"/>
          <w:sz w:val="26"/>
        </w:rPr>
        <w:t>8.3  Containment and evidence</w:t>
      </w:r>
    </w:p>
    <w:p>
      <w:pPr>
        <w:pStyle w:val="Normal"/>
        <w:spacing w:lineRule="auto" w:line="276" w:before="0" w:after="120"/>
        <w:rPr/>
      </w:pPr>
      <w:r>
        <w:rPr>
          <w:rFonts w:eastAsia="Segoe UI" w:cs="Segoe UI" w:ascii="Segoe UI" w:hAnsi="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rPr/>
      </w:pPr>
      <w:bookmarkStart w:id="23" w:name="__RefHeading___Toc163605_4195859891"/>
      <w:bookmarkEnd w:id="23"/>
      <w:r>
        <w:rPr>
          <w:rFonts w:eastAsia="Segoe UI" w:cs="Segoe UI"/>
          <w:b/>
          <w:color w:val="0F4761"/>
          <w:sz w:val="26"/>
        </w:rPr>
        <w:t>8.4  Costs</w:t>
      </w:r>
    </w:p>
    <w:p>
      <w:pPr>
        <w:pStyle w:val="Normal"/>
        <w:spacing w:lineRule="auto" w:line="276" w:before="0" w:after="120"/>
        <w:rPr/>
      </w:pPr>
      <w:r>
        <w:rPr>
          <w:rFonts w:eastAsia="Segoe UI" w:cs="Segoe UI" w:ascii="Segoe UI" w:hAnsi="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r>
        <w:br w:type="page"/>
      </w:r>
    </w:p>
    <w:p>
      <w:pPr>
        <w:pStyle w:val="Heading1"/>
        <w:rPr/>
      </w:pPr>
      <w:bookmarkStart w:id="24" w:name="__RefHeading___Toc163607_4195859891"/>
      <w:bookmarkEnd w:id="24"/>
      <w:r>
        <w:rPr>
          <w:rFonts w:eastAsia="Segoe UI" w:cs="Segoe UI" w:ascii="Segoe UI" w:hAnsi="Segoe UI"/>
          <w:b/>
          <w:color w:val="0F4761"/>
          <w:sz w:val="32"/>
        </w:rPr>
        <w:t>9.  Data subject requests</w:t>
      </w:r>
    </w:p>
    <w:p>
      <w:pPr>
        <w:pStyle w:val="Normal"/>
        <w:numPr>
          <w:ilvl w:val="0"/>
          <w:numId w:val="33"/>
        </w:numPr>
        <w:spacing w:before="0" w:after="60"/>
        <w:rPr/>
      </w:pPr>
      <w:r>
        <w:rPr>
          <w:rFonts w:eastAsia="Segoe UI" w:cs="Segoe UI" w:ascii="Segoe UI" w:hAnsi="Segoe UI"/>
          <w:color w:val="101820"/>
          <w:sz w:val="21"/>
        </w:rPr>
        <w:t>The Processor forwards to the Controller, within 2 Business Days, any request it receives directly from a data subject concerning Personal Data, and does not answer it except on the Controller's instructions.</w:t>
      </w:r>
    </w:p>
    <w:p>
      <w:pPr>
        <w:pStyle w:val="Normal"/>
        <w:numPr>
          <w:ilvl w:val="0"/>
          <w:numId w:val="34"/>
        </w:numPr>
        <w:spacing w:before="0" w:after="60"/>
        <w:rPr/>
      </w:pPr>
      <w:r>
        <w:rPr>
          <w:rFonts w:eastAsia="Segoe UI" w:cs="Segoe UI" w:ascii="Segoe UI" w:hAnsi="Segoe UI"/>
          <w:color w:val="101820"/>
          <w:sz w:val="21"/>
        </w:rPr>
        <w:t>The Controller handles requests to be informed, to access, to object, to erasure or blocking, to rectification, to data portability and to damages and complaints. iNXT BrokerVerse supports these requests through its Data Privacy screens: a register of data subject requests with due dates, consent per purpose with withdrawal, export of the personal data of a client or prospect for access and portability, rectification through the client and prospect screens, and anonymisation once the retention period has passed, with every action recorded in the audit trail.</w:t>
      </w:r>
    </w:p>
    <w:p>
      <w:pPr>
        <w:pStyle w:val="Normal"/>
        <w:numPr>
          <w:ilvl w:val="0"/>
          <w:numId w:val="35"/>
        </w:numPr>
        <w:spacing w:before="0" w:after="60"/>
        <w:rPr/>
      </w:pPr>
      <w:r>
        <w:rPr>
          <w:rFonts w:eastAsia="Segoe UI" w:cs="Segoe UI" w:ascii="Segoe UI" w:hAnsi="Segoe UI"/>
          <w:color w:val="101820"/>
          <w:sz w:val="21"/>
        </w:rPr>
        <w:t>Erasure is performed by the Controller's authorised users with the anonymisation function of iNXT BrokerVerse. Erasure that cannot be performed through the screens is performed by the Processor as a reviewed database procedure on the Controller's written instruction.</w:t>
      </w:r>
      <w:r>
        <w:br w:type="page"/>
      </w:r>
    </w:p>
    <w:p>
      <w:pPr>
        <w:pStyle w:val="Heading1"/>
        <w:rPr/>
      </w:pPr>
      <w:bookmarkStart w:id="25" w:name="__RefHeading___Toc163609_4195859891"/>
      <w:bookmarkEnd w:id="25"/>
      <w:r>
        <w:rPr>
          <w:rFonts w:eastAsia="Segoe UI" w:cs="Segoe UI" w:ascii="Segoe UI" w:hAnsi="Segoe UI"/>
          <w:b/>
          <w:color w:val="0F4761"/>
          <w:sz w:val="32"/>
        </w:rPr>
        <w:t>10.  Audits</w:t>
      </w:r>
    </w:p>
    <w:p>
      <w:pPr>
        <w:pStyle w:val="Normal"/>
        <w:numPr>
          <w:ilvl w:val="0"/>
          <w:numId w:val="36"/>
        </w:numPr>
        <w:spacing w:before="0" w:after="60"/>
        <w:rPr/>
      </w:pPr>
      <w:r>
        <w:rPr>
          <w:rFonts w:eastAsia="Segoe UI" w:cs="Segoe UI" w:ascii="Segoe UI" w:hAnsi="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pStyle w:val="Normal"/>
        <w:numPr>
          <w:ilvl w:val="0"/>
          <w:numId w:val="37"/>
        </w:numPr>
        <w:spacing w:before="0" w:after="60"/>
        <w:rPr/>
      </w:pPr>
      <w:r>
        <w:rPr>
          <w:rFonts w:eastAsia="Segoe UI" w:cs="Segoe UI" w:ascii="Segoe UI" w:hAnsi="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pStyle w:val="Normal"/>
        <w:numPr>
          <w:ilvl w:val="0"/>
          <w:numId w:val="38"/>
        </w:numPr>
        <w:spacing w:before="0" w:after="60"/>
        <w:rPr/>
      </w:pPr>
      <w:r>
        <w:rPr>
          <w:rFonts w:eastAsia="Segoe UI" w:cs="Segoe UI" w:ascii="Segoe UI" w:hAnsi="Segoe UI"/>
          <w:color w:val="101820"/>
          <w:sz w:val="21"/>
        </w:rPr>
        <w:t>The Processor cooperates with any inspection or compliance check by the NPC.</w:t>
      </w:r>
    </w:p>
    <w:p>
      <w:pPr>
        <w:pStyle w:val="Normal"/>
        <w:numPr>
          <w:ilvl w:val="0"/>
          <w:numId w:val="39"/>
        </w:numPr>
        <w:spacing w:before="0" w:after="60"/>
        <w:rPr/>
      </w:pPr>
      <w:r>
        <w:rPr>
          <w:rFonts w:eastAsia="Segoe UI" w:cs="Segoe UI" w:ascii="Segoe UI" w:hAnsi="Segoe UI"/>
          <w:color w:val="101820"/>
          <w:sz w:val="21"/>
        </w:rPr>
        <w:t>The Processor corrects any non-compliance found within an agreed period.</w:t>
      </w:r>
      <w:r>
        <w:br w:type="page"/>
      </w:r>
    </w:p>
    <w:p>
      <w:pPr>
        <w:pStyle w:val="Heading1"/>
        <w:rPr/>
      </w:pPr>
      <w:bookmarkStart w:id="26" w:name="__RefHeading___Toc163611_4195859891"/>
      <w:bookmarkEnd w:id="26"/>
      <w:r>
        <w:rPr>
          <w:rFonts w:eastAsia="Segoe UI" w:cs="Segoe UI" w:ascii="Segoe UI" w:hAnsi="Segoe UI"/>
          <w:b/>
          <w:color w:val="0F4761"/>
          <w:sz w:val="32"/>
        </w:rPr>
        <w:t>11.  Transfers outside the Philippines</w:t>
      </w:r>
    </w:p>
    <w:p>
      <w:pPr>
        <w:pStyle w:val="Normal"/>
        <w:numPr>
          <w:ilvl w:val="0"/>
          <w:numId w:val="40"/>
        </w:numPr>
        <w:spacing w:before="0" w:after="60"/>
        <w:rPr/>
      </w:pPr>
      <w:r>
        <w:rPr>
          <w:rFonts w:eastAsia="Segoe UI" w:cs="Segoe UI" w:ascii="Segoe UI" w:hAnsi="Segoe UI"/>
          <w:color w:val="101820"/>
          <w:sz w:val="21"/>
        </w:rPr>
        <w:t>The Processor stores and processes Personal Data only in the location stated in the Order Form: [Singapore (AWS ap-southeast-1 or Azure Southeast Asia) / the Philippines (local partner)].</w:t>
      </w:r>
    </w:p>
    <w:p>
      <w:pPr>
        <w:pStyle w:val="Normal"/>
        <w:numPr>
          <w:ilvl w:val="0"/>
          <w:numId w:val="41"/>
        </w:numPr>
        <w:spacing w:before="0" w:after="60"/>
        <w:rPr/>
      </w:pPr>
      <w:r>
        <w:rPr>
          <w:rFonts w:eastAsia="Segoe UI" w:cs="Segoe UI" w:ascii="Segoe UI" w:hAnsi="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pStyle w:val="Normal"/>
        <w:numPr>
          <w:ilvl w:val="0"/>
          <w:numId w:val="42"/>
        </w:numPr>
        <w:spacing w:before="0" w:after="60"/>
        <w:rPr/>
      </w:pPr>
      <w:r>
        <w:rPr>
          <w:rFonts w:eastAsia="Segoe UI" w:cs="Segoe UI" w:ascii="Segoe UI" w:hAnsi="Segoe UI"/>
          <w:color w:val="101820"/>
          <w:sz w:val="21"/>
        </w:rPr>
        <w:t>Remote access by the Processor's support staff is allowed from [the Philippines / list of countries], only to perform the Services.</w:t>
      </w:r>
    </w:p>
    <w:p>
      <w:pPr>
        <w:pStyle w:val="Normal"/>
        <w:numPr>
          <w:ilvl w:val="0"/>
          <w:numId w:val="43"/>
        </w:numPr>
        <w:spacing w:before="0" w:after="60"/>
        <w:rPr/>
      </w:pPr>
      <w:r>
        <w:rPr>
          <w:rFonts w:eastAsia="Segoe UI" w:cs="Segoe UI" w:ascii="Segoe UI" w:hAnsi="Segoe UI"/>
          <w:color w:val="101820"/>
          <w:sz w:val="21"/>
        </w:rPr>
        <w:t>The Processor does not transfer Personal Data to any other country without the Controller's prior written consent.</w:t>
      </w:r>
      <w:r>
        <w:br w:type="page"/>
      </w:r>
    </w:p>
    <w:p>
      <w:pPr>
        <w:pStyle w:val="Heading1"/>
        <w:rPr/>
      </w:pPr>
      <w:bookmarkStart w:id="27" w:name="__RefHeading___Toc163613_4195859891"/>
      <w:bookmarkEnd w:id="27"/>
      <w:r>
        <w:rPr>
          <w:rFonts w:eastAsia="Segoe UI" w:cs="Segoe UI" w:ascii="Segoe UI" w:hAnsi="Segoe UI"/>
          <w:b/>
          <w:color w:val="0F4761"/>
          <w:sz w:val="32"/>
        </w:rPr>
        <w:t>12.  Return and deletion</w:t>
      </w:r>
    </w:p>
    <w:p>
      <w:pPr>
        <w:pStyle w:val="Normal"/>
        <w:numPr>
          <w:ilvl w:val="0"/>
          <w:numId w:val="44"/>
        </w:numPr>
        <w:spacing w:before="0" w:after="60"/>
        <w:rPr/>
      </w:pPr>
      <w:r>
        <w:rPr>
          <w:rFonts w:eastAsia="Segoe UI" w:cs="Segoe UI" w:ascii="Segoe UI" w:hAnsi="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pStyle w:val="Normal"/>
        <w:numPr>
          <w:ilvl w:val="0"/>
          <w:numId w:val="45"/>
        </w:numPr>
        <w:spacing w:before="0" w:after="60"/>
        <w:rPr/>
      </w:pPr>
      <w:r>
        <w:rPr>
          <w:rFonts w:eastAsia="Segoe UI" w:cs="Segoe UI" w:ascii="Segoe UI" w:hAnsi="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pStyle w:val="Normal"/>
        <w:numPr>
          <w:ilvl w:val="0"/>
          <w:numId w:val="46"/>
        </w:numPr>
        <w:spacing w:before="0" w:after="60"/>
        <w:rPr/>
      </w:pPr>
      <w:r>
        <w:rPr>
          <w:rFonts w:eastAsia="Segoe UI" w:cs="Segoe UI" w:ascii="Segoe UI" w:hAnsi="Segoe UI"/>
          <w:color w:val="101820"/>
          <w:sz w:val="21"/>
        </w:rPr>
        <w:t>Personal Data in backups is deleted when the backups expire under the retention in the Hosting and Infrastructure Services Agreement and is not restored in the meantime except to comply with law.</w:t>
      </w:r>
    </w:p>
    <w:p>
      <w:pPr>
        <w:pStyle w:val="Normal"/>
        <w:numPr>
          <w:ilvl w:val="0"/>
          <w:numId w:val="47"/>
        </w:numPr>
        <w:spacing w:before="0" w:after="60"/>
        <w:rPr/>
      </w:pPr>
      <w:r>
        <w:rPr>
          <w:rFonts w:eastAsia="Segoe UI" w:cs="Segoe UI" w:ascii="Segoe UI" w:hAnsi="Segoe UI"/>
          <w:color w:val="101820"/>
          <w:sz w:val="21"/>
        </w:rPr>
        <w:t>The Processor gives the Controller a certificate of deletion signed by its DPO within 10 Business Days of completing the deletion, in the form of the Exit and Transition Plan.</w:t>
      </w:r>
    </w:p>
    <w:p>
      <w:pPr>
        <w:pStyle w:val="Normal"/>
        <w:numPr>
          <w:ilvl w:val="0"/>
          <w:numId w:val="48"/>
        </w:numPr>
        <w:spacing w:before="0" w:after="60"/>
        <w:rPr/>
      </w:pPr>
      <w:r>
        <w:rPr>
          <w:rFonts w:eastAsia="Segoe UI" w:cs="Segoe UI" w:ascii="Segoe UI" w:hAnsi="Segoe UI"/>
          <w:color w:val="101820"/>
          <w:sz w:val="21"/>
        </w:rPr>
        <w:t>The Processor may keep Personal Data only where Philippine law requires it, in which case it keeps it confidential, protected and used only for that legal purpose.</w:t>
      </w:r>
      <w:r>
        <w:br w:type="page"/>
      </w:r>
    </w:p>
    <w:p>
      <w:pPr>
        <w:pStyle w:val="Heading1"/>
        <w:rPr/>
      </w:pPr>
      <w:bookmarkStart w:id="28" w:name="__RefHeading___Toc163615_4195859891"/>
      <w:bookmarkEnd w:id="28"/>
      <w:r>
        <w:rPr>
          <w:rFonts w:eastAsia="Segoe UI" w:cs="Segoe UI" w:ascii="Segoe UI" w:hAnsi="Segoe UI"/>
          <w:b/>
          <w:color w:val="0F4761"/>
          <w:sz w:val="32"/>
        </w:rPr>
        <w:t>13.  Controller obligations</w:t>
      </w:r>
    </w:p>
    <w:p>
      <w:pPr>
        <w:pStyle w:val="Normal"/>
        <w:spacing w:lineRule="auto" w:line="276" w:before="0" w:after="120"/>
        <w:rPr/>
      </w:pPr>
      <w:r>
        <w:rPr>
          <w:rFonts w:eastAsia="Segoe UI" w:cs="Segoe UI" w:ascii="Segoe UI" w:hAnsi="Segoe UI"/>
          <w:color w:val="101820"/>
          <w:sz w:val="21"/>
        </w:rPr>
        <w:t>The Controller:</w:t>
      </w:r>
    </w:p>
    <w:p>
      <w:pPr>
        <w:pStyle w:val="Normal"/>
        <w:numPr>
          <w:ilvl w:val="0"/>
          <w:numId w:val="49"/>
        </w:numPr>
        <w:spacing w:before="0" w:after="60"/>
        <w:rPr/>
      </w:pPr>
      <w:r>
        <w:rPr>
          <w:rFonts w:eastAsia="Segoe UI" w:cs="Segoe UI" w:ascii="Segoe UI" w:hAnsi="Segoe UI"/>
          <w:color w:val="101820"/>
          <w:sz w:val="21"/>
        </w:rPr>
        <w:t>ensures it has a lawful basis for the processing and gives data subjects the information the DPA requires, including about the Processor and any transfer outside the Philippines;</w:t>
      </w:r>
    </w:p>
    <w:p>
      <w:pPr>
        <w:pStyle w:val="Normal"/>
        <w:numPr>
          <w:ilvl w:val="0"/>
          <w:numId w:val="50"/>
        </w:numPr>
        <w:spacing w:before="0" w:after="60"/>
        <w:rPr/>
      </w:pPr>
      <w:r>
        <w:rPr>
          <w:rFonts w:eastAsia="Segoe UI" w:cs="Segoe UI" w:ascii="Segoe UI" w:hAnsi="Segoe UI"/>
          <w:color w:val="101820"/>
          <w:sz w:val="21"/>
        </w:rPr>
        <w:t>appoints a DPO and registers its data processing systems with the NPC where required;</w:t>
      </w:r>
    </w:p>
    <w:p>
      <w:pPr>
        <w:pStyle w:val="Normal"/>
        <w:numPr>
          <w:ilvl w:val="0"/>
          <w:numId w:val="51"/>
        </w:numPr>
        <w:spacing w:before="0" w:after="60"/>
        <w:rPr/>
      </w:pPr>
      <w:r>
        <w:rPr>
          <w:rFonts w:eastAsia="Segoe UI" w:cs="Segoe UI" w:ascii="Segoe UI" w:hAnsi="Segoe UI"/>
          <w:color w:val="101820"/>
          <w:sz w:val="21"/>
        </w:rPr>
        <w:t>gives only lawful instructions and configures iNXT BrokerVerse (roles, two-step verification, retention settings) in line with its privacy management programme;</w:t>
      </w:r>
    </w:p>
    <w:p>
      <w:pPr>
        <w:pStyle w:val="Normal"/>
        <w:numPr>
          <w:ilvl w:val="0"/>
          <w:numId w:val="52"/>
        </w:numPr>
        <w:spacing w:before="0" w:after="60"/>
        <w:rPr/>
      </w:pPr>
      <w:r>
        <w:rPr>
          <w:rFonts w:eastAsia="Segoe UI" w:cs="Segoe UI" w:ascii="Segoe UI" w:hAnsi="Segoe UI"/>
          <w:color w:val="101820"/>
          <w:sz w:val="21"/>
        </w:rPr>
        <w:t>does not send Personal Data to the Processor beyond what the Services need (for example, covers client personal data in screenshots attached to tickets);</w:t>
      </w:r>
    </w:p>
    <w:p>
      <w:pPr>
        <w:pStyle w:val="Normal"/>
        <w:numPr>
          <w:ilvl w:val="0"/>
          <w:numId w:val="53"/>
        </w:numPr>
        <w:spacing w:before="0" w:after="60"/>
        <w:rPr/>
      </w:pPr>
      <w:r>
        <w:rPr>
          <w:rFonts w:eastAsia="Segoe UI" w:cs="Segoe UI" w:ascii="Segoe UI" w:hAnsi="Segoe UI"/>
          <w:color w:val="101820"/>
          <w:sz w:val="21"/>
        </w:rPr>
        <w:t>records consent, marketing opt-outs and withdrawals of consent, using the consent function of iNXT BrokerVerse or its own records.</w:t>
      </w:r>
      <w:r>
        <w:br w:type="page"/>
      </w:r>
    </w:p>
    <w:p>
      <w:pPr>
        <w:pStyle w:val="Heading1"/>
        <w:rPr/>
      </w:pPr>
      <w:bookmarkStart w:id="29" w:name="__RefHeading___Toc163617_4195859891"/>
      <w:bookmarkEnd w:id="29"/>
      <w:r>
        <w:rPr>
          <w:rFonts w:eastAsia="Segoe UI" w:cs="Segoe UI" w:ascii="Segoe UI" w:hAnsi="Segoe UI"/>
          <w:b/>
          <w:color w:val="0F4761"/>
          <w:sz w:val="32"/>
        </w:rPr>
        <w:t>14.  Liability and term</w:t>
      </w:r>
    </w:p>
    <w:p>
      <w:pPr>
        <w:pStyle w:val="Normal"/>
        <w:numPr>
          <w:ilvl w:val="0"/>
          <w:numId w:val="54"/>
        </w:numPr>
        <w:spacing w:before="0" w:after="60"/>
        <w:rPr/>
      </w:pPr>
      <w:r>
        <w:rPr>
          <w:rFonts w:eastAsia="Segoe UI" w:cs="Segoe UI" w:ascii="Segoe UI" w:hAnsi="Segoe UI"/>
          <w:color w:val="101820"/>
          <w:sz w:val="21"/>
        </w:rPr>
        <w:t>Liability under this Agreement is governed by the Limitation of liability clause of the MSA, including any specific cap for data protection stated there.</w:t>
      </w:r>
    </w:p>
    <w:p>
      <w:pPr>
        <w:pStyle w:val="Normal"/>
        <w:numPr>
          <w:ilvl w:val="0"/>
          <w:numId w:val="55"/>
        </w:numPr>
        <w:spacing w:before="0" w:after="60"/>
        <w:rPr/>
      </w:pPr>
      <w:r>
        <w:rPr>
          <w:rFonts w:eastAsia="Segoe UI" w:cs="Segoe UI" w:ascii="Segoe UI" w:hAnsi="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pStyle w:val="Normal"/>
        <w:numPr>
          <w:ilvl w:val="0"/>
          <w:numId w:val="56"/>
        </w:numPr>
        <w:spacing w:before="0" w:after="60"/>
        <w:rPr/>
      </w:pPr>
      <w:r>
        <w:rPr>
          <w:rFonts w:eastAsia="Segoe UI" w:cs="Segoe UI" w:ascii="Segoe UI" w:hAnsi="Segoe UI"/>
          <w:color w:val="101820"/>
          <w:sz w:val="21"/>
        </w:rPr>
        <w:t>If this Agreement conflicts with the MSA or an Order Form on the processing of Personal Data, this Agreement prevails.</w:t>
      </w:r>
    </w:p>
    <w:p>
      <w:pPr>
        <w:pStyle w:val="Normal"/>
        <w:numPr>
          <w:ilvl w:val="0"/>
          <w:numId w:val="57"/>
        </w:numPr>
        <w:spacing w:before="0" w:after="60"/>
        <w:rPr/>
      </w:pPr>
      <w:r>
        <w:rPr>
          <w:rFonts w:eastAsia="Segoe UI" w:cs="Segoe UI" w:ascii="Segoe UI" w:hAnsi="Segoe UI"/>
          <w:color w:val="101820"/>
          <w:sz w:val="21"/>
        </w:rPr>
        <w:t>This Agreement is governed by Philippine law. Disputes are resolved under the Dispute resolution clause of the MSA, without prejudice to the powers of the NPC.</w:t>
      </w:r>
      <w:r>
        <w:br w:type="page"/>
      </w:r>
    </w:p>
    <w:p>
      <w:pPr>
        <w:pStyle w:val="Heading1"/>
        <w:rPr/>
      </w:pPr>
      <w:bookmarkStart w:id="30" w:name="__RefHeading___Toc163619_4195859891"/>
      <w:bookmarkEnd w:id="30"/>
      <w:r>
        <w:rPr>
          <w:rFonts w:eastAsia="Segoe UI" w:cs="Segoe UI" w:ascii="Segoe UI" w:hAnsi="Segoe UI"/>
          <w:b/>
          <w:color w:val="0F4761"/>
          <w:sz w:val="32"/>
        </w:rPr>
        <w:t>15.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70"/>
        <w:gridCol w:w="4444"/>
      </w:tblGrid>
      <w:tr>
        <w:trPr>
          <w:tblHeader w:val="true"/>
        </w:trPr>
        <w:tc>
          <w:tcPr>
            <w:tcW w:w="4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(Controller)</w:t>
            </w:r>
          </w:p>
        </w:tc>
        <w:tc>
          <w:tcPr>
            <w:tcW w:w="4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(Processor)</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r>
    </w:tbl>
    <w:p>
      <w:pPr>
        <w:pStyle w:val="Normal"/>
        <w:spacing w:before="0" w:after="80"/>
        <w:rPr/>
      </w:pPr>
      <w:r>
        <w:rPr/>
      </w:r>
      <w:r>
        <w:br w:type="page"/>
      </w:r>
    </w:p>
    <w:p>
      <w:pPr>
        <w:pStyle w:val="Heading1"/>
        <w:rPr/>
      </w:pPr>
      <w:bookmarkStart w:id="31" w:name="__RefHeading___Toc163621_4195859891"/>
      <w:bookmarkEnd w:id="31"/>
      <w:r>
        <w:rPr>
          <w:rFonts w:eastAsia="Segoe UI" w:cs="Segoe UI" w:ascii="Segoe UI" w:hAnsi="Segoe UI"/>
          <w:b/>
          <w:color w:val="0F4761"/>
          <w:sz w:val="32"/>
        </w:rPr>
        <w:t>16.  Annex 1: description of the processing</w:t>
      </w:r>
    </w:p>
    <w:p>
      <w:pPr>
        <w:pStyle w:val="Heading2"/>
        <w:rPr/>
      </w:pPr>
      <w:bookmarkStart w:id="32" w:name="__RefHeading___Toc163623_4195859891"/>
      <w:bookmarkEnd w:id="32"/>
      <w:r>
        <w:rPr>
          <w:rFonts w:eastAsia="Segoe UI" w:cs="Segoe UI"/>
          <w:b/>
          <w:color w:val="0F4761"/>
          <w:sz w:val="26"/>
        </w:rPr>
        <w:t>16.1  Purpose and nature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Provision of iNXT BrokerVerse OOTB to the Controller for its business as an insurance broker: implementation and data migration, hosting (where the Processor hosts), support and maintenance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Nature of processing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by upload and migration, recording, organisation, storage, retrieval, consultation, use, correction, backup, restore, export, transfer to the hosting location, erasure and destruction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of the MSA and Order Forms, and until return or deletion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where the Processor hosts; occasional for support and data migration where the Controller hosts</w:t>
            </w:r>
          </w:p>
        </w:tc>
      </w:tr>
    </w:tbl>
    <w:p>
      <w:pPr>
        <w:pStyle w:val="Normal"/>
        <w:spacing w:before="0" w:after="80"/>
        <w:rPr/>
      </w:pPr>
      <w:r>
        <w:rPr/>
      </w:r>
    </w:p>
    <w:p>
      <w:pPr>
        <w:pStyle w:val="Heading2"/>
        <w:rPr/>
      </w:pPr>
      <w:bookmarkStart w:id="33" w:name="__RefHeading___Toc163625_4195859891"/>
      <w:bookmarkEnd w:id="33"/>
      <w:r>
        <w:rPr>
          <w:rFonts w:eastAsia="Segoe UI" w:cs="Segoe UI"/>
          <w:b/>
          <w:color w:val="0F4761"/>
          <w:sz w:val="26"/>
        </w:rPr>
        <w:t>16.2  Data subjects and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0"/>
        <w:gridCol w:w="3070"/>
        <w:gridCol w:w="3005"/>
      </w:tblGrid>
      <w:tr>
        <w:trPr>
          <w:tblHeader w:val="true"/>
        </w:trPr>
        <w:tc>
          <w:tcPr>
            <w:tcW w:w="2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subjects</w:t>
            </w:r>
          </w:p>
        </w:tc>
        <w:tc>
          <w:tcPr>
            <w:tcW w:w="3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Personal Data</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Sensitive personal information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Birth date (age) where captured</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company contacts)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birth date</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and number (PhilSys ID, UMID, passport, driver's licence and others), ID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Government-issued identifiers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information in accident or injury claims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 of the Controller</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address and browser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r>
        <w:br w:type="page"/>
      </w:r>
    </w:p>
    <w:p>
      <w:pPr>
        <w:pStyle w:val="Heading1"/>
        <w:rPr/>
      </w:pPr>
      <w:bookmarkStart w:id="34" w:name="__RefHeading___Toc163627_4195859891"/>
      <w:bookmarkEnd w:id="34"/>
      <w:r>
        <w:rPr>
          <w:rFonts w:eastAsia="Segoe UI" w:cs="Segoe UI" w:ascii="Segoe UI" w:hAnsi="Segoe UI"/>
          <w:b/>
          <w:color w:val="0F4761"/>
          <w:sz w:val="32"/>
        </w:rPr>
        <w:t>17.  Annex 2: security measures</w:t>
      </w:r>
    </w:p>
    <w:p>
      <w:pPr>
        <w:pStyle w:val="Heading2"/>
        <w:rPr/>
      </w:pPr>
      <w:bookmarkStart w:id="35" w:name="__RefHeading___Toc163629_4195859891"/>
      <w:bookmarkEnd w:id="35"/>
      <w:r>
        <w:rPr>
          <w:rFonts w:eastAsia="Segoe UI" w:cs="Segoe UI"/>
          <w:b/>
          <w:color w:val="0F4761"/>
          <w:sz w:val="26"/>
        </w:rPr>
        <w:t>17.1  Organisational</w:t>
      </w:r>
    </w:p>
    <w:p>
      <w:pPr>
        <w:pStyle w:val="Normal"/>
        <w:numPr>
          <w:ilvl w:val="0"/>
          <w:numId w:val="1"/>
        </w:numPr>
        <w:spacing w:before="0" w:after="60"/>
        <w:rPr/>
      </w:pPr>
      <w:r>
        <w:rPr>
          <w:rFonts w:eastAsia="Segoe UI" w:cs="Segoe UI" w:ascii="Segoe UI" w:hAnsi="Segoe UI"/>
          <w:color w:val="101820"/>
          <w:sz w:val="21"/>
        </w:rPr>
        <w:t>A DPO and a data privacy and security policy; privacy training for all staff with access to Personal Data, at least yearly.</w:t>
      </w:r>
    </w:p>
    <w:p>
      <w:pPr>
        <w:pStyle w:val="Normal"/>
        <w:numPr>
          <w:ilvl w:val="0"/>
          <w:numId w:val="1"/>
        </w:numPr>
        <w:spacing w:before="0" w:after="60"/>
        <w:rPr/>
      </w:pPr>
      <w:r>
        <w:rPr>
          <w:rFonts w:eastAsia="Segoe UI" w:cs="Segoe UI" w:ascii="Segoe UI" w:hAnsi="Segoe UI"/>
          <w:color w:val="101820"/>
          <w:sz w:val="21"/>
        </w:rPr>
        <w:t>Confidentiality undertakings for staff and contractors.</w:t>
      </w:r>
    </w:p>
    <w:p>
      <w:pPr>
        <w:pStyle w:val="Normal"/>
        <w:numPr>
          <w:ilvl w:val="0"/>
          <w:numId w:val="1"/>
        </w:numPr>
        <w:spacing w:before="0" w:after="60"/>
        <w:rPr/>
      </w:pPr>
      <w:r>
        <w:rPr>
          <w:rFonts w:eastAsia="Segoe UI" w:cs="Segoe UI" w:ascii="Segoe UI" w:hAnsi="Segoe UI"/>
          <w:color w:val="101820"/>
          <w:sz w:val="21"/>
        </w:rPr>
        <w:t>Access to production Personal Data only for named support and operations staff who need it, under change and ticket control.</w:t>
      </w:r>
    </w:p>
    <w:p>
      <w:pPr>
        <w:pStyle w:val="Normal"/>
        <w:numPr>
          <w:ilvl w:val="0"/>
          <w:numId w:val="1"/>
        </w:numPr>
        <w:spacing w:before="0" w:after="60"/>
        <w:rPr/>
      </w:pPr>
      <w:r>
        <w:rPr>
          <w:rFonts w:eastAsia="Segoe UI" w:cs="Segoe UI" w:ascii="Segoe UI" w:hAnsi="Segoe UI"/>
          <w:color w:val="101820"/>
          <w:sz w:val="21"/>
        </w:rPr>
        <w:t>Incident and breach response procedure with defined roles and timelines.</w:t>
      </w:r>
    </w:p>
    <w:p>
      <w:pPr>
        <w:pStyle w:val="Normal"/>
        <w:numPr>
          <w:ilvl w:val="0"/>
          <w:numId w:val="1"/>
        </w:numPr>
        <w:spacing w:before="0" w:after="60"/>
        <w:rPr/>
      </w:pPr>
      <w:r>
        <w:rPr>
          <w:rFonts w:eastAsia="Segoe UI" w:cs="Segoe UI" w:ascii="Segoe UI" w:hAnsi="Segoe UI"/>
          <w:color w:val="101820"/>
          <w:sz w:val="21"/>
        </w:rPr>
        <w:t>Production Personal Data is not copied to development or test environments without masking.</w:t>
      </w:r>
    </w:p>
    <w:p>
      <w:pPr>
        <w:pStyle w:val="Heading2"/>
        <w:rPr/>
      </w:pPr>
      <w:bookmarkStart w:id="36" w:name="__RefHeading___Toc163631_4195859891"/>
      <w:bookmarkEnd w:id="36"/>
      <w:r>
        <w:rPr>
          <w:rFonts w:eastAsia="Segoe UI" w:cs="Segoe UI"/>
          <w:b/>
          <w:color w:val="0F4761"/>
          <w:sz w:val="26"/>
        </w:rPr>
        <w:t>17.2  Physical</w:t>
      </w:r>
    </w:p>
    <w:p>
      <w:pPr>
        <w:pStyle w:val="Normal"/>
        <w:numPr>
          <w:ilvl w:val="0"/>
          <w:numId w:val="1"/>
        </w:numPr>
        <w:spacing w:before="0" w:after="60"/>
        <w:rPr/>
      </w:pPr>
      <w:r>
        <w:rPr>
          <w:rFonts w:eastAsia="Segoe UI" w:cs="Segoe UI" w:ascii="Segoe UI" w:hAnsi="Segoe UI"/>
          <w:color w:val="101820"/>
          <w:sz w:val="21"/>
        </w:rPr>
        <w:t>Hosting in data centres of providers with independent certification (ISO/IEC 27001 or equivalent), or, for a local partner, evidence of physical security, power and cooling redundancy.</w:t>
      </w:r>
    </w:p>
    <w:p>
      <w:pPr>
        <w:pStyle w:val="Normal"/>
        <w:numPr>
          <w:ilvl w:val="0"/>
          <w:numId w:val="1"/>
        </w:numPr>
        <w:spacing w:before="0" w:after="60"/>
        <w:rPr/>
      </w:pPr>
      <w:r>
        <w:rPr>
          <w:rFonts w:eastAsia="Segoe UI" w:cs="Segoe UI" w:ascii="Segoe UI" w:hAnsi="Segoe UI"/>
          <w:color w:val="101820"/>
          <w:sz w:val="21"/>
        </w:rPr>
        <w:t>Offices of the Processor with controlled access; clear desk and screen policy.</w:t>
      </w:r>
    </w:p>
    <w:p>
      <w:pPr>
        <w:pStyle w:val="Heading2"/>
        <w:rPr/>
      </w:pPr>
      <w:bookmarkStart w:id="37" w:name="__RefHeading___Toc163633_4195859891"/>
      <w:bookmarkEnd w:id="37"/>
      <w:r>
        <w:rPr>
          <w:rFonts w:eastAsia="Segoe UI" w:cs="Segoe UI"/>
          <w:b/>
          <w:color w:val="0F4761"/>
          <w:sz w:val="26"/>
        </w:rPr>
        <w:t>17.3  Technical (application)</w:t>
      </w:r>
    </w:p>
    <w:p>
      <w:pPr>
        <w:pStyle w:val="Normal"/>
        <w:numPr>
          <w:ilvl w:val="0"/>
          <w:numId w:val="1"/>
        </w:numPr>
        <w:spacing w:before="0" w:after="60"/>
        <w:rPr/>
      </w:pPr>
      <w:r>
        <w:rPr>
          <w:rFonts w:eastAsia="Segoe UI" w:cs="Segoe UI" w:ascii="Segoe UI" w:hAnsi="Segoe UI"/>
          <w:color w:val="101820"/>
          <w:sz w:val="21"/>
        </w:rPr>
        <w:t>Named user accounts; passwords of at least 8 characters with four character classes, a 5-password history, 90-day age and lockout after 5 failed attempts; idle sign-out after 30 minutes.</w:t>
      </w:r>
    </w:p>
    <w:p>
      <w:pPr>
        <w:pStyle w:val="Normal"/>
        <w:numPr>
          <w:ilvl w:val="0"/>
          <w:numId w:val="1"/>
        </w:numPr>
        <w:spacing w:before="0" w:after="60"/>
        <w:rPr/>
      </w:pPr>
      <w:r>
        <w:rPr>
          <w:rFonts w:eastAsia="Segoe UI" w:cs="Segoe UI" w:ascii="Segoe UI" w:hAnsi="Segoe UI"/>
          <w:color w:val="101820"/>
          <w:sz w:val="21"/>
        </w:rPr>
        <w:t>Two-step verification (time-based one-time codes), compulsory for the roles the Controller sets.</w:t>
      </w:r>
    </w:p>
    <w:p>
      <w:pPr>
        <w:pStyle w:val="Normal"/>
        <w:numPr>
          <w:ilvl w:val="0"/>
          <w:numId w:val="1"/>
        </w:numPr>
        <w:spacing w:before="0" w:after="60"/>
        <w:rPr/>
      </w:pPr>
      <w:r>
        <w:rPr>
          <w:rFonts w:eastAsia="Segoe UI" w:cs="Segoe UI" w:ascii="Segoe UI" w:hAnsi="Segoe UI"/>
          <w:color w:val="101820"/>
          <w:sz w:val="21"/>
        </w:rPr>
        <w:t>Seven roles with read and write permissions, deny by default, checked by the server on every action; maker-checker approvals, authority matrix and segregation of duties checks.</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numPr>
          <w:ilvl w:val="0"/>
          <w:numId w:val="1"/>
        </w:numPr>
        <w:spacing w:before="0" w:after="60"/>
        <w:rPr/>
      </w:pPr>
      <w:r>
        <w:rPr>
          <w:rFonts w:eastAsia="Segoe UI" w:cs="Segoe UI" w:ascii="Segoe UI" w:hAnsi="Segoe UI"/>
          <w:color w:val="101820"/>
          <w:sz w:val="21"/>
        </w:rPr>
        <w:t>Documents served only to signed-in users or through signed links that expire; upload types checked against file content.</w:t>
      </w:r>
    </w:p>
    <w:p>
      <w:pPr>
        <w:pStyle w:val="Normal"/>
        <w:numPr>
          <w:ilvl w:val="0"/>
          <w:numId w:val="1"/>
        </w:numPr>
        <w:spacing w:before="0" w:after="60"/>
        <w:rPr/>
      </w:pPr>
      <w:r>
        <w:rPr>
          <w:rFonts w:eastAsia="Segoe UI" w:cs="Segoe UI" w:ascii="Segoe UI" w:hAnsi="Segoe UI"/>
          <w:color w:val="101820"/>
          <w:sz w:val="21"/>
        </w:rPr>
        <w:t>Passwords hashed; two-step secrets encrypted at rest; passwords and tokens redacted from logs.</w:t>
      </w:r>
    </w:p>
    <w:p>
      <w:pPr>
        <w:pStyle w:val="Heading2"/>
        <w:rPr/>
      </w:pPr>
      <w:bookmarkStart w:id="38" w:name="__RefHeading___Toc163635_4195859891"/>
      <w:bookmarkEnd w:id="38"/>
      <w:r>
        <w:rPr>
          <w:rFonts w:eastAsia="Segoe UI" w:cs="Segoe UI"/>
          <w:b/>
          <w:color w:val="0F4761"/>
          <w:sz w:val="26"/>
        </w:rPr>
        <w:t>17.4  Technical (infrastructure, where the Processor hosts)</w:t>
      </w:r>
    </w:p>
    <w:p>
      <w:pPr>
        <w:pStyle w:val="Normal"/>
        <w:numPr>
          <w:ilvl w:val="0"/>
          <w:numId w:val="1"/>
        </w:numPr>
        <w:spacing w:before="0" w:after="60"/>
        <w:rPr/>
      </w:pPr>
      <w:r>
        <w:rPr>
          <w:rFonts w:eastAsia="Segoe UI" w:cs="Segoe UI" w:ascii="Segoe UI" w:hAnsi="Segoe UI"/>
          <w:color w:val="101820"/>
          <w:sz w:val="21"/>
        </w:rPr>
        <w:t>Encryption in transit (HTTPS, TLS to the database) and at rest (database, file store, backups).</w:t>
      </w:r>
    </w:p>
    <w:p>
      <w:pPr>
        <w:pStyle w:val="Normal"/>
        <w:numPr>
          <w:ilvl w:val="0"/>
          <w:numId w:val="1"/>
        </w:numPr>
        <w:spacing w:before="0" w:after="60"/>
        <w:rPr/>
      </w:pPr>
      <w:r>
        <w:rPr>
          <w:rFonts w:eastAsia="Segoe UI" w:cs="Segoe UI" w:ascii="Segoe UI" w:hAnsi="Segoe UI"/>
          <w:color w:val="101820"/>
          <w:sz w:val="21"/>
        </w:rPr>
        <w:t>Network zones with private application and data zones; WAF; administrator access with multi-factor sign-in, logged.</w:t>
      </w:r>
    </w:p>
    <w:p>
      <w:pPr>
        <w:pStyle w:val="Normal"/>
        <w:numPr>
          <w:ilvl w:val="0"/>
          <w:numId w:val="1"/>
        </w:numPr>
        <w:spacing w:before="0" w:after="60"/>
        <w:rPr/>
      </w:pPr>
      <w:r>
        <w:rPr>
          <w:rFonts w:eastAsia="Segoe UI" w:cs="Segoe UI" w:ascii="Segoe UI" w:hAnsi="Segoe UI"/>
          <w:color w:val="101820"/>
          <w:sz w:val="21"/>
        </w:rPr>
        <w:t>Secrets in a secret store, separate per environment, with a sealed escrow copy of the data encryption key under dual control.</w:t>
      </w:r>
    </w:p>
    <w:p>
      <w:pPr>
        <w:pStyle w:val="Normal"/>
        <w:numPr>
          <w:ilvl w:val="0"/>
          <w:numId w:val="1"/>
        </w:numPr>
        <w:spacing w:before="0" w:after="60"/>
        <w:rPr/>
      </w:pPr>
      <w:r>
        <w:rPr>
          <w:rFonts w:eastAsia="Segoe UI" w:cs="Segoe UI" w:ascii="Segoe UI" w:hAnsi="Segoe UI"/>
          <w:color w:val="101820"/>
          <w:sz w:val="21"/>
        </w:rPr>
        <w:t>Daily backups with point-in-time recovery, restore tests quarterly, and the retention and recovery objectives of the Hosting and Infrastructure Services Agreement.</w:t>
      </w:r>
    </w:p>
    <w:p>
      <w:pPr>
        <w:pStyle w:val="Normal"/>
        <w:numPr>
          <w:ilvl w:val="0"/>
          <w:numId w:val="1"/>
        </w:numPr>
        <w:spacing w:before="0" w:after="60"/>
        <w:rPr/>
      </w:pPr>
      <w:r>
        <w:rPr>
          <w:rFonts w:eastAsia="Segoe UI" w:cs="Segoe UI" w:ascii="Segoe UI" w:hAnsi="Segoe UI"/>
          <w:color w:val="101820"/>
          <w:sz w:val="21"/>
        </w:rPr>
        <w:t>Monitoring and alarms, including on failed sign-ins and token reuse; patching monthly, critical security patches within 14 days and high within 30 days; yearly independent penetration test.</w:t>
      </w:r>
      <w:r>
        <w:br w:type="page"/>
      </w:r>
    </w:p>
    <w:p>
      <w:pPr>
        <w:pStyle w:val="Heading1"/>
        <w:rPr/>
      </w:pPr>
      <w:bookmarkStart w:id="39" w:name="__RefHeading___Toc163637_4195859891"/>
      <w:bookmarkEnd w:id="39"/>
      <w:r>
        <w:rPr>
          <w:rFonts w:eastAsia="Segoe UI" w:cs="Segoe UI" w:ascii="Segoe UI" w:hAnsi="Segoe UI"/>
          <w:b/>
          <w:color w:val="0F4761"/>
          <w:sz w:val="32"/>
        </w:rPr>
        <w:t>18.  Annex 3: authorised sub-processors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1743"/>
        <w:gridCol w:w="1711"/>
        <w:gridCol w:w="277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Sub-processor</w:t>
            </w:r>
          </w:p>
        </w:tc>
        <w:tc>
          <w:tcPr>
            <w:tcW w:w="1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 of processing</w:t>
            </w:r>
          </w:p>
        </w:tc>
        <w:tc>
          <w:tcPr>
            <w:tcW w:w="27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 to</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Inc. or its Philippine or Singapore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A)</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AWS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Corporation or its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B)</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Azure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name]</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hosting (option C)</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Philippines</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with a local partner</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delivery provider, if the Processor provides the mailbox]</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e-mail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if the Controller does not provide its own SMTP mailbox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tooling provider]</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Ticketing and service desk</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(Controller to cover personal data in attachments)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the sub-processors that apply to the hosting option and services in the Order Form are authorised. The list is kept up to date under the Sub-processors clause.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163639_4195859891"/>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lvlOverride w:ilvl="0">
      <w:startOverride w:val="1"/>
    </w:lvlOverride>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lvlOverride w:ilvl="0">
      <w:startOverride w:val="1"/>
    </w:lvlOverride>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lvlOverride w:ilvl="0">
      <w:startOverride w:val="1"/>
    </w:lvlOverride>
  </w:num>
  <w:num w:numId="50">
    <w:abstractNumId w:val="2"/>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