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667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7667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76677_4195859891">
            <w:r>
              <w:rPr>
                <w:webHidden/>
                <w:rStyle w:val="IndexLink"/>
              </w:rPr>
              <w:t>3. About this template</w:t>
              <w:tab/>
              <w:t>5</w:t>
            </w:r>
          </w:hyperlink>
        </w:p>
        <w:p>
          <w:pPr>
            <w:pStyle w:val="TOC1"/>
            <w:tabs>
              <w:tab w:val="clear" w:pos="900"/>
              <w:tab w:val="clear" w:pos="9350"/>
              <w:tab w:val="right" w:pos="9025" w:leader="dot"/>
            </w:tabs>
            <w:rPr/>
          </w:pPr>
          <w:hyperlink w:anchor="__RefHeading___Toc176679_4195859891">
            <w:r>
              <w:rPr>
                <w:webHidden/>
                <w:rStyle w:val="IndexLink"/>
              </w:rPr>
              <w:t>4. Parties and background</w:t>
              <w:tab/>
              <w:t>6</w:t>
            </w:r>
          </w:hyperlink>
        </w:p>
        <w:p>
          <w:pPr>
            <w:pStyle w:val="TOC1"/>
            <w:tabs>
              <w:tab w:val="clear" w:pos="900"/>
              <w:tab w:val="clear" w:pos="9350"/>
              <w:tab w:val="right" w:pos="9025" w:leader="dot"/>
            </w:tabs>
            <w:rPr/>
          </w:pPr>
          <w:hyperlink w:anchor="__RefHeading___Toc176681_4195859891">
            <w:r>
              <w:rPr>
                <w:webHidden/>
                <w:rStyle w:val="IndexLink"/>
              </w:rPr>
              <w:t>5. Definitions and interpretation</w:t>
              <w:tab/>
              <w:t>7</w:t>
            </w:r>
          </w:hyperlink>
        </w:p>
        <w:p>
          <w:pPr>
            <w:pStyle w:val="TOC2"/>
            <w:tabs>
              <w:tab w:val="clear" w:pos="900"/>
              <w:tab w:val="clear" w:pos="9350"/>
              <w:tab w:val="right" w:pos="9025" w:leader="dot"/>
            </w:tabs>
            <w:rPr/>
          </w:pPr>
          <w:hyperlink w:anchor="__RefHeading___Toc176683_4195859891">
            <w:r>
              <w:rPr>
                <w:webHidden/>
                <w:rStyle w:val="IndexLink"/>
              </w:rPr>
              <w:t>5.1 Definitions</w:t>
              <w:tab/>
              <w:t>7</w:t>
            </w:r>
          </w:hyperlink>
        </w:p>
        <w:p>
          <w:pPr>
            <w:pStyle w:val="TOC2"/>
            <w:tabs>
              <w:tab w:val="clear" w:pos="900"/>
              <w:tab w:val="clear" w:pos="9350"/>
              <w:tab w:val="right" w:pos="9025" w:leader="dot"/>
            </w:tabs>
            <w:rPr/>
          </w:pPr>
          <w:hyperlink w:anchor="__RefHeading___Toc176685_4195859891">
            <w:r>
              <w:rPr>
                <w:webHidden/>
                <w:rStyle w:val="IndexLink"/>
              </w:rPr>
              <w:t>5.2 Interpretation</w:t>
              <w:tab/>
              <w:t>7</w:t>
            </w:r>
          </w:hyperlink>
        </w:p>
        <w:p>
          <w:pPr>
            <w:pStyle w:val="TOC1"/>
            <w:tabs>
              <w:tab w:val="clear" w:pos="900"/>
              <w:tab w:val="clear" w:pos="9350"/>
              <w:tab w:val="right" w:pos="9025" w:leader="dot"/>
            </w:tabs>
            <w:rPr/>
          </w:pPr>
          <w:hyperlink w:anchor="__RefHeading___Toc176687_4195859891">
            <w:r>
              <w:rPr>
                <w:webHidden/>
                <w:rStyle w:val="IndexLink"/>
              </w:rPr>
              <w:t>6. Services and responsibilities</w:t>
              <w:tab/>
              <w:t>9</w:t>
            </w:r>
          </w:hyperlink>
        </w:p>
        <w:p>
          <w:pPr>
            <w:pStyle w:val="TOC2"/>
            <w:tabs>
              <w:tab w:val="clear" w:pos="900"/>
              <w:tab w:val="clear" w:pos="9350"/>
              <w:tab w:val="right" w:pos="9025" w:leader="dot"/>
            </w:tabs>
            <w:rPr/>
          </w:pPr>
          <w:hyperlink w:anchor="__RefHeading___Toc176689_4195859891">
            <w:r>
              <w:rPr>
                <w:webHidden/>
                <w:rStyle w:val="IndexLink"/>
              </w:rPr>
              <w:t>6.1 Structure of the agreement</w:t>
              <w:tab/>
              <w:t>9</w:t>
            </w:r>
          </w:hyperlink>
        </w:p>
        <w:p>
          <w:pPr>
            <w:pStyle w:val="TOC2"/>
            <w:tabs>
              <w:tab w:val="clear" w:pos="900"/>
              <w:tab w:val="clear" w:pos="9350"/>
              <w:tab w:val="right" w:pos="9025" w:leader="dot"/>
            </w:tabs>
            <w:rPr/>
          </w:pPr>
          <w:hyperlink w:anchor="__RefHeading___Toc176691_4195859891">
            <w:r>
              <w:rPr>
                <w:webHidden/>
                <w:rStyle w:val="IndexLink"/>
              </w:rPr>
              <w:t>6.2 Scope of services</w:t>
              <w:tab/>
              <w:t>9</w:t>
            </w:r>
          </w:hyperlink>
        </w:p>
        <w:p>
          <w:pPr>
            <w:pStyle w:val="TOC2"/>
            <w:tabs>
              <w:tab w:val="clear" w:pos="900"/>
              <w:tab w:val="clear" w:pos="9350"/>
              <w:tab w:val="right" w:pos="9025" w:leader="dot"/>
            </w:tabs>
            <w:rPr/>
          </w:pPr>
          <w:hyperlink w:anchor="__RefHeading___Toc176693_4195859891">
            <w:r>
              <w:rPr>
                <w:webHidden/>
                <w:rStyle w:val="IndexLink"/>
              </w:rPr>
              <w:t>6.3 Client responsibilities</w:t>
              <w:tab/>
              <w:t>10</w:t>
            </w:r>
          </w:hyperlink>
        </w:p>
        <w:p>
          <w:pPr>
            <w:pStyle w:val="TOC1"/>
            <w:tabs>
              <w:tab w:val="clear" w:pos="900"/>
              <w:tab w:val="clear" w:pos="9350"/>
              <w:tab w:val="right" w:pos="9025" w:leader="dot"/>
            </w:tabs>
            <w:rPr/>
          </w:pPr>
          <w:hyperlink w:anchor="__RefHeading___Toc176695_4195859891">
            <w:r>
              <w:rPr>
                <w:webHidden/>
                <w:rStyle w:val="IndexLink"/>
              </w:rPr>
              <w:t>7. Fees and taxes</w:t>
              <w:tab/>
              <w:t>12</w:t>
            </w:r>
          </w:hyperlink>
        </w:p>
        <w:p>
          <w:pPr>
            <w:pStyle w:val="TOC2"/>
            <w:tabs>
              <w:tab w:val="clear" w:pos="900"/>
              <w:tab w:val="clear" w:pos="9350"/>
              <w:tab w:val="right" w:pos="9025" w:leader="dot"/>
            </w:tabs>
            <w:rPr/>
          </w:pPr>
          <w:hyperlink w:anchor="__RefHeading___Toc176697_4195859891">
            <w:r>
              <w:rPr>
                <w:webHidden/>
                <w:rStyle w:val="IndexLink"/>
              </w:rPr>
              <w:t>7.1 Fees and payment</w:t>
              <w:tab/>
              <w:t>12</w:t>
            </w:r>
          </w:hyperlink>
        </w:p>
        <w:p>
          <w:pPr>
            <w:pStyle w:val="TOC2"/>
            <w:tabs>
              <w:tab w:val="clear" w:pos="900"/>
              <w:tab w:val="clear" w:pos="9350"/>
              <w:tab w:val="right" w:pos="9025" w:leader="dot"/>
            </w:tabs>
            <w:rPr/>
          </w:pPr>
          <w:hyperlink w:anchor="__RefHeading___Toc176699_4195859891">
            <w:r>
              <w:rPr>
                <w:webHidden/>
                <w:rStyle w:val="IndexLink"/>
              </w:rPr>
              <w:t>7.2 Taxes</w:t>
              <w:tab/>
              <w:t>12</w:t>
            </w:r>
          </w:hyperlink>
        </w:p>
        <w:p>
          <w:pPr>
            <w:pStyle w:val="TOC1"/>
            <w:tabs>
              <w:tab w:val="clear" w:pos="900"/>
              <w:tab w:val="clear" w:pos="9350"/>
              <w:tab w:val="right" w:pos="9025" w:leader="dot"/>
            </w:tabs>
            <w:rPr/>
          </w:pPr>
          <w:hyperlink w:anchor="__RefHeading___Toc176701_4195859891">
            <w:r>
              <w:rPr>
                <w:webHidden/>
                <w:rStyle w:val="IndexLink"/>
              </w:rPr>
              <w:t>8. Term and termination</w:t>
              <w:tab/>
              <w:t>14</w:t>
            </w:r>
          </w:hyperlink>
        </w:p>
        <w:p>
          <w:pPr>
            <w:pStyle w:val="TOC2"/>
            <w:tabs>
              <w:tab w:val="clear" w:pos="900"/>
              <w:tab w:val="clear" w:pos="9350"/>
              <w:tab w:val="right" w:pos="9025" w:leader="dot"/>
            </w:tabs>
            <w:rPr/>
          </w:pPr>
          <w:hyperlink w:anchor="__RefHeading___Toc176703_4195859891">
            <w:r>
              <w:rPr>
                <w:webHidden/>
                <w:rStyle w:val="IndexLink"/>
              </w:rPr>
              <w:t>8.1 Term</w:t>
              <w:tab/>
              <w:t>14</w:t>
            </w:r>
          </w:hyperlink>
        </w:p>
        <w:p>
          <w:pPr>
            <w:pStyle w:val="TOC2"/>
            <w:tabs>
              <w:tab w:val="clear" w:pos="900"/>
              <w:tab w:val="clear" w:pos="9350"/>
              <w:tab w:val="right" w:pos="9025" w:leader="dot"/>
            </w:tabs>
            <w:rPr/>
          </w:pPr>
          <w:hyperlink w:anchor="__RefHeading___Toc176705_4195859891">
            <w:r>
              <w:rPr>
                <w:webHidden/>
                <w:rStyle w:val="IndexLink"/>
              </w:rPr>
              <w:t>8.2 Termination for cause</w:t>
              <w:tab/>
              <w:t>14</w:t>
            </w:r>
          </w:hyperlink>
        </w:p>
        <w:p>
          <w:pPr>
            <w:pStyle w:val="TOC2"/>
            <w:tabs>
              <w:tab w:val="clear" w:pos="900"/>
              <w:tab w:val="clear" w:pos="9350"/>
              <w:tab w:val="right" w:pos="9025" w:leader="dot"/>
            </w:tabs>
            <w:rPr/>
          </w:pPr>
          <w:hyperlink w:anchor="__RefHeading___Toc176707_4195859891">
            <w:r>
              <w:rPr>
                <w:webHidden/>
                <w:rStyle w:val="IndexLink"/>
              </w:rPr>
              <w:t>8.3 Termination for convenience</w:t>
              <w:tab/>
              <w:t>14</w:t>
            </w:r>
          </w:hyperlink>
        </w:p>
        <w:p>
          <w:pPr>
            <w:pStyle w:val="TOC2"/>
            <w:tabs>
              <w:tab w:val="clear" w:pos="900"/>
              <w:tab w:val="clear" w:pos="9350"/>
              <w:tab w:val="right" w:pos="9025" w:leader="dot"/>
            </w:tabs>
            <w:rPr/>
          </w:pPr>
          <w:hyperlink w:anchor="__RefHeading___Toc176709_4195859891">
            <w:r>
              <w:rPr>
                <w:webHidden/>
                <w:rStyle w:val="IndexLink"/>
              </w:rPr>
              <w:t>8.4 Effect of termination</w:t>
              <w:tab/>
              <w:t>14</w:t>
            </w:r>
          </w:hyperlink>
        </w:p>
        <w:p>
          <w:pPr>
            <w:pStyle w:val="TOC1"/>
            <w:tabs>
              <w:tab w:val="clear" w:pos="900"/>
              <w:tab w:val="clear" w:pos="9350"/>
              <w:tab w:val="right" w:pos="9025" w:leader="dot"/>
            </w:tabs>
            <w:rPr/>
          </w:pPr>
          <w:hyperlink w:anchor="__RefHeading___Toc176711_4195859891">
            <w:r>
              <w:rPr>
                <w:webHidden/>
                <w:rStyle w:val="IndexLink"/>
              </w:rPr>
              <w:t>9. Rights in the platform and in data</w:t>
              <w:tab/>
              <w:t>16</w:t>
            </w:r>
          </w:hyperlink>
        </w:p>
        <w:p>
          <w:pPr>
            <w:pStyle w:val="TOC2"/>
            <w:tabs>
              <w:tab w:val="clear" w:pos="900"/>
              <w:tab w:val="clear" w:pos="9350"/>
              <w:tab w:val="right" w:pos="9025" w:leader="dot"/>
            </w:tabs>
            <w:rPr/>
          </w:pPr>
          <w:hyperlink w:anchor="__RefHeading___Toc176713_4195859891">
            <w:r>
              <w:rPr>
                <w:webHidden/>
                <w:rStyle w:val="IndexLink"/>
              </w:rPr>
              <w:t>9.1 Intellectual property</w:t>
              <w:tab/>
              <w:t>16</w:t>
            </w:r>
          </w:hyperlink>
        </w:p>
        <w:p>
          <w:pPr>
            <w:pStyle w:val="TOC2"/>
            <w:tabs>
              <w:tab w:val="clear" w:pos="900"/>
              <w:tab w:val="clear" w:pos="9350"/>
              <w:tab w:val="right" w:pos="9025" w:leader="dot"/>
            </w:tabs>
            <w:rPr/>
          </w:pPr>
          <w:hyperlink w:anchor="__RefHeading___Toc176715_4195859891">
            <w:r>
              <w:rPr>
                <w:webHidden/>
                <w:rStyle w:val="IndexLink"/>
              </w:rPr>
              <w:t>9.2 Licence grant</w:t>
              <w:tab/>
              <w:t>16</w:t>
            </w:r>
          </w:hyperlink>
        </w:p>
        <w:p>
          <w:pPr>
            <w:pStyle w:val="TOC2"/>
            <w:tabs>
              <w:tab w:val="clear" w:pos="900"/>
              <w:tab w:val="clear" w:pos="9350"/>
              <w:tab w:val="right" w:pos="9025" w:leader="dot"/>
            </w:tabs>
            <w:rPr/>
          </w:pPr>
          <w:hyperlink w:anchor="__RefHeading___Toc176717_4195859891">
            <w:r>
              <w:rPr>
                <w:webHidden/>
                <w:rStyle w:val="IndexLink"/>
              </w:rPr>
              <w:t>9.3 Confidentiality</w:t>
              <w:tab/>
              <w:t>16</w:t>
            </w:r>
          </w:hyperlink>
        </w:p>
        <w:p>
          <w:pPr>
            <w:pStyle w:val="TOC2"/>
            <w:tabs>
              <w:tab w:val="clear" w:pos="900"/>
              <w:tab w:val="clear" w:pos="9350"/>
              <w:tab w:val="right" w:pos="9025" w:leader="dot"/>
            </w:tabs>
            <w:rPr/>
          </w:pPr>
          <w:hyperlink w:anchor="__RefHeading___Toc176719_4195859891">
            <w:r>
              <w:rPr>
                <w:webHidden/>
                <w:rStyle w:val="IndexLink"/>
              </w:rPr>
              <w:t>9.4 Data protection</w:t>
              <w:tab/>
              <w:t>17</w:t>
            </w:r>
          </w:hyperlink>
        </w:p>
        <w:p>
          <w:pPr>
            <w:pStyle w:val="TOC1"/>
            <w:tabs>
              <w:tab w:val="clear" w:pos="900"/>
              <w:tab w:val="clear" w:pos="9350"/>
              <w:tab w:val="right" w:pos="9025" w:leader="dot"/>
            </w:tabs>
            <w:rPr/>
          </w:pPr>
          <w:hyperlink w:anchor="__RefHeading___Toc176721_4195859891">
            <w:r>
              <w:rPr>
                <w:webHidden/>
                <w:rStyle w:val="IndexLink"/>
              </w:rPr>
              <w:t>10. Warranties, liability and indemnities</w:t>
              <w:tab/>
              <w:t>18</w:t>
            </w:r>
          </w:hyperlink>
        </w:p>
        <w:p>
          <w:pPr>
            <w:pStyle w:val="TOC2"/>
            <w:tabs>
              <w:tab w:val="clear" w:pos="900"/>
              <w:tab w:val="clear" w:pos="9350"/>
              <w:tab w:val="right" w:pos="9025" w:leader="dot"/>
            </w:tabs>
            <w:rPr/>
          </w:pPr>
          <w:hyperlink w:anchor="__RefHeading___Toc176723_4195859891">
            <w:r>
              <w:rPr>
                <w:webHidden/>
                <w:rStyle w:val="IndexLink"/>
              </w:rPr>
              <w:t>10.1 Warranties</w:t>
              <w:tab/>
              <w:t>18</w:t>
            </w:r>
          </w:hyperlink>
        </w:p>
        <w:p>
          <w:pPr>
            <w:pStyle w:val="TOC2"/>
            <w:tabs>
              <w:tab w:val="clear" w:pos="900"/>
              <w:tab w:val="clear" w:pos="9350"/>
              <w:tab w:val="right" w:pos="9025" w:leader="dot"/>
            </w:tabs>
            <w:rPr/>
          </w:pPr>
          <w:hyperlink w:anchor="__RefHeading___Toc176725_4195859891">
            <w:r>
              <w:rPr>
                <w:webHidden/>
                <w:rStyle w:val="IndexLink"/>
              </w:rPr>
              <w:t>10.2 Limitation of liability</w:t>
              <w:tab/>
              <w:t>18</w:t>
            </w:r>
          </w:hyperlink>
        </w:p>
        <w:p>
          <w:pPr>
            <w:pStyle w:val="TOC2"/>
            <w:tabs>
              <w:tab w:val="clear" w:pos="900"/>
              <w:tab w:val="clear" w:pos="9350"/>
              <w:tab w:val="right" w:pos="9025" w:leader="dot"/>
            </w:tabs>
            <w:rPr/>
          </w:pPr>
          <w:hyperlink w:anchor="__RefHeading___Toc176727_4195859891">
            <w:r>
              <w:rPr>
                <w:webHidden/>
                <w:rStyle w:val="IndexLink"/>
              </w:rPr>
              <w:t>10.3 Indemnities</w:t>
              <w:tab/>
              <w:t>19</w:t>
            </w:r>
          </w:hyperlink>
        </w:p>
        <w:p>
          <w:pPr>
            <w:pStyle w:val="TOC1"/>
            <w:tabs>
              <w:tab w:val="clear" w:pos="900"/>
              <w:tab w:val="clear" w:pos="9350"/>
              <w:tab w:val="right" w:pos="9025" w:leader="dot"/>
            </w:tabs>
            <w:rPr/>
          </w:pPr>
          <w:hyperlink w:anchor="__RefHeading___Toc176729_4195859891">
            <w:r>
              <w:rPr>
                <w:webHidden/>
                <w:rStyle w:val="IndexLink"/>
              </w:rPr>
              <w:t>11. Other terms</w:t>
              <w:tab/>
              <w:t>20</w:t>
            </w:r>
          </w:hyperlink>
        </w:p>
        <w:p>
          <w:pPr>
            <w:pStyle w:val="TOC2"/>
            <w:tabs>
              <w:tab w:val="clear" w:pos="900"/>
              <w:tab w:val="clear" w:pos="9350"/>
              <w:tab w:val="right" w:pos="9025" w:leader="dot"/>
            </w:tabs>
            <w:rPr/>
          </w:pPr>
          <w:hyperlink w:anchor="__RefHeading___Toc176731_4195859891">
            <w:r>
              <w:rPr>
                <w:webHidden/>
                <w:rStyle w:val="IndexLink"/>
              </w:rPr>
              <w:t>11.1 Force majeure</w:t>
              <w:tab/>
              <w:t>20</w:t>
            </w:r>
          </w:hyperlink>
        </w:p>
        <w:p>
          <w:pPr>
            <w:pStyle w:val="TOC2"/>
            <w:tabs>
              <w:tab w:val="clear" w:pos="900"/>
              <w:tab w:val="clear" w:pos="9350"/>
              <w:tab w:val="right" w:pos="9025" w:leader="dot"/>
            </w:tabs>
            <w:rPr/>
          </w:pPr>
          <w:hyperlink w:anchor="__RefHeading___Toc176733_4195859891">
            <w:r>
              <w:rPr>
                <w:webHidden/>
                <w:rStyle w:val="IndexLink"/>
              </w:rPr>
              <w:t>11.2 Non-solicitation</w:t>
              <w:tab/>
              <w:t>20</w:t>
            </w:r>
          </w:hyperlink>
        </w:p>
        <w:p>
          <w:pPr>
            <w:pStyle w:val="TOC2"/>
            <w:tabs>
              <w:tab w:val="clear" w:pos="900"/>
              <w:tab w:val="clear" w:pos="9350"/>
              <w:tab w:val="right" w:pos="9025" w:leader="dot"/>
            </w:tabs>
            <w:rPr/>
          </w:pPr>
          <w:hyperlink w:anchor="__RefHeading___Toc176735_4195859891">
            <w:r>
              <w:rPr>
                <w:webHidden/>
                <w:rStyle w:val="IndexLink"/>
              </w:rPr>
              <w:t>11.3 Assignment and subcontracting</w:t>
              <w:tab/>
              <w:t>20</w:t>
            </w:r>
          </w:hyperlink>
        </w:p>
        <w:p>
          <w:pPr>
            <w:pStyle w:val="TOC2"/>
            <w:tabs>
              <w:tab w:val="clear" w:pos="900"/>
              <w:tab w:val="clear" w:pos="9350"/>
              <w:tab w:val="right" w:pos="9025" w:leader="dot"/>
            </w:tabs>
            <w:rPr/>
          </w:pPr>
          <w:hyperlink w:anchor="__RefHeading___Toc176737_4195859891">
            <w:r>
              <w:rPr>
                <w:webHidden/>
                <w:rStyle w:val="IndexLink"/>
              </w:rPr>
              <w:t>11.4 Dispute resolution</w:t>
              <w:tab/>
              <w:t>20</w:t>
            </w:r>
          </w:hyperlink>
        </w:p>
        <w:p>
          <w:pPr>
            <w:pStyle w:val="TOC2"/>
            <w:tabs>
              <w:tab w:val="clear" w:pos="900"/>
              <w:tab w:val="clear" w:pos="9350"/>
              <w:tab w:val="right" w:pos="9025" w:leader="dot"/>
            </w:tabs>
            <w:rPr/>
          </w:pPr>
          <w:hyperlink w:anchor="__RefHeading___Toc176739_4195859891">
            <w:r>
              <w:rPr>
                <w:webHidden/>
                <w:rStyle w:val="IndexLink"/>
              </w:rPr>
              <w:t>11.5 Governing law</w:t>
              <w:tab/>
              <w:t>21</w:t>
            </w:r>
          </w:hyperlink>
        </w:p>
        <w:p>
          <w:pPr>
            <w:pStyle w:val="TOC2"/>
            <w:tabs>
              <w:tab w:val="clear" w:pos="900"/>
              <w:tab w:val="clear" w:pos="9350"/>
              <w:tab w:val="right" w:pos="9025" w:leader="dot"/>
            </w:tabs>
            <w:rPr/>
          </w:pPr>
          <w:hyperlink w:anchor="__RefHeading___Toc176741_4195859891">
            <w:r>
              <w:rPr>
                <w:webHidden/>
                <w:rStyle w:val="IndexLink"/>
              </w:rPr>
              <w:t>11.6 Notices</w:t>
              <w:tab/>
              <w:t>21</w:t>
            </w:r>
          </w:hyperlink>
        </w:p>
        <w:p>
          <w:pPr>
            <w:pStyle w:val="TOC2"/>
            <w:tabs>
              <w:tab w:val="clear" w:pos="900"/>
              <w:tab w:val="clear" w:pos="9350"/>
              <w:tab w:val="right" w:pos="9025" w:leader="dot"/>
            </w:tabs>
            <w:rPr/>
          </w:pPr>
          <w:hyperlink w:anchor="__RefHeading___Toc176743_4195859891">
            <w:r>
              <w:rPr>
                <w:webHidden/>
                <w:rStyle w:val="IndexLink"/>
              </w:rPr>
              <w:t>11.7 General</w:t>
              <w:tab/>
              <w:t>21</w:t>
            </w:r>
          </w:hyperlink>
        </w:p>
        <w:p>
          <w:pPr>
            <w:pStyle w:val="TOC1"/>
            <w:tabs>
              <w:tab w:val="clear" w:pos="900"/>
              <w:tab w:val="clear" w:pos="9350"/>
              <w:tab w:val="right" w:pos="9025" w:leader="dot"/>
            </w:tabs>
            <w:rPr/>
          </w:pPr>
          <w:hyperlink w:anchor="__RefHeading___Toc176745_4195859891">
            <w:r>
              <w:rPr>
                <w:webHidden/>
                <w:rStyle w:val="IndexLink"/>
              </w:rPr>
              <w:t>12. Signatures</w:t>
              <w:tab/>
              <w:t>23</w:t>
            </w:r>
          </w:hyperlink>
        </w:p>
        <w:p>
          <w:pPr>
            <w:pStyle w:val="TOC2"/>
            <w:tabs>
              <w:tab w:val="clear" w:pos="900"/>
              <w:tab w:val="clear" w:pos="9350"/>
              <w:tab w:val="right" w:pos="9025" w:leader="dot"/>
            </w:tabs>
            <w:rPr/>
          </w:pPr>
          <w:hyperlink w:anchor="__RefHeading___Toc176747_4195859891">
            <w:r>
              <w:rPr>
                <w:webHidden/>
                <w:rStyle w:val="IndexLink"/>
              </w:rPr>
              <w:t>12.1 Signature blocks</w:t>
              <w:tab/>
              <w:t>23</w:t>
            </w:r>
          </w:hyperlink>
        </w:p>
        <w:p>
          <w:pPr>
            <w:pStyle w:val="TOC2"/>
            <w:tabs>
              <w:tab w:val="clear" w:pos="900"/>
              <w:tab w:val="clear" w:pos="9350"/>
              <w:tab w:val="right" w:pos="9025" w:leader="dot"/>
            </w:tabs>
            <w:rPr/>
          </w:pPr>
          <w:hyperlink w:anchor="__RefHeading___Toc176749_4195859891">
            <w:r>
              <w:rPr>
                <w:webHidden/>
                <w:rStyle w:val="IndexLink"/>
              </w:rPr>
              <w:t>12.2 Acknowledgment</w:t>
              <w:tab/>
              <w:t>23</w:t>
            </w:r>
          </w:hyperlink>
        </w:p>
        <w:p>
          <w:pPr>
            <w:pStyle w:val="TOC1"/>
            <w:tabs>
              <w:tab w:val="clear" w:pos="900"/>
              <w:tab w:val="clear" w:pos="9350"/>
              <w:tab w:val="right" w:pos="9025" w:leader="dot"/>
            </w:tabs>
            <w:rPr/>
          </w:pPr>
          <w:hyperlink w:anchor="__RefHeading___Toc176751_4195859891">
            <w:r>
              <w:rPr>
                <w:webHidden/>
                <w:rStyle w:val="IndexLink"/>
              </w:rPr>
              <w:t>13. Annex A: schedules and forms</w:t>
              <w:tab/>
              <w:t>24</w:t>
            </w:r>
          </w:hyperlink>
        </w:p>
        <w:p>
          <w:pPr>
            <w:pStyle w:val="TOC1"/>
            <w:tabs>
              <w:tab w:val="clear" w:pos="900"/>
              <w:tab w:val="clear" w:pos="9350"/>
              <w:tab w:val="right" w:pos="9025" w:leader="dot"/>
            </w:tabs>
            <w:rPr/>
          </w:pPr>
          <w:hyperlink w:anchor="__RefHeading___Toc176753_4195859891">
            <w:r>
              <w:rPr>
                <w:webHidden/>
                <w:rStyle w:val="IndexLink"/>
                <w:i w:val="false"/>
                <w:iCs w:val="false"/>
              </w:rPr>
              <w:t>14.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667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667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Alternative dispute resolution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6677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Master Services Agreement (the </w:t>
      </w:r>
      <w:r>
        <w:rPr>
          <w:rFonts w:eastAsia="Segoe UI" w:cs="Segoe UI" w:ascii="Segoe UI" w:hAnsi="Segoe UI"/>
          <w:b/>
          <w:color w:val="101820"/>
          <w:sz w:val="21"/>
        </w:rPr>
        <w:t>Agreement</w:t>
      </w:r>
      <w:r>
        <w:rPr>
          <w:rFonts w:eastAsia="Segoe UI" w:cs="Segoe UI" w:ascii="Segoe UI" w:hAnsi="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r>
        <w:br w:type="page"/>
      </w:r>
    </w:p>
    <w:p>
      <w:pPr>
        <w:pStyle w:val="Heading1"/>
        <w:rPr/>
      </w:pPr>
      <w:bookmarkStart w:id="7" w:name="__RefHeading___Toc176679_4195859891"/>
      <w:bookmarkEnd w:id="7"/>
      <w:r>
        <w:rPr>
          <w:rFonts w:eastAsia="Segoe UI" w:cs="Segoe UI" w:ascii="Segoe UI" w:hAnsi="Segoe UI"/>
          <w:b/>
          <w:color w:val="0F4761"/>
          <w:sz w:val="32"/>
        </w:rPr>
        <w:t>4.  Parties and background</w:t>
      </w:r>
    </w:p>
    <w:p>
      <w:pPr>
        <w:pStyle w:val="Normal"/>
        <w:spacing w:lineRule="auto" w:line="276" w:before="0" w:after="120"/>
        <w:rPr/>
      </w:pPr>
      <w:r>
        <w:rPr>
          <w:rFonts w:eastAsia="Segoe UI" w:cs="Segoe UI" w:ascii="Segoe UI" w:hAnsi="Segoe UI"/>
          <w:color w:val="101820"/>
          <w:sz w:val="21"/>
        </w:rPr>
        <w:t>This Agreement is made on [date] at [Makati City / Taguig City], Philippines, between:</w:t>
      </w:r>
    </w:p>
    <w:p>
      <w:pPr>
        <w:pStyle w:val="Normal"/>
        <w:numPr>
          <w:ilvl w:val="0"/>
          <w:numId w:val="2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iorta TechNXT and the Client are each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owns and licenses iNXT BrokerVerse, an insurance broking platform for non-life insurance brokers, and provides implementation, support, hosting and related services.</w:t>
      </w:r>
    </w:p>
    <w:p>
      <w:pPr>
        <w:pStyle w:val="Normal"/>
        <w:numPr>
          <w:ilvl w:val="0"/>
          <w:numId w:val="1"/>
        </w:numPr>
        <w:spacing w:before="0" w:after="60"/>
        <w:rPr/>
      </w:pPr>
      <w:r>
        <w:rPr>
          <w:rFonts w:eastAsia="Segoe UI" w:cs="Segoe UI" w:ascii="Segoe UI" w:hAnsi="Segoe UI"/>
          <w:color w:val="101820"/>
          <w:sz w:val="21"/>
        </w:rPr>
        <w:t>The Client wishes to use iNXT BrokerVerse OOTB in its business as an insurance broker and to obtain related services from iorta TechNXT.</w:t>
      </w:r>
    </w:p>
    <w:p>
      <w:pPr>
        <w:pStyle w:val="Normal"/>
        <w:numPr>
          <w:ilvl w:val="0"/>
          <w:numId w:val="1"/>
        </w:numPr>
        <w:spacing w:before="0" w:after="60"/>
        <w:rPr/>
      </w:pPr>
      <w:r>
        <w:rPr>
          <w:rFonts w:eastAsia="Segoe UI" w:cs="Segoe UI" w:ascii="Segoe UI" w:hAnsi="Segoe UI"/>
          <w:color w:val="101820"/>
          <w:sz w:val="21"/>
        </w:rPr>
        <w:t>The Parties wish to set out the general terms that apply to every Order Form signed under this Agreement.</w:t>
      </w:r>
      <w:r>
        <w:br w:type="page"/>
      </w:r>
    </w:p>
    <w:p>
      <w:pPr>
        <w:pStyle w:val="Heading1"/>
        <w:rPr/>
      </w:pPr>
      <w:bookmarkStart w:id="8" w:name="__RefHeading___Toc176681_4195859891"/>
      <w:bookmarkEnd w:id="8"/>
      <w:r>
        <w:rPr>
          <w:rFonts w:eastAsia="Segoe UI" w:cs="Segoe UI" w:ascii="Segoe UI" w:hAnsi="Segoe UI"/>
          <w:b/>
          <w:color w:val="0F4761"/>
          <w:sz w:val="32"/>
        </w:rPr>
        <w:t>5.  Definitions and interpretation</w:t>
      </w:r>
    </w:p>
    <w:p>
      <w:pPr>
        <w:pStyle w:val="Heading2"/>
        <w:rPr/>
      </w:pPr>
      <w:bookmarkStart w:id="9" w:name="__RefHeading___Toc176683_4195859891"/>
      <w:bookmarkEnd w:id="9"/>
      <w:r>
        <w:rPr>
          <w:rFonts w:eastAsia="Segoe UI" w:cs="Segoe UI"/>
          <w:b/>
          <w:color w:val="0F4761"/>
          <w:sz w:val="26"/>
        </w:rPr>
        <w:t>5.1  Definitions</w:t>
      </w:r>
    </w:p>
    <w:p>
      <w:pPr>
        <w:pStyle w:val="Normal"/>
        <w:spacing w:lineRule="auto" w:line="276" w:before="0" w:after="120"/>
        <w:rPr/>
      </w:pPr>
      <w:r>
        <w:rPr>
          <w:rFonts w:eastAsia="Segoe UI" w:cs="Segoe UI" w:ascii="Segoe UI" w:hAnsi="Segoe UI"/>
          <w:color w:val="101820"/>
          <w:sz w:val="21"/>
        </w:rPr>
        <w:t>In this Agreement and in every Order Form and schedule, unless the context requires otherwise: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acceptance of a Deliverable under the acceptance procedure of the applicable SOW, or deemed acceptance under that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Affiliate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entity that controls, is controlled by or is under common control with a Party, where control means ownership of more than 50% of the voting shares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Maintenance and Support Agreement for a perpetual licence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to change the agreed scope, plan, Deliverables or the Platform, handled under the Change Request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data, including Personal Data, that the Client or its users enter in, upload to or generate with the Platform, and the outputs that contain 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Confidential Information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described in the Confidentiality clause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configuration, environment or other item that iorta TechNXT delivers under an SOW</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administrator guides, technical reference and other documentation of iNXT BrokerVerse OOTB that iorta TechNXT makes available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Effective Date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amounts payable by the Client under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day on which the Client uses the Platform in production for its business transactions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Intellectual Property Rights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Copyright, patents, trademarks, trade names, designs, database rights, trade secrets, know-how and all similar rights anywhere in the world, registered or not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signed by both Parties that refers to this Agreement and states the products, services, quantities, Fees, term and schedules that apply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sensitive personal information and privileged information as defined in the Data Privacy Act of 2012 (RA 10173)</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the out-of-the-box version of iNXT BrokerVerse, in object code and as a hosted service as applicable, with its Documentation, updates and releases provided under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 maintenance, hosting, training, change requests and any other services stated in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statement of work that forms part of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individuals authorised by the Client to use the Platform, each with a personal sign-in</w:t>
            </w:r>
          </w:p>
        </w:tc>
      </w:tr>
    </w:tbl>
    <w:p>
      <w:pPr>
        <w:pStyle w:val="Normal"/>
        <w:spacing w:before="0" w:after="80"/>
        <w:rPr/>
      </w:pPr>
      <w:r>
        <w:rPr/>
      </w:r>
    </w:p>
    <w:p>
      <w:pPr>
        <w:pStyle w:val="Heading2"/>
        <w:rPr/>
      </w:pPr>
      <w:bookmarkStart w:id="10" w:name="__RefHeading___Toc176685_4195859891"/>
      <w:bookmarkEnd w:id="10"/>
      <w:r>
        <w:rPr>
          <w:rFonts w:eastAsia="Segoe UI" w:cs="Segoe UI"/>
          <w:b/>
          <w:color w:val="0F4761"/>
          <w:sz w:val="26"/>
        </w:rPr>
        <w:t>5.2  Interpretation</w:t>
      </w:r>
    </w:p>
    <w:p>
      <w:pPr>
        <w:pStyle w:val="Normal"/>
        <w:numPr>
          <w:ilvl w:val="0"/>
          <w:numId w:val="26"/>
        </w:numPr>
        <w:spacing w:before="0" w:after="60"/>
        <w:rPr/>
      </w:pPr>
      <w:r>
        <w:rPr>
          <w:rFonts w:eastAsia="Segoe UI" w:cs="Segoe UI" w:ascii="Segoe UI" w:hAnsi="Segoe UI"/>
          <w:color w:val="101820"/>
          <w:sz w:val="21"/>
        </w:rPr>
        <w:t>Headings are for convenience only. The singular includes the plural and the reverse.</w:t>
      </w:r>
    </w:p>
    <w:p>
      <w:pPr>
        <w:pStyle w:val="Normal"/>
        <w:numPr>
          <w:ilvl w:val="0"/>
          <w:numId w:val="27"/>
        </w:numPr>
        <w:spacing w:before="0" w:after="60"/>
        <w:rPr/>
      </w:pPr>
      <w:r>
        <w:rPr>
          <w:rFonts w:eastAsia="Segoe UI" w:cs="Segoe UI" w:ascii="Segoe UI" w:hAnsi="Segoe UI"/>
          <w:color w:val="101820"/>
          <w:sz w:val="21"/>
        </w:rPr>
        <w:t>"Including" means "including without limitation".</w:t>
      </w:r>
    </w:p>
    <w:p>
      <w:pPr>
        <w:pStyle w:val="Normal"/>
        <w:numPr>
          <w:ilvl w:val="0"/>
          <w:numId w:val="28"/>
        </w:numPr>
        <w:spacing w:before="0" w:after="60"/>
        <w:rPr/>
      </w:pPr>
      <w:r>
        <w:rPr>
          <w:rFonts w:eastAsia="Segoe UI" w:cs="Segoe UI" w:ascii="Segoe UI" w:hAnsi="Segoe UI"/>
          <w:color w:val="101820"/>
          <w:sz w:val="21"/>
        </w:rPr>
        <w:t>A reference to a law includes its implementing rules and regulations and any amendment or replacement in force.</w:t>
      </w:r>
    </w:p>
    <w:p>
      <w:pPr>
        <w:pStyle w:val="Normal"/>
        <w:numPr>
          <w:ilvl w:val="0"/>
          <w:numId w:val="29"/>
        </w:numPr>
        <w:spacing w:before="0" w:after="60"/>
        <w:rPr/>
      </w:pPr>
      <w:r>
        <w:rPr>
          <w:rFonts w:eastAsia="Segoe UI" w:cs="Segoe UI" w:ascii="Segoe UI" w:hAnsi="Segoe UI"/>
          <w:color w:val="101820"/>
          <w:sz w:val="21"/>
        </w:rPr>
        <w:t>A reference to a clause by name refers to the clause of that name in this Agreement.</w:t>
      </w:r>
    </w:p>
    <w:p>
      <w:pPr>
        <w:pStyle w:val="Normal"/>
        <w:numPr>
          <w:ilvl w:val="0"/>
          <w:numId w:val="30"/>
        </w:numPr>
        <w:spacing w:before="0" w:after="60"/>
        <w:rPr/>
      </w:pPr>
      <w:r>
        <w:rPr>
          <w:rFonts w:eastAsia="Segoe UI" w:cs="Segoe UI" w:ascii="Segoe UI" w:hAnsi="Segoe UI"/>
          <w:color w:val="101820"/>
          <w:sz w:val="21"/>
        </w:rPr>
        <w:t>Amounts are in Philippine pesos and exclude VAT unless stated.</w:t>
      </w:r>
      <w:r>
        <w:br w:type="page"/>
      </w:r>
    </w:p>
    <w:p>
      <w:pPr>
        <w:pStyle w:val="Heading1"/>
        <w:rPr/>
      </w:pPr>
      <w:bookmarkStart w:id="11" w:name="__RefHeading___Toc176687_4195859891"/>
      <w:bookmarkEnd w:id="11"/>
      <w:r>
        <w:rPr>
          <w:rFonts w:eastAsia="Segoe UI" w:cs="Segoe UI" w:ascii="Segoe UI" w:hAnsi="Segoe UI"/>
          <w:b/>
          <w:color w:val="0F4761"/>
          <w:sz w:val="32"/>
        </w:rPr>
        <w:t>6.  Services and responsibilities</w:t>
      </w:r>
    </w:p>
    <w:p>
      <w:pPr>
        <w:pStyle w:val="Heading2"/>
        <w:rPr/>
      </w:pPr>
      <w:bookmarkStart w:id="12" w:name="__RefHeading___Toc176689_4195859891"/>
      <w:bookmarkEnd w:id="12"/>
      <w:r>
        <w:rPr>
          <w:rFonts w:eastAsia="Segoe UI" w:cs="Segoe UI"/>
          <w:b/>
          <w:color w:val="0F4761"/>
          <w:sz w:val="26"/>
        </w:rPr>
        <w:t>6.1  Structure of the agreement</w:t>
      </w:r>
    </w:p>
    <w:p>
      <w:pPr>
        <w:pStyle w:val="Heading3"/>
        <w:rPr/>
      </w:pPr>
      <w:r>
        <w:rPr>
          <w:rFonts w:eastAsia="Segoe UI" w:cs="Segoe UI"/>
          <w:b/>
          <w:color w:val="0F4761"/>
          <w:sz w:val="23"/>
        </w:rPr>
        <w:t>6.1.1  Order Forms</w:t>
      </w:r>
    </w:p>
    <w:p>
      <w:pPr>
        <w:pStyle w:val="Normal"/>
        <w:numPr>
          <w:ilvl w:val="0"/>
          <w:numId w:val="31"/>
        </w:numPr>
        <w:spacing w:before="0" w:after="60"/>
        <w:rPr/>
      </w:pPr>
      <w:r>
        <w:rPr>
          <w:rFonts w:eastAsia="Segoe UI" w:cs="Segoe UI" w:ascii="Segoe UI" w:hAnsi="Segoe UI"/>
          <w:color w:val="101820"/>
          <w:sz w:val="21"/>
        </w:rPr>
        <w:t>The Client buys products and Services by signing an Order Form. Each Order Form is a separate contract that incorporates this Agreement and the schedules named in it.</w:t>
      </w:r>
    </w:p>
    <w:p>
      <w:pPr>
        <w:pStyle w:val="Normal"/>
        <w:numPr>
          <w:ilvl w:val="0"/>
          <w:numId w:val="32"/>
        </w:numPr>
        <w:spacing w:before="0" w:after="60"/>
        <w:rPr/>
      </w:pPr>
      <w:r>
        <w:rPr>
          <w:rFonts w:eastAsia="Segoe UI" w:cs="Segoe UI" w:ascii="Segoe UI" w:hAnsi="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pStyle w:val="Normal"/>
        <w:numPr>
          <w:ilvl w:val="0"/>
          <w:numId w:val="33"/>
        </w:numPr>
        <w:spacing w:before="0" w:after="60"/>
        <w:rPr/>
      </w:pPr>
      <w:r>
        <w:rPr>
          <w:rFonts w:eastAsia="Segoe UI" w:cs="Segoe UI" w:ascii="Segoe UI" w:hAnsi="Segoe UI"/>
          <w:color w:val="101820"/>
          <w:sz w:val="21"/>
        </w:rPr>
        <w:t>An Order Form binds the Parties only when signed by authorised representatives of both.</w:t>
      </w:r>
    </w:p>
    <w:p>
      <w:pPr>
        <w:pStyle w:val="Heading3"/>
        <w:rPr/>
      </w:pPr>
      <w:r>
        <w:rPr>
          <w:rFonts w:eastAsia="Segoe UI" w:cs="Segoe UI"/>
          <w:b/>
          <w:color w:val="0F4761"/>
          <w:sz w:val="23"/>
        </w:rPr>
        <w:t>6.1.2  Order of precedence</w:t>
      </w:r>
    </w:p>
    <w:p>
      <w:pPr>
        <w:pStyle w:val="Normal"/>
        <w:spacing w:lineRule="auto" w:line="276" w:before="0" w:after="120"/>
        <w:rPr/>
      </w:pPr>
      <w:r>
        <w:rPr>
          <w:rFonts w:eastAsia="Segoe UI" w:cs="Segoe UI" w:ascii="Segoe UI" w:hAnsi="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rPr/>
      </w:pPr>
      <w:r>
        <w:rPr>
          <w:rFonts w:eastAsia="Segoe UI" w:cs="Segoe UI"/>
          <w:b/>
          <w:color w:val="0F4761"/>
          <w:sz w:val="23"/>
        </w:rPr>
        <w:t>6.1.3  Affiliates</w:t>
      </w:r>
    </w:p>
    <w:p>
      <w:pPr>
        <w:pStyle w:val="Normal"/>
        <w:spacing w:lineRule="auto" w:line="276" w:before="0" w:after="120"/>
        <w:rPr/>
      </w:pPr>
      <w:r>
        <w:rPr>
          <w:rFonts w:eastAsia="Segoe UI" w:cs="Segoe UI" w:ascii="Segoe UI" w:hAnsi="Segoe UI"/>
          <w:color w:val="101820"/>
          <w:sz w:val="21"/>
        </w:rPr>
        <w:t>An Affiliate of the Client may sign an Order Form under this Agreement with the written consent of iorta TechNXT. The Affiliate is then the Client for that Order Form.</w:t>
      </w:r>
    </w:p>
    <w:p>
      <w:pPr>
        <w:pStyle w:val="Heading2"/>
        <w:rPr/>
      </w:pPr>
      <w:bookmarkStart w:id="13" w:name="__RefHeading___Toc176691_4195859891"/>
      <w:bookmarkEnd w:id="13"/>
      <w:r>
        <w:rPr>
          <w:rFonts w:eastAsia="Segoe UI" w:cs="Segoe UI"/>
          <w:b/>
          <w:color w:val="0F4761"/>
          <w:sz w:val="26"/>
        </w:rPr>
        <w:t>6.2  Scope of services</w:t>
      </w:r>
    </w:p>
    <w:p>
      <w:pPr>
        <w:pStyle w:val="Heading3"/>
        <w:rPr/>
      </w:pPr>
      <w:r>
        <w:rPr>
          <w:rFonts w:eastAsia="Segoe UI" w:cs="Segoe UI"/>
          <w:b/>
          <w:color w:val="0F4761"/>
          <w:sz w:val="23"/>
        </w:rPr>
        <w:t>6.2.1  Scope</w:t>
      </w:r>
    </w:p>
    <w:p>
      <w:pPr>
        <w:pStyle w:val="Normal"/>
        <w:numPr>
          <w:ilvl w:val="0"/>
          <w:numId w:val="34"/>
        </w:numPr>
        <w:spacing w:before="0" w:after="60"/>
        <w:rPr/>
      </w:pPr>
      <w:r>
        <w:rPr>
          <w:rFonts w:eastAsia="Segoe UI" w:cs="Segoe UI" w:ascii="Segoe UI" w:hAnsi="Segoe UI"/>
          <w:color w:val="101820"/>
          <w:sz w:val="21"/>
        </w:rPr>
        <w:t>iorta TechNXT provides the Platform and the Services described in each Order Form and its schedules.</w:t>
      </w:r>
    </w:p>
    <w:p>
      <w:pPr>
        <w:pStyle w:val="Normal"/>
        <w:numPr>
          <w:ilvl w:val="0"/>
          <w:numId w:val="35"/>
        </w:numPr>
        <w:spacing w:before="0" w:after="60"/>
        <w:rPr/>
      </w:pPr>
      <w:r>
        <w:rPr>
          <w:rFonts w:eastAsia="Segoe UI" w:cs="Segoe UI" w:ascii="Segoe UI" w:hAnsi="Segoe UI"/>
          <w:color w:val="101820"/>
          <w:sz w:val="21"/>
        </w:rPr>
        <w:t>The Platform is provided as the OOTB version: the delivered screens, workflows, reports, printed documents and integrations, configured with the Client's settings and master data. Changes to the Platform are Change Requests.</w:t>
      </w:r>
    </w:p>
    <w:p>
      <w:pPr>
        <w:pStyle w:val="Normal"/>
        <w:numPr>
          <w:ilvl w:val="0"/>
          <w:numId w:val="36"/>
        </w:numPr>
        <w:spacing w:before="0" w:after="60"/>
        <w:rPr/>
      </w:pPr>
      <w:r>
        <w:rPr>
          <w:rFonts w:eastAsia="Segoe UI" w:cs="Segoe UI" w:ascii="Segoe UI" w:hAnsi="Segoe UI"/>
          <w:color w:val="101820"/>
          <w:sz w:val="21"/>
        </w:rPr>
        <w:t>iorta TechNXT performs the Services with reasonable skill and care, by suitably qualified personnel, in line with good industry practice.</w:t>
      </w:r>
    </w:p>
    <w:p>
      <w:pPr>
        <w:pStyle w:val="Heading3"/>
        <w:rPr/>
      </w:pPr>
      <w:r>
        <w:rPr>
          <w:rFonts w:eastAsia="Segoe UI" w:cs="Segoe UI"/>
          <w:b/>
          <w:color w:val="0F4761"/>
          <w:sz w:val="23"/>
        </w:rPr>
        <w:t>6.2.2  Personnel</w:t>
      </w:r>
    </w:p>
    <w:p>
      <w:pPr>
        <w:pStyle w:val="Normal"/>
        <w:numPr>
          <w:ilvl w:val="0"/>
          <w:numId w:val="37"/>
        </w:numPr>
        <w:spacing w:before="0" w:after="60"/>
        <w:rPr/>
      </w:pPr>
      <w:r>
        <w:rPr>
          <w:rFonts w:eastAsia="Segoe UI" w:cs="Segoe UI" w:ascii="Segoe UI" w:hAnsi="Segoe UI"/>
          <w:color w:val="101820"/>
          <w:sz w:val="21"/>
        </w:rPr>
        <w:t>Each Party names a project manager or account manager as its main contact in the Order Form.</w:t>
      </w:r>
    </w:p>
    <w:p>
      <w:pPr>
        <w:pStyle w:val="Normal"/>
        <w:numPr>
          <w:ilvl w:val="0"/>
          <w:numId w:val="38"/>
        </w:numPr>
        <w:spacing w:before="0" w:after="60"/>
        <w:rPr/>
      </w:pPr>
      <w:r>
        <w:rPr>
          <w:rFonts w:eastAsia="Segoe UI" w:cs="Segoe UI" w:ascii="Segoe UI" w:hAnsi="Segoe UI"/>
          <w:color w:val="101820"/>
          <w:sz w:val="21"/>
        </w:rPr>
        <w:t>iorta TechNXT may replace its personnel with persons of similar skill and informs the Client in advance where the person is named in the SOW.</w:t>
      </w:r>
    </w:p>
    <w:p>
      <w:pPr>
        <w:pStyle w:val="Normal"/>
        <w:numPr>
          <w:ilvl w:val="0"/>
          <w:numId w:val="39"/>
        </w:numPr>
        <w:spacing w:before="0" w:after="60"/>
        <w:rPr/>
      </w:pPr>
      <w:r>
        <w:rPr>
          <w:rFonts w:eastAsia="Segoe UI" w:cs="Segoe UI" w:ascii="Segoe UI" w:hAnsi="Segoe UI"/>
          <w:color w:val="101820"/>
          <w:sz w:val="21"/>
        </w:rPr>
        <w:t>While on the Client's premises, iorta TechNXT personnel follow the Client's reasonable site, security and conduct rules notified in advance.</w:t>
      </w:r>
    </w:p>
    <w:p>
      <w:pPr>
        <w:pStyle w:val="Heading3"/>
        <w:rPr/>
      </w:pPr>
      <w:r>
        <w:rPr>
          <w:rFonts w:eastAsia="Segoe UI" w:cs="Segoe UI"/>
          <w:b/>
          <w:color w:val="0F4761"/>
          <w:sz w:val="23"/>
        </w:rPr>
        <w:t>6.2.3  Subcontractors</w:t>
      </w:r>
    </w:p>
    <w:p>
      <w:pPr>
        <w:pStyle w:val="Normal"/>
        <w:spacing w:lineRule="auto" w:line="276" w:before="0" w:after="120"/>
        <w:rPr/>
      </w:pPr>
      <w:r>
        <w:rPr>
          <w:rFonts w:eastAsia="Segoe UI" w:cs="Segoe UI" w:ascii="Segoe UI" w:hAnsi="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rPr/>
      </w:pPr>
      <w:r>
        <w:rPr>
          <w:rFonts w:eastAsia="Segoe UI" w:cs="Segoe UI"/>
          <w:b/>
          <w:color w:val="0F4761"/>
          <w:sz w:val="23"/>
        </w:rPr>
        <w:t>6.2.4  Change control</w:t>
      </w:r>
    </w:p>
    <w:p>
      <w:pPr>
        <w:pStyle w:val="Normal"/>
        <w:spacing w:lineRule="auto" w:line="276" w:before="0" w:after="120"/>
        <w:rPr/>
      </w:pPr>
      <w:r>
        <w:rPr>
          <w:rFonts w:eastAsia="Segoe UI" w:cs="Segoe UI" w:ascii="Segoe UI" w:hAnsi="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rPr/>
      </w:pPr>
      <w:bookmarkStart w:id="14" w:name="__RefHeading___Toc176693_4195859891"/>
      <w:bookmarkEnd w:id="14"/>
      <w:r>
        <w:rPr>
          <w:rFonts w:eastAsia="Segoe UI" w:cs="Segoe UI"/>
          <w:b/>
          <w:color w:val="0F4761"/>
          <w:sz w:val="26"/>
        </w:rPr>
        <w:t>6.3  Client responsibilities</w:t>
      </w:r>
    </w:p>
    <w:p>
      <w:pPr>
        <w:pStyle w:val="Normal"/>
        <w:spacing w:lineRule="auto" w:line="276" w:before="0" w:after="120"/>
        <w:rPr/>
      </w:pPr>
      <w:r>
        <w:rPr>
          <w:rFonts w:eastAsia="Segoe UI" w:cs="Segoe UI" w:ascii="Segoe UI" w:hAnsi="Segoe UI"/>
          <w:color w:val="101820"/>
          <w:sz w:val="21"/>
        </w:rPr>
        <w:t>The Client shall:</w:t>
      </w:r>
    </w:p>
    <w:p>
      <w:pPr>
        <w:pStyle w:val="Normal"/>
        <w:numPr>
          <w:ilvl w:val="0"/>
          <w:numId w:val="40"/>
        </w:numPr>
        <w:spacing w:before="0" w:after="60"/>
        <w:rPr/>
      </w:pPr>
      <w:r>
        <w:rPr>
          <w:rFonts w:eastAsia="Segoe UI" w:cs="Segoe UI" w:ascii="Segoe UI" w:hAnsi="Segoe UI"/>
          <w:color w:val="101820"/>
          <w:sz w:val="21"/>
        </w:rPr>
        <w:t>name a project manager, key users and an accounting manager with the authority and time stated in the SOW;</w:t>
      </w:r>
    </w:p>
    <w:p>
      <w:pPr>
        <w:pStyle w:val="Normal"/>
        <w:numPr>
          <w:ilvl w:val="0"/>
          <w:numId w:val="41"/>
        </w:numPr>
        <w:spacing w:before="0" w:after="60"/>
        <w:rPr/>
      </w:pPr>
      <w:r>
        <w:rPr>
          <w:rFonts w:eastAsia="Segoe UI" w:cs="Segoe UI" w:ascii="Segoe UI" w:hAnsi="Segoe UI"/>
          <w:color w:val="101820"/>
          <w:sz w:val="21"/>
        </w:rPr>
        <w:t>provide complete and accurate information, decisions and data in the formats and by the dates in the SOW;</w:t>
      </w:r>
    </w:p>
    <w:p>
      <w:pPr>
        <w:pStyle w:val="Normal"/>
        <w:numPr>
          <w:ilvl w:val="0"/>
          <w:numId w:val="42"/>
        </w:numPr>
        <w:spacing w:before="0" w:after="60"/>
        <w:rPr/>
      </w:pPr>
      <w:r>
        <w:rPr>
          <w:rFonts w:eastAsia="Segoe UI" w:cs="Segoe UI" w:ascii="Segoe UI" w:hAnsi="Segoe UI"/>
          <w:color w:val="101820"/>
          <w:sz w:val="21"/>
        </w:rPr>
        <w:t>provide access to its premises, systems, third-party providers and personnel as reasonably needed;</w:t>
      </w:r>
    </w:p>
    <w:p>
      <w:pPr>
        <w:pStyle w:val="Normal"/>
        <w:numPr>
          <w:ilvl w:val="0"/>
          <w:numId w:val="43"/>
        </w:numPr>
        <w:spacing w:before="0" w:after="60"/>
        <w:rPr/>
      </w:pPr>
      <w:r>
        <w:rPr>
          <w:rFonts w:eastAsia="Segoe UI" w:cs="Segoe UI" w:ascii="Segoe UI" w:hAnsi="Segoe UI"/>
          <w:color w:val="101820"/>
          <w:sz w:val="21"/>
        </w:rPr>
        <w:t>obtain and keep the third-party contracts it owns, such as e-mail, payment gateway and bank arrangements;</w:t>
      </w:r>
    </w:p>
    <w:p>
      <w:pPr>
        <w:pStyle w:val="Normal"/>
        <w:numPr>
          <w:ilvl w:val="0"/>
          <w:numId w:val="44"/>
        </w:numPr>
        <w:spacing w:before="0" w:after="60"/>
        <w:rPr/>
      </w:pPr>
      <w:r>
        <w:rPr>
          <w:rFonts w:eastAsia="Segoe UI" w:cs="Segoe UI" w:ascii="Segoe UI" w:hAnsi="Segoe UI"/>
          <w:color w:val="101820"/>
          <w:sz w:val="21"/>
        </w:rPr>
        <w:t>use the Platform in line with the Documentation, applicable law and the rules of the Insurance Commission, the Bureau of Internal Revenue and the National Privacy Commission;</w:t>
      </w:r>
    </w:p>
    <w:p>
      <w:pPr>
        <w:pStyle w:val="Normal"/>
        <w:numPr>
          <w:ilvl w:val="0"/>
          <w:numId w:val="45"/>
        </w:numPr>
        <w:spacing w:before="0" w:after="60"/>
        <w:rPr/>
      </w:pPr>
      <w:r>
        <w:rPr>
          <w:rFonts w:eastAsia="Segoe UI" w:cs="Segoe UI" w:ascii="Segoe UI" w:hAnsi="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pStyle w:val="Normal"/>
        <w:numPr>
          <w:ilvl w:val="0"/>
          <w:numId w:val="46"/>
        </w:numPr>
        <w:spacing w:before="0" w:after="60"/>
        <w:rPr/>
      </w:pPr>
      <w:r>
        <w:rPr>
          <w:rFonts w:eastAsia="Segoe UI" w:cs="Segoe UI" w:ascii="Segoe UI" w:hAnsi="Segoe UI"/>
          <w:color w:val="101820"/>
          <w:sz w:val="21"/>
        </w:rPr>
        <w:t>keep its sign-in credentials confidential and manage its Users through its own joiner, mover and leaver process;</w:t>
      </w:r>
    </w:p>
    <w:p>
      <w:pPr>
        <w:pStyle w:val="Normal"/>
        <w:numPr>
          <w:ilvl w:val="0"/>
          <w:numId w:val="47"/>
        </w:numPr>
        <w:spacing w:before="0" w:after="60"/>
        <w:rPr/>
      </w:pPr>
      <w:r>
        <w:rPr>
          <w:rFonts w:eastAsia="Segoe UI" w:cs="Segoe UI" w:ascii="Segoe UI" w:hAnsi="Segoe UI"/>
          <w:color w:val="101820"/>
          <w:sz w:val="21"/>
        </w:rPr>
        <w:t>review the delivered tax codes, rates, BIR working papers and settings with its tax adviser and compliance officer before Go-Live.</w:t>
      </w:r>
    </w:p>
    <w:p>
      <w:pPr>
        <w:pStyle w:val="Normal"/>
        <w:spacing w:lineRule="auto" w:line="276" w:before="0" w:after="120"/>
        <w:rPr/>
      </w:pPr>
      <w:r>
        <w:rPr>
          <w:rFonts w:eastAsia="Segoe UI" w:cs="Segoe UI" w:ascii="Segoe UI" w:hAnsi="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r>
        <w:br w:type="page"/>
      </w:r>
    </w:p>
    <w:p>
      <w:pPr>
        <w:pStyle w:val="Heading1"/>
        <w:rPr/>
      </w:pPr>
      <w:bookmarkStart w:id="15" w:name="__RefHeading___Toc176695_4195859891"/>
      <w:bookmarkEnd w:id="15"/>
      <w:r>
        <w:rPr>
          <w:rFonts w:eastAsia="Segoe UI" w:cs="Segoe UI" w:ascii="Segoe UI" w:hAnsi="Segoe UI"/>
          <w:b/>
          <w:color w:val="0F4761"/>
          <w:sz w:val="32"/>
        </w:rPr>
        <w:t>7.  Fees and taxes</w:t>
      </w:r>
    </w:p>
    <w:p>
      <w:pPr>
        <w:pStyle w:val="Heading2"/>
        <w:rPr/>
      </w:pPr>
      <w:bookmarkStart w:id="16" w:name="__RefHeading___Toc176697_4195859891"/>
      <w:bookmarkEnd w:id="16"/>
      <w:r>
        <w:rPr>
          <w:rFonts w:eastAsia="Segoe UI" w:cs="Segoe UI"/>
          <w:b/>
          <w:color w:val="0F4761"/>
          <w:sz w:val="26"/>
        </w:rPr>
        <w:t>7.1  Fees and payment</w:t>
      </w:r>
    </w:p>
    <w:p>
      <w:pPr>
        <w:pStyle w:val="Heading3"/>
        <w:rPr/>
      </w:pPr>
      <w:r>
        <w:rPr>
          <w:rFonts w:eastAsia="Segoe UI" w:cs="Segoe UI"/>
          <w:b/>
          <w:color w:val="0F4761"/>
          <w:sz w:val="23"/>
        </w:rPr>
        <w:t>7.1.1  Fees</w:t>
      </w:r>
    </w:p>
    <w:p>
      <w:pPr>
        <w:pStyle w:val="Normal"/>
        <w:numPr>
          <w:ilvl w:val="0"/>
          <w:numId w:val="48"/>
        </w:numPr>
        <w:spacing w:before="0" w:after="60"/>
        <w:rPr/>
      </w:pPr>
      <w:r>
        <w:rPr>
          <w:rFonts w:eastAsia="Segoe UI" w:cs="Segoe UI" w:ascii="Segoe UI" w:hAnsi="Segoe UI"/>
          <w:color w:val="101820"/>
          <w:sz w:val="21"/>
        </w:rPr>
        <w:t>The Client pays the Fees in each Order Form. Fees are stated in Philippine pesos and exclude VAT.</w:t>
      </w:r>
    </w:p>
    <w:p>
      <w:pPr>
        <w:pStyle w:val="Normal"/>
        <w:numPr>
          <w:ilvl w:val="0"/>
          <w:numId w:val="49"/>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pStyle w:val="Normal"/>
        <w:numPr>
          <w:ilvl w:val="0"/>
          <w:numId w:val="50"/>
        </w:numPr>
        <w:spacing w:before="0" w:after="60"/>
        <w:rPr/>
      </w:pPr>
      <w:r>
        <w:rPr>
          <w:rFonts w:eastAsia="Segoe UI" w:cs="Segoe UI" w:ascii="Segoe UI" w:hAnsi="Segoe UI"/>
          <w:color w:val="101820"/>
          <w:sz w:val="21"/>
        </w:rPr>
        <w:t>Day rates for Change Requests and optional services are fixed for 12 months from the date of the Order Form and may then be reviewed once a year with 60 days' written notice.</w:t>
      </w:r>
    </w:p>
    <w:p>
      <w:pPr>
        <w:pStyle w:val="Heading3"/>
        <w:rPr/>
      </w:pPr>
      <w:r>
        <w:rPr>
          <w:rFonts w:eastAsia="Segoe UI" w:cs="Segoe UI"/>
          <w:b/>
          <w:color w:val="0F4761"/>
          <w:sz w:val="23"/>
        </w:rPr>
        <w:t>7.1.2  Invoicing and payment</w:t>
      </w:r>
    </w:p>
    <w:p>
      <w:pPr>
        <w:pStyle w:val="Normal"/>
        <w:numPr>
          <w:ilvl w:val="0"/>
          <w:numId w:val="51"/>
        </w:numPr>
        <w:spacing w:before="0" w:after="60"/>
        <w:rPr/>
      </w:pPr>
      <w:r>
        <w:rPr>
          <w:rFonts w:eastAsia="Segoe UI" w:cs="Segoe UI" w:ascii="Segoe UI" w:hAnsi="Segoe UI"/>
          <w:color w:val="101820"/>
          <w:sz w:val="21"/>
        </w:rPr>
        <w:t>iorta TechNXT invoices on the milestones and periods stated in the Order Form.</w:t>
      </w:r>
    </w:p>
    <w:p>
      <w:pPr>
        <w:pStyle w:val="Normal"/>
        <w:numPr>
          <w:ilvl w:val="0"/>
          <w:numId w:val="52"/>
        </w:numPr>
        <w:spacing w:before="0" w:after="60"/>
        <w:rPr/>
      </w:pPr>
      <w:r>
        <w:rPr>
          <w:rFonts w:eastAsia="Segoe UI" w:cs="Segoe UI" w:ascii="Segoe UI" w:hAnsi="Segoe UI"/>
          <w:color w:val="101820"/>
          <w:sz w:val="21"/>
        </w:rPr>
        <w:t>The Client pays each undisputed invoice within 30 days of the invoice date, by bank transfer to the account stated on the invoice, without set-off.</w:t>
      </w:r>
    </w:p>
    <w:p>
      <w:pPr>
        <w:pStyle w:val="Normal"/>
        <w:numPr>
          <w:ilvl w:val="0"/>
          <w:numId w:val="53"/>
        </w:numPr>
        <w:spacing w:before="0" w:after="60"/>
        <w:rPr/>
      </w:pPr>
      <w:r>
        <w:rPr>
          <w:rFonts w:eastAsia="Segoe UI" w:cs="Segoe UI" w:ascii="Segoe UI" w:hAnsi="Segoe UI"/>
          <w:color w:val="101820"/>
          <w:sz w:val="21"/>
        </w:rPr>
        <w:t>The Client notifies any dispute in writing within 15 days of the invoice date, with reasons, and pays the undisputed part on time. The Parties resolve the dispute under the Dispute resolution clause.</w:t>
      </w:r>
    </w:p>
    <w:p>
      <w:pPr>
        <w:pStyle w:val="Normal"/>
        <w:numPr>
          <w:ilvl w:val="0"/>
          <w:numId w:val="54"/>
        </w:numPr>
        <w:spacing w:before="0" w:after="60"/>
        <w:rPr/>
      </w:pPr>
      <w:r>
        <w:rPr>
          <w:rFonts w:eastAsia="Segoe UI" w:cs="Segoe UI" w:ascii="Segoe UI" w:hAnsi="Segoe UI"/>
          <w:color w:val="101820"/>
          <w:sz w:val="21"/>
        </w:rPr>
        <w:t>Late amounts bear interest at [1% a month / the legal rate of interest] from the due date until payment.</w:t>
      </w:r>
    </w:p>
    <w:p>
      <w:pPr>
        <w:pStyle w:val="Normal"/>
        <w:numPr>
          <w:ilvl w:val="0"/>
          <w:numId w:val="55"/>
        </w:numPr>
        <w:spacing w:before="0" w:after="60"/>
        <w:rPr/>
      </w:pPr>
      <w:r>
        <w:rPr>
          <w:rFonts w:eastAsia="Segoe UI" w:cs="Segoe UI" w:ascii="Segoe UI" w:hAnsi="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pStyle w:val="Normal"/>
        <w:numPr>
          <w:ilvl w:val="0"/>
          <w:numId w:val="56"/>
        </w:numPr>
        <w:spacing w:before="0" w:after="60"/>
        <w:rPr/>
      </w:pPr>
      <w:r>
        <w:rPr>
          <w:rFonts w:eastAsia="Segoe UI" w:cs="Segoe UI" w:ascii="Segoe UI" w:hAnsi="Segoe UI"/>
          <w:color w:val="101820"/>
          <w:sz w:val="21"/>
        </w:rPr>
        <w:t>Bank charges of the Client's bank are for the Client's account.</w:t>
      </w:r>
    </w:p>
    <w:p>
      <w:pPr>
        <w:pStyle w:val="Heading2"/>
        <w:rPr/>
      </w:pPr>
      <w:bookmarkStart w:id="17" w:name="__RefHeading___Toc176699_4195859891"/>
      <w:bookmarkEnd w:id="17"/>
      <w:r>
        <w:rPr>
          <w:rFonts w:eastAsia="Segoe UI" w:cs="Segoe UI"/>
          <w:b/>
          <w:color w:val="0F4761"/>
          <w:sz w:val="26"/>
        </w:rPr>
        <w:t>7.2  Taxes</w:t>
      </w:r>
    </w:p>
    <w:p>
      <w:pPr>
        <w:pStyle w:val="Heading3"/>
        <w:rPr/>
      </w:pPr>
      <w:r>
        <w:rPr>
          <w:rFonts w:eastAsia="Segoe UI" w:cs="Segoe UI"/>
          <w:b/>
          <w:color w:val="0F4761"/>
          <w:sz w:val="23"/>
        </w:rPr>
        <w:t>7.2.1  VAT</w:t>
      </w:r>
    </w:p>
    <w:p>
      <w:pPr>
        <w:pStyle w:val="Normal"/>
        <w:spacing w:lineRule="auto" w:line="276" w:before="0" w:after="120"/>
        <w:rPr/>
      </w:pPr>
      <w:r>
        <w:rPr>
          <w:rFonts w:eastAsia="Segoe UI" w:cs="Segoe UI" w:ascii="Segoe UI" w:hAnsi="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rPr/>
      </w:pPr>
      <w:r>
        <w:rPr>
          <w:rFonts w:eastAsia="Segoe UI" w:cs="Segoe UI"/>
          <w:b/>
          <w:color w:val="0F4761"/>
          <w:sz w:val="23"/>
        </w:rPr>
        <w:t>7.2.2  Withholding taxes</w:t>
      </w:r>
    </w:p>
    <w:p>
      <w:pPr>
        <w:pStyle w:val="Normal"/>
        <w:numPr>
          <w:ilvl w:val="0"/>
          <w:numId w:val="57"/>
        </w:numPr>
        <w:spacing w:before="0" w:after="60"/>
        <w:rPr/>
      </w:pPr>
      <w:r>
        <w:rPr>
          <w:rFonts w:eastAsia="Segoe UI" w:cs="Segoe UI" w:ascii="Segoe UI" w:hAnsi="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pStyle w:val="Normal"/>
        <w:numPr>
          <w:ilvl w:val="0"/>
          <w:numId w:val="58"/>
        </w:numPr>
        <w:spacing w:before="0" w:after="60"/>
        <w:rPr/>
      </w:pPr>
      <w:r>
        <w:rPr>
          <w:rFonts w:eastAsia="Segoe UI" w:cs="Segoe UI" w:ascii="Segoe UI" w:hAnsi="Segoe UI"/>
          <w:color w:val="101820"/>
          <w:sz w:val="21"/>
        </w:rPr>
        <w:t>Withholding does not reduce the invoice price. If the Client does not deliver a BIR Form 2307 for an amount withheld, the Client pays that amount to iorta TechNXT on demand.</w:t>
      </w:r>
    </w:p>
    <w:p>
      <w:pPr>
        <w:pStyle w:val="Normal"/>
        <w:numPr>
          <w:ilvl w:val="0"/>
          <w:numId w:val="59"/>
        </w:numPr>
        <w:spacing w:before="0" w:after="60"/>
        <w:rPr/>
      </w:pPr>
      <w:r>
        <w:rPr>
          <w:rFonts w:eastAsia="Segoe UI" w:cs="Segoe UI" w:ascii="Segoe UI" w:hAnsi="Segoe UI"/>
          <w:color w:val="101820"/>
          <w:sz w:val="21"/>
        </w:rPr>
        <w:t>The tax treatment of the perpetual licence fee (as a sale of software or as a royalty) is confirmed by both Parties' tax advisers before the Order Form is signed, and stated in the Order Form.</w:t>
      </w:r>
    </w:p>
    <w:p>
      <w:pPr>
        <w:pStyle w:val="Heading3"/>
        <w:rPr/>
      </w:pPr>
      <w:r>
        <w:rPr>
          <w:rFonts w:eastAsia="Segoe UI" w:cs="Segoe UI"/>
          <w:b/>
          <w:color w:val="0F4761"/>
          <w:sz w:val="23"/>
        </w:rPr>
        <w:t>7.2.3  Other taxes</w:t>
      </w:r>
    </w:p>
    <w:p>
      <w:pPr>
        <w:pStyle w:val="Normal"/>
        <w:spacing w:lineRule="auto" w:line="276" w:before="0" w:after="120"/>
        <w:rPr/>
      </w:pPr>
      <w:r>
        <w:rPr>
          <w:rFonts w:eastAsia="Segoe UI" w:cs="Segoe UI" w:ascii="Segoe UI" w:hAnsi="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r>
        <w:br w:type="page"/>
      </w:r>
    </w:p>
    <w:p>
      <w:pPr>
        <w:pStyle w:val="Heading1"/>
        <w:rPr/>
      </w:pPr>
      <w:bookmarkStart w:id="18" w:name="__RefHeading___Toc176701_4195859891"/>
      <w:bookmarkEnd w:id="18"/>
      <w:r>
        <w:rPr>
          <w:rFonts w:eastAsia="Segoe UI" w:cs="Segoe UI" w:ascii="Segoe UI" w:hAnsi="Segoe UI"/>
          <w:b/>
          <w:color w:val="0F4761"/>
          <w:sz w:val="32"/>
        </w:rPr>
        <w:t>8.  Term and termination</w:t>
      </w:r>
    </w:p>
    <w:p>
      <w:pPr>
        <w:pStyle w:val="Heading2"/>
        <w:rPr/>
      </w:pPr>
      <w:bookmarkStart w:id="19" w:name="__RefHeading___Toc176703_4195859891"/>
      <w:bookmarkEnd w:id="19"/>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rPr/>
      </w:pPr>
      <w:bookmarkStart w:id="20" w:name="__RefHeading___Toc176705_4195859891"/>
      <w:bookmarkEnd w:id="20"/>
      <w:r>
        <w:rPr>
          <w:rFonts w:eastAsia="Segoe UI" w:cs="Segoe UI"/>
          <w:b/>
          <w:color w:val="0F4761"/>
          <w:sz w:val="26"/>
        </w:rPr>
        <w:t>8.2  Termination for cause</w:t>
      </w:r>
    </w:p>
    <w:p>
      <w:pPr>
        <w:pStyle w:val="Normal"/>
        <w:spacing w:lineRule="auto" w:line="276" w:before="0" w:after="120"/>
        <w:rPr/>
      </w:pPr>
      <w:r>
        <w:rPr>
          <w:rFonts w:eastAsia="Segoe UI" w:cs="Segoe UI" w:ascii="Segoe UI" w:hAnsi="Segoe UI"/>
          <w:color w:val="101820"/>
          <w:sz w:val="21"/>
        </w:rPr>
        <w:t>A Party may terminate this Agreement or an affected Order Form by written notice if the other Party:</w:t>
      </w:r>
    </w:p>
    <w:p>
      <w:pPr>
        <w:pStyle w:val="Normal"/>
        <w:numPr>
          <w:ilvl w:val="0"/>
          <w:numId w:val="60"/>
        </w:numPr>
        <w:spacing w:before="0" w:after="60"/>
        <w:rPr/>
      </w:pPr>
      <w:r>
        <w:rPr>
          <w:rFonts w:eastAsia="Segoe UI" w:cs="Segoe UI" w:ascii="Segoe UI" w:hAnsi="Segoe UI"/>
          <w:color w:val="101820"/>
          <w:sz w:val="21"/>
        </w:rPr>
        <w:t>commits a material breach and does not cure it within 30 days of a written notice describing the breach (10 Business Days for non-payment);</w:t>
      </w:r>
    </w:p>
    <w:p>
      <w:pPr>
        <w:pStyle w:val="Normal"/>
        <w:numPr>
          <w:ilvl w:val="0"/>
          <w:numId w:val="61"/>
        </w:numPr>
        <w:spacing w:before="0" w:after="60"/>
        <w:rPr/>
      </w:pPr>
      <w:r>
        <w:rPr>
          <w:rFonts w:eastAsia="Segoe UI" w:cs="Segoe UI" w:ascii="Segoe UI" w:hAnsi="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pStyle w:val="Normal"/>
        <w:numPr>
          <w:ilvl w:val="0"/>
          <w:numId w:val="62"/>
        </w:numPr>
        <w:spacing w:before="0" w:after="60"/>
        <w:rPr/>
      </w:pPr>
      <w:r>
        <w:rPr>
          <w:rFonts w:eastAsia="Segoe UI" w:cs="Segoe UI" w:ascii="Segoe UI" w:hAnsi="Segoe UI"/>
          <w:color w:val="101820"/>
          <w:sz w:val="21"/>
        </w:rPr>
        <w:t>has its licence or registration needed to perform this Agreement revoked, in the case of the Client its certificate of authority as an insurance broker.</w:t>
      </w:r>
    </w:p>
    <w:p>
      <w:pPr>
        <w:pStyle w:val="Heading2"/>
        <w:rPr/>
      </w:pPr>
      <w:bookmarkStart w:id="21" w:name="__RefHeading___Toc176707_4195859891"/>
      <w:bookmarkEnd w:id="21"/>
      <w:r>
        <w:rPr>
          <w:rFonts w:eastAsia="Segoe UI" w:cs="Segoe UI"/>
          <w:b/>
          <w:color w:val="0F4761"/>
          <w:sz w:val="26"/>
        </w:rPr>
        <w:t>8.3  Termination for convenience</w:t>
      </w:r>
    </w:p>
    <w:p>
      <w:pPr>
        <w:pStyle w:val="Normal"/>
        <w:spacing w:lineRule="auto" w:line="276" w:before="0" w:after="120"/>
        <w:rPr/>
      </w:pPr>
      <w:r>
        <w:rPr>
          <w:rFonts w:eastAsia="Segoe UI" w:cs="Segoe UI" w:ascii="Segoe UI" w:hAnsi="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rPr/>
      </w:pPr>
      <w:bookmarkStart w:id="22" w:name="__RefHeading___Toc176709_4195859891"/>
      <w:bookmarkEnd w:id="22"/>
      <w:r>
        <w:rPr>
          <w:rFonts w:eastAsia="Segoe UI" w:cs="Segoe UI"/>
          <w:b/>
          <w:color w:val="0F4761"/>
          <w:sz w:val="26"/>
        </w:rPr>
        <w:t>8.4  Effect of termination</w:t>
      </w:r>
    </w:p>
    <w:p>
      <w:pPr>
        <w:pStyle w:val="Normal"/>
        <w:numPr>
          <w:ilvl w:val="0"/>
          <w:numId w:val="63"/>
        </w:numPr>
        <w:spacing w:before="0" w:after="60"/>
        <w:rPr/>
      </w:pPr>
      <w:r>
        <w:rPr>
          <w:rFonts w:eastAsia="Segoe UI" w:cs="Segoe UI" w:ascii="Segoe UI" w:hAnsi="Segoe UI"/>
          <w:color w:val="101820"/>
          <w:sz w:val="21"/>
        </w:rPr>
        <w:t>The Client pays all Fees due up to the date of termination. Fees paid in advance for a period after termination for iorta TechNXT's uncured breach are refunded pro rata.</w:t>
      </w:r>
    </w:p>
    <w:p>
      <w:pPr>
        <w:pStyle w:val="Normal"/>
        <w:numPr>
          <w:ilvl w:val="0"/>
          <w:numId w:val="64"/>
        </w:numPr>
        <w:spacing w:before="0" w:after="60"/>
        <w:rPr/>
      </w:pPr>
      <w:r>
        <w:rPr>
          <w:rFonts w:eastAsia="Segoe UI" w:cs="Segoe UI" w:ascii="Segoe UI" w:hAnsi="Segoe UI"/>
          <w:color w:val="101820"/>
          <w:sz w:val="21"/>
        </w:rPr>
        <w:t>Each Party returns or destroys the other's Confidential Information, except copies that law or a retention policy requires it to keep.</w:t>
      </w:r>
    </w:p>
    <w:p>
      <w:pPr>
        <w:pStyle w:val="Normal"/>
        <w:numPr>
          <w:ilvl w:val="0"/>
          <w:numId w:val="65"/>
        </w:numPr>
        <w:spacing w:before="0" w:after="60"/>
        <w:rPr/>
      </w:pPr>
      <w:r>
        <w:rPr>
          <w:rFonts w:eastAsia="Segoe UI" w:cs="Segoe UI" w:ascii="Segoe UI" w:hAnsi="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pStyle w:val="Normal"/>
        <w:numPr>
          <w:ilvl w:val="0"/>
          <w:numId w:val="66"/>
        </w:numPr>
        <w:spacing w:before="0" w:after="60"/>
        <w:rPr/>
      </w:pPr>
      <w:r>
        <w:rPr>
          <w:rFonts w:eastAsia="Segoe UI" w:cs="Segoe UI" w:ascii="Segoe UI" w:hAnsi="Segoe UI"/>
          <w:color w:val="101820"/>
          <w:sz w:val="21"/>
        </w:rPr>
        <w:t>Transition assistance requested by the Client is provided under the Exit and Transition Plan, at the day rates of the Order Form beyond any assistance that the Plan includes.</w:t>
      </w:r>
    </w:p>
    <w:p>
      <w:pPr>
        <w:pStyle w:val="Normal"/>
        <w:numPr>
          <w:ilvl w:val="0"/>
          <w:numId w:val="67"/>
        </w:numPr>
        <w:spacing w:before="0" w:after="60"/>
        <w:rPr/>
      </w:pPr>
      <w:r>
        <w:rPr>
          <w:rFonts w:eastAsia="Segoe UI" w:cs="Segoe UI" w:ascii="Segoe UI" w:hAnsi="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r>
        <w:br w:type="page"/>
      </w:r>
    </w:p>
    <w:p>
      <w:pPr>
        <w:pStyle w:val="Heading1"/>
        <w:rPr/>
      </w:pPr>
      <w:bookmarkStart w:id="23" w:name="__RefHeading___Toc176711_4195859891"/>
      <w:bookmarkEnd w:id="23"/>
      <w:r>
        <w:rPr>
          <w:rFonts w:eastAsia="Segoe UI" w:cs="Segoe UI" w:ascii="Segoe UI" w:hAnsi="Segoe UI"/>
          <w:b/>
          <w:color w:val="0F4761"/>
          <w:sz w:val="32"/>
        </w:rPr>
        <w:t>9.  Rights in the platform and in data</w:t>
      </w:r>
    </w:p>
    <w:p>
      <w:pPr>
        <w:pStyle w:val="Heading2"/>
        <w:rPr/>
      </w:pPr>
      <w:bookmarkStart w:id="24" w:name="__RefHeading___Toc176713_4195859891"/>
      <w:bookmarkEnd w:id="24"/>
      <w:r>
        <w:rPr>
          <w:rFonts w:eastAsia="Segoe UI" w:cs="Segoe UI"/>
          <w:b/>
          <w:color w:val="0F4761"/>
          <w:sz w:val="26"/>
        </w:rPr>
        <w:t>9.1  Intellectual property</w:t>
      </w:r>
    </w:p>
    <w:p>
      <w:pPr>
        <w:pStyle w:val="Heading3"/>
        <w:rPr/>
      </w:pPr>
      <w:r>
        <w:rPr>
          <w:rFonts w:eastAsia="Segoe UI" w:cs="Segoe UI"/>
          <w:b/>
          <w:color w:val="0F4761"/>
          <w:sz w:val="23"/>
        </w:rPr>
        <w:t>9.1.1  Platform</w:t>
      </w:r>
    </w:p>
    <w:p>
      <w:pPr>
        <w:pStyle w:val="Normal"/>
        <w:numPr>
          <w:ilvl w:val="0"/>
          <w:numId w:val="68"/>
        </w:numPr>
        <w:spacing w:before="0" w:after="60"/>
        <w:rPr/>
      </w:pPr>
      <w:r>
        <w:rPr>
          <w:rFonts w:eastAsia="Segoe UI" w:cs="Segoe UI" w:ascii="Segoe UI" w:hAnsi="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pStyle w:val="Normal"/>
        <w:numPr>
          <w:ilvl w:val="0"/>
          <w:numId w:val="69"/>
        </w:numPr>
        <w:spacing w:before="0" w:after="60"/>
        <w:rPr/>
      </w:pPr>
      <w:r>
        <w:rPr>
          <w:rFonts w:eastAsia="Segoe UI" w:cs="Segoe UI" w:ascii="Segoe UI" w:hAnsi="Segoe UI"/>
          <w:color w:val="101820"/>
          <w:sz w:val="21"/>
        </w:rPr>
        <w:t>Nothing in this Agreement transfers any of those rights to the Client. The Client receives only the licence or right of use stated in the applicable schedule.</w:t>
      </w:r>
    </w:p>
    <w:p>
      <w:pPr>
        <w:pStyle w:val="Normal"/>
        <w:numPr>
          <w:ilvl w:val="0"/>
          <w:numId w:val="70"/>
        </w:numPr>
        <w:spacing w:before="0" w:after="60"/>
        <w:rPr/>
      </w:pPr>
      <w:r>
        <w:rPr>
          <w:rFonts w:eastAsia="Segoe UI" w:cs="Segoe UI" w:ascii="Segoe UI" w:hAnsi="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rPr/>
      </w:pPr>
      <w:r>
        <w:rPr>
          <w:rFonts w:eastAsia="Segoe UI" w:cs="Segoe UI"/>
          <w:b/>
          <w:color w:val="0F4761"/>
          <w:sz w:val="23"/>
        </w:rPr>
        <w:t>9.1.2  Client Data</w:t>
      </w:r>
    </w:p>
    <w:p>
      <w:pPr>
        <w:pStyle w:val="Normal"/>
        <w:numPr>
          <w:ilvl w:val="0"/>
          <w:numId w:val="71"/>
        </w:numPr>
        <w:spacing w:before="0" w:after="60"/>
        <w:rPr/>
      </w:pPr>
      <w:r>
        <w:rPr>
          <w:rFonts w:eastAsia="Segoe UI" w:cs="Segoe UI" w:ascii="Segoe UI" w:hAnsi="Segoe UI"/>
          <w:color w:val="101820"/>
          <w:sz w:val="21"/>
        </w:rPr>
        <w:t>The Client owns all Client Data. iorta TechNXT acquires no right in Client Data except the right to process it to perform the Services, under the Data Processing Agreement.</w:t>
      </w:r>
    </w:p>
    <w:p>
      <w:pPr>
        <w:pStyle w:val="Normal"/>
        <w:numPr>
          <w:ilvl w:val="0"/>
          <w:numId w:val="72"/>
        </w:numPr>
        <w:spacing w:before="0" w:after="60"/>
        <w:rPr/>
      </w:pPr>
      <w:r>
        <w:rPr>
          <w:rFonts w:eastAsia="Segoe UI" w:cs="Segoe UI" w:ascii="Segoe UI" w:hAnsi="Segoe UI"/>
          <w:color w:val="101820"/>
          <w:sz w:val="21"/>
        </w:rPr>
        <w:t>The Client's own trademarks, letterheads, policy wordings, forms and content remain the property of the Client. The Client grants iorta TechNXT a licence to use them only to perform the Services.</w:t>
      </w:r>
    </w:p>
    <w:p>
      <w:pPr>
        <w:pStyle w:val="Heading3"/>
        <w:rPr/>
      </w:pPr>
      <w:r>
        <w:rPr>
          <w:rFonts w:eastAsia="Segoe UI" w:cs="Segoe UI"/>
          <w:b/>
          <w:color w:val="0F4761"/>
          <w:sz w:val="23"/>
        </w:rPr>
        <w:t>9.1.3  Feedback and statistics</w:t>
      </w:r>
    </w:p>
    <w:p>
      <w:pPr>
        <w:pStyle w:val="Normal"/>
        <w:spacing w:lineRule="auto" w:line="276" w:before="0" w:after="120"/>
        <w:rPr/>
      </w:pPr>
      <w:r>
        <w:rPr>
          <w:rFonts w:eastAsia="Segoe UI" w:cs="Segoe UI" w:ascii="Segoe UI" w:hAnsi="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rPr/>
      </w:pPr>
      <w:bookmarkStart w:id="25" w:name="__RefHeading___Toc176715_4195859891"/>
      <w:bookmarkEnd w:id="25"/>
      <w:r>
        <w:rPr>
          <w:rFonts w:eastAsia="Segoe UI" w:cs="Segoe UI"/>
          <w:b/>
          <w:color w:val="0F4761"/>
          <w:sz w:val="26"/>
        </w:rPr>
        <w:t>9.2  Licence grant</w:t>
      </w:r>
    </w:p>
    <w:p>
      <w:pPr>
        <w:pStyle w:val="Normal"/>
        <w:spacing w:lineRule="auto" w:line="276" w:before="0" w:after="120"/>
        <w:rPr/>
      </w:pPr>
      <w:r>
        <w:rPr>
          <w:rFonts w:eastAsia="Segoe UI" w:cs="Segoe UI" w:ascii="Segoe UI" w:hAnsi="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rPr/>
      </w:pPr>
      <w:bookmarkStart w:id="26" w:name="__RefHeading___Toc176717_4195859891"/>
      <w:bookmarkEnd w:id="26"/>
      <w:r>
        <w:rPr>
          <w:rFonts w:eastAsia="Segoe UI" w:cs="Segoe UI"/>
          <w:b/>
          <w:color w:val="0F4761"/>
          <w:sz w:val="26"/>
        </w:rPr>
        <w:t>9.3  Confidentiality</w:t>
      </w:r>
    </w:p>
    <w:p>
      <w:pPr>
        <w:pStyle w:val="Heading3"/>
        <w:rPr/>
      </w:pPr>
      <w:r>
        <w:rPr>
          <w:rFonts w:eastAsia="Segoe UI" w:cs="Segoe UI"/>
          <w:b/>
          <w:color w:val="0F4761"/>
          <w:sz w:val="23"/>
        </w:rPr>
        <w:t>9.3.1  Confidential Information</w:t>
      </w:r>
    </w:p>
    <w:p>
      <w:pPr>
        <w:pStyle w:val="Normal"/>
        <w:spacing w:lineRule="auto" w:line="276" w:before="0" w:after="120"/>
        <w:rPr/>
      </w:pPr>
      <w:r>
        <w:rPr>
          <w:rFonts w:eastAsia="Segoe UI" w:cs="Segoe UI" w:ascii="Segoe UI" w:hAnsi="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rPr/>
      </w:pPr>
      <w:r>
        <w:rPr>
          <w:rFonts w:eastAsia="Segoe UI" w:cs="Segoe UI"/>
          <w:b/>
          <w:color w:val="0F4761"/>
          <w:sz w:val="23"/>
        </w:rPr>
        <w:t>9.3.2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73"/>
        </w:numPr>
        <w:spacing w:before="0" w:after="60"/>
        <w:rPr/>
      </w:pPr>
      <w:r>
        <w:rPr>
          <w:rFonts w:eastAsia="Segoe UI" w:cs="Segoe UI" w:ascii="Segoe UI" w:hAnsi="Segoe UI"/>
          <w:color w:val="101820"/>
          <w:sz w:val="21"/>
        </w:rPr>
        <w:t>use the Confidential Information only to perform or receive the Services;</w:t>
      </w:r>
    </w:p>
    <w:p>
      <w:pPr>
        <w:pStyle w:val="Normal"/>
        <w:numPr>
          <w:ilvl w:val="0"/>
          <w:numId w:val="74"/>
        </w:numPr>
        <w:spacing w:before="0" w:after="60"/>
        <w:rPr/>
      </w:pPr>
      <w:r>
        <w:rPr>
          <w:rFonts w:eastAsia="Segoe UI" w:cs="Segoe UI" w:ascii="Segoe UI" w:hAnsi="Segoe UI"/>
          <w:color w:val="101820"/>
          <w:sz w:val="21"/>
        </w:rPr>
        <w:t>disclose it only to its directors, officers, employees, Affiliates, professional advisers and subcontractors who need to know it and who are bound by confidentiality duties no less protective than this clause;</w:t>
      </w:r>
    </w:p>
    <w:p>
      <w:pPr>
        <w:pStyle w:val="Normal"/>
        <w:numPr>
          <w:ilvl w:val="0"/>
          <w:numId w:val="75"/>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Heading3"/>
        <w:rPr/>
      </w:pPr>
      <w:r>
        <w:rPr>
          <w:rFonts w:eastAsia="Segoe UI" w:cs="Segoe UI"/>
          <w:b/>
          <w:color w:val="0F4761"/>
          <w:sz w:val="23"/>
        </w:rPr>
        <w:t>9.3.3  Exceptions</w:t>
      </w:r>
    </w:p>
    <w:p>
      <w:pPr>
        <w:pStyle w:val="Normal"/>
        <w:spacing w:lineRule="auto" w:line="276" w:before="0" w:after="120"/>
        <w:rPr/>
      </w:pPr>
      <w:r>
        <w:rPr>
          <w:rFonts w:eastAsia="Segoe UI" w:cs="Segoe UI" w:ascii="Segoe UI" w:hAnsi="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rPr/>
      </w:pPr>
      <w:r>
        <w:rPr>
          <w:rFonts w:eastAsia="Segoe UI" w:cs="Segoe UI"/>
          <w:b/>
          <w:color w:val="0F4761"/>
          <w:sz w:val="23"/>
        </w:rPr>
        <w:t>9.3.4  Duration</w:t>
      </w:r>
    </w:p>
    <w:p>
      <w:pPr>
        <w:pStyle w:val="Normal"/>
        <w:spacing w:lineRule="auto" w:line="276" w:before="0" w:after="120"/>
        <w:rPr/>
      </w:pPr>
      <w:r>
        <w:rPr>
          <w:rFonts w:eastAsia="Segoe UI" w:cs="Segoe UI" w:ascii="Segoe UI" w:hAnsi="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rPr/>
      </w:pPr>
      <w:bookmarkStart w:id="27" w:name="__RefHeading___Toc176719_4195859891"/>
      <w:bookmarkEnd w:id="27"/>
      <w:r>
        <w:rPr>
          <w:rFonts w:eastAsia="Segoe UI" w:cs="Segoe UI"/>
          <w:b/>
          <w:color w:val="0F4761"/>
          <w:sz w:val="26"/>
        </w:rPr>
        <w:t>9.4  Data protection</w:t>
      </w:r>
    </w:p>
    <w:p>
      <w:pPr>
        <w:pStyle w:val="Normal"/>
        <w:numPr>
          <w:ilvl w:val="0"/>
          <w:numId w:val="76"/>
        </w:numPr>
        <w:spacing w:before="0" w:after="60"/>
        <w:rPr/>
      </w:pPr>
      <w:r>
        <w:rPr>
          <w:rFonts w:eastAsia="Segoe UI" w:cs="Segoe UI" w:ascii="Segoe UI" w:hAnsi="Segoe UI"/>
          <w:color w:val="101820"/>
          <w:sz w:val="21"/>
        </w:rPr>
        <w:t>Each Party complies with the Data Privacy Act of 2012 (RA 10173), its Implementing Rules and Regulations and the circulars and issuances of the National Privacy Commission.</w:t>
      </w:r>
    </w:p>
    <w:p>
      <w:pPr>
        <w:pStyle w:val="Normal"/>
        <w:numPr>
          <w:ilvl w:val="0"/>
          <w:numId w:val="77"/>
        </w:numPr>
        <w:spacing w:before="0" w:after="60"/>
        <w:rPr/>
      </w:pPr>
      <w:r>
        <w:rPr>
          <w:rFonts w:eastAsia="Segoe UI" w:cs="Segoe UI" w:ascii="Segoe UI" w:hAnsi="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pStyle w:val="Normal"/>
        <w:numPr>
          <w:ilvl w:val="0"/>
          <w:numId w:val="78"/>
        </w:numPr>
        <w:spacing w:before="0" w:after="60"/>
        <w:rPr/>
      </w:pPr>
      <w:r>
        <w:rPr>
          <w:rFonts w:eastAsia="Segoe UI" w:cs="Segoe UI" w:ascii="Segoe UI" w:hAnsi="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pStyle w:val="Normal"/>
        <w:numPr>
          <w:ilvl w:val="0"/>
          <w:numId w:val="79"/>
        </w:numPr>
        <w:spacing w:before="0" w:after="60"/>
        <w:rPr/>
      </w:pPr>
      <w:r>
        <w:rPr>
          <w:rFonts w:eastAsia="Segoe UI" w:cs="Segoe UI" w:ascii="Segoe UI" w:hAnsi="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pStyle w:val="Normal"/>
        <w:numPr>
          <w:ilvl w:val="0"/>
          <w:numId w:val="80"/>
        </w:numPr>
        <w:spacing w:before="0" w:after="60"/>
        <w:rPr/>
      </w:pPr>
      <w:r>
        <w:rPr>
          <w:rFonts w:eastAsia="Segoe UI" w:cs="Segoe UI" w:ascii="Segoe UI" w:hAnsi="Segoe UI"/>
          <w:color w:val="101820"/>
          <w:sz w:val="21"/>
        </w:rPr>
        <w:t>Where the Platform is hosted outside the Philippines, the Client decides on and documents the transfer as required by section 21 of the Data Privacy Act. The hosting location is stated in the Order Form.</w:t>
      </w:r>
      <w:r>
        <w:br w:type="page"/>
      </w:r>
    </w:p>
    <w:p>
      <w:pPr>
        <w:pStyle w:val="Heading1"/>
        <w:rPr/>
      </w:pPr>
      <w:bookmarkStart w:id="28" w:name="__RefHeading___Toc176721_4195859891"/>
      <w:bookmarkEnd w:id="28"/>
      <w:r>
        <w:rPr>
          <w:rFonts w:eastAsia="Segoe UI" w:cs="Segoe UI" w:ascii="Segoe UI" w:hAnsi="Segoe UI"/>
          <w:b/>
          <w:color w:val="0F4761"/>
          <w:sz w:val="32"/>
        </w:rPr>
        <w:t>10.  Warranties, liability and indemnities</w:t>
      </w:r>
    </w:p>
    <w:p>
      <w:pPr>
        <w:pStyle w:val="Heading2"/>
        <w:rPr/>
      </w:pPr>
      <w:bookmarkStart w:id="29" w:name="__RefHeading___Toc176723_4195859891"/>
      <w:bookmarkEnd w:id="29"/>
      <w:r>
        <w:rPr>
          <w:rFonts w:eastAsia="Segoe UI" w:cs="Segoe UI"/>
          <w:b/>
          <w:color w:val="0F4761"/>
          <w:sz w:val="26"/>
        </w:rPr>
        <w:t>10.1  Warranties</w:t>
      </w:r>
    </w:p>
    <w:p>
      <w:pPr>
        <w:pStyle w:val="Heading3"/>
        <w:rPr/>
      </w:pPr>
      <w:r>
        <w:rPr>
          <w:rFonts w:eastAsia="Segoe UI" w:cs="Segoe UI"/>
          <w:b/>
          <w:color w:val="0F4761"/>
          <w:sz w:val="23"/>
        </w:rPr>
        <w:t>10.1.1  Mutual warranties</w:t>
      </w:r>
    </w:p>
    <w:p>
      <w:pPr>
        <w:pStyle w:val="Normal"/>
        <w:spacing w:lineRule="auto" w:line="276" w:before="0" w:after="120"/>
        <w:rPr/>
      </w:pPr>
      <w:r>
        <w:rPr>
          <w:rFonts w:eastAsia="Segoe UI" w:cs="Segoe UI" w:ascii="Segoe UI" w:hAnsi="Segoe UI"/>
          <w:color w:val="101820"/>
          <w:sz w:val="21"/>
        </w:rPr>
        <w:t>Each Party warrants that it is duly organised and validly existing, that it has the power and authority to sign and perform this Agreement, and that its signatory is duly authorised.</w:t>
      </w:r>
    </w:p>
    <w:p>
      <w:pPr>
        <w:pStyle w:val="Heading3"/>
        <w:rPr/>
      </w:pPr>
      <w:r>
        <w:rPr>
          <w:rFonts w:eastAsia="Segoe UI" w:cs="Segoe UI"/>
          <w:b/>
          <w:color w:val="0F4761"/>
          <w:sz w:val="23"/>
        </w:rPr>
        <w:t>10.1.2  iorta TechNXT warranties</w:t>
      </w:r>
    </w:p>
    <w:p>
      <w:pPr>
        <w:pStyle w:val="Normal"/>
        <w:spacing w:lineRule="auto" w:line="276" w:before="0" w:after="120"/>
        <w:rPr/>
      </w:pPr>
      <w:r>
        <w:rPr>
          <w:rFonts w:eastAsia="Segoe UI" w:cs="Segoe UI" w:ascii="Segoe UI" w:hAnsi="Segoe UI"/>
          <w:color w:val="101820"/>
          <w:sz w:val="21"/>
        </w:rPr>
        <w:t>iorta TechNXT warrants that:</w:t>
      </w:r>
    </w:p>
    <w:p>
      <w:pPr>
        <w:pStyle w:val="Normal"/>
        <w:numPr>
          <w:ilvl w:val="0"/>
          <w:numId w:val="81"/>
        </w:numPr>
        <w:spacing w:before="0" w:after="60"/>
        <w:rPr/>
      </w:pPr>
      <w:r>
        <w:rPr>
          <w:rFonts w:eastAsia="Segoe UI" w:cs="Segoe UI" w:ascii="Segoe UI" w:hAnsi="Segoe UI"/>
          <w:color w:val="101820"/>
          <w:sz w:val="21"/>
        </w:rPr>
        <w:t>the Services will be performed with reasonable skill and care, by qualified personnel, in line with good industry practice;</w:t>
      </w:r>
    </w:p>
    <w:p>
      <w:pPr>
        <w:pStyle w:val="Normal"/>
        <w:numPr>
          <w:ilvl w:val="0"/>
          <w:numId w:val="82"/>
        </w:numPr>
        <w:spacing w:before="0" w:after="60"/>
        <w:rPr/>
      </w:pPr>
      <w:r>
        <w:rPr>
          <w:rFonts w:eastAsia="Segoe UI" w:cs="Segoe UI" w:ascii="Segoe UI" w:hAnsi="Segoe UI"/>
          <w:color w:val="101820"/>
          <w:sz w:val="21"/>
        </w:rPr>
        <w:t>for 12 months from Go-Live (the warranty period) in the case of a perpetual licence, and for the subscription term in the case of a subscription, the Platform will perform materially in line with its Documentation;</w:t>
      </w:r>
    </w:p>
    <w:p>
      <w:pPr>
        <w:pStyle w:val="Normal"/>
        <w:numPr>
          <w:ilvl w:val="0"/>
          <w:numId w:val="83"/>
        </w:numPr>
        <w:spacing w:before="0" w:after="60"/>
        <w:rPr/>
      </w:pPr>
      <w:r>
        <w:rPr>
          <w:rFonts w:eastAsia="Segoe UI" w:cs="Segoe UI" w:ascii="Segoe UI" w:hAnsi="Segoe UI"/>
          <w:color w:val="101820"/>
          <w:sz w:val="21"/>
        </w:rPr>
        <w:t>it has the right to grant the licence or right of use in the applicable schedule;</w:t>
      </w:r>
    </w:p>
    <w:p>
      <w:pPr>
        <w:pStyle w:val="Normal"/>
        <w:numPr>
          <w:ilvl w:val="0"/>
          <w:numId w:val="84"/>
        </w:numPr>
        <w:spacing w:before="0" w:after="60"/>
        <w:rPr/>
      </w:pPr>
      <w:r>
        <w:rPr>
          <w:rFonts w:eastAsia="Segoe UI" w:cs="Segoe UI" w:ascii="Segoe UI" w:hAnsi="Segoe UI"/>
          <w:color w:val="101820"/>
          <w:sz w:val="21"/>
        </w:rPr>
        <w:t>it will use industry-standard measures to keep the Platform free of viruses and malicious code at delivery.</w:t>
      </w:r>
    </w:p>
    <w:p>
      <w:pPr>
        <w:pStyle w:val="Heading3"/>
        <w:rPr/>
      </w:pPr>
      <w:r>
        <w:rPr>
          <w:rFonts w:eastAsia="Segoe UI" w:cs="Segoe UI"/>
          <w:b/>
          <w:color w:val="0F4761"/>
          <w:sz w:val="23"/>
        </w:rPr>
        <w:t>10.1.3  Remedies</w:t>
      </w:r>
    </w:p>
    <w:p>
      <w:pPr>
        <w:pStyle w:val="Normal"/>
        <w:spacing w:lineRule="auto" w:line="276" w:before="0" w:after="120"/>
        <w:rPr/>
      </w:pPr>
      <w:r>
        <w:rPr>
          <w:rFonts w:eastAsia="Segoe UI" w:cs="Segoe UI" w:ascii="Segoe UI" w:hAnsi="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rPr/>
      </w:pPr>
      <w:r>
        <w:rPr>
          <w:rFonts w:eastAsia="Segoe UI" w:cs="Segoe UI"/>
          <w:b/>
          <w:color w:val="0F4761"/>
          <w:sz w:val="23"/>
        </w:rPr>
        <w:t>10.1.4  Exclusions</w:t>
      </w:r>
    </w:p>
    <w:p>
      <w:pPr>
        <w:pStyle w:val="Normal"/>
        <w:spacing w:lineRule="auto" w:line="276" w:before="0" w:after="120"/>
        <w:rPr/>
      </w:pPr>
      <w:r>
        <w:rPr>
          <w:rFonts w:eastAsia="Segoe UI" w:cs="Segoe UI" w:ascii="Segoe UI" w:hAnsi="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rPr/>
      </w:pPr>
      <w:r>
        <w:rPr>
          <w:rFonts w:eastAsia="Segoe UI" w:cs="Segoe UI"/>
          <w:b/>
          <w:color w:val="0F4761"/>
          <w:sz w:val="23"/>
        </w:rPr>
        <w:t>10.1.5  Disclaimer</w:t>
      </w:r>
    </w:p>
    <w:p>
      <w:pPr>
        <w:pStyle w:val="Normal"/>
        <w:spacing w:lineRule="auto" w:line="276" w:before="0" w:after="120"/>
        <w:rPr/>
      </w:pPr>
      <w:r>
        <w:rPr>
          <w:rFonts w:eastAsia="Segoe UI" w:cs="Segoe UI" w:ascii="Segoe UI" w:hAnsi="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rPr/>
      </w:pPr>
      <w:bookmarkStart w:id="30" w:name="__RefHeading___Toc176725_4195859891"/>
      <w:bookmarkEnd w:id="30"/>
      <w:r>
        <w:rPr>
          <w:rFonts w:eastAsia="Segoe UI" w:cs="Segoe UI"/>
          <w:b/>
          <w:color w:val="0F4761"/>
          <w:sz w:val="26"/>
        </w:rPr>
        <w:t>10.2  Limitation of liability</w:t>
      </w:r>
    </w:p>
    <w:p>
      <w:pPr>
        <w:pStyle w:val="Normal"/>
        <w:numPr>
          <w:ilvl w:val="0"/>
          <w:numId w:val="85"/>
        </w:numPr>
        <w:spacing w:before="0" w:after="60"/>
        <w:rPr/>
      </w:pPr>
      <w:r>
        <w:rPr>
          <w:rFonts w:eastAsia="Segoe UI" w:cs="Segoe UI" w:ascii="Segoe UI" w:hAnsi="Segoe UI"/>
          <w:color w:val="101820"/>
          <w:sz w:val="21"/>
        </w:rPr>
        <w:t>Neither Party is liable for loss of profit, revenue, business, goodwill or anticipated savings, or for indirect, incidental, special or consequential loss, however arising, even if advised of its possibility.</w:t>
      </w:r>
    </w:p>
    <w:p>
      <w:pPr>
        <w:pStyle w:val="Normal"/>
        <w:numPr>
          <w:ilvl w:val="0"/>
          <w:numId w:val="86"/>
        </w:numPr>
        <w:spacing w:before="0" w:after="60"/>
        <w:rPr/>
      </w:pPr>
      <w:r>
        <w:rPr>
          <w:rFonts w:eastAsia="Segoe UI" w:cs="Segoe UI" w:ascii="Segoe UI" w:hAnsi="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pStyle w:val="Normal"/>
        <w:numPr>
          <w:ilvl w:val="0"/>
          <w:numId w:val="87"/>
        </w:numPr>
        <w:spacing w:before="0" w:after="60"/>
        <w:rPr/>
      </w:pPr>
      <w:r>
        <w:rPr>
          <w:rFonts w:eastAsia="Segoe UI" w:cs="Segoe UI" w:ascii="Segoe UI" w:hAnsi="Segoe UI"/>
          <w:color w:val="101820"/>
          <w:sz w:val="21"/>
        </w:rPr>
        <w:t>[Option: For breach of the Data protection clause or the Data Processing Agreement, the cap in point 2 is [two times / three times] that amount.]</w:t>
      </w:r>
    </w:p>
    <w:p>
      <w:pPr>
        <w:pStyle w:val="Normal"/>
        <w:numPr>
          <w:ilvl w:val="0"/>
          <w:numId w:val="88"/>
        </w:numPr>
        <w:spacing w:before="0" w:after="60"/>
        <w:rPr/>
      </w:pPr>
      <w:r>
        <w:rPr>
          <w:rFonts w:eastAsia="Segoe UI" w:cs="Segoe UI" w:ascii="Segoe UI" w:hAnsi="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pStyle w:val="Normal"/>
        <w:numPr>
          <w:ilvl w:val="0"/>
          <w:numId w:val="89"/>
        </w:numPr>
        <w:spacing w:before="0" w:after="60"/>
        <w:rPr/>
      </w:pPr>
      <w:r>
        <w:rPr>
          <w:rFonts w:eastAsia="Segoe UI" w:cs="Segoe UI" w:ascii="Segoe UI" w:hAnsi="Segoe UI"/>
          <w:color w:val="101820"/>
          <w:sz w:val="21"/>
        </w:rPr>
        <w:t>Each Party must take reasonable steps to mitigate its loss.</w:t>
      </w:r>
    </w:p>
    <w:p>
      <w:pPr>
        <w:pStyle w:val="Heading2"/>
        <w:rPr/>
      </w:pPr>
      <w:bookmarkStart w:id="31" w:name="__RefHeading___Toc176727_4195859891"/>
      <w:bookmarkEnd w:id="31"/>
      <w:r>
        <w:rPr>
          <w:rFonts w:eastAsia="Segoe UI" w:cs="Segoe UI"/>
          <w:b/>
          <w:color w:val="0F4761"/>
          <w:sz w:val="26"/>
        </w:rPr>
        <w:t>10.3  Indemnities</w:t>
      </w:r>
    </w:p>
    <w:p>
      <w:pPr>
        <w:pStyle w:val="Heading3"/>
        <w:rPr/>
      </w:pPr>
      <w:r>
        <w:rPr>
          <w:rFonts w:eastAsia="Segoe UI" w:cs="Segoe UI"/>
          <w:b/>
          <w:color w:val="0F4761"/>
          <w:sz w:val="23"/>
        </w:rPr>
        <w:t>10.3.1  Intellectual property indemnity</w:t>
      </w:r>
    </w:p>
    <w:p>
      <w:pPr>
        <w:pStyle w:val="Normal"/>
        <w:numPr>
          <w:ilvl w:val="0"/>
          <w:numId w:val="90"/>
        </w:numPr>
        <w:spacing w:before="0" w:after="60"/>
        <w:rPr/>
      </w:pPr>
      <w:r>
        <w:rPr>
          <w:rFonts w:eastAsia="Segoe UI" w:cs="Segoe UI" w:ascii="Segoe UI" w:hAnsi="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pStyle w:val="Normal"/>
        <w:numPr>
          <w:ilvl w:val="0"/>
          <w:numId w:val="91"/>
        </w:numPr>
        <w:spacing w:before="0" w:after="60"/>
        <w:rPr/>
      </w:pPr>
      <w:r>
        <w:rPr>
          <w:rFonts w:eastAsia="Segoe UI" w:cs="Segoe UI" w:ascii="Segoe UI" w:hAnsi="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pStyle w:val="Normal"/>
        <w:numPr>
          <w:ilvl w:val="0"/>
          <w:numId w:val="92"/>
        </w:numPr>
        <w:spacing w:before="0" w:after="60"/>
        <w:rPr/>
      </w:pPr>
      <w:r>
        <w:rPr>
          <w:rFonts w:eastAsia="Segoe UI" w:cs="Segoe UI" w:ascii="Segoe UI" w:hAnsi="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rPr/>
      </w:pPr>
      <w:r>
        <w:rPr>
          <w:rFonts w:eastAsia="Segoe UI" w:cs="Segoe UI"/>
          <w:b/>
          <w:color w:val="0F4761"/>
          <w:sz w:val="23"/>
        </w:rPr>
        <w:t>10.3.2  Client indemnity</w:t>
      </w:r>
    </w:p>
    <w:p>
      <w:pPr>
        <w:pStyle w:val="Normal"/>
        <w:spacing w:lineRule="auto" w:line="276" w:before="0" w:after="120"/>
        <w:rPr/>
      </w:pPr>
      <w:r>
        <w:rPr>
          <w:rFonts w:eastAsia="Segoe UI" w:cs="Segoe UI" w:ascii="Segoe UI" w:hAnsi="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rPr/>
      </w:pPr>
      <w:r>
        <w:rPr>
          <w:rFonts w:eastAsia="Segoe UI" w:cs="Segoe UI"/>
          <w:b/>
          <w:color w:val="0F4761"/>
          <w:sz w:val="23"/>
        </w:rPr>
        <w:t>10.3.3  Procedure</w:t>
      </w:r>
    </w:p>
    <w:p>
      <w:pPr>
        <w:pStyle w:val="Normal"/>
        <w:spacing w:lineRule="auto" w:line="276" w:before="0" w:after="120"/>
        <w:rPr/>
      </w:pPr>
      <w:r>
        <w:rPr>
          <w:rFonts w:eastAsia="Segoe UI" w:cs="Segoe UI" w:ascii="Segoe UI" w:hAnsi="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r>
        <w:br w:type="page"/>
      </w:r>
    </w:p>
    <w:p>
      <w:pPr>
        <w:pStyle w:val="Heading1"/>
        <w:rPr/>
      </w:pPr>
      <w:bookmarkStart w:id="32" w:name="__RefHeading___Toc176729_4195859891"/>
      <w:bookmarkEnd w:id="32"/>
      <w:r>
        <w:rPr>
          <w:rFonts w:eastAsia="Segoe UI" w:cs="Segoe UI" w:ascii="Segoe UI" w:hAnsi="Segoe UI"/>
          <w:b/>
          <w:color w:val="0F4761"/>
          <w:sz w:val="32"/>
        </w:rPr>
        <w:t>11.  Other terms</w:t>
      </w:r>
    </w:p>
    <w:p>
      <w:pPr>
        <w:pStyle w:val="Heading2"/>
        <w:rPr/>
      </w:pPr>
      <w:bookmarkStart w:id="33" w:name="__RefHeading___Toc176731_4195859891"/>
      <w:bookmarkEnd w:id="33"/>
      <w:r>
        <w:rPr>
          <w:rFonts w:eastAsia="Segoe UI" w:cs="Segoe UI"/>
          <w:b/>
          <w:color w:val="0F4761"/>
          <w:sz w:val="26"/>
        </w:rPr>
        <w:t>11.1  Force majeure</w:t>
      </w:r>
    </w:p>
    <w:p>
      <w:pPr>
        <w:pStyle w:val="Normal"/>
        <w:numPr>
          <w:ilvl w:val="0"/>
          <w:numId w:val="93"/>
        </w:numPr>
        <w:spacing w:before="0" w:after="60"/>
        <w:rPr/>
      </w:pPr>
      <w:r>
        <w:rPr>
          <w:rFonts w:eastAsia="Segoe UI" w:cs="Segoe UI" w:ascii="Segoe UI" w:hAnsi="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pStyle w:val="Normal"/>
        <w:numPr>
          <w:ilvl w:val="0"/>
          <w:numId w:val="94"/>
        </w:numPr>
        <w:spacing w:before="0" w:after="60"/>
        <w:rPr/>
      </w:pPr>
      <w:r>
        <w:rPr>
          <w:rFonts w:eastAsia="Segoe UI" w:cs="Segoe UI" w:ascii="Segoe UI" w:hAnsi="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pStyle w:val="Normal"/>
        <w:numPr>
          <w:ilvl w:val="0"/>
          <w:numId w:val="95"/>
        </w:numPr>
        <w:spacing w:before="0" w:after="60"/>
        <w:rPr/>
      </w:pPr>
      <w:r>
        <w:rPr>
          <w:rFonts w:eastAsia="Segoe UI" w:cs="Segoe UI" w:ascii="Segoe UI" w:hAnsi="Segoe UI"/>
          <w:color w:val="101820"/>
          <w:sz w:val="21"/>
        </w:rPr>
        <w:t>Force majeure does not excuse payment obligations for Services already performed.</w:t>
      </w:r>
    </w:p>
    <w:p>
      <w:pPr>
        <w:pStyle w:val="Normal"/>
        <w:numPr>
          <w:ilvl w:val="0"/>
          <w:numId w:val="96"/>
        </w:numPr>
        <w:spacing w:before="0" w:after="60"/>
        <w:rPr/>
      </w:pPr>
      <w:r>
        <w:rPr>
          <w:rFonts w:eastAsia="Segoe UI" w:cs="Segoe UI" w:ascii="Segoe UI" w:hAnsi="Segoe UI"/>
          <w:color w:val="101820"/>
          <w:sz w:val="21"/>
        </w:rPr>
        <w:t>If the event continues for more than 60 days, either Party may terminate the affected Order Form by written notice, with payment for Services performed up to termination.</w:t>
      </w:r>
    </w:p>
    <w:p>
      <w:pPr>
        <w:pStyle w:val="Heading2"/>
        <w:rPr/>
      </w:pPr>
      <w:bookmarkStart w:id="34" w:name="__RefHeading___Toc176733_4195859891"/>
      <w:bookmarkEnd w:id="34"/>
      <w:r>
        <w:rPr>
          <w:rFonts w:eastAsia="Segoe UI" w:cs="Segoe UI"/>
          <w:b/>
          <w:color w:val="0F4761"/>
          <w:sz w:val="26"/>
        </w:rPr>
        <w:t>11.2  Non-solicitation</w:t>
      </w:r>
    </w:p>
    <w:p>
      <w:pPr>
        <w:pStyle w:val="Normal"/>
        <w:spacing w:lineRule="auto" w:line="276" w:before="0" w:after="120"/>
        <w:rPr/>
      </w:pPr>
      <w:r>
        <w:rPr>
          <w:rFonts w:eastAsia="Segoe UI" w:cs="Segoe UI" w:ascii="Segoe UI" w:hAnsi="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rPr/>
      </w:pPr>
      <w:bookmarkStart w:id="35" w:name="__RefHeading___Toc176735_4195859891"/>
      <w:bookmarkEnd w:id="35"/>
      <w:r>
        <w:rPr>
          <w:rFonts w:eastAsia="Segoe UI" w:cs="Segoe UI"/>
          <w:b/>
          <w:color w:val="0F4761"/>
          <w:sz w:val="26"/>
        </w:rPr>
        <w:t>11.3  Assignment and subcontracting</w:t>
      </w:r>
    </w:p>
    <w:p>
      <w:pPr>
        <w:pStyle w:val="Normal"/>
        <w:numPr>
          <w:ilvl w:val="0"/>
          <w:numId w:val="97"/>
        </w:numPr>
        <w:spacing w:before="0" w:after="60"/>
        <w:rPr/>
      </w:pPr>
      <w:r>
        <w:rPr>
          <w:rFonts w:eastAsia="Segoe UI" w:cs="Segoe UI" w:ascii="Segoe UI" w:hAnsi="Segoe UI"/>
          <w:color w:val="101820"/>
          <w:sz w:val="21"/>
        </w:rPr>
        <w:t>Neither Party may assign or transfer this Agreement or an Order Form without the other Party's written consent, which shall not be unreasonably withheld.</w:t>
      </w:r>
    </w:p>
    <w:p>
      <w:pPr>
        <w:pStyle w:val="Normal"/>
        <w:numPr>
          <w:ilvl w:val="0"/>
          <w:numId w:val="98"/>
        </w:numPr>
        <w:spacing w:before="0" w:after="60"/>
        <w:rPr/>
      </w:pPr>
      <w:r>
        <w:rPr>
          <w:rFonts w:eastAsia="Segoe UI" w:cs="Segoe UI" w:ascii="Segoe UI" w:hAnsi="Segoe UI"/>
          <w:color w:val="101820"/>
          <w:sz w:val="21"/>
        </w:rPr>
        <w:t>iorta TechNXT may assign this Agreement to an Affiliate or to a successor of its business on written notice, provided the assignee assumes all its obligations.</w:t>
      </w:r>
    </w:p>
    <w:p>
      <w:pPr>
        <w:pStyle w:val="Normal"/>
        <w:numPr>
          <w:ilvl w:val="0"/>
          <w:numId w:val="99"/>
        </w:numPr>
        <w:spacing w:before="0" w:after="60"/>
        <w:rPr/>
      </w:pPr>
      <w:r>
        <w:rPr>
          <w:rFonts w:eastAsia="Segoe UI" w:cs="Segoe UI" w:ascii="Segoe UI" w:hAnsi="Segoe UI"/>
          <w:color w:val="101820"/>
          <w:sz w:val="21"/>
        </w:rPr>
        <w:t>Subcontracting is governed by the Subcontractors part of the Scope of services clause.</w:t>
      </w:r>
    </w:p>
    <w:p>
      <w:pPr>
        <w:pStyle w:val="Heading2"/>
        <w:rPr/>
      </w:pPr>
      <w:bookmarkStart w:id="36" w:name="__RefHeading___Toc176737_4195859891"/>
      <w:bookmarkEnd w:id="36"/>
      <w:r>
        <w:rPr>
          <w:rFonts w:eastAsia="Segoe UI" w:cs="Segoe UI"/>
          <w:b/>
          <w:color w:val="0F4761"/>
          <w:sz w:val="26"/>
        </w:rPr>
        <w:t>11.4  Dispute resolution</w:t>
      </w:r>
    </w:p>
    <w:p>
      <w:pPr>
        <w:pStyle w:val="Heading3"/>
        <w:rPr/>
      </w:pPr>
      <w:r>
        <w:rPr>
          <w:rFonts w:eastAsia="Segoe UI" w:cs="Segoe UI"/>
          <w:b/>
          <w:color w:val="0F4761"/>
          <w:sz w:val="23"/>
        </w:rPr>
        <w:t>11.4.1  Negotiation</w:t>
      </w:r>
    </w:p>
    <w:p>
      <w:pPr>
        <w:pStyle w:val="Normal"/>
        <w:spacing w:lineRule="auto" w:line="276" w:before="0" w:after="120"/>
        <w:rPr/>
      </w:pPr>
      <w:r>
        <w:rPr>
          <w:rFonts w:eastAsia="Segoe UI" w:cs="Segoe UI" w:ascii="Segoe UI" w:hAnsi="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rPr/>
      </w:pPr>
      <w:r>
        <w:rPr>
          <w:rFonts w:eastAsia="Segoe UI" w:cs="Segoe UI"/>
          <w:b/>
          <w:color w:val="0F4761"/>
          <w:sz w:val="23"/>
        </w:rPr>
        <w:t>11.4.2  Mediation</w:t>
      </w:r>
    </w:p>
    <w:p>
      <w:pPr>
        <w:pStyle w:val="Normal"/>
        <w:spacing w:lineRule="auto" w:line="276" w:before="0" w:after="120"/>
        <w:rPr/>
      </w:pPr>
      <w:r>
        <w:rPr>
          <w:rFonts w:eastAsia="Segoe UI" w:cs="Segoe UI" w:ascii="Segoe UI" w:hAnsi="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rPr/>
      </w:pPr>
      <w:r>
        <w:rPr>
          <w:rFonts w:eastAsia="Segoe UI" w:cs="Segoe UI"/>
          <w:b/>
          <w:color w:val="0F4761"/>
          <w:sz w:val="23"/>
        </w:rPr>
        <w:t>11.4.3  Final resolution: choose one option</w:t>
      </w:r>
    </w:p>
    <w:p>
      <w:pPr>
        <w:pStyle w:val="Normal"/>
        <w:spacing w:lineRule="auto" w:line="276" w:before="0" w:after="120"/>
        <w:rPr/>
      </w:pPr>
      <w:r>
        <w:rPr>
          <w:rFonts w:eastAsia="Segoe UI" w:cs="Segoe UI" w:ascii="Segoe UI" w:hAnsi="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pStyle w:val="Normal"/>
        <w:spacing w:lineRule="auto" w:line="276" w:before="0" w:after="120"/>
        <w:rPr/>
      </w:pPr>
      <w:r>
        <w:rPr>
          <w:rFonts w:eastAsia="Segoe UI" w:cs="Segoe UI" w:ascii="Segoe UI" w:hAnsi="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rPr/>
      </w:pPr>
      <w:r>
        <w:rPr>
          <w:rFonts w:eastAsia="Segoe UI" w:cs="Segoe UI"/>
          <w:b/>
          <w:color w:val="0F4761"/>
          <w:sz w:val="23"/>
        </w:rPr>
        <w:t>11.4.4  Interim relief and continued performance</w:t>
      </w:r>
    </w:p>
    <w:p>
      <w:pPr>
        <w:pStyle w:val="Normal"/>
        <w:spacing w:lineRule="auto" w:line="276" w:before="0" w:after="120"/>
        <w:rPr/>
      </w:pPr>
      <w:r>
        <w:rPr>
          <w:rFonts w:eastAsia="Segoe UI" w:cs="Segoe UI" w:ascii="Segoe UI" w:hAnsi="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rPr/>
      </w:pPr>
      <w:bookmarkStart w:id="37" w:name="__RefHeading___Toc176739_4195859891"/>
      <w:bookmarkEnd w:id="37"/>
      <w:r>
        <w:rPr>
          <w:rFonts w:eastAsia="Segoe UI" w:cs="Segoe UI"/>
          <w:b/>
          <w:color w:val="0F4761"/>
          <w:sz w:val="26"/>
        </w:rPr>
        <w:t>11.5  Governing law</w:t>
      </w:r>
    </w:p>
    <w:p>
      <w:pPr>
        <w:pStyle w:val="Normal"/>
        <w:spacing w:lineRule="auto" w:line="276" w:before="0" w:after="120"/>
        <w:rPr/>
      </w:pPr>
      <w:r>
        <w:rPr>
          <w:rFonts w:eastAsia="Segoe UI" w:cs="Segoe UI" w:ascii="Segoe UI" w:hAnsi="Segoe UI"/>
          <w:color w:val="101820"/>
          <w:sz w:val="21"/>
        </w:rPr>
        <w:t>This Agreement and every Order Form are governed by and construed in accordance with the laws of the Republic of the Philippines.</w:t>
      </w:r>
    </w:p>
    <w:p>
      <w:pPr>
        <w:pStyle w:val="Heading2"/>
        <w:rPr/>
      </w:pPr>
      <w:bookmarkStart w:id="38" w:name="__RefHeading___Toc176741_4195859891"/>
      <w:bookmarkEnd w:id="38"/>
      <w:r>
        <w:rPr>
          <w:rFonts w:eastAsia="Segoe UI" w:cs="Segoe UI"/>
          <w:b/>
          <w:color w:val="0F4761"/>
          <w:sz w:val="26"/>
        </w:rPr>
        <w:t>11.6  Notices</w:t>
      </w:r>
    </w:p>
    <w:p>
      <w:pPr>
        <w:pStyle w:val="Normal"/>
        <w:numPr>
          <w:ilvl w:val="0"/>
          <w:numId w:val="100"/>
        </w:numPr>
        <w:spacing w:before="0" w:after="60"/>
        <w:rPr/>
      </w:pPr>
      <w:r>
        <w:rPr>
          <w:rFonts w:eastAsia="Segoe UI" w:cs="Segoe UI" w:ascii="Segoe UI" w:hAnsi="Segoe UI"/>
          <w:color w:val="101820"/>
          <w:sz w:val="21"/>
        </w:rPr>
        <w:t>Notices under this Agreement are in writing in English and are delivered by hand, by courier, or by e-mail to the addresses below (or another address notified in writing).</w:t>
      </w:r>
    </w:p>
    <w:p>
      <w:pPr>
        <w:pStyle w:val="Normal"/>
        <w:numPr>
          <w:ilvl w:val="0"/>
          <w:numId w:val="101"/>
        </w:numPr>
        <w:spacing w:before="0" w:after="60"/>
        <w:rPr/>
      </w:pPr>
      <w:r>
        <w:rPr>
          <w:rFonts w:eastAsia="Segoe UI" w:cs="Segoe UI" w:ascii="Segoe UI" w:hAnsi="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95"/>
        <w:gridCol w:w="1656"/>
        <w:gridCol w:w="1472"/>
        <w:gridCol w:w="2391"/>
      </w:tblGrid>
      <w:tr>
        <w:trPr>
          <w:tblHeader w:val="true"/>
        </w:trPr>
        <w:tc>
          <w:tcPr>
            <w:tcW w:w="34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1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Attention</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bl>
    <w:p>
      <w:pPr>
        <w:pStyle w:val="Normal"/>
        <w:spacing w:before="0" w:after="80"/>
        <w:rPr/>
      </w:pPr>
      <w:r>
        <w:rPr/>
      </w:r>
    </w:p>
    <w:p>
      <w:pPr>
        <w:pStyle w:val="Heading2"/>
        <w:rPr/>
      </w:pPr>
      <w:bookmarkStart w:id="39" w:name="__RefHeading___Toc176743_4195859891"/>
      <w:bookmarkEnd w:id="39"/>
      <w:r>
        <w:rPr>
          <w:rFonts w:eastAsia="Segoe UI" w:cs="Segoe UI"/>
          <w:b/>
          <w:color w:val="0F4761"/>
          <w:sz w:val="26"/>
        </w:rPr>
        <w:t>11.7  General</w:t>
      </w:r>
    </w:p>
    <w:p>
      <w:pPr>
        <w:pStyle w:val="Normal"/>
        <w:numPr>
          <w:ilvl w:val="0"/>
          <w:numId w:val="102"/>
        </w:numPr>
        <w:spacing w:before="0" w:after="60"/>
        <w:rPr/>
      </w:pPr>
      <w:r>
        <w:rPr>
          <w:rFonts w:eastAsia="Segoe UI" w:cs="Segoe UI" w:ascii="Segoe UI" w:hAnsi="Segoe UI"/>
          <w:b/>
          <w:color w:val="101820"/>
          <w:sz w:val="21"/>
        </w:rPr>
        <w:t>Entire agreement.</w:t>
      </w:r>
      <w:r>
        <w:rPr>
          <w:rFonts w:eastAsia="Segoe UI" w:cs="Segoe UI" w:ascii="Segoe UI" w:hAnsi="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pStyle w:val="Normal"/>
        <w:numPr>
          <w:ilvl w:val="0"/>
          <w:numId w:val="103"/>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Changes are valid only if in writing and signed by authorised representatives of both Parties.</w:t>
      </w:r>
    </w:p>
    <w:p>
      <w:pPr>
        <w:pStyle w:val="Normal"/>
        <w:numPr>
          <w:ilvl w:val="0"/>
          <w:numId w:val="104"/>
        </w:numPr>
        <w:spacing w:before="0" w:after="60"/>
        <w:rPr/>
      </w:pPr>
      <w:r>
        <w:rPr>
          <w:rFonts w:eastAsia="Segoe UI" w:cs="Segoe UI" w:ascii="Segoe UI" w:hAnsi="Segoe UI"/>
          <w:b/>
          <w:color w:val="101820"/>
          <w:sz w:val="21"/>
        </w:rPr>
        <w:t>Waiver.</w:t>
      </w:r>
      <w:r>
        <w:rPr>
          <w:rFonts w:eastAsia="Segoe UI" w:cs="Segoe UI" w:ascii="Segoe UI" w:hAnsi="Segoe UI"/>
          <w:color w:val="101820"/>
          <w:sz w:val="21"/>
        </w:rPr>
        <w:t xml:space="preserve"> A failure or delay in exercising a right is not a waiver of it.</w:t>
      </w:r>
    </w:p>
    <w:p>
      <w:pPr>
        <w:pStyle w:val="Normal"/>
        <w:numPr>
          <w:ilvl w:val="0"/>
          <w:numId w:val="105"/>
        </w:numPr>
        <w:spacing w:before="0" w:after="60"/>
        <w:rPr/>
      </w:pPr>
      <w:r>
        <w:rPr>
          <w:rFonts w:eastAsia="Segoe UI" w:cs="Segoe UI" w:ascii="Segoe UI" w:hAnsi="Segoe UI"/>
          <w:b/>
          <w:color w:val="101820"/>
          <w:sz w:val="21"/>
        </w:rPr>
        <w:t>Severability.</w:t>
      </w:r>
      <w:r>
        <w:rPr>
          <w:rFonts w:eastAsia="Segoe UI" w:cs="Segoe UI" w:ascii="Segoe UI" w:hAnsi="Segoe UI"/>
          <w:color w:val="101820"/>
          <w:sz w:val="21"/>
        </w:rPr>
        <w:t xml:space="preserve"> If a provision is invalid or unenforceable, the rest of this Agreement remains in force and the Parties replace the provision with a valid one closest to its intent.</w:t>
      </w:r>
    </w:p>
    <w:p>
      <w:pPr>
        <w:pStyle w:val="Normal"/>
        <w:numPr>
          <w:ilvl w:val="0"/>
          <w:numId w:val="106"/>
        </w:numPr>
        <w:spacing w:before="0" w:after="60"/>
        <w:rPr/>
      </w:pPr>
      <w:r>
        <w:rPr>
          <w:rFonts w:eastAsia="Segoe UI" w:cs="Segoe UI" w:ascii="Segoe UI" w:hAnsi="Segoe UI"/>
          <w:b/>
          <w:color w:val="101820"/>
          <w:sz w:val="21"/>
        </w:rPr>
        <w:t>Independent contractors.</w:t>
      </w:r>
      <w:r>
        <w:rPr>
          <w:rFonts w:eastAsia="Segoe UI" w:cs="Segoe UI" w:ascii="Segoe UI" w:hAnsi="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pStyle w:val="Normal"/>
        <w:numPr>
          <w:ilvl w:val="0"/>
          <w:numId w:val="107"/>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This Agreement and any Order Form may be signed in counterparts and by electronic signature, which the Parties accept as valid under RA 8792 (Electronic Commerce Act of 2000).</w:t>
      </w:r>
    </w:p>
    <w:p>
      <w:pPr>
        <w:pStyle w:val="Normal"/>
        <w:numPr>
          <w:ilvl w:val="0"/>
          <w:numId w:val="108"/>
        </w:numPr>
        <w:spacing w:before="0" w:after="60"/>
        <w:rPr/>
      </w:pPr>
      <w:r>
        <w:rPr>
          <w:rFonts w:eastAsia="Segoe UI" w:cs="Segoe UI" w:ascii="Segoe UI" w:hAnsi="Segoe UI"/>
          <w:b/>
          <w:color w:val="101820"/>
          <w:sz w:val="21"/>
        </w:rPr>
        <w:t>Publicity.</w:t>
      </w:r>
      <w:r>
        <w:rPr>
          <w:rFonts w:eastAsia="Segoe UI" w:cs="Segoe UI" w:ascii="Segoe UI" w:hAnsi="Segoe UI"/>
          <w:color w:val="101820"/>
          <w:sz w:val="21"/>
        </w:rPr>
        <w:t xml:space="preserve"> Neither Party uses the other's name or logo in publicity without written consent, except that iorta TechNXT may name the Client as a customer [if the Order Form includes a reference clause].</w:t>
      </w:r>
    </w:p>
    <w:p>
      <w:pPr>
        <w:pStyle w:val="Normal"/>
        <w:numPr>
          <w:ilvl w:val="0"/>
          <w:numId w:val="109"/>
        </w:numPr>
        <w:spacing w:before="0" w:after="60"/>
        <w:rPr/>
      </w:pPr>
      <w:r>
        <w:rPr>
          <w:rFonts w:eastAsia="Segoe UI" w:cs="Segoe UI" w:ascii="Segoe UI" w:hAnsi="Segoe UI"/>
          <w:b/>
          <w:color w:val="101820"/>
          <w:sz w:val="21"/>
        </w:rPr>
        <w:t>Anti-bribery.</w:t>
      </w:r>
      <w:r>
        <w:rPr>
          <w:rFonts w:eastAsia="Segoe UI" w:cs="Segoe UI" w:ascii="Segoe UI" w:hAnsi="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pStyle w:val="Normal"/>
        <w:numPr>
          <w:ilvl w:val="0"/>
          <w:numId w:val="110"/>
        </w:numPr>
        <w:spacing w:before="0" w:after="60"/>
        <w:rPr/>
      </w:pPr>
      <w:r>
        <w:rPr>
          <w:rFonts w:eastAsia="Segoe UI" w:cs="Segoe UI" w:ascii="Segoe UI" w:hAnsi="Segoe UI"/>
          <w:b/>
          <w:color w:val="101820"/>
          <w:sz w:val="21"/>
        </w:rPr>
        <w:t>Anti-money laundering.</w:t>
      </w:r>
      <w:r>
        <w:rPr>
          <w:rFonts w:eastAsia="Segoe UI" w:cs="Segoe UI" w:ascii="Segoe UI" w:hAnsi="Segoe UI"/>
          <w:color w:val="101820"/>
          <w:sz w:val="21"/>
        </w:rPr>
        <w:t xml:space="preserve"> Each Party complies with RA 9160 (Anti-Money Laundering Act), as amended, in its own business. The Platform supports but does not perform the Client's AML obligations.</w:t>
      </w:r>
    </w:p>
    <w:p>
      <w:pPr>
        <w:pStyle w:val="Normal"/>
        <w:numPr>
          <w:ilvl w:val="0"/>
          <w:numId w:val="111"/>
        </w:numPr>
        <w:spacing w:before="0" w:after="60"/>
        <w:rPr/>
      </w:pPr>
      <w:r>
        <w:rPr>
          <w:rFonts w:eastAsia="Segoe UI" w:cs="Segoe UI" w:ascii="Segoe UI" w:hAnsi="Segoe UI"/>
          <w:b/>
          <w:color w:val="101820"/>
          <w:sz w:val="21"/>
        </w:rPr>
        <w:t>Costs.</w:t>
      </w:r>
      <w:r>
        <w:rPr>
          <w:rFonts w:eastAsia="Segoe UI" w:cs="Segoe UI" w:ascii="Segoe UI" w:hAnsi="Segoe UI"/>
          <w:color w:val="101820"/>
          <w:sz w:val="21"/>
        </w:rPr>
        <w:t xml:space="preserve"> Each Party bears its own costs of negotiating and signing this Agreement.</w:t>
      </w:r>
      <w:r>
        <w:br w:type="page"/>
      </w:r>
    </w:p>
    <w:p>
      <w:pPr>
        <w:pStyle w:val="Heading1"/>
        <w:rPr/>
      </w:pPr>
      <w:bookmarkStart w:id="40" w:name="__RefHeading___Toc176745_4195859891"/>
      <w:bookmarkEnd w:id="40"/>
      <w:r>
        <w:rPr>
          <w:rFonts w:eastAsia="Segoe UI" w:cs="Segoe UI" w:ascii="Segoe UI" w:hAnsi="Segoe UI"/>
          <w:b/>
          <w:color w:val="0F4761"/>
          <w:sz w:val="32"/>
        </w:rPr>
        <w:t>12.  Signatures</w:t>
      </w:r>
    </w:p>
    <w:p>
      <w:pPr>
        <w:pStyle w:val="Heading2"/>
        <w:rPr/>
      </w:pPr>
      <w:bookmarkStart w:id="41" w:name="__RefHeading___Toc176747_4195859891"/>
      <w:bookmarkEnd w:id="41"/>
      <w:r>
        <w:rPr>
          <w:rFonts w:eastAsia="Segoe UI" w:cs="Segoe UI"/>
          <w:b/>
          <w:color w:val="0F4761"/>
          <w:sz w:val="26"/>
        </w:rPr>
        <w:t>12.1  Signature blocks</w:t>
      </w:r>
    </w:p>
    <w:p>
      <w:pPr>
        <w:pStyle w:val="Normal"/>
        <w:spacing w:lineRule="auto" w:line="276" w:before="0" w:after="120"/>
        <w:rPr/>
      </w:pPr>
      <w:r>
        <w:rPr>
          <w:rFonts w:eastAsia="Segoe UI" w:cs="Segoe UI" w:ascii="Segoe UI" w:hAnsi="Segoe UI"/>
          <w:color w:val="101820"/>
          <w:sz w:val="21"/>
        </w:rPr>
        <w:t>Signed by the authorised representatives of the Parties on the date first written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r>
    </w:tbl>
    <w:p>
      <w:pPr>
        <w:pStyle w:val="Normal"/>
        <w:spacing w:before="0" w:after="80"/>
        <w:rPr/>
      </w:pPr>
      <w:r>
        <w:rPr/>
      </w:r>
    </w:p>
    <w:p>
      <w:pPr>
        <w:pStyle w:val="Heading2"/>
        <w:rPr/>
      </w:pPr>
      <w:bookmarkStart w:id="42" w:name="__RefHeading___Toc176749_4195859891"/>
      <w:bookmarkEnd w:id="42"/>
      <w:r>
        <w:rPr>
          <w:rFonts w:eastAsia="Segoe UI" w:cs="Segoe UI"/>
          <w:b/>
          <w:color w:val="0F4761"/>
          <w:sz w:val="26"/>
        </w:rPr>
        <w:t>12.2  Acknowledgment</w:t>
      </w:r>
    </w:p>
    <w:p>
      <w:pPr>
        <w:pStyle w:val="Normal"/>
        <w:spacing w:lineRule="auto" w:line="276" w:before="0" w:after="120"/>
        <w:rPr/>
      </w:pPr>
      <w:r>
        <w:rPr>
          <w:rFonts w:eastAsia="Segoe UI" w:cs="Segoe UI" w:ascii="Segoe UI" w:hAnsi="Segoe UI"/>
          <w:color w:val="101820"/>
          <w:sz w:val="21"/>
        </w:rPr>
        <w:t>[Optional: notarial acknowledgment where the Parties choose to notarise this Agreement.]</w:t>
      </w:r>
    </w:p>
    <w:p>
      <w:pPr>
        <w:pStyle w:val="Normal"/>
        <w:spacing w:lineRule="auto" w:line="276" w:before="0" w:after="120"/>
        <w:rPr/>
      </w:pPr>
      <w:r>
        <w:rPr>
          <w:rFonts w:eastAsia="Segoe UI" w:cs="Segoe UI" w:ascii="Segoe UI" w:hAnsi="Segoe UI"/>
          <w:color w:val="101820"/>
          <w:sz w:val="21"/>
        </w:rPr>
        <w:t>REPUBLIC OF THE PHILIPPINES )</w:t>
      </w:r>
    </w:p>
    <w:p>
      <w:pPr>
        <w:pStyle w:val="Normal"/>
        <w:spacing w:lineRule="auto" w:line="276" w:before="0" w:after="120"/>
        <w:rPr/>
      </w:pPr>
      <w:r>
        <w:rPr>
          <w:rFonts w:eastAsia="Segoe UI" w:cs="Segoe UI" w:ascii="Segoe UI" w:hAnsi="Segoe UI"/>
          <w:color w:val="101820"/>
          <w:sz w:val="21"/>
        </w:rPr>
        <w:t>[CITY OF MAKATI / TAGUIG] ) S.S.</w:t>
      </w:r>
    </w:p>
    <w:p>
      <w:pPr>
        <w:pStyle w:val="Normal"/>
        <w:spacing w:lineRule="auto" w:line="276" w:before="0" w:after="120"/>
        <w:rPr/>
      </w:pPr>
      <w:r>
        <w:rPr>
          <w:rFonts w:eastAsia="Segoe UI" w:cs="Segoe UI" w:ascii="Segoe UI" w:hAnsi="Segoe UI"/>
          <w:color w:val="101820"/>
          <w:sz w:val="21"/>
        </w:rPr>
        <w:t>Before me, a Notary Public for and in [city], this [date], personally appeared: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3299"/>
        <w:gridCol w:w="2309"/>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Competent evidence of identity</w:t>
            </w:r>
          </w:p>
        </w:tc>
        <w:tc>
          <w:tcPr>
            <w:tcW w:w="23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 and place issued</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iorta TechNXT Corp.</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[Client legal name]</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pStyle w:val="Normal"/>
        <w:spacing w:lineRule="auto" w:line="276" w:before="0" w:after="120"/>
        <w:rPr/>
      </w:pPr>
      <w:r>
        <w:rPr>
          <w:rFonts w:eastAsia="Segoe UI" w:cs="Segoe UI" w:ascii="Segoe UI" w:hAnsi="Segoe UI"/>
          <w:color w:val="101820"/>
          <w:sz w:val="21"/>
        </w:rPr>
        <w:t>WITNESS MY HAND AND SEAL on the date and at the place first written above.</w:t>
      </w:r>
    </w:p>
    <w:p>
      <w:pPr>
        <w:pStyle w:val="Normal"/>
        <w:spacing w:lineRule="auto" w:line="276" w:before="0" w:after="120"/>
        <w:rPr/>
      </w:pPr>
      <w:r>
        <w:rPr>
          <w:rFonts w:eastAsia="Segoe UI" w:cs="Segoe UI" w:ascii="Segoe UI" w:hAnsi="Segoe UI"/>
          <w:color w:val="101820"/>
          <w:sz w:val="21"/>
        </w:rPr>
        <w:t>Notary Public. Doc. No. [ ]; Page No. [ ]; Book No. [ ]; Series of [year].</w:t>
      </w:r>
      <w:r>
        <w:br w:type="page"/>
      </w:r>
    </w:p>
    <w:p>
      <w:pPr>
        <w:pStyle w:val="Heading1"/>
        <w:rPr/>
      </w:pPr>
      <w:bookmarkStart w:id="43" w:name="__RefHeading___Toc176751_4195859891"/>
      <w:bookmarkEnd w:id="43"/>
      <w:r>
        <w:rPr>
          <w:rFonts w:eastAsia="Segoe UI" w:cs="Segoe UI" w:ascii="Segoe UI" w:hAnsi="Segoe UI"/>
          <w:b/>
          <w:color w:val="0F4761"/>
          <w:sz w:val="32"/>
        </w:rPr>
        <w:t>13.  Annex A: schedules and forms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purchase: products, model, Users, term, Fees, hosting, start date,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Acceptance and Letter of Award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acceptance of a proposal before the Order Form is signed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implementation or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scope, plan, Deliverables or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for the perpetual model; service levels for both models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iorta TechNXT hosts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Whenever iorta TechNXT processes Personal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Order Form: services, units, rates and out-of-scope list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SOW and the Annual Maintenance and Support Agreement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data return, deletion and transition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perpetual licence only; three parties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under the SOW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start of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Non-Disclosure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demonstrations and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apply, signing order and checklists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4" w:name="__RefHeading___Toc176753_4195859891"/>
      <w:bookmarkStart w:id="45" w:name="_Toc233203395"/>
      <w:bookmarkEnd w:id="44"/>
      <w:r>
        <w:rPr>
          <w:rStyle w:val="BookTitle"/>
          <w:bCs w:val="false"/>
          <w:i w:val="false"/>
          <w:iCs w:val="false"/>
          <w:spacing w:val="0"/>
        </w:rPr>
        <w:t>14.  Document Sign-Off</w:t>
      </w:r>
      <w:bookmarkEnd w:id="4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lvlOverride w:ilvl="0">
      <w:startOverride w:val="1"/>
    </w:lvlOverride>
  </w:num>
  <w:num w:numId="86">
    <w:abstractNumId w:val="2"/>
  </w:num>
  <w:num w:numId="87">
    <w:abstractNumId w:val="2"/>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lvlOverride w:ilvl="0">
      <w:startOverride w:val="1"/>
    </w:lvlOverride>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