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5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5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6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825_187972537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2827_187972537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2829_1879725379">
            <w:r>
              <w:rPr>
                <w:webHidden/>
                <w:rStyle w:val="IndexLink"/>
              </w:rPr>
              <w:t>3. Introduction</w:t>
              <w:tab/>
              <w:t>6</w:t>
            </w:r>
          </w:hyperlink>
        </w:p>
        <w:p>
          <w:pPr>
            <w:pStyle w:val="TOC2"/>
            <w:tabs>
              <w:tab w:val="clear" w:pos="900"/>
              <w:tab w:val="clear" w:pos="9350"/>
              <w:tab w:val="right" w:pos="9025" w:leader="dot"/>
            </w:tabs>
            <w:rPr/>
          </w:pPr>
          <w:hyperlink w:anchor="__RefHeading___Toc12831_1879725379">
            <w:r>
              <w:rPr>
                <w:webHidden/>
                <w:rStyle w:val="IndexLink"/>
              </w:rPr>
              <w:t>3.1 Purpose</w:t>
              <w:tab/>
              <w:t>6</w:t>
            </w:r>
          </w:hyperlink>
        </w:p>
        <w:p>
          <w:pPr>
            <w:pStyle w:val="TOC2"/>
            <w:tabs>
              <w:tab w:val="clear" w:pos="900"/>
              <w:tab w:val="clear" w:pos="9350"/>
              <w:tab w:val="right" w:pos="9025" w:leader="dot"/>
            </w:tabs>
            <w:rPr/>
          </w:pPr>
          <w:hyperlink w:anchor="__RefHeading___Toc12833_1879725379">
            <w:r>
              <w:rPr>
                <w:webHidden/>
                <w:rStyle w:val="IndexLink"/>
              </w:rPr>
              <w:t>3.2 Sources and conventions</w:t>
              <w:tab/>
              <w:t>6</w:t>
            </w:r>
          </w:hyperlink>
        </w:p>
        <w:p>
          <w:pPr>
            <w:pStyle w:val="TOC2"/>
            <w:tabs>
              <w:tab w:val="clear" w:pos="900"/>
              <w:tab w:val="clear" w:pos="9350"/>
              <w:tab w:val="right" w:pos="9025" w:leader="dot"/>
            </w:tabs>
            <w:rPr/>
          </w:pPr>
          <w:hyperlink w:anchor="__RefHeading___Toc12835_1879725379">
            <w:r>
              <w:rPr>
                <w:webHidden/>
                <w:rStyle w:val="IndexLink"/>
              </w:rPr>
              <w:t>3.3 Related documents</w:t>
              <w:tab/>
              <w:t>6</w:t>
            </w:r>
          </w:hyperlink>
        </w:p>
        <w:p>
          <w:pPr>
            <w:pStyle w:val="TOC1"/>
            <w:tabs>
              <w:tab w:val="clear" w:pos="900"/>
              <w:tab w:val="clear" w:pos="9350"/>
              <w:tab w:val="right" w:pos="9025" w:leader="dot"/>
            </w:tabs>
            <w:rPr/>
          </w:pPr>
          <w:hyperlink w:anchor="__RefHeading___Toc12837_1879725379">
            <w:r>
              <w:rPr>
                <w:webHidden/>
                <w:rStyle w:val="IndexLink"/>
              </w:rPr>
              <w:t>4. Solution overview and logical architecture</w:t>
              <w:tab/>
              <w:t>8</w:t>
            </w:r>
          </w:hyperlink>
        </w:p>
        <w:p>
          <w:pPr>
            <w:pStyle w:val="TOC2"/>
            <w:tabs>
              <w:tab w:val="clear" w:pos="900"/>
              <w:tab w:val="clear" w:pos="9350"/>
              <w:tab w:val="right" w:pos="9025" w:leader="dot"/>
            </w:tabs>
            <w:rPr/>
          </w:pPr>
          <w:hyperlink w:anchor="__RefHeading___Toc12839_1879725379">
            <w:r>
              <w:rPr>
                <w:webHidden/>
                <w:rStyle w:val="IndexLink"/>
              </w:rPr>
              <w:t>4.1 What BrokerVerse does</w:t>
              <w:tab/>
              <w:t>8</w:t>
            </w:r>
          </w:hyperlink>
        </w:p>
        <w:p>
          <w:pPr>
            <w:pStyle w:val="TOC2"/>
            <w:tabs>
              <w:tab w:val="clear" w:pos="900"/>
              <w:tab w:val="clear" w:pos="9350"/>
              <w:tab w:val="right" w:pos="9025" w:leader="dot"/>
            </w:tabs>
            <w:rPr/>
          </w:pPr>
          <w:hyperlink w:anchor="__RefHeading___Toc12841_1879725379">
            <w:r>
              <w:rPr>
                <w:webHidden/>
                <w:rStyle w:val="IndexLink"/>
              </w:rPr>
              <w:t>4.2 Architecture at a glance</w:t>
              <w:tab/>
              <w:t>8</w:t>
            </w:r>
          </w:hyperlink>
        </w:p>
        <w:p>
          <w:pPr>
            <w:pStyle w:val="TOC2"/>
            <w:tabs>
              <w:tab w:val="clear" w:pos="900"/>
              <w:tab w:val="clear" w:pos="9350"/>
              <w:tab w:val="right" w:pos="9025" w:leader="dot"/>
            </w:tabs>
            <w:rPr/>
          </w:pPr>
          <w:hyperlink w:anchor="__RefHeading___Toc12843_1879725379">
            <w:r>
              <w:rPr>
                <w:webHidden/>
                <w:rStyle w:val="IndexLink"/>
              </w:rPr>
              <w:t>4.3 Logical components</w:t>
              <w:tab/>
              <w:t>9</w:t>
            </w:r>
          </w:hyperlink>
        </w:p>
        <w:p>
          <w:pPr>
            <w:pStyle w:val="TOC2"/>
            <w:tabs>
              <w:tab w:val="clear" w:pos="900"/>
              <w:tab w:val="clear" w:pos="9350"/>
              <w:tab w:val="right" w:pos="9025" w:leader="dot"/>
            </w:tabs>
            <w:rPr/>
          </w:pPr>
          <w:hyperlink w:anchor="__RefHeading___Toc12845_1879725379">
            <w:r>
              <w:rPr>
                <w:webHidden/>
                <w:rStyle w:val="IndexLink"/>
              </w:rPr>
              <w:t>4.4 Business modules</w:t>
              <w:tab/>
              <w:t>9</w:t>
            </w:r>
          </w:hyperlink>
        </w:p>
        <w:p>
          <w:pPr>
            <w:pStyle w:val="TOC2"/>
            <w:tabs>
              <w:tab w:val="clear" w:pos="900"/>
              <w:tab w:val="clear" w:pos="9350"/>
              <w:tab w:val="right" w:pos="9025" w:leader="dot"/>
            </w:tabs>
            <w:rPr/>
          </w:pPr>
          <w:hyperlink w:anchor="__RefHeading___Toc12847_1879725379">
            <w:r>
              <w:rPr>
                <w:webHidden/>
                <w:rStyle w:val="IndexLink"/>
              </w:rPr>
              <w:t>4.5 Integrations</w:t>
              <w:tab/>
              <w:t>10</w:t>
            </w:r>
          </w:hyperlink>
        </w:p>
        <w:p>
          <w:pPr>
            <w:pStyle w:val="TOC1"/>
            <w:tabs>
              <w:tab w:val="clear" w:pos="900"/>
              <w:tab w:val="clear" w:pos="9350"/>
              <w:tab w:val="right" w:pos="9025" w:leader="dot"/>
            </w:tabs>
            <w:rPr/>
          </w:pPr>
          <w:hyperlink w:anchor="__RefHeading___Toc12849_1879725379">
            <w:r>
              <w:rPr>
                <w:webHidden/>
                <w:rStyle w:val="IndexLink"/>
              </w:rPr>
              <w:t>5. Technology stack and versions</w:t>
              <w:tab/>
              <w:t>13</w:t>
            </w:r>
          </w:hyperlink>
        </w:p>
        <w:p>
          <w:pPr>
            <w:pStyle w:val="TOC2"/>
            <w:tabs>
              <w:tab w:val="clear" w:pos="900"/>
              <w:tab w:val="clear" w:pos="9350"/>
              <w:tab w:val="right" w:pos="9025" w:leader="dot"/>
            </w:tabs>
            <w:rPr/>
          </w:pPr>
          <w:hyperlink w:anchor="__RefHeading___Toc12851_1879725379">
            <w:r>
              <w:rPr>
                <w:webHidden/>
                <w:rStyle w:val="IndexLink"/>
              </w:rPr>
              <w:t>5.1 Runtime and platform</w:t>
              <w:tab/>
              <w:t>13</w:t>
            </w:r>
          </w:hyperlink>
        </w:p>
        <w:p>
          <w:pPr>
            <w:pStyle w:val="TOC2"/>
            <w:tabs>
              <w:tab w:val="clear" w:pos="900"/>
              <w:tab w:val="clear" w:pos="9350"/>
              <w:tab w:val="right" w:pos="9025" w:leader="dot"/>
            </w:tabs>
            <w:rPr/>
          </w:pPr>
          <w:hyperlink w:anchor="__RefHeading___Toc12853_1879725379">
            <w:r>
              <w:rPr>
                <w:webHidden/>
                <w:rStyle w:val="IndexLink"/>
              </w:rPr>
              <w:t>5.2 Backend dependencies</w:t>
              <w:tab/>
              <w:t>13</w:t>
            </w:r>
          </w:hyperlink>
        </w:p>
        <w:p>
          <w:pPr>
            <w:pStyle w:val="TOC2"/>
            <w:tabs>
              <w:tab w:val="clear" w:pos="900"/>
              <w:tab w:val="clear" w:pos="9350"/>
              <w:tab w:val="right" w:pos="9025" w:leader="dot"/>
            </w:tabs>
            <w:rPr/>
          </w:pPr>
          <w:hyperlink w:anchor="__RefHeading___Toc12855_1879725379">
            <w:r>
              <w:rPr>
                <w:webHidden/>
                <w:rStyle w:val="IndexLink"/>
              </w:rPr>
              <w:t>5.3 Front-end dependencies</w:t>
              <w:tab/>
              <w:t>13</w:t>
            </w:r>
          </w:hyperlink>
        </w:p>
        <w:p>
          <w:pPr>
            <w:pStyle w:val="TOC1"/>
            <w:tabs>
              <w:tab w:val="clear" w:pos="900"/>
              <w:tab w:val="clear" w:pos="9350"/>
              <w:tab w:val="right" w:pos="9025" w:leader="dot"/>
            </w:tabs>
            <w:rPr/>
          </w:pPr>
          <w:hyperlink w:anchor="__RefHeading___Toc12857_1879725379">
            <w:r>
              <w:rPr>
                <w:webHidden/>
                <w:rStyle w:val="IndexLink"/>
              </w:rPr>
              <w:t>6. Deployment architecture options</w:t>
              <w:tab/>
              <w:t>15</w:t>
            </w:r>
          </w:hyperlink>
        </w:p>
        <w:p>
          <w:pPr>
            <w:pStyle w:val="TOC2"/>
            <w:tabs>
              <w:tab w:val="clear" w:pos="900"/>
              <w:tab w:val="clear" w:pos="9350"/>
              <w:tab w:val="right" w:pos="9025" w:leader="dot"/>
            </w:tabs>
            <w:rPr/>
          </w:pPr>
          <w:hyperlink w:anchor="__RefHeading___Toc12859_1879725379">
            <w:r>
              <w:rPr>
                <w:webHidden/>
                <w:rStyle w:val="IndexLink"/>
              </w:rPr>
              <w:t>6.1 Common building blocks</w:t>
              <w:tab/>
              <w:t>15</w:t>
            </w:r>
          </w:hyperlink>
        </w:p>
        <w:p>
          <w:pPr>
            <w:pStyle w:val="TOC2"/>
            <w:tabs>
              <w:tab w:val="clear" w:pos="900"/>
              <w:tab w:val="clear" w:pos="9350"/>
              <w:tab w:val="right" w:pos="9025" w:leader="dot"/>
            </w:tabs>
            <w:rPr/>
          </w:pPr>
          <w:hyperlink w:anchor="__RefHeading___Toc12861_1879725379">
            <w:r>
              <w:rPr>
                <w:webHidden/>
                <w:rStyle w:val="IndexLink"/>
              </w:rPr>
              <w:t>6.2 Environment layout</w:t>
              <w:tab/>
              <w:t>15</w:t>
            </w:r>
          </w:hyperlink>
        </w:p>
        <w:p>
          <w:pPr>
            <w:pStyle w:val="TOC2"/>
            <w:tabs>
              <w:tab w:val="clear" w:pos="900"/>
              <w:tab w:val="clear" w:pos="9350"/>
              <w:tab w:val="right" w:pos="9025" w:leader="dot"/>
            </w:tabs>
            <w:rPr/>
          </w:pPr>
          <w:hyperlink w:anchor="__RefHeading___Toc12863_1879725379">
            <w:r>
              <w:rPr>
                <w:webHidden/>
                <w:rStyle w:val="IndexLink"/>
              </w:rPr>
              <w:t>6.3 Network zones</w:t>
              <w:tab/>
              <w:t>16</w:t>
            </w:r>
          </w:hyperlink>
        </w:p>
        <w:p>
          <w:pPr>
            <w:pStyle w:val="TOC2"/>
            <w:tabs>
              <w:tab w:val="clear" w:pos="900"/>
              <w:tab w:val="clear" w:pos="9350"/>
              <w:tab w:val="right" w:pos="9025" w:leader="dot"/>
            </w:tabs>
            <w:rPr/>
          </w:pPr>
          <w:hyperlink w:anchor="__RefHeading___Toc12865_1879725379">
            <w:r>
              <w:rPr>
                <w:webHidden/>
                <w:rStyle w:val="IndexLink"/>
              </w:rPr>
              <w:t>6.4 Option A: customer cloud on AWS (Singapore)</w:t>
              <w:tab/>
              <w:t>16</w:t>
            </w:r>
          </w:hyperlink>
        </w:p>
        <w:p>
          <w:pPr>
            <w:pStyle w:val="TOC2"/>
            <w:tabs>
              <w:tab w:val="clear" w:pos="900"/>
              <w:tab w:val="clear" w:pos="9350"/>
              <w:tab w:val="right" w:pos="9025" w:leader="dot"/>
            </w:tabs>
            <w:rPr/>
          </w:pPr>
          <w:hyperlink w:anchor="__RefHeading___Toc12867_1879725379">
            <w:r>
              <w:rPr>
                <w:webHidden/>
                <w:rStyle w:val="IndexLink"/>
              </w:rPr>
              <w:t>6.5 Option B: Microsoft Azure (Southeast Asia)</w:t>
              <w:tab/>
              <w:t>18</w:t>
            </w:r>
          </w:hyperlink>
        </w:p>
        <w:p>
          <w:pPr>
            <w:pStyle w:val="TOC2"/>
            <w:tabs>
              <w:tab w:val="clear" w:pos="900"/>
              <w:tab w:val="clear" w:pos="9350"/>
              <w:tab w:val="right" w:pos="9025" w:leader="dot"/>
            </w:tabs>
            <w:rPr/>
          </w:pPr>
          <w:hyperlink w:anchor="__RefHeading___Toc12869_1879725379">
            <w:r>
              <w:rPr>
                <w:webHidden/>
                <w:rStyle w:val="IndexLink"/>
              </w:rPr>
              <w:t>6.6 Option C: local partner or on-premise data centre in the Philippines</w:t>
              <w:tab/>
              <w:t>18</w:t>
            </w:r>
          </w:hyperlink>
        </w:p>
        <w:p>
          <w:pPr>
            <w:pStyle w:val="TOC2"/>
            <w:tabs>
              <w:tab w:val="clear" w:pos="900"/>
              <w:tab w:val="clear" w:pos="9350"/>
              <w:tab w:val="right" w:pos="9025" w:leader="dot"/>
            </w:tabs>
            <w:rPr/>
          </w:pPr>
          <w:hyperlink w:anchor="__RefHeading___Toc12871_1879725379">
            <w:r>
              <w:rPr>
                <w:webHidden/>
                <w:rStyle w:val="IndexLink"/>
              </w:rPr>
              <w:t>6.7 Sizing by broker size</w:t>
              <w:tab/>
              <w:t>19</w:t>
            </w:r>
          </w:hyperlink>
        </w:p>
        <w:p>
          <w:pPr>
            <w:pStyle w:val="TOC2"/>
            <w:tabs>
              <w:tab w:val="clear" w:pos="900"/>
              <w:tab w:val="clear" w:pos="9350"/>
              <w:tab w:val="right" w:pos="9025" w:leader="dot"/>
            </w:tabs>
            <w:rPr/>
          </w:pPr>
          <w:hyperlink w:anchor="__RefHeading___Toc12873_1879725379">
            <w:r>
              <w:rPr>
                <w:webHidden/>
                <w:rStyle w:val="IndexLink"/>
              </w:rPr>
              <w:t>6.8 Indicative monthly cost</w:t>
              <w:tab/>
              <w:t>19</w:t>
            </w:r>
          </w:hyperlink>
        </w:p>
        <w:p>
          <w:pPr>
            <w:pStyle w:val="TOC1"/>
            <w:tabs>
              <w:tab w:val="clear" w:pos="900"/>
              <w:tab w:val="clear" w:pos="9350"/>
              <w:tab w:val="right" w:pos="9025" w:leader="dot"/>
            </w:tabs>
            <w:rPr/>
          </w:pPr>
          <w:hyperlink w:anchor="__RefHeading___Toc12875_1879725379">
            <w:r>
              <w:rPr>
                <w:webHidden/>
                <w:rStyle w:val="IndexLink"/>
              </w:rPr>
              <w:t>7. CI/CD and release management</w:t>
              <w:tab/>
              <w:t>21</w:t>
            </w:r>
          </w:hyperlink>
        </w:p>
        <w:p>
          <w:pPr>
            <w:pStyle w:val="TOC2"/>
            <w:tabs>
              <w:tab w:val="clear" w:pos="900"/>
              <w:tab w:val="clear" w:pos="9350"/>
              <w:tab w:val="right" w:pos="9025" w:leader="dot"/>
            </w:tabs>
            <w:rPr/>
          </w:pPr>
          <w:hyperlink w:anchor="__RefHeading___Toc12877_1879725379">
            <w:r>
              <w:rPr>
                <w:webHidden/>
                <w:rStyle w:val="IndexLink"/>
              </w:rPr>
              <w:t>7.1 Workflows in the repository</w:t>
              <w:tab/>
              <w:t>21</w:t>
            </w:r>
          </w:hyperlink>
        </w:p>
        <w:p>
          <w:pPr>
            <w:pStyle w:val="TOC2"/>
            <w:tabs>
              <w:tab w:val="clear" w:pos="900"/>
              <w:tab w:val="clear" w:pos="9350"/>
              <w:tab w:val="right" w:pos="9025" w:leader="dot"/>
            </w:tabs>
            <w:rPr/>
          </w:pPr>
          <w:hyperlink w:anchor="__RefHeading___Toc12879_1879725379">
            <w:r>
              <w:rPr>
                <w:webHidden/>
                <w:rStyle w:val="IndexLink"/>
              </w:rPr>
              <w:t>7.2 Release process</w:t>
              <w:tab/>
              <w:t>21</w:t>
            </w:r>
          </w:hyperlink>
        </w:p>
        <w:p>
          <w:pPr>
            <w:pStyle w:val="TOC2"/>
            <w:tabs>
              <w:tab w:val="clear" w:pos="900"/>
              <w:tab w:val="clear" w:pos="9350"/>
              <w:tab w:val="right" w:pos="9025" w:leader="dot"/>
            </w:tabs>
            <w:rPr/>
          </w:pPr>
          <w:hyperlink w:anchor="__RefHeading___Toc12881_1879725379">
            <w:r>
              <w:rPr>
                <w:webHidden/>
                <w:rStyle w:val="IndexLink"/>
              </w:rPr>
              <w:t>7.3 Environment configuration and secrets</w:t>
              <w:tab/>
              <w:t>22</w:t>
            </w:r>
          </w:hyperlink>
        </w:p>
        <w:p>
          <w:pPr>
            <w:pStyle w:val="TOC2"/>
            <w:tabs>
              <w:tab w:val="clear" w:pos="900"/>
              <w:tab w:val="clear" w:pos="9350"/>
              <w:tab w:val="right" w:pos="9025" w:leader="dot"/>
            </w:tabs>
            <w:rPr/>
          </w:pPr>
          <w:hyperlink w:anchor="__RefHeading___Toc12883_1879725379">
            <w:r>
              <w:rPr>
                <w:webHidden/>
                <w:rStyle w:val="IndexLink"/>
              </w:rPr>
              <w:t>7.4 Database migrations on start</w:t>
              <w:tab/>
              <w:t>23</w:t>
            </w:r>
          </w:hyperlink>
        </w:p>
        <w:p>
          <w:pPr>
            <w:pStyle w:val="TOC1"/>
            <w:tabs>
              <w:tab w:val="clear" w:pos="900"/>
              <w:tab w:val="clear" w:pos="9350"/>
              <w:tab w:val="right" w:pos="9025" w:leader="dot"/>
            </w:tabs>
            <w:rPr/>
          </w:pPr>
          <w:hyperlink w:anchor="__RefHeading___Toc12885_1879725379">
            <w:r>
              <w:rPr>
                <w:webHidden/>
                <w:rStyle w:val="IndexLink"/>
              </w:rPr>
              <w:t>8. High availability, backup and recovery</w:t>
              <w:tab/>
              <w:t>24</w:t>
            </w:r>
          </w:hyperlink>
        </w:p>
        <w:p>
          <w:pPr>
            <w:pStyle w:val="TOC2"/>
            <w:tabs>
              <w:tab w:val="clear" w:pos="900"/>
              <w:tab w:val="clear" w:pos="9350"/>
              <w:tab w:val="right" w:pos="9025" w:leader="dot"/>
            </w:tabs>
            <w:rPr/>
          </w:pPr>
          <w:hyperlink w:anchor="__RefHeading___Toc12887_1879725379">
            <w:r>
              <w:rPr>
                <w:webHidden/>
                <w:rStyle w:val="IndexLink"/>
              </w:rPr>
              <w:t>8.1 Resilience properties of the application</w:t>
              <w:tab/>
              <w:t>24</w:t>
            </w:r>
          </w:hyperlink>
        </w:p>
        <w:p>
          <w:pPr>
            <w:pStyle w:val="TOC2"/>
            <w:tabs>
              <w:tab w:val="clear" w:pos="900"/>
              <w:tab w:val="clear" w:pos="9350"/>
              <w:tab w:val="right" w:pos="9025" w:leader="dot"/>
            </w:tabs>
            <w:rPr/>
          </w:pPr>
          <w:hyperlink w:anchor="__RefHeading___Toc12889_1879725379">
            <w:r>
              <w:rPr>
                <w:webHidden/>
                <w:rStyle w:val="IndexLink"/>
              </w:rPr>
              <w:t>8.2 Recovery objectives</w:t>
              <w:tab/>
              <w:t>25</w:t>
            </w:r>
          </w:hyperlink>
        </w:p>
        <w:p>
          <w:pPr>
            <w:pStyle w:val="TOC2"/>
            <w:tabs>
              <w:tab w:val="clear" w:pos="900"/>
              <w:tab w:val="clear" w:pos="9350"/>
              <w:tab w:val="right" w:pos="9025" w:leader="dot"/>
            </w:tabs>
            <w:rPr/>
          </w:pPr>
          <w:hyperlink w:anchor="__RefHeading___Toc12891_1879725379">
            <w:r>
              <w:rPr>
                <w:webHidden/>
                <w:rStyle w:val="IndexLink"/>
              </w:rPr>
              <w:t>8.3 Backup</w:t>
              <w:tab/>
              <w:t>25</w:t>
            </w:r>
          </w:hyperlink>
        </w:p>
        <w:p>
          <w:pPr>
            <w:pStyle w:val="TOC2"/>
            <w:tabs>
              <w:tab w:val="clear" w:pos="900"/>
              <w:tab w:val="clear" w:pos="9350"/>
              <w:tab w:val="right" w:pos="9025" w:leader="dot"/>
            </w:tabs>
            <w:rPr/>
          </w:pPr>
          <w:hyperlink w:anchor="__RefHeading___Toc12893_1879725379">
            <w:r>
              <w:rPr>
                <w:webHidden/>
                <w:rStyle w:val="IndexLink"/>
              </w:rPr>
              <w:t>8.4 Archival and housekeeping</w:t>
              <w:tab/>
              <w:t>26</w:t>
            </w:r>
          </w:hyperlink>
        </w:p>
        <w:p>
          <w:pPr>
            <w:pStyle w:val="TOC2"/>
            <w:tabs>
              <w:tab w:val="clear" w:pos="900"/>
              <w:tab w:val="clear" w:pos="9350"/>
              <w:tab w:val="right" w:pos="9025" w:leader="dot"/>
            </w:tabs>
            <w:rPr/>
          </w:pPr>
          <w:hyperlink w:anchor="__RefHeading___Toc12895_1879725379">
            <w:r>
              <w:rPr>
                <w:webHidden/>
                <w:rStyle w:val="IndexLink"/>
              </w:rPr>
              <w:t>8.5 Monitoring and alerting</w:t>
              <w:tab/>
              <w:t>27</w:t>
            </w:r>
          </w:hyperlink>
        </w:p>
        <w:p>
          <w:pPr>
            <w:pStyle w:val="TOC1"/>
            <w:tabs>
              <w:tab w:val="clear" w:pos="900"/>
              <w:tab w:val="clear" w:pos="9350"/>
              <w:tab w:val="right" w:pos="9025" w:leader="dot"/>
            </w:tabs>
            <w:rPr/>
          </w:pPr>
          <w:hyperlink w:anchor="__RefHeading___Toc12897_1879725379">
            <w:r>
              <w:rPr>
                <w:webHidden/>
                <w:rStyle w:val="IndexLink"/>
              </w:rPr>
              <w:t>9. Security architecture</w:t>
              <w:tab/>
              <w:t>29</w:t>
            </w:r>
          </w:hyperlink>
        </w:p>
        <w:p>
          <w:pPr>
            <w:pStyle w:val="TOC2"/>
            <w:tabs>
              <w:tab w:val="clear" w:pos="900"/>
              <w:tab w:val="clear" w:pos="9350"/>
              <w:tab w:val="right" w:pos="9025" w:leader="dot"/>
            </w:tabs>
            <w:rPr/>
          </w:pPr>
          <w:hyperlink w:anchor="__RefHeading___Toc12899_1879725379">
            <w:r>
              <w:rPr>
                <w:webHidden/>
                <w:rStyle w:val="IndexLink"/>
              </w:rPr>
              <w:t>9.1 Identity and authentication</w:t>
              <w:tab/>
              <w:t>29</w:t>
            </w:r>
          </w:hyperlink>
        </w:p>
        <w:p>
          <w:pPr>
            <w:pStyle w:val="TOC2"/>
            <w:tabs>
              <w:tab w:val="clear" w:pos="900"/>
              <w:tab w:val="clear" w:pos="9350"/>
              <w:tab w:val="right" w:pos="9025" w:leader="dot"/>
            </w:tabs>
            <w:rPr/>
          </w:pPr>
          <w:hyperlink w:anchor="__RefHeading___Toc12901_1879725379">
            <w:r>
              <w:rPr>
                <w:webHidden/>
                <w:rStyle w:val="IndexLink"/>
              </w:rPr>
              <w:t>9.2 Authorisation, maker-checker and segregation of duties</w:t>
              <w:tab/>
              <w:t>29</w:t>
            </w:r>
          </w:hyperlink>
        </w:p>
        <w:p>
          <w:pPr>
            <w:pStyle w:val="TOC2"/>
            <w:tabs>
              <w:tab w:val="clear" w:pos="900"/>
              <w:tab w:val="clear" w:pos="9350"/>
              <w:tab w:val="right" w:pos="9025" w:leader="dot"/>
            </w:tabs>
            <w:rPr/>
          </w:pPr>
          <w:hyperlink w:anchor="__RefHeading___Toc12903_1879725379">
            <w:r>
              <w:rPr>
                <w:webHidden/>
                <w:rStyle w:val="IndexLink"/>
              </w:rPr>
              <w:t>9.3 Application security controls (OWASP Top 10, 2021)</w:t>
              <w:tab/>
              <w:t>30</w:t>
            </w:r>
          </w:hyperlink>
        </w:p>
        <w:p>
          <w:pPr>
            <w:pStyle w:val="TOC2"/>
            <w:tabs>
              <w:tab w:val="clear" w:pos="900"/>
              <w:tab w:val="clear" w:pos="9350"/>
              <w:tab w:val="right" w:pos="9025" w:leader="dot"/>
            </w:tabs>
            <w:rPr/>
          </w:pPr>
          <w:hyperlink w:anchor="__RefHeading___Toc12905_1879725379">
            <w:r>
              <w:rPr>
                <w:webHidden/>
                <w:rStyle w:val="IndexLink"/>
              </w:rPr>
              <w:t>9.4 Encryption</w:t>
              <w:tab/>
              <w:t>31</w:t>
            </w:r>
          </w:hyperlink>
        </w:p>
        <w:p>
          <w:pPr>
            <w:pStyle w:val="TOC2"/>
            <w:tabs>
              <w:tab w:val="clear" w:pos="900"/>
              <w:tab w:val="clear" w:pos="9350"/>
              <w:tab w:val="right" w:pos="9025" w:leader="dot"/>
            </w:tabs>
            <w:rPr/>
          </w:pPr>
          <w:hyperlink w:anchor="__RefHeading___Toc12907_1879725379">
            <w:r>
              <w:rPr>
                <w:webHidden/>
                <w:rStyle w:val="IndexLink"/>
              </w:rPr>
              <w:t>9.5 Audit trail and logging</w:t>
              <w:tab/>
              <w:t>32</w:t>
            </w:r>
          </w:hyperlink>
        </w:p>
        <w:p>
          <w:pPr>
            <w:pStyle w:val="TOC2"/>
            <w:tabs>
              <w:tab w:val="clear" w:pos="900"/>
              <w:tab w:val="clear" w:pos="9350"/>
              <w:tab w:val="right" w:pos="9025" w:leader="dot"/>
            </w:tabs>
            <w:rPr/>
          </w:pPr>
          <w:hyperlink w:anchor="__RefHeading___Toc12909_1879725379">
            <w:r>
              <w:rPr>
                <w:webHidden/>
                <w:rStyle w:val="IndexLink"/>
              </w:rPr>
              <w:t>9.6 Vulnerability management</w:t>
              <w:tab/>
              <w:t>32</w:t>
            </w:r>
          </w:hyperlink>
        </w:p>
        <w:p>
          <w:pPr>
            <w:pStyle w:val="TOC2"/>
            <w:tabs>
              <w:tab w:val="clear" w:pos="900"/>
              <w:tab w:val="clear" w:pos="9350"/>
              <w:tab w:val="right" w:pos="9025" w:leader="dot"/>
            </w:tabs>
            <w:rPr/>
          </w:pPr>
          <w:hyperlink w:anchor="__RefHeading___Toc12911_1879725379">
            <w:r>
              <w:rPr>
                <w:webHidden/>
                <w:rStyle w:val="IndexLink"/>
              </w:rPr>
              <w:t>9.7 Penetration testing approach</w:t>
              <w:tab/>
              <w:t>33</w:t>
            </w:r>
          </w:hyperlink>
        </w:p>
        <w:p>
          <w:pPr>
            <w:pStyle w:val="TOC2"/>
            <w:tabs>
              <w:tab w:val="clear" w:pos="900"/>
              <w:tab w:val="clear" w:pos="9350"/>
              <w:tab w:val="right" w:pos="9025" w:leader="dot"/>
            </w:tabs>
            <w:rPr/>
          </w:pPr>
          <w:hyperlink w:anchor="__RefHeading___Toc12913_1879725379">
            <w:r>
              <w:rPr>
                <w:webHidden/>
                <w:rStyle w:val="IndexLink"/>
              </w:rPr>
              <w:t>9.8 Secure development lifecycle</w:t>
              <w:tab/>
              <w:t>33</w:t>
            </w:r>
          </w:hyperlink>
        </w:p>
        <w:p>
          <w:pPr>
            <w:pStyle w:val="TOC1"/>
            <w:tabs>
              <w:tab w:val="clear" w:pos="900"/>
              <w:tab w:val="clear" w:pos="9350"/>
              <w:tab w:val="right" w:pos="9025" w:leader="dot"/>
            </w:tabs>
            <w:rPr/>
          </w:pPr>
          <w:hyperlink w:anchor="__RefHeading___Toc12915_1879725379">
            <w:r>
              <w:rPr>
                <w:webHidden/>
                <w:rStyle w:val="IndexLink"/>
              </w:rPr>
              <w:t>10. Data privacy</w:t>
              <w:tab/>
              <w:t>34</w:t>
            </w:r>
          </w:hyperlink>
        </w:p>
        <w:p>
          <w:pPr>
            <w:pStyle w:val="TOC2"/>
            <w:tabs>
              <w:tab w:val="clear" w:pos="900"/>
              <w:tab w:val="clear" w:pos="9350"/>
              <w:tab w:val="right" w:pos="9025" w:leader="dot"/>
            </w:tabs>
            <w:rPr/>
          </w:pPr>
          <w:hyperlink w:anchor="__RefHeading___Toc12917_1879725379">
            <w:r>
              <w:rPr>
                <w:webHidden/>
                <w:rStyle w:val="IndexLink"/>
              </w:rPr>
              <w:t>10.1 Legal framework</w:t>
              <w:tab/>
              <w:t>34</w:t>
            </w:r>
          </w:hyperlink>
        </w:p>
        <w:p>
          <w:pPr>
            <w:pStyle w:val="TOC2"/>
            <w:tabs>
              <w:tab w:val="clear" w:pos="900"/>
              <w:tab w:val="clear" w:pos="9350"/>
              <w:tab w:val="right" w:pos="9025" w:leader="dot"/>
            </w:tabs>
            <w:rPr/>
          </w:pPr>
          <w:hyperlink w:anchor="__RefHeading___Toc12919_1879725379">
            <w:r>
              <w:rPr>
                <w:webHidden/>
                <w:rStyle w:val="IndexLink"/>
              </w:rPr>
              <w:t>10.2 Roles under the DPA</w:t>
              <w:tab/>
              <w:t>34</w:t>
            </w:r>
          </w:hyperlink>
        </w:p>
        <w:p>
          <w:pPr>
            <w:pStyle w:val="TOC2"/>
            <w:tabs>
              <w:tab w:val="clear" w:pos="900"/>
              <w:tab w:val="clear" w:pos="9350"/>
              <w:tab w:val="right" w:pos="9025" w:leader="dot"/>
            </w:tabs>
            <w:rPr/>
          </w:pPr>
          <w:hyperlink w:anchor="__RefHeading___Toc12921_1879725379">
            <w:r>
              <w:rPr>
                <w:webHidden/>
                <w:rStyle w:val="IndexLink"/>
              </w:rPr>
              <w:t>10.3 Personal data held in BrokerVerse</w:t>
              <w:tab/>
              <w:t>34</w:t>
            </w:r>
          </w:hyperlink>
        </w:p>
        <w:p>
          <w:pPr>
            <w:pStyle w:val="TOC2"/>
            <w:tabs>
              <w:tab w:val="clear" w:pos="900"/>
              <w:tab w:val="clear" w:pos="9350"/>
              <w:tab w:val="right" w:pos="9025" w:leader="dot"/>
            </w:tabs>
            <w:rPr/>
          </w:pPr>
          <w:hyperlink w:anchor="__RefHeading___Toc12923_1879725379">
            <w:r>
              <w:rPr>
                <w:webHidden/>
                <w:rStyle w:val="IndexLink"/>
              </w:rPr>
              <w:t>10.4 Lawful basis and consent</w:t>
              <w:tab/>
              <w:t>35</w:t>
            </w:r>
          </w:hyperlink>
        </w:p>
        <w:p>
          <w:pPr>
            <w:pStyle w:val="TOC2"/>
            <w:tabs>
              <w:tab w:val="clear" w:pos="900"/>
              <w:tab w:val="clear" w:pos="9350"/>
              <w:tab w:val="right" w:pos="9025" w:leader="dot"/>
            </w:tabs>
            <w:rPr/>
          </w:pPr>
          <w:hyperlink w:anchor="__RefHeading___Toc12925_1879725379">
            <w:r>
              <w:rPr>
                <w:webHidden/>
                <w:rStyle w:val="IndexLink"/>
              </w:rPr>
              <w:t>10.5 Data subject rights</w:t>
              <w:tab/>
              <w:t>36</w:t>
            </w:r>
          </w:hyperlink>
        </w:p>
        <w:p>
          <w:pPr>
            <w:pStyle w:val="TOC2"/>
            <w:tabs>
              <w:tab w:val="clear" w:pos="900"/>
              <w:tab w:val="clear" w:pos="9350"/>
              <w:tab w:val="right" w:pos="9025" w:leader="dot"/>
            </w:tabs>
            <w:rPr/>
          </w:pPr>
          <w:hyperlink w:anchor="__RefHeading___Toc12927_1879725379">
            <w:r>
              <w:rPr>
                <w:webHidden/>
                <w:rStyle w:val="IndexLink"/>
              </w:rPr>
              <w:t>10.6 Retention and disposal</w:t>
              <w:tab/>
              <w:t>36</w:t>
            </w:r>
          </w:hyperlink>
        </w:p>
        <w:p>
          <w:pPr>
            <w:pStyle w:val="TOC2"/>
            <w:tabs>
              <w:tab w:val="clear" w:pos="900"/>
              <w:tab w:val="clear" w:pos="9350"/>
              <w:tab w:val="right" w:pos="9025" w:leader="dot"/>
            </w:tabs>
            <w:rPr/>
          </w:pPr>
          <w:hyperlink w:anchor="__RefHeading___Toc12929_1879725379">
            <w:r>
              <w:rPr>
                <w:webHidden/>
                <w:rStyle w:val="IndexLink"/>
              </w:rPr>
              <w:t>10.7 Security of personal data</w:t>
              <w:tab/>
              <w:t>37</w:t>
            </w:r>
          </w:hyperlink>
        </w:p>
        <w:p>
          <w:pPr>
            <w:pStyle w:val="TOC2"/>
            <w:tabs>
              <w:tab w:val="clear" w:pos="900"/>
              <w:tab w:val="clear" w:pos="9350"/>
              <w:tab w:val="right" w:pos="9025" w:leader="dot"/>
            </w:tabs>
            <w:rPr/>
          </w:pPr>
          <w:hyperlink w:anchor="__RefHeading___Toc12931_1879725379">
            <w:r>
              <w:rPr>
                <w:webHidden/>
                <w:rStyle w:val="IndexLink"/>
              </w:rPr>
              <w:t>10.8 Cross-border transfer</w:t>
              <w:tab/>
              <w:t>37</w:t>
            </w:r>
          </w:hyperlink>
        </w:p>
        <w:p>
          <w:pPr>
            <w:pStyle w:val="TOC2"/>
            <w:tabs>
              <w:tab w:val="clear" w:pos="900"/>
              <w:tab w:val="clear" w:pos="9350"/>
              <w:tab w:val="right" w:pos="9025" w:leader="dot"/>
            </w:tabs>
            <w:rPr/>
          </w:pPr>
          <w:hyperlink w:anchor="__RefHeading___Toc12933_1879725379">
            <w:r>
              <w:rPr>
                <w:webHidden/>
                <w:rStyle w:val="IndexLink"/>
              </w:rPr>
              <w:t>10.9 Breach management</w:t>
              <w:tab/>
              <w:t>37</w:t>
            </w:r>
          </w:hyperlink>
        </w:p>
        <w:p>
          <w:pPr>
            <w:pStyle w:val="TOC1"/>
            <w:tabs>
              <w:tab w:val="clear" w:pos="900"/>
              <w:tab w:val="clear" w:pos="9350"/>
              <w:tab w:val="right" w:pos="9025" w:leader="dot"/>
            </w:tabs>
            <w:rPr/>
          </w:pPr>
          <w:hyperlink w:anchor="__RefHeading___Toc12935_1879725379">
            <w:r>
              <w:rPr>
                <w:webHidden/>
                <w:rStyle w:val="IndexLink"/>
              </w:rPr>
              <w:t>11. Insurance Commission and records</w:t>
              <w:tab/>
              <w:t>38</w:t>
            </w:r>
          </w:hyperlink>
        </w:p>
        <w:p>
          <w:pPr>
            <w:pStyle w:val="TOC1"/>
            <w:tabs>
              <w:tab w:val="clear" w:pos="900"/>
              <w:tab w:val="clear" w:pos="9350"/>
              <w:tab w:val="right" w:pos="9025" w:leader="dot"/>
            </w:tabs>
            <w:rPr/>
          </w:pPr>
          <w:hyperlink w:anchor="__RefHeading___Toc12937_1879725379">
            <w:r>
              <w:rPr>
                <w:webHidden/>
                <w:rStyle w:val="IndexLink"/>
              </w:rPr>
              <w:t>12. Compliance checklist</w:t>
              <w:tab/>
              <w:t>39</w:t>
            </w:r>
          </w:hyperlink>
        </w:p>
        <w:p>
          <w:pPr>
            <w:pStyle w:val="TOC1"/>
            <w:tabs>
              <w:tab w:val="clear" w:pos="900"/>
              <w:tab w:val="clear" w:pos="9350"/>
              <w:tab w:val="right" w:pos="9025" w:leader="dot"/>
            </w:tabs>
            <w:rPr/>
          </w:pPr>
          <w:hyperlink w:anchor="__RefHeading___Toc12939_1879725379">
            <w:r>
              <w:rPr>
                <w:webHidden/>
                <w:rStyle w:val="IndexLink"/>
                <w:i w:val="false"/>
                <w:iCs w:val="false"/>
              </w:rPr>
              <w:t>13. Document Sign-Off</w:t>
            </w:r>
            <w:r>
              <w:rPr>
                <w:rStyle w:val="IndexLink"/>
              </w:rPr>
              <w:tab/>
              <w:t>41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825_187972537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New modules (AML/CFT, BIR, operations and accounting, distribution, My Work, go-live workbench), integration framework and its connectors, encryption of personal identifiers at rest and masking by role, runtime theming and e-signatures, release pipeline, IC and NPC compliance registers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827_187972537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Personally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OIDC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OpenID Connect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829_1879725379"/>
      <w:bookmarkEnd w:id="6"/>
      <w:r>
        <w:rPr>
          <w:rFonts w:eastAsia="Segoe UI" w:cs="Segoe UI" w:ascii="Segoe UI" w:hAnsi="Segoe UI"/>
          <w:b/>
          <w:color w:val="0F4761"/>
          <w:sz w:val="32"/>
        </w:rPr>
        <w:t>3.  Introduction</w:t>
      </w:r>
    </w:p>
    <w:p>
      <w:pPr>
        <w:pStyle w:val="Heading2"/>
        <w:rPr/>
      </w:pPr>
      <w:bookmarkStart w:id="7" w:name="__RefHeading___Toc12831_187972537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12833_1879725379"/>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04 October 2026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two packages being merged into it (package B: Insurance Commission and data privacy compliance, with encryption and masking of personal data; package G: sales activities, quote covers and risk fields, supplier BIR Form 2307 and fixed asset disposal),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(including </w:t>
      </w:r>
      <w:r>
        <w:rPr>
          <w:rFonts w:eastAsia="Consolas" w:cs="Consolas" w:ascii="Consolas" w:hAnsi="Consolas"/>
          <w:color w:val="101820"/>
          <w:sz w:val="19"/>
        </w:rPr>
        <w:t>deploy/RELEASE_PIPELINE.md</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1.2, 04 October 2026). Where a statement depends on package B or G it says so.</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12835_1879725379"/>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and workbench, smoke test and reset, data masking, branding and signatures, UAT scripts, support and escalation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deploy/RELEASE_PIPELINE.md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once and promote, environments, approvals, migrations policy, rollback, hotfix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Data Dictionary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catalogue, engines, code review; tables, columns and personal data classification</w:t>
            </w:r>
          </w:p>
        </w:tc>
      </w:tr>
    </w:tbl>
    <w:p>
      <w:pPr>
        <w:pStyle w:val="Heading1"/>
        <w:rPr/>
      </w:pPr>
      <w:r>
        <w:br w:type="page"/>
      </w:r>
      <w:bookmarkStart w:id="10" w:name="__RefHeading___Toc12837_1879725379"/>
      <w:bookmarkEnd w:id="10"/>
      <w:r>
        <w:rPr>
          <w:rFonts w:eastAsia="Segoe UI" w:cs="Segoe UI" w:ascii="Segoe UI" w:hAnsi="Segoe UI"/>
          <w:b/>
          <w:color w:val="0F4761"/>
          <w:sz w:val="32"/>
        </w:rPr>
        <w:t>4.  Solution overview and logical architecture</w:t>
      </w:r>
    </w:p>
    <w:p>
      <w:pPr>
        <w:pStyle w:val="Heading2"/>
        <w:rPr/>
      </w:pPr>
      <w:bookmarkStart w:id="11" w:name="__RefHeading___Toc12839_1879725379"/>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and lead assignment, distribution channels and dealer programmes, quotations driven by the Product Configurator, broker slips to several insurers, comparison reports, placement and co-insurance, cover notes, policy issue, fleet schedules, marine open covers, endorsements and computed cancellations, claims with document checklists and motor repairs, renewals, billing with instalment invoices, receipts and post-dated cheques, collections and credit control, remittance to insurers, direct bill, commission, override commission and incentives, reinsurance including facultative placement, accounts payable and fixed assets, bank and insurer statement reconciliation, period-end close, BIR returns, sales invoices and the CAS books, AML/CFT compliance, Insurance Commission and data privacy registers (package B), marketing campaigns, My Work, reports, the report builder and dashboards. Referrers and sub-agents do not sign in; their business is entered by Sales &amp; Marketing.</w:t>
      </w:r>
    </w:p>
    <w:p>
      <w:pPr>
        <w:pStyle w:val="Heading2"/>
        <w:rPr/>
      </w:pPr>
      <w:bookmarkStart w:id="12" w:name="__RefHeading___Toc12841_1879725379"/>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70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(73 with packages B and G), 1,291 registered routes (1,356), two health endpoints, a built-in scheduler of 32 jobs (35) in Asia/Manila time, an integration framework with an outbox and retries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139 migration files (149) applied on start under an advisory lock; 250 tables (260)</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 with source; with package B field encryption of personal identifiers and masking by role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theme (colours, logo, sign-in picture) applied to screens, documents, reports and e-mails without a rebuild; e-signatures mapped to documents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04 October 2026; the figures in brackets include packages B and G. The diagrams come from the architecture set, version 1.2.</w:t>
      </w:r>
    </w:p>
    <w:p>
      <w:pPr>
        <w:pStyle w:val="Heading2"/>
        <w:rPr/>
      </w:pPr>
      <w:bookmarkStart w:id="13" w:name="__RefHeading___Toc12843_1879725379"/>
      <w:bookmarkEnd w:id="13"/>
      <w:r>
        <w:rPr>
          <w:rFonts w:eastAsia="Segoe UI" w:cs="Segoe UI"/>
          <w:b/>
          <w:color w:val="0F4761"/>
          <w:sz w:val="26"/>
        </w:rPr>
        <w:t>4.3  Logical components</w:t>
      </w:r>
    </w:p>
    <w:p>
      <w:pPr>
        <w:pStyle w:val="Normal"/>
        <w:jc w:val="center"/>
        <w:rPr/>
      </w:pPr>
      <w:r>
        <w:rPr/>
        <w:drawing>
          <wp:inline distT="0" distB="0" distL="0" distR="0">
            <wp:extent cx="5760085" cy="342328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423285"/>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Home, My Work, Operations, Accounts, Commission, Reinsurance, Compliance, Reports, Master (in sections), Product Configurator, Dashboards; help panel (F1) with the user manual section of each screen; runtime theme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personal data encryption and masking (package B), PDF and Excel engines, letterhead and branding</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backend/src/modules/integrations</w:t>
            </w:r>
            <w:r>
              <w:rPr>
                <w:rFonts w:eastAsia="Segoe UI" w:cs="Segoe UI" w:ascii="Segoe UI" w:hAnsi="Segoe UI"/>
                <w:color w:val="101820"/>
                <w:kern w:val="0"/>
                <w:sz w:val="18"/>
                <w:szCs w:val="24"/>
                <w:lang w:val="en-US" w:eastAsia="ja-JP" w:bidi="ar-SA"/>
              </w:rPr>
              <w:t>: connectors (test or live), outbox with retries, inbox, adapters for SMS, Viber, CTPL and LTO, insurer APIs and bank files; fake provider for test mode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12845_1879725379"/>
      <w:bookmarkEnd w:id="14"/>
      <w:r>
        <w:rPr>
          <w:rFonts w:eastAsia="Segoe UI" w:cs="Segoe UI"/>
          <w:b/>
          <w:color w:val="0F4761"/>
          <w:sz w:val="26"/>
        </w:rPr>
        <w:t>4.4  Business modules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comparison-reports, cover-notes, policies, endorsements, cancellations, documents; sales-activities (package G)</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and specialty lines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 motor-programmes, fleet, marine, campaigns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claim-documents, motor-claims, claim-payments, renewals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pdc, payments, payment-gateway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insurer-overrides, incentive, reinsurance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tax</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payables, fixed-assets, period-end, bank-reconciliation, bir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privacy; ic-compliance and data-breaches (package B)</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(framework, messaging, CTPL, insurer connectors, bank payment files)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ops-masters, document-numbering, settings, system-settings, schedules, branding, e-signatures, data-load</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my-work, notifications, uploads, search, audit, dashboard, reports, report-builder, system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Technical Reference describes each module (purpose, routes, tables, jobs, posting events, settings).</w:t>
      </w:r>
    </w:p>
    <w:p>
      <w:pPr>
        <w:pStyle w:val="Heading2"/>
        <w:rPr/>
      </w:pPr>
      <w:bookmarkStart w:id="15" w:name="__RefHeading___Toc12847_1879725379"/>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113"/>
        <w:gridCol w:w="3113"/>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 API through the integration framework</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Insurer API connectors (</w:t>
            </w:r>
            <w:r>
              <w:rPr>
                <w:rFonts w:eastAsia="Consolas" w:cs="Consolas" w:ascii="Consolas" w:hAnsi="Consolas"/>
                <w:color w:val="101820"/>
                <w:kern w:val="0"/>
                <w:sz w:val="16"/>
                <w:szCs w:val="24"/>
                <w:lang w:val="en-US" w:eastAsia="ja-JP" w:bidi="ar-SA"/>
              </w:rPr>
              <w:t>insurer_rest</w:t>
            </w:r>
            <w:r>
              <w:rPr>
                <w:rFonts w:eastAsia="Segoe UI" w:cs="Segoe UI" w:ascii="Segoe UI" w:hAnsi="Segoe UI"/>
                <w:color w:val="101820"/>
                <w:kern w:val="0"/>
                <w:sz w:val="18"/>
                <w:szCs w:val="24"/>
                <w:lang w:val="en-US" w:eastAsia="ja-JP" w:bidi="ar-SA"/>
              </w:rPr>
              <w:t xml:space="preserve"> adapter with a mapping per insurer) send the policy issuance request and receive claim status updates; delivered in test mode until certified with each insurer.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 templates per event (renewal notices, payment reminders, claim updates) sent through an SMS gateway connector (Semaphore, Globe Labs or a generic HTTP gateway) or Viber business messages, via the integration outbox; jobs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are delivered off</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and inbound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numbers allocated from the insurer's series and authenticated with the CTPL provider (</w:t>
            </w:r>
            <w:r>
              <w:rPr>
                <w:rFonts w:eastAsia="Consolas" w:cs="Consolas" w:ascii="Consolas" w:hAnsi="Consolas"/>
                <w:color w:val="101820"/>
                <w:kern w:val="0"/>
                <w:sz w:val="16"/>
                <w:szCs w:val="24"/>
                <w:lang w:val="en-US" w:eastAsia="ja-JP" w:bidi="ar-SA"/>
              </w:rPr>
              <w:t>ctpl_http</w:t>
            </w:r>
            <w:r>
              <w:rPr>
                <w:rFonts w:eastAsia="Segoe UI" w:cs="Segoe UI" w:ascii="Segoe UI" w:hAnsi="Segoe UI"/>
                <w:color w:val="101820"/>
                <w:kern w:val="0"/>
                <w:sz w:val="18"/>
                <w:szCs w:val="24"/>
                <w:lang w:val="en-US" w:eastAsia="ja-JP" w:bidi="ar-SA"/>
              </w:rPr>
              <w:t>), optional LTO feed (</w:t>
            </w:r>
            <w:r>
              <w:rPr>
                <w:rFonts w:eastAsia="Consolas" w:cs="Consolas" w:ascii="Consolas" w:hAnsi="Consolas"/>
                <w:color w:val="101820"/>
                <w:kern w:val="0"/>
                <w:sz w:val="16"/>
                <w:szCs w:val="24"/>
                <w:lang w:val="en-US" w:eastAsia="ja-JP" w:bidi="ar-SA"/>
              </w:rPr>
              <w:t>lto_http</w:t>
            </w:r>
            <w:r>
              <w:rPr>
                <w:rFonts w:eastAsia="Segoe UI" w:cs="Segoe UI" w:ascii="Segoe UI" w:hAnsi="Segoe UI"/>
                <w:color w:val="101820"/>
                <w:kern w:val="0"/>
                <w:sz w:val="18"/>
                <w:szCs w:val="24"/>
                <w:lang w:val="en-US" w:eastAsia="ja-JP" w:bidi="ar-SA"/>
              </w:rPr>
              <w:t>); asynchronous results arrive on the signed inbound endpoint</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Electronic Invoicing System</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sales invoice and its cancellation queued as an e-invoice payload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delivered off until the broker's EIS accreditation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screening provider</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Optional commercial screening provider through </w:t>
            </w:r>
            <w:r>
              <w:rPr>
                <w:rFonts w:eastAsia="Consolas" w:cs="Consolas" w:ascii="Consolas" w:hAnsi="Consolas"/>
                <w:color w:val="101820"/>
                <w:kern w:val="0"/>
                <w:sz w:val="16"/>
                <w:szCs w:val="24"/>
                <w:lang w:val="en-US" w:eastAsia="ja-JP" w:bidi="ar-SA"/>
              </w:rPr>
              <w:t>aml_provider_requests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off); the built-in screening uses the lists loaded in Compliance &gt; Screening Lists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extract</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bi-extract</w:t>
            </w:r>
            <w:r>
              <w:rPr>
                <w:rFonts w:eastAsia="Segoe UI" w:cs="Segoe UI" w:ascii="Segoe UI" w:hAnsi="Segoe UI"/>
                <w:color w:val="101820"/>
                <w:kern w:val="0"/>
                <w:sz w:val="18"/>
                <w:szCs w:val="24"/>
                <w:lang w:val="en-US" w:eastAsia="ja-JP" w:bidi="ar-SA"/>
              </w:rPr>
              <w:t xml:space="preserve"> (off) writes one CSV per curated dataset to </w:t>
            </w:r>
            <w:r>
              <w:rPr>
                <w:rFonts w:eastAsia="Consolas" w:cs="Consolas" w:ascii="Consolas" w:hAnsi="Consolas"/>
                <w:color w:val="101820"/>
                <w:kern w:val="0"/>
                <w:sz w:val="16"/>
                <w:szCs w:val="24"/>
                <w:lang w:val="en-US" w:eastAsia="ja-JP" w:bidi="ar-SA"/>
              </w:rPr>
              <w:t>bi.extract_folder</w:t>
            </w:r>
            <w:r>
              <w:rPr>
                <w:rFonts w:eastAsia="Segoe UI" w:cs="Segoe UI" w:ascii="Segoe UI" w:hAnsi="Segoe UI"/>
                <w:color w:val="101820"/>
                <w:kern w:val="0"/>
                <w:sz w:val="18"/>
                <w:szCs w:val="24"/>
                <w:lang w:val="en-US" w:eastAsia="ja-JP" w:bidi="ar-SA"/>
              </w:rPr>
              <w:t xml:space="preserve"> for the broker's BI tool</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 and bank payment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inbound status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are batched per bank account and written in the bank's bulk credit, InstaPay or PESONet layout (Accounts &gt; Bank Payment Files, layouts in Master &gt; Finance &gt; Bank File Layouts); the bank's status file marks each line paid or rejected and posts the payment. No direct bank API.</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docs/package/05_Delivery/Upload_Templates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12849_1879725379"/>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12851_1879725379"/>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12853_1879725379"/>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12855_1879725379"/>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12857_1879725379"/>
      <w:bookmarkEnd w:id="20"/>
      <w:r>
        <w:rPr>
          <w:rFonts w:eastAsia="Segoe UI" w:cs="Segoe UI" w:ascii="Segoe UI" w:hAnsi="Segoe UI"/>
          <w:b/>
          <w:color w:val="0F4761"/>
          <w:sz w:val="32"/>
        </w:rPr>
        <w:t>6.  Deployment architecture options</w:t>
      </w:r>
    </w:p>
    <w:p>
      <w:pPr>
        <w:pStyle w:val="Heading2"/>
        <w:rPr/>
      </w:pPr>
      <w:bookmarkStart w:id="21" w:name="__RefHeading___Toc12859_1879725379"/>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the same build for every environment),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xml:space="preserve"> per environment (API address, environment name) and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forwarded to the backend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(package B),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integration connector credentials (variables named in each connector),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SMS and Viber gateways, the CTPL provider and LTO feed, insurer APIs, the BIR EIS and a screening provider over HTTPS; the addresses are the connector endpoints set by an administrator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r>
              <w:rPr>
                <w:rFonts w:eastAsia="Segoe UI" w:cs="Segoe UI" w:ascii="Segoe UI" w:hAnsi="Segoe UI"/>
                <w:color w:val="101820"/>
                <w:kern w:val="0"/>
                <w:sz w:val="18"/>
                <w:szCs w:val="24"/>
                <w:lang w:val="en-US" w:eastAsia="ja-JP" w:bidi="ar-SA"/>
              </w:rPr>
              <w:t>, signed integration callbacks (</w:t>
            </w:r>
            <w:r>
              <w:rPr>
                <w:rFonts w:eastAsia="Consolas" w:cs="Consolas" w:ascii="Consolas" w:hAnsi="Consolas"/>
                <w:color w:val="101820"/>
                <w:kern w:val="0"/>
                <w:sz w:val="16"/>
                <w:szCs w:val="24"/>
                <w:lang w:val="en-US" w:eastAsia="ja-JP" w:bidi="ar-SA"/>
              </w:rPr>
              <w:t>/api/public/integrations/inbound/:connector</w:t>
            </w:r>
            <w:r>
              <w:rPr>
                <w:rFonts w:eastAsia="Segoe UI" w:cs="Segoe UI" w:ascii="Segoe UI" w:hAnsi="Segoe UI"/>
                <w:color w:val="101820"/>
                <w:kern w:val="0"/>
                <w:sz w:val="18"/>
                <w:szCs w:val="24"/>
                <w:lang w:val="en-US" w:eastAsia="ja-JP" w:bidi="ar-SA"/>
              </w:rPr>
              <w:t>), campaign opt-out links, the branding of the sign-in page</w:t>
            </w:r>
          </w:p>
        </w:tc>
      </w:tr>
    </w:tbl>
    <w:p>
      <w:pPr>
        <w:pStyle w:val="Normal"/>
        <w:spacing w:before="0" w:after="80"/>
        <w:rPr/>
      </w:pPr>
      <w:r>
        <w:rPr/>
      </w:r>
    </w:p>
    <w:p>
      <w:pPr>
        <w:pStyle w:val="Heading2"/>
        <w:rPr/>
      </w:pPr>
      <w:bookmarkStart w:id="22" w:name="__RefHeading___Toc12861_1879725379"/>
      <w:bookmarkEnd w:id="22"/>
      <w:r>
        <w:rPr>
          <w:rFonts w:eastAsia="Segoe UI" w:cs="Segoe UI"/>
          <w:b/>
          <w:color w:val="0F4761"/>
          <w:sz w:val="26"/>
        </w:rPr>
        <w:t>6.2  Environment layout</w:t>
      </w:r>
    </w:p>
    <w:p>
      <w:pPr>
        <w:pStyle w:val="Normal"/>
        <w:spacing w:lineRule="auto" w:line="276" w:before="0" w:after="120"/>
        <w:rPr/>
      </w:pPr>
      <w:r>
        <w:rPr>
          <w:rFonts w:eastAsia="Segoe UI" w:cs="Segoe UI" w:ascii="Segoe UI" w:hAnsi="Segoe UI"/>
          <w:b/>
          <w:color w:val="101820"/>
          <w:sz w:val="21"/>
        </w:rPr>
        <w:t>Decision (product owner, 04 October 2026):</w:t>
      </w:r>
      <w:r>
        <w:rPr>
          <w:rFonts w:eastAsia="Segoe UI" w:cs="Segoe UI" w:ascii="Segoe UI" w:hAnsi="Segoe UI"/>
          <w:color w:val="101820"/>
          <w:sz w:val="21"/>
        </w:rPr>
        <w:t xml:space="preserve"> the environment set follows the broker size. Small and medium brokers have DEV, UAT and PROD: integration is done in DEV and the release is pushed to UAT for testing, then to PROD. Large brokers have DEV, SIT, UAT and PROD, with SIT and UAT separate. PRE-PROD is temporary for every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98"/>
        <w:gridCol w:w="2531"/>
        <w:gridCol w:w="2505"/>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 for small and medium brokers also configuration and the system integration test</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and synthetic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never client data</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one API instance, small managed PostgreSQL without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(large broker)</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configuration build and first mock loads</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data; client data during mock loads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Single-zone environment, medium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mock loads, performance test</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Mock-load data from the broker's extracts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components as PROD at a smaller size, single zone (small size for small and medium brokers, medium size for large)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before go-live; rehearsal of each major release</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a PROD backup; masked when used by people without production access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and size as PROD; removed after use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API instances and managed PostgreSQL sized by tier (sizing below); high availability with a standby database required for large brokers</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 included for the Enterprise size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SIT or UAT. A PRE-PROD restored from a production backup is masked with the data masking tool before anyone without production access uses it (</w:t>
      </w:r>
      <w:r>
        <w:rPr>
          <w:rFonts w:eastAsia="Consolas" w:cs="Consolas" w:ascii="Consolas" w:hAnsi="Consolas"/>
          <w:color w:val="101820"/>
          <w:sz w:val="18"/>
        </w:rPr>
        <w:t>npm run mask:data</w:t>
      </w:r>
      <w:r>
        <w:rPr>
          <w:rFonts w:eastAsia="Segoe UI" w:cs="Segoe UI" w:ascii="Segoe UI" w:hAnsi="Segoe UI"/>
          <w:color w:val="101820"/>
          <w:sz w:val="20"/>
        </w:rPr>
        <w:t xml:space="preserve">, </w:t>
      </w:r>
      <w:r>
        <w:rPr>
          <w:rFonts w:eastAsia="Consolas" w:cs="Consolas" w:ascii="Consolas" w:hAnsi="Consolas"/>
          <w:color w:val="101820"/>
          <w:sz w:val="18"/>
        </w:rPr>
        <w:t>docs/onboarding/DATA_MASKING.md</w:t>
      </w:r>
      <w:r>
        <w:rPr>
          <w:rFonts w:eastAsia="Segoe UI" w:cs="Segoe UI" w:ascii="Segoe UI" w:hAnsi="Segoe UI"/>
          <w:color w:val="101820"/>
          <w:sz w:val="20"/>
        </w:rPr>
        <w:t xml:space="preserve">: it refuses on a database marked production, </w:t>
      </w:r>
      <w:r>
        <w:rPr>
          <w:rFonts w:eastAsia="Consolas" w:cs="Consolas" w:ascii="Consolas" w:hAnsi="Consolas"/>
          <w:color w:val="101820"/>
          <w:sz w:val="18"/>
        </w:rPr>
        <w:t>--remark-copy</w:t>
      </w:r>
      <w:r>
        <w:rPr>
          <w:rFonts w:eastAsia="Segoe UI" w:cs="Segoe UI" w:ascii="Segoe UI" w:hAnsi="Segoe UI"/>
          <w:color w:val="101820"/>
          <w:sz w:val="20"/>
        </w:rPr>
        <w:t xml:space="preserve"> re-marks a restored copy, </w:t>
      </w:r>
      <w:r>
        <w:rPr>
          <w:rFonts w:eastAsia="Consolas" w:cs="Consolas" w:ascii="Consolas" w:hAnsi="Consolas"/>
          <w:color w:val="101820"/>
          <w:sz w:val="18"/>
        </w:rPr>
        <w:t>--register-production</w:t>
      </w:r>
      <w:r>
        <w:rPr>
          <w:rFonts w:eastAsia="Segoe UI" w:cs="Segoe UI" w:ascii="Segoe UI" w:hAnsi="Segoe UI"/>
          <w:color w:val="101820"/>
          <w:sz w:val="20"/>
        </w:rPr>
        <w:t xml:space="preserve"> records where production lives).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w:t>
      </w:r>
      <w:r>
        <w:rPr>
          <w:rFonts w:eastAsia="Consolas" w:cs="Consolas" w:ascii="Consolas" w:hAnsi="Consolas"/>
          <w:color w:val="101820"/>
          <w:sz w:val="18"/>
        </w:rPr>
        <w:t>JWT_SECRET</w:t>
      </w:r>
      <w:r>
        <w:rPr>
          <w:rFonts w:eastAsia="Segoe UI" w:cs="Segoe UI" w:ascii="Segoe UI" w:hAnsi="Segoe UI"/>
          <w:color w:val="101820"/>
          <w:sz w:val="20"/>
        </w:rPr>
        <w:t xml:space="preserve"> and </w:t>
      </w:r>
      <w:r>
        <w:rPr>
          <w:rFonts w:eastAsia="Consolas" w:cs="Consolas" w:ascii="Consolas" w:hAnsi="Consolas"/>
          <w:color w:val="101820"/>
          <w:sz w:val="18"/>
        </w:rPr>
        <w:t>PII_ENCRYPTION_KEY</w:t>
      </w:r>
      <w:r>
        <w:rPr>
          <w:rFonts w:eastAsia="Segoe UI" w:cs="Segoe UI" w:ascii="Segoe UI" w:hAnsi="Segoe UI"/>
          <w:color w:val="101820"/>
          <w:sz w:val="20"/>
        </w:rPr>
        <w:t xml:space="preserve"> differ between environments (a restored copy is masked with production's personal data key, then rotated to its own). The environment marker </w:t>
      </w:r>
      <w:r>
        <w:rPr>
          <w:rFonts w:eastAsia="Consolas" w:cs="Consolas" w:ascii="Consolas" w:hAnsi="Consolas"/>
          <w:color w:val="101820"/>
          <w:sz w:val="18"/>
        </w:rPr>
        <w:t>system.environment</w:t>
      </w:r>
      <w:r>
        <w:rPr>
          <w:rFonts w:eastAsia="Segoe UI" w:cs="Segoe UI" w:ascii="Segoe UI" w:hAnsi="Segoe UI"/>
          <w:color w:val="101820"/>
          <w:sz w:val="20"/>
        </w:rPr>
        <w:t xml:space="preserve"> and the label next to the logo (</w:t>
      </w:r>
      <w:r>
        <w:rPr>
          <w:rFonts w:eastAsia="Consolas" w:cs="Consolas" w:ascii="Consolas" w:hAnsi="Consolas"/>
          <w:color w:val="101820"/>
          <w:sz w:val="18"/>
        </w:rPr>
        <w:t>ENVIRONMENT_NAME</w:t>
      </w:r>
      <w:r>
        <w:rPr>
          <w:rFonts w:eastAsia="Segoe UI" w:cs="Segoe UI" w:ascii="Segoe UI" w:hAnsi="Segoe UI"/>
          <w:color w:val="101820"/>
          <w:sz w:val="20"/>
        </w:rPr>
        <w:t>) show which environment a user is in.</w:t>
      </w:r>
    </w:p>
    <w:p>
      <w:pPr>
        <w:pStyle w:val="Heading2"/>
        <w:rPr/>
      </w:pPr>
      <w:bookmarkStart w:id="23" w:name="__RefHeading___Toc12863_1879725379"/>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the payment gateways and the enabled integration endpoints only (allow-list)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12865_1879725379"/>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The repository also deploys a demo system: the release pipeline (</w:t>
      </w:r>
      <w:r>
        <w:rPr>
          <w:rFonts w:eastAsia="Consolas" w:cs="Consolas" w:ascii="Consolas" w:hAnsi="Consolas"/>
          <w:color w:val="101820"/>
          <w:sz w:val="19"/>
        </w:rPr>
        <w:t>.github/workflows/deploy.yml</w:t>
      </w:r>
      <w:r>
        <w:rPr>
          <w:rFonts w:eastAsia="Segoe UI" w:cs="Segoe UI" w:ascii="Segoe UI" w:hAnsi="Segoe UI"/>
          <w:color w:val="101820"/>
          <w:sz w:val="21"/>
        </w:rPr>
        <w:t xml:space="preserve">, environment </w:t>
      </w:r>
      <w:r>
        <w:rPr>
          <w:rFonts w:eastAsia="Consolas" w:cs="Consolas" w:ascii="Consolas" w:hAnsi="Consolas"/>
          <w:color w:val="101820"/>
          <w:sz w:val="19"/>
        </w:rPr>
        <w:t>dev</w:t>
      </w:r>
      <w:r>
        <w:rPr>
          <w:rFonts w:eastAsia="Segoe UI" w:cs="Segoe UI" w:ascii="Segoe UI" w:hAnsi="Segoe UI"/>
          <w:color w:val="101820"/>
          <w:sz w:val="21"/>
        </w:rPr>
        <w:t>) publishes the front end to S3 and CloudFront and switches the API on one EC2 host with PM2 (</w:t>
      </w:r>
      <w:r>
        <w:rPr>
          <w:rFonts w:eastAsia="Consolas" w:cs="Consolas" w:ascii="Consolas" w:hAnsi="Consolas"/>
          <w:color w:val="101820"/>
          <w:sz w:val="19"/>
        </w:rPr>
        <w:t>deploy/ec2/release.sh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UAT, not as the production form of option A.</w:t>
      </w:r>
    </w:p>
    <w:p>
      <w:pPr>
        <w:pStyle w:val="Heading2"/>
        <w:rPr/>
      </w:pPr>
      <w:bookmarkStart w:id="25" w:name="__RefHeading___Toc12867_1879725379"/>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12869_1879725379"/>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12871_1879725379"/>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12873_1879725379"/>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Hosting prices when iorta TechNXT hosts, from the commercials and pricing workbook (Infrastructure sheet) and the Rate Card: estimates of on-demand list prices at PHP 62.75 to USD 1.00 plus a 20% margin for exchange rate movement and operations, excluding VAT. Reserved capacity or savings plans reduce the cloud cost by roughly 20% to 40%. Obtain a quotation from the provider or partner before ordering.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82"/>
        <w:gridCol w:w="1036"/>
        <w:gridCol w:w="1038"/>
        <w:gridCol w:w="1134"/>
        <w:gridCol w:w="2823"/>
      </w:tblGrid>
      <w:tr>
        <w:trPr>
          <w:tblHeader w:val="true"/>
        </w:trPr>
        <w:tc>
          <w:tcPr>
            <w:tcW w:w="2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 (AWS Singapore, PHP a month)</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 (with cross-region backups)</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Standing set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per month of use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7"/>
        <w:gridCol w:w="1038"/>
        <w:gridCol w:w="1036"/>
        <w:gridCol w:w="1141"/>
        <w:gridCol w:w="1362"/>
      </w:tblGrid>
      <w:tr>
        <w:trPr>
          <w:tblHeader w:val="true"/>
        </w:trPr>
        <w:tc>
          <w:tcPr>
            <w:tcW w:w="44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Standing set, other options (PHP a month)</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44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 Azure Southeast Asia</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44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 Philippine partner</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 option</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 PRE-PROD is billed only for the months it exists: the workbook budgets 2 months around go-live and 1 month per major release.</w:t>
      </w:r>
      <w:r>
        <w:br w:type="page"/>
      </w:r>
    </w:p>
    <w:p>
      <w:pPr>
        <w:pStyle w:val="Heading1"/>
        <w:rPr/>
      </w:pPr>
      <w:bookmarkStart w:id="29" w:name="__RefHeading___Toc12875_1879725379"/>
      <w:bookmarkEnd w:id="29"/>
      <w:r>
        <w:rPr>
          <w:rFonts w:eastAsia="Segoe UI" w:cs="Segoe UI" w:ascii="Segoe UI" w:hAnsi="Segoe UI"/>
          <w:b/>
          <w:color w:val="0F4761"/>
          <w:sz w:val="32"/>
        </w:rPr>
        <w:t>7.  CI/CD and release management</w:t>
      </w:r>
    </w:p>
    <w:p>
      <w:pPr>
        <w:pStyle w:val="Heading2"/>
        <w:rPr/>
      </w:pPr>
      <w:bookmarkStart w:id="30" w:name="__RefHeading___Toc12877_1879725379"/>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113"/>
        <w:gridCol w:w="3113"/>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pull request and push; tags </w:t>
            </w:r>
            <w:r>
              <w:rPr>
                <w:rFonts w:eastAsia="Consolas" w:cs="Consolas" w:ascii="Consolas" w:hAnsi="Consolas"/>
                <w:color w:val="101820"/>
                <w:kern w:val="0"/>
                <w:sz w:val="16"/>
                <w:szCs w:val="24"/>
                <w:lang w:val="en-US" w:eastAsia="ja-JP" w:bidi="ar-SA"/>
              </w:rPr>
              <w:t>v*.*.*</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 xml:space="preserve">, one environment-neutral build. Dependency audit (production dependencies, high and critical fail). Artefacts </w:t>
            </w:r>
            <w:r>
              <w:rPr>
                <w:rFonts w:eastAsia="Consolas" w:cs="Consolas" w:ascii="Consolas" w:hAnsi="Consolas"/>
                <w:color w:val="101820"/>
                <w:kern w:val="0"/>
                <w:sz w:val="16"/>
                <w:szCs w:val="24"/>
                <w:lang w:val="en-US" w:eastAsia="ja-JP" w:bidi="ar-SA"/>
              </w:rPr>
              <w:t>web-&lt;sha&gt;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backend-&lt;sha&gt;</w:t>
            </w:r>
            <w:r>
              <w:rPr>
                <w:rFonts w:eastAsia="Segoe UI" w:cs="Segoe UI" w:ascii="Segoe UI" w:hAnsi="Segoe UI"/>
                <w:color w:val="101820"/>
                <w:kern w:val="0"/>
                <w:sz w:val="18"/>
                <w:szCs w:val="24"/>
                <w:lang w:val="en-US" w:eastAsia="ja-JP" w:bidi="ar-SA"/>
              </w:rPr>
              <w:t xml:space="preserve">. Then deploys: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to dev, </w:t>
            </w:r>
            <w:r>
              <w:rPr>
                <w:rFonts w:eastAsia="Consolas" w:cs="Consolas" w:ascii="Consolas" w:hAnsi="Consolas"/>
                <w:color w:val="101820"/>
                <w:kern w:val="0"/>
                <w:sz w:val="16"/>
                <w:szCs w:val="24"/>
                <w:lang w:val="en-US" w:eastAsia="ja-JP" w:bidi="ar-SA"/>
              </w:rPr>
              <w:t>vX.Y.Z-rc.N</w:t>
            </w:r>
            <w:r>
              <w:rPr>
                <w:rFonts w:eastAsia="Segoe UI" w:cs="Segoe UI" w:ascii="Segoe UI" w:hAnsi="Segoe UI"/>
                <w:color w:val="101820"/>
                <w:kern w:val="0"/>
                <w:sz w:val="18"/>
                <w:szCs w:val="24"/>
                <w:lang w:val="en-US" w:eastAsia="ja-JP" w:bidi="ar-SA"/>
              </w:rPr>
              <w:t xml:space="preserve"> to UAT, </w:t>
            </w: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to Production (GitHub Environments with approvals).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.github/workflows/deploy.yml</w:t>
            </w:r>
            <w:r>
              <w:rPr>
                <w:rFonts w:eastAsia="Segoe UI" w:cs="Segoe UI" w:ascii="Segoe UI" w:hAnsi="Segoe UI"/>
                <w:color w:val="101820"/>
                <w:kern w:val="0"/>
                <w:sz w:val="18"/>
                <w:szCs w:val="24"/>
                <w:lang w:val="en-US" w:eastAsia="ja-JP" w:bidi="ar-SA"/>
              </w:rPr>
              <w:t xml:space="preserve"> (Deploy)</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Called by CI, or by hand to promote a commit or tag</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artefacts in every environment: pre-deploy backup (Pre-Prod, Production), migrations then seeds, API switch on the EC2 host (</w:t>
            </w:r>
            <w:r>
              <w:rPr>
                <w:rFonts w:eastAsia="Consolas" w:cs="Consolas" w:ascii="Consolas" w:hAnsi="Consolas"/>
                <w:color w:val="101820"/>
                <w:kern w:val="0"/>
                <w:sz w:val="16"/>
                <w:szCs w:val="24"/>
                <w:lang w:val="en-US" w:eastAsia="ja-JP" w:bidi="ar-SA"/>
              </w:rPr>
              <w:t>deploy/ec2/release.sh</w:t>
            </w:r>
            <w:r>
              <w:rPr>
                <w:rFonts w:eastAsia="Segoe UI" w:cs="Segoe UI" w:ascii="Segoe UI" w:hAnsi="Segoe UI"/>
                <w:color w:val="101820"/>
                <w:kern w:val="0"/>
                <w:sz w:val="18"/>
                <w:szCs w:val="24"/>
                <w:lang w:val="en-US" w:eastAsia="ja-JP" w:bidi="ar-SA"/>
              </w:rPr>
              <w:t xml:space="preserve">), front end to S3 + CloudFront with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smoke test, automatic rollback. Skipped with a notice when the environment is not configured.</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.github/workflows/rollback.yml</w:t>
            </w:r>
            <w:r>
              <w:rPr>
                <w:rFonts w:eastAsia="Segoe UI" w:cs="Segoe UI" w:ascii="Segoe UI" w:hAnsi="Segoe UI"/>
                <w:color w:val="101820"/>
                <w:kern w:val="0"/>
                <w:sz w:val="18"/>
                <w:szCs w:val="24"/>
                <w:lang w:val="en-US" w:eastAsia="ja-JP" w:bidi="ar-SA"/>
              </w:rPr>
              <w:t xml:space="preserve"> (Rollback)</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hand</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Switches an environment back to an earlier build, without migrations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Push or pull request, when the front end is its own repository</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lint, tests and environment-neutral build;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xml:space="preserve"> from repository variables;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Details, approvals and the GitHub settings: </w:t>
      </w:r>
      <w:r>
        <w:rPr>
          <w:rFonts w:eastAsia="Consolas" w:cs="Consolas" w:ascii="Consolas" w:hAnsi="Consolas"/>
          <w:color w:val="101820"/>
          <w:sz w:val="19"/>
        </w:rPr>
        <w:t>deploy/RELEASE_PIPELINE.md</w:t>
      </w:r>
      <w:r>
        <w:rPr>
          <w:rFonts w:eastAsia="Segoe UI" w:cs="Segoe UI" w:ascii="Segoe UI" w:hAnsi="Segoe UI"/>
          <w:color w:val="101820"/>
          <w:sz w:val="21"/>
        </w:rPr>
        <w:t xml:space="preserve">. The earlier git-checkout script </w:t>
      </w:r>
      <w:r>
        <w:rPr>
          <w:rFonts w:eastAsia="Consolas" w:cs="Consolas" w:ascii="Consolas" w:hAnsi="Consolas"/>
          <w:color w:val="101820"/>
          <w:sz w:val="19"/>
        </w:rPr>
        <w:t>deploy/ec2/deploy.sh</w:t>
      </w:r>
      <w:r>
        <w:rPr>
          <w:rFonts w:eastAsia="Segoe UI" w:cs="Segoe UI" w:ascii="Segoe UI" w:hAnsi="Segoe UI"/>
          <w:color w:val="101820"/>
          <w:sz w:val="21"/>
        </w:rPr>
        <w:t xml:space="preserve"> (checks out the branch, </w:t>
      </w:r>
      <w:r>
        <w:rPr>
          <w:rFonts w:eastAsia="Consolas" w:cs="Consolas" w:ascii="Consolas" w:hAnsi="Consolas"/>
          <w:color w:val="101820"/>
          <w:sz w:val="19"/>
        </w:rPr>
        <w:t>npm ci --omit=dev</w:t>
      </w:r>
      <w:r>
        <w:rPr>
          <w:rFonts w:eastAsia="Segoe UI" w:cs="Segoe UI" w:ascii="Segoe UI" w:hAnsi="Segoe UI"/>
          <w:color w:val="101820"/>
          <w:sz w:val="21"/>
        </w:rPr>
        <w:t xml:space="preserve">, creates the database if missing,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for </w:t>
      </w:r>
      <w:r>
        <w:rPr>
          <w:rFonts w:eastAsia="Consolas" w:cs="Consolas" w:ascii="Consolas" w:hAnsi="Consolas"/>
          <w:color w:val="101820"/>
          <w:sz w:val="19"/>
        </w:rPr>
        <w:t>/api/health</w:t>
      </w:r>
      <w:r>
        <w:rPr>
          <w:rFonts w:eastAsia="Segoe UI" w:cs="Segoe UI" w:ascii="Segoe UI" w:hAnsi="Segoe UI"/>
          <w:color w:val="101820"/>
          <w:sz w:val="21"/>
        </w:rPr>
        <w:t>) remains for manual use.</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deploy workflow accepts an IAM role through GitHub OIDC (</w:t>
      </w:r>
      <w:r>
        <w:rPr>
          <w:rFonts w:eastAsia="Consolas" w:cs="Consolas" w:ascii="Consolas" w:hAnsi="Consolas"/>
          <w:color w:val="101820"/>
          <w:sz w:val="18"/>
        </w:rPr>
        <w:t>AWS_ROLE_ARN</w:t>
      </w:r>
      <w:r>
        <w:rPr>
          <w:rFonts w:eastAsia="Segoe UI" w:cs="Segoe UI" w:ascii="Segoe UI" w:hAnsi="Segoe UI"/>
          <w:color w:val="101820"/>
          <w:sz w:val="20"/>
        </w:rPr>
        <w:t xml:space="preserve">) but falls back to long-lived AWS access keys, and reaches the EC2 host with an SSH key stored per environment. </w:t>
      </w:r>
      <w:r>
        <w:rPr>
          <w:rFonts w:eastAsia="Segoe UI" w:cs="Segoe UI" w:ascii="Segoe UI" w:hAnsi="Segoe UI"/>
          <w:b/>
          <w:color w:val="101820"/>
          <w:sz w:val="20"/>
        </w:rPr>
        <w:t>Recommended:</w:t>
      </w:r>
      <w:r>
        <w:rPr>
          <w:rFonts w:eastAsia="Segoe UI" w:cs="Segoe UI" w:ascii="Segoe UI" w:hAnsi="Segoe UI"/>
          <w:color w:val="101820"/>
          <w:sz w:val="20"/>
        </w:rPr>
        <w:t xml:space="preserve"> use the OIDC role in every environment, limited to the bucket and the distribution; for container platforms push the versioned backend image (</w:t>
      </w:r>
      <w:r>
        <w:rPr>
          <w:rFonts w:eastAsia="Consolas" w:cs="Consolas" w:ascii="Consolas" w:hAnsi="Consolas"/>
          <w:color w:val="101820"/>
          <w:sz w:val="18"/>
        </w:rPr>
        <w:t>backend/Dockerfile</w:t>
      </w:r>
      <w:r>
        <w:rPr>
          <w:rFonts w:eastAsia="Segoe UI" w:cs="Segoe UI" w:ascii="Segoe UI" w:hAnsi="Segoe UI"/>
          <w:color w:val="101820"/>
          <w:sz w:val="20"/>
        </w:rPr>
        <w:t xml:space="preserve">, build arguments </w:t>
      </w:r>
      <w:r>
        <w:rPr>
          <w:rFonts w:eastAsia="Consolas" w:cs="Consolas" w:ascii="Consolas" w:hAnsi="Consolas"/>
          <w:color w:val="101820"/>
          <w:sz w:val="18"/>
        </w:rPr>
        <w:t>GIT_COMMIT</w:t>
      </w:r>
      <w:r>
        <w:rPr>
          <w:rFonts w:eastAsia="Segoe UI" w:cs="Segoe UI" w:ascii="Segoe UI" w:hAnsi="Segoe UI"/>
          <w:color w:val="101820"/>
          <w:sz w:val="20"/>
        </w:rPr>
        <w:t xml:space="preserve">, </w:t>
      </w:r>
      <w:r>
        <w:rPr>
          <w:rFonts w:eastAsia="Consolas" w:cs="Consolas" w:ascii="Consolas" w:hAnsi="Consolas"/>
          <w:color w:val="101820"/>
          <w:sz w:val="18"/>
        </w:rPr>
        <w:t>BUILD_TIME</w:t>
      </w:r>
      <w:r>
        <w:rPr>
          <w:rFonts w:eastAsia="Segoe UI" w:cs="Segoe UI" w:ascii="Segoe UI" w:hAnsi="Segoe UI"/>
          <w:color w:val="101820"/>
          <w:sz w:val="20"/>
        </w:rPr>
        <w:t xml:space="preserve">, </w:t>
      </w:r>
      <w:r>
        <w:rPr>
          <w:rFonts w:eastAsia="Consolas" w:cs="Consolas" w:ascii="Consolas" w:hAnsi="Consolas"/>
          <w:color w:val="101820"/>
          <w:sz w:val="18"/>
        </w:rPr>
        <w:t>GIT_REF</w:t>
      </w:r>
      <w:r>
        <w:rPr>
          <w:rFonts w:eastAsia="Segoe UI" w:cs="Segoe UI" w:ascii="Segoe UI" w:hAnsi="Segoe UI"/>
          <w:color w:val="101820"/>
          <w:sz w:val="20"/>
        </w:rPr>
        <w:t>) to a registry and scan it.</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12879_1879725379"/>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color w:val="101820"/>
          <w:sz w:val="21"/>
        </w:rPr>
        <w:t>The release pipeline (</w:t>
      </w:r>
      <w:r>
        <w:rPr>
          <w:rFonts w:eastAsia="Consolas" w:cs="Consolas" w:ascii="Consolas" w:hAnsi="Consolas"/>
          <w:color w:val="101820"/>
          <w:sz w:val="19"/>
        </w:rPr>
        <w:t>deploy/RELEASE_PIPELINE.md</w:t>
      </w:r>
      <w:r>
        <w:rPr>
          <w:rFonts w:eastAsia="Segoe UI" w:cs="Segoe UI" w:ascii="Segoe UI" w:hAnsi="Segoe UI"/>
          <w:color w:val="101820"/>
          <w:sz w:val="21"/>
        </w:rPr>
        <w:t>) builds once and promotes the same artefacts:</w:t>
      </w:r>
    </w:p>
    <w:p>
      <w:pPr>
        <w:pStyle w:val="Normal"/>
        <w:numPr>
          <w:ilvl w:val="0"/>
          <w:numId w:val="5"/>
        </w:numPr>
        <w:spacing w:before="0" w:after="60"/>
        <w:rPr/>
      </w:pPr>
      <w:r>
        <w:rPr>
          <w:rFonts w:eastAsia="Segoe UI" w:cs="Segoe UI" w:ascii="Segoe UI" w:hAnsi="Segoe UI"/>
          <w:color w:val="101820"/>
          <w:sz w:val="21"/>
        </w:rPr>
        <w:t xml:space="preserve">Merge to </w:t>
      </w:r>
      <w:r>
        <w:rPr>
          <w:rFonts w:eastAsia="Consolas" w:cs="Consolas" w:ascii="Consolas" w:hAnsi="Consolas"/>
          <w:color w:val="101820"/>
          <w:sz w:val="19"/>
        </w:rPr>
        <w:t>brokerverse-platform</w:t>
      </w:r>
      <w:r>
        <w:rPr>
          <w:rFonts w:eastAsia="Segoe UI" w:cs="Segoe UI" w:ascii="Segoe UI" w:hAnsi="Segoe UI"/>
          <w:color w:val="101820"/>
          <w:sz w:val="21"/>
        </w:rPr>
        <w:t xml:space="preserve"> through a reviewed pull request with the four required checks green; dev deploys automatically.</w:t>
      </w:r>
    </w:p>
    <w:p>
      <w:pPr>
        <w:pStyle w:val="Normal"/>
        <w:numPr>
          <w:ilvl w:val="0"/>
          <w:numId w:val="2"/>
        </w:numPr>
        <w:spacing w:before="0" w:after="60"/>
        <w:rPr/>
      </w:pPr>
      <w:r>
        <w:rPr>
          <w:rFonts w:eastAsia="Segoe UI" w:cs="Segoe UI" w:ascii="Segoe UI" w:hAnsi="Segoe UI"/>
          <w:color w:val="101820"/>
          <w:sz w:val="21"/>
        </w:rPr>
        <w:t xml:space="preserve">Tag a release candidate </w:t>
      </w:r>
      <w:r>
        <w:rPr>
          <w:rFonts w:eastAsia="Consolas" w:cs="Consolas" w:ascii="Consolas" w:hAnsi="Consolas"/>
          <w:color w:val="101820"/>
          <w:sz w:val="19"/>
        </w:rPr>
        <w:t>vX.Y.Z-rc.N</w:t>
      </w:r>
      <w:r>
        <w:rPr>
          <w:rFonts w:eastAsia="Segoe UI" w:cs="Segoe UI" w:ascii="Segoe UI" w:hAnsi="Segoe UI"/>
          <w:color w:val="101820"/>
          <w:sz w:val="21"/>
        </w:rPr>
        <w:t>: UAT deploys after the iorta TechNXT delivery lead approves (SIT by hand for a large broker). Run the UAT scripts for the changed areas and obtain business sign-off.</w:t>
      </w:r>
    </w:p>
    <w:p>
      <w:pPr>
        <w:pStyle w:val="Normal"/>
        <w:numPr>
          <w:ilvl w:val="0"/>
          <w:numId w:val="2"/>
        </w:numPr>
        <w:spacing w:before="0" w:after="60"/>
        <w:rPr/>
      </w:pPr>
      <w:r>
        <w:rPr>
          <w:rFonts w:eastAsia="Segoe UI" w:cs="Segoe UI" w:ascii="Segoe UI" w:hAnsi="Segoe UI"/>
          <w:color w:val="101820"/>
          <w:sz w:val="21"/>
        </w:rPr>
        <w:t>For a major release or go-live, deploy the release tag to a PRE-PROD restored from a PROD backup (masked where required), rehearse, run the environment comparison against PROD, then remove PRE-PROD.</w:t>
      </w:r>
    </w:p>
    <w:p>
      <w:pPr>
        <w:pStyle w:val="Normal"/>
        <w:numPr>
          <w:ilvl w:val="0"/>
          <w:numId w:val="2"/>
        </w:numPr>
        <w:spacing w:before="0" w:after="60"/>
        <w:rPr/>
      </w:pPr>
      <w:r>
        <w:rPr>
          <w:rFonts w:eastAsia="Segoe UI" w:cs="Segoe UI" w:ascii="Segoe UI" w:hAnsi="Segoe UI"/>
          <w:color w:val="101820"/>
          <w:sz w:val="21"/>
        </w:rPr>
        <w:t xml:space="preserve">Tag the release </w:t>
      </w:r>
      <w:r>
        <w:rPr>
          <w:rFonts w:eastAsia="Consolas" w:cs="Consolas" w:ascii="Consolas" w:hAnsi="Consolas"/>
          <w:color w:val="101820"/>
          <w:sz w:val="19"/>
        </w:rPr>
        <w:t>vX.Y.Z</w:t>
      </w:r>
      <w:r>
        <w:rPr>
          <w:rFonts w:eastAsia="Segoe UI" w:cs="Segoe UI" w:ascii="Segoe UI" w:hAnsi="Segoe UI"/>
          <w:color w:val="101820"/>
          <w:sz w:val="21"/>
        </w:rPr>
        <w:t>: PROD deploys after two reviewers approve (DevOps lead and the broker's release approver or CAB), inside the maintenance window.</w:t>
      </w:r>
    </w:p>
    <w:p>
      <w:pPr>
        <w:pStyle w:val="Normal"/>
        <w:numPr>
          <w:ilvl w:val="0"/>
          <w:numId w:val="2"/>
        </w:numPr>
        <w:spacing w:before="0" w:after="60"/>
        <w:rPr/>
      </w:pPr>
      <w:r>
        <w:rPr>
          <w:rFonts w:eastAsia="Segoe UI" w:cs="Segoe UI" w:ascii="Segoe UI" w:hAnsi="Segoe UI"/>
          <w:color w:val="101820"/>
          <w:sz w:val="21"/>
        </w:rPr>
        <w:t>Every deployment takes a verified pre-deploy backup (always for PRE-PROD and PROD), migrates forward only, switches the API, publishes the front end, runs the smoke test and rolls the application back by itself when the switch or the smoke test fails.</w:t>
      </w:r>
    </w:p>
    <w:p>
      <w:pPr>
        <w:pStyle w:val="Normal"/>
        <w:numPr>
          <w:ilvl w:val="0"/>
          <w:numId w:val="2"/>
        </w:numPr>
        <w:spacing w:before="0" w:after="60"/>
        <w:rPr/>
      </w:pPr>
      <w:r>
        <w:rPr>
          <w:rFonts w:eastAsia="Consolas" w:cs="Consolas" w:ascii="Consolas" w:hAnsi="Consolas"/>
          <w:color w:val="101820"/>
          <w:sz w:val="19"/>
        </w:rPr>
        <w:t>rollback.yml</w:t>
      </w:r>
      <w:r>
        <w:rPr>
          <w:rFonts w:eastAsia="Segoe UI" w:cs="Segoe UI" w:ascii="Segoe UI" w:hAnsi="Segoe UI"/>
          <w:color w:val="101820"/>
          <w:sz w:val="21"/>
        </w:rPr>
        <w:t xml:space="preserve"> switches an environment back to an earlier build; a database restore is a CAB decision.</w:t>
      </w:r>
    </w:p>
    <w:p>
      <w:pPr>
        <w:pStyle w:val="Heading2"/>
        <w:rPr/>
      </w:pPr>
      <w:bookmarkStart w:id="32" w:name="__RefHeading___Toc12881_1879725379"/>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TIN, government ID and bank account numbers at rest and keys their blind indexes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DATA_ENCRYPTION_KEY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PII_ENCRYPTION_KEY_PREVIOUS</w:t>
            </w:r>
            <w:r>
              <w:rPr>
                <w:rFonts w:eastAsia="Segoe UI" w:cs="Segoe UI" w:ascii="Segoe UI" w:hAnsi="Segoe UI"/>
                <w:color w:val="101820"/>
                <w:kern w:val="0"/>
                <w:sz w:val="18"/>
                <w:szCs w:val="24"/>
                <w:lang w:val="en-US" w:eastAsia="ja-JP" w:bidi="ar-SA"/>
              </w:rPr>
              <w:t xml:space="preserve">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only during a key rotation (</w:t>
            </w:r>
            <w:r>
              <w:rPr>
                <w:rFonts w:eastAsia="Consolas" w:cs="Consolas" w:ascii="Consolas" w:hAnsi="Consolas"/>
                <w:color w:val="101820"/>
                <w:kern w:val="0"/>
                <w:sz w:val="16"/>
                <w:szCs w:val="24"/>
                <w:lang w:val="en-US" w:eastAsia="ja-JP" w:bidi="ar-SA"/>
              </w:rPr>
              <w:t>npm run pii:rotate</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of the deployment (dev, sit, uat, preprod,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Variables named in each integration connector (</w:t>
            </w:r>
            <w:r>
              <w:rPr>
                <w:rFonts w:eastAsia="Consolas" w:cs="Consolas" w:ascii="Consolas" w:hAnsi="Consolas"/>
                <w:color w:val="101820"/>
                <w:kern w:val="0"/>
                <w:sz w:val="16"/>
                <w:szCs w:val="24"/>
                <w:lang w:val="en-US" w:eastAsia="ja-JP" w:bidi="ar-SA"/>
              </w:rPr>
              <w:t>credential_env</w:t>
            </w:r>
            <w:r>
              <w:rPr>
                <w:rFonts w:eastAsia="Segoe UI" w:cs="Segoe UI" w:ascii="Segoe UI" w:hAnsi="Segoe UI"/>
                <w:color w:val="101820"/>
                <w:kern w:val="0"/>
                <w:sz w:val="18"/>
                <w:szCs w:val="24"/>
                <w:lang w:val="en-US" w:eastAsia="ja-JP" w:bidi="ar-SA"/>
              </w:rPr>
              <w:t xml:space="preserve">) and in </w:t>
            </w:r>
            <w:r>
              <w:rPr>
                <w:rFonts w:eastAsia="Consolas" w:cs="Consolas" w:ascii="Consolas" w:hAnsi="Consolas"/>
                <w:color w:val="101820"/>
                <w:kern w:val="0"/>
                <w:sz w:val="16"/>
                <w:szCs w:val="24"/>
                <w:lang w:val="en-US" w:eastAsia="ja-JP" w:bidi="ar-SA"/>
              </w:rPr>
              <w:t>eis.client_id_env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eis.client_secret_env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eis.signing_key_env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 of SMS, Viber, CTPL, LTO, insurer APIs, bank file drop and the BIR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connector cannot be switched to live while a variable is missing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12883_1879725379"/>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in DEV, SIT (large broker) and UAT, and for a major release in PRE-PROD, and keep a pre-release snapshot.</w:t>
      </w:r>
      <w:r>
        <w:br w:type="page"/>
      </w:r>
    </w:p>
    <w:p>
      <w:pPr>
        <w:pStyle w:val="Heading1"/>
        <w:rPr/>
      </w:pPr>
      <w:bookmarkStart w:id="34" w:name="__RefHeading___Toc12885_1879725379"/>
      <w:bookmarkEnd w:id="34"/>
      <w:r>
        <w:rPr>
          <w:rFonts w:eastAsia="Segoe UI" w:cs="Segoe UI" w:ascii="Segoe UI" w:hAnsi="Segoe UI"/>
          <w:b/>
          <w:color w:val="0F4761"/>
          <w:sz w:val="32"/>
        </w:rPr>
        <w:t>8.  High availability, backup and recovery</w:t>
      </w:r>
    </w:p>
    <w:p>
      <w:pPr>
        <w:pStyle w:val="Heading2"/>
        <w:rPr/>
      </w:pPr>
      <w:bookmarkStart w:id="35" w:name="__RefHeading___Toc12887_1879725379"/>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to third parties are queued in the business transaction and sent with retries and exponential backoff; a provider outage never fails or blocks a policy issue; stuck messages are queued again</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12889_1879725379"/>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12891_1879725379"/>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xml:space="preserve"> (and, with package B, </w:t>
      </w:r>
      <w:r>
        <w:rPr>
          <w:rFonts w:eastAsia="Consolas" w:cs="Consolas" w:ascii="Consolas" w:hAnsi="Consolas"/>
          <w:color w:val="101820"/>
          <w:sz w:val="19"/>
        </w:rPr>
        <w:t>PII_ENCRYPTION_KEY</w:t>
      </w:r>
      <w:r>
        <w:rPr>
          <w:rFonts w:eastAsia="Segoe UI" w:cs="Segoe UI" w:ascii="Segoe UI" w:hAnsi="Segoe UI"/>
          <w:color w:val="101820"/>
          <w:sz w:val="21"/>
        </w:rPr>
        <w:t xml:space="preserve">, without which the encrypted identifiers in a backup cannot be read), and one restore test before go-live. The release pipeline takes a verified </w:t>
      </w:r>
      <w:r>
        <w:rPr>
          <w:rFonts w:eastAsia="Consolas" w:cs="Consolas" w:ascii="Consolas" w:hAnsi="Consolas"/>
          <w:color w:val="101820"/>
          <w:sz w:val="19"/>
        </w:rPr>
        <w:t>pg_dump</w:t>
      </w:r>
      <w:r>
        <w:rPr>
          <w:rFonts w:eastAsia="Segoe UI" w:cs="Segoe UI" w:ascii="Segoe UI" w:hAnsi="Segoe UI"/>
          <w:color w:val="101820"/>
          <w:sz w:val="21"/>
        </w:rPr>
        <w:t xml:space="preserve"> before every deployment to PRE-PROD and PROD (</w:t>
      </w:r>
      <w:r>
        <w:rPr>
          <w:rFonts w:eastAsia="Consolas" w:cs="Consolas" w:ascii="Consolas" w:hAnsi="Consolas"/>
          <w:color w:val="101820"/>
          <w:sz w:val="19"/>
        </w:rPr>
        <w:t>release.sh backup</w:t>
      </w:r>
      <w:r>
        <w:rPr>
          <w:rFonts w:eastAsia="Segoe UI" w:cs="Segoe UI" w:ascii="Segoe UI" w:hAnsi="Segoe UI"/>
          <w:color w:val="101820"/>
          <w:sz w:val="21"/>
        </w:rPr>
        <w:t xml:space="preserve">, newest ten kept, copy to </w:t>
      </w:r>
      <w:r>
        <w:rPr>
          <w:rFonts w:eastAsia="Consolas" w:cs="Consolas" w:ascii="Consolas" w:hAnsi="Consolas"/>
          <w:color w:val="101820"/>
          <w:sz w:val="19"/>
        </w:rPr>
        <w:t>BACKUP_S3_URI</w:t>
      </w:r>
      <w:r>
        <w:rPr>
          <w:rFonts w:eastAsia="Segoe UI" w:cs="Segoe UI" w:ascii="Segoe UI" w:hAnsi="Segoe UI"/>
          <w:color w:val="101820"/>
          <w:sz w:val="21"/>
        </w:rPr>
        <w:t>); these are restore points for a release, not the backup plan.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12893_1879725379"/>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Housekeeping does not yet purge the operational tables added with the new modules: </w:t>
      </w:r>
      <w:r>
        <w:rPr>
          <w:rFonts w:eastAsia="Consolas" w:cs="Consolas" w:ascii="Consolas" w:hAnsi="Consolas"/>
          <w:color w:val="101820"/>
          <w:sz w:val="18"/>
        </w:rPr>
        <w:t>integration_outbox</w:t>
      </w:r>
      <w:r>
        <w:rPr>
          <w:rFonts w:eastAsia="Segoe UI" w:cs="Segoe UI" w:ascii="Segoe UI" w:hAnsi="Segoe UI"/>
          <w:color w:val="101820"/>
          <w:sz w:val="20"/>
        </w:rPr>
        <w:t xml:space="preserve"> and </w:t>
      </w:r>
      <w:r>
        <w:rPr>
          <w:rFonts w:eastAsia="Consolas" w:cs="Consolas" w:ascii="Consolas" w:hAnsi="Consolas"/>
          <w:color w:val="101820"/>
          <w:sz w:val="18"/>
        </w:rPr>
        <w:t>integration_attempts</w:t>
      </w:r>
      <w:r>
        <w:rPr>
          <w:rFonts w:eastAsia="Segoe UI" w:cs="Segoe UI" w:ascii="Segoe UI" w:hAnsi="Segoe UI"/>
          <w:color w:val="101820"/>
          <w:sz w:val="20"/>
        </w:rPr>
        <w:t xml:space="preserve">, </w:t>
      </w:r>
      <w:r>
        <w:rPr>
          <w:rFonts w:eastAsia="Consolas" w:cs="Consolas" w:ascii="Consolas" w:hAnsi="Consolas"/>
          <w:color w:val="101820"/>
          <w:sz w:val="18"/>
        </w:rPr>
        <w:t>integration_inbox</w:t>
      </w:r>
      <w:r>
        <w:rPr>
          <w:rFonts w:eastAsia="Segoe UI" w:cs="Segoe UI" w:ascii="Segoe UI" w:hAnsi="Segoe UI"/>
          <w:color w:val="101820"/>
          <w:sz w:val="20"/>
        </w:rPr>
        <w:t xml:space="preserve">, </w:t>
      </w:r>
      <w:r>
        <w:rPr>
          <w:rFonts w:eastAsia="Consolas" w:cs="Consolas" w:ascii="Consolas" w:hAnsi="Consolas"/>
          <w:color w:val="101820"/>
          <w:sz w:val="18"/>
        </w:rPr>
        <w:t>eis_submissions</w:t>
      </w:r>
      <w:r>
        <w:rPr>
          <w:rFonts w:eastAsia="Segoe UI" w:cs="Segoe UI" w:ascii="Segoe UI" w:hAnsi="Segoe UI"/>
          <w:color w:val="101820"/>
          <w:sz w:val="20"/>
        </w:rPr>
        <w:t xml:space="preserve">, </w:t>
      </w:r>
      <w:r>
        <w:rPr>
          <w:rFonts w:eastAsia="Consolas" w:cs="Consolas" w:ascii="Consolas" w:hAnsi="Consolas"/>
          <w:color w:val="101820"/>
          <w:sz w:val="18"/>
        </w:rPr>
        <w:t>aml_provider_requests</w:t>
      </w:r>
      <w:r>
        <w:rPr>
          <w:rFonts w:eastAsia="Segoe UI" w:cs="Segoe UI" w:ascii="Segoe UI" w:hAnsi="Segoe UI"/>
          <w:color w:val="101820"/>
          <w:sz w:val="20"/>
        </w:rPr>
        <w:t xml:space="preserve"> and the rows of loaded go-live workbooks (</w:t>
      </w:r>
      <w:r>
        <w:rPr>
          <w:rFonts w:eastAsia="Consolas" w:cs="Consolas" w:ascii="Consolas" w:hAnsi="Consolas"/>
          <w:color w:val="101820"/>
          <w:sz w:val="18"/>
        </w:rPr>
        <w:t>data_load_rows</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add retention rules for them before volumes grow (for example 180 days for sent messages and attempts, 730 days for failed ones, 90 days for workbook rows after the load), keeping AML records for </w:t>
      </w:r>
      <w:r>
        <w:rPr>
          <w:rFonts w:eastAsia="Consolas" w:cs="Consolas" w:ascii="Consolas" w:hAnsi="Consolas"/>
          <w:color w:val="101820"/>
          <w:sz w:val="18"/>
        </w:rPr>
        <w:t>aml.record_retention_years</w:t>
      </w:r>
      <w:r>
        <w:rPr>
          <w:rFonts w:eastAsia="Segoe UI" w:cs="Segoe UI" w:ascii="Segoe UI" w:hAnsi="Segoe UI"/>
          <w:color w:val="101820"/>
          <w:sz w:val="20"/>
        </w:rPr>
        <w:t>.</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12895_1879725379"/>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29641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29641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5"/>
        <w:gridCol w:w="4025"/>
        <w:gridCol w:w="1124"/>
      </w:tblGrid>
      <w:tr>
        <w:trPr>
          <w:tblHeader w:val="true"/>
        </w:trPr>
        <w:tc>
          <w:tcPr>
            <w:tcW w:w="38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messages failed or stuck</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any message </w:t>
            </w:r>
            <w:r>
              <w:rPr>
                <w:rFonts w:eastAsia="Consolas" w:cs="Consolas" w:ascii="Consolas" w:hAnsi="Consolas"/>
                <w:color w:val="101820"/>
                <w:kern w:val="0"/>
                <w:sz w:val="16"/>
                <w:szCs w:val="24"/>
                <w:lang w:val="en-US" w:eastAsia="ja-JP" w:bidi="ar-SA"/>
              </w:rPr>
              <w:t>failed</w:t>
            </w:r>
            <w:r>
              <w:rPr>
                <w:rFonts w:eastAsia="Segoe UI" w:cs="Segoe UI" w:ascii="Segoe UI" w:hAnsi="Segoe UI"/>
                <w:color w:val="101820"/>
                <w:kern w:val="0"/>
                <w:sz w:val="18"/>
                <w:szCs w:val="24"/>
                <w:lang w:val="en-US" w:eastAsia="ja-JP" w:bidi="ar-SA"/>
              </w:rPr>
              <w:t xml:space="preserve">, or messages queued over 30 minutes (integration monitor,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submission rejected or failed</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monitoring or breach deadline jobs not run</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12897_1879725379"/>
      <w:bookmarkEnd w:id="40"/>
      <w:r>
        <w:rPr>
          <w:rFonts w:eastAsia="Segoe UI" w:cs="Segoe UI" w:ascii="Segoe UI" w:hAnsi="Segoe UI"/>
          <w:b/>
          <w:color w:val="0F4761"/>
          <w:sz w:val="32"/>
        </w:rPr>
        <w:t>9.  Security architecture</w:t>
      </w:r>
    </w:p>
    <w:p>
      <w:pPr>
        <w:pStyle w:val="Heading2"/>
        <w:rPr/>
      </w:pPr>
      <w:bookmarkStart w:id="41" w:name="__RefHeading___Toc12899_1879725379"/>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12901_1879725379"/>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(98 with packages B and G), plus </w:t>
      </w:r>
      <w:r>
        <w:rPr>
          <w:rFonts w:eastAsia="Consolas" w:cs="Consolas" w:ascii="Consolas" w:hAnsi="Consolas"/>
          <w:color w:val="101820"/>
          <w:sz w:val="19"/>
        </w:rPr>
        <w:t>view:pii</w:t>
      </w:r>
      <w:r>
        <w:rPr>
          <w:rFonts w:eastAsia="Segoe UI" w:cs="Segoe UI" w:ascii="Segoe UI" w:hAnsi="Segoe UI"/>
          <w:color w:val="101820"/>
          <w:sz w:val="21"/>
        </w:rPr>
        <w:t xml:space="preserve"> for full personal identifiers (package B),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payables, posting rule changes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compliance-officer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customer risk rating and EDD approval, screening decisions, transaction monitoring, AML cases and AMLC reports; read of clients, policies, claims and payments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package B, Sales, Operations and Accounting hold </w:t>
      </w:r>
      <w:r>
        <w:rPr>
          <w:rFonts w:eastAsia="Consolas" w:cs="Consolas" w:ascii="Consolas" w:hAnsi="Consolas"/>
          <w:color w:val="101820"/>
          <w:sz w:val="19"/>
        </w:rPr>
        <w:t>view:pii</w:t>
      </w:r>
      <w:r>
        <w:rPr>
          <w:rFonts w:eastAsia="Segoe UI" w:cs="Segoe UI" w:ascii="Segoe UI" w:hAnsi="Segoe UI"/>
          <w:color w:val="101820"/>
          <w:sz w:val="21"/>
        </w:rPr>
        <w:t xml:space="preserve"> and see full TIN, ID, mobile, e-mail, bank account and birth date values; Processing and Claims see them masked unless the broker grants it. Operations also keeps the Insurance Commission registers and the complaints register; Claims works complaints.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12903_1879725379"/>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 masking of personal identifiers by role (package B)</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AES-256-CBC with an HMAC-SHA256 tag for personal identifiers (package B);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calls only configured provider addresses (SMTP, payment gateways, integration connector endpoints set by an administrator with </w:t>
            </w:r>
            <w:r>
              <w:rPr>
                <w:rFonts w:eastAsia="Consolas" w:cs="Consolas" w:ascii="Consolas" w:hAnsi="Consolas"/>
                <w:color w:val="101820"/>
                <w:kern w:val="0"/>
                <w:sz w:val="16"/>
                <w:szCs w:val="24"/>
                <w:lang w:val="en-US" w:eastAsia="ja-JP" w:bidi="ar-SA"/>
              </w:rPr>
              <w:t>write:integrations</w:t>
            </w:r>
            <w:r>
              <w:rPr>
                <w:rFonts w:eastAsia="Segoe UI" w:cs="Segoe UI" w:ascii="Segoe UI" w:hAnsi="Segoe UI"/>
                <w:color w:val="101820"/>
                <w:kern w:val="0"/>
                <w:sz w:val="18"/>
                <w:szCs w:val="24"/>
                <w:lang w:val="en-US" w:eastAsia="ja-JP" w:bidi="ar-SA"/>
              </w:rPr>
              <w:t>); no address taken from a request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12905_1879725379"/>
      <w:bookmarkEnd w:id="44"/>
      <w:r>
        <w:rPr>
          <w:rFonts w:eastAsia="Segoe UI" w:cs="Segoe UI"/>
          <w:b/>
          <w:color w:val="0F4761"/>
          <w:sz w:val="26"/>
        </w:rPr>
        <w:t>9.4  Encryption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790"/>
        <w:gridCol w:w="3113"/>
      </w:tblGrid>
      <w:tr>
        <w:trPr>
          <w:tblHeader w:val="true"/>
        </w:trPr>
        <w:tc>
          <w:tcPr>
            <w:tcW w:w="3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government ID and bank account numbers (package B)</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AES-256-CBC with an HMAC-SHA256 tag, keys derived from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encrypted by database triggers on every write; blind indexes for exact search</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credentials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stored: the connector keeps only the names of the environment variables</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or uploaded documents. Losing it makes two-factor secrets unreadable (administrators reset two-factor and users enrol again); no business data is lost. With package B, TIN, government ID and bank account numbers of clients, prospects, referrers and payees, the identifier keys inside quotation, placement and policy documents and the same values in the audit trail are encrypted with </w:t>
      </w:r>
      <w:r>
        <w:rPr>
          <w:rFonts w:eastAsia="Consolas" w:cs="Consolas" w:ascii="Consolas" w:hAnsi="Consolas"/>
          <w:color w:val="101820"/>
          <w:sz w:val="19"/>
        </w:rPr>
        <w:t>PII_ENCRYPTION_KEY</w:t>
      </w:r>
      <w:r>
        <w:rPr>
          <w:rFonts w:eastAsia="Segoe UI" w:cs="Segoe UI" w:ascii="Segoe UI" w:hAnsi="Segoe UI"/>
          <w:color w:val="101820"/>
          <w:sz w:val="21"/>
        </w:rPr>
        <w:t>; losing that key makes those identifiers unreadable in the database and in every backup. Other client data and uploaded documents rely on storage encryption of the database, file store and backups.</w:t>
      </w:r>
    </w:p>
    <w:p>
      <w:pPr>
        <w:pStyle w:val="Normal"/>
        <w:spacing w:lineRule="auto" w:line="276" w:before="0" w:after="120"/>
        <w:rPr/>
      </w:pPr>
      <w:r>
        <w:rPr>
          <w:rFonts w:eastAsia="Segoe UI" w:cs="Segoe UI" w:ascii="Segoe UI" w:hAnsi="Segoe UI"/>
          <w:b/>
          <w:color w:val="101820"/>
          <w:sz w:val="21"/>
        </w:rPr>
        <w:t>Key rotation (package B).</w:t>
      </w:r>
      <w:r>
        <w:rPr>
          <w:rFonts w:eastAsia="Segoe UI" w:cs="Segoe UI" w:ascii="Segoe UI" w:hAnsi="Segoe UI"/>
          <w:color w:val="101820"/>
          <w:sz w:val="21"/>
        </w:rPr>
        <w:t xml:space="preserve"> Set the new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and the old one in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restart, 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and </w:t>
      </w:r>
      <w:r>
        <w:rPr>
          <w:rFonts w:eastAsia="Consolas" w:cs="Consolas" w:ascii="Consolas" w:hAnsi="Consolas"/>
          <w:color w:val="101820"/>
          <w:sz w:val="19"/>
        </w:rPr>
        <w:t>npm run pii:rotate -- --execute</w:t>
      </w:r>
      <w:r>
        <w:rPr>
          <w:rFonts w:eastAsia="Segoe UI" w:cs="Segoe UI" w:ascii="Segoe UI" w:hAnsi="Segoe UI"/>
          <w:color w:val="101820"/>
          <w:sz w:val="21"/>
        </w:rPr>
        <w:t>, then remove the previous key when nothing is left on it. Keep the old key with the backups taken before the rotation.</w:t>
      </w:r>
    </w:p>
    <w:p>
      <w:pPr>
        <w:pStyle w:val="Normal"/>
        <w:spacing w:lineRule="auto" w:line="276" w:before="0" w:after="120"/>
        <w:rPr/>
      </w:pPr>
      <w:r>
        <w:rPr>
          <w:rFonts w:eastAsia="Segoe UI" w:cs="Segoe UI" w:ascii="Segoe UI" w:hAnsi="Segoe UI"/>
          <w:b/>
          <w:color w:val="101820"/>
          <w:sz w:val="21"/>
        </w:rPr>
        <w:t>Masking by role (package B).</w:t>
      </w:r>
      <w:r>
        <w:rPr>
          <w:rFonts w:eastAsia="Segoe UI" w:cs="Segoe UI" w:ascii="Segoe UI" w:hAnsi="Segoe UI"/>
          <w:color w:val="101820"/>
          <w:sz w:val="21"/>
        </w:rPr>
        <w:t xml:space="preserve"> Users without </w:t>
      </w:r>
      <w:r>
        <w:rPr>
          <w:rFonts w:eastAsia="Consolas" w:cs="Consolas" w:ascii="Consolas" w:hAnsi="Consolas"/>
          <w:color w:val="101820"/>
          <w:sz w:val="19"/>
        </w:rPr>
        <w:t>view:pii</w:t>
      </w:r>
      <w:r>
        <w:rPr>
          <w:rFonts w:eastAsia="Segoe UI" w:cs="Segoe UI" w:ascii="Segoe UI" w:hAnsi="Segoe UI"/>
          <w:color w:val="101820"/>
          <w:sz w:val="21"/>
        </w:rPr>
        <w:t xml:space="preserve"> receive personal identifiers partially masked in every screen, export and report file (</w:t>
      </w:r>
      <w:r>
        <w:rPr>
          <w:rFonts w:eastAsia="Consolas" w:cs="Consolas" w:ascii="Consolas" w:hAnsi="Consolas"/>
          <w:color w:val="101820"/>
          <w:sz w:val="19"/>
        </w:rPr>
        <w:t>privacy.masking_enabled</w:t>
      </w:r>
      <w:r>
        <w:rPr>
          <w:rFonts w:eastAsia="Segoe UI" w:cs="Segoe UI" w:ascii="Segoe UI" w:hAnsi="Segoe UI"/>
          <w:color w:val="101820"/>
          <w:sz w:val="21"/>
        </w:rPr>
        <w:t xml:space="preserve">). With </w:t>
      </w:r>
      <w:r>
        <w:rPr>
          <w:rFonts w:eastAsia="Consolas" w:cs="Consolas" w:ascii="Consolas" w:hAnsi="Consolas"/>
          <w:color w:val="101820"/>
          <w:sz w:val="19"/>
        </w:rPr>
        <w:t>privacy.pii_reveal_mode</w:t>
      </w:r>
      <w:r>
        <w:rPr>
          <w:rFonts w:eastAsia="Segoe UI" w:cs="Segoe UI" w:ascii="Segoe UI" w:hAnsi="Segoe UI"/>
          <w:color w:val="101820"/>
          <w:sz w:val="21"/>
        </w:rPr>
        <w:t xml:space="preserve"> set to </w:t>
      </w:r>
      <w:r>
        <w:rPr>
          <w:rFonts w:eastAsia="Consolas" w:cs="Consolas" w:ascii="Consolas" w:hAnsi="Consolas"/>
          <w:color w:val="101820"/>
          <w:sz w:val="19"/>
        </w:rPr>
        <w:t>on-request</w:t>
      </w:r>
      <w:r>
        <w:rPr>
          <w:rFonts w:eastAsia="Segoe UI" w:cs="Segoe UI" w:ascii="Segoe UI" w:hAnsi="Segoe UI"/>
          <w:color w:val="101820"/>
          <w:sz w:val="21"/>
        </w:rPr>
        <w:t>, even holders see masked values until they switch on "Show full identifiers", and each answer given in full is recorded in the audit trail. Before package B, these values are shown to every user who can open the record.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w:t>
      </w:r>
      <w:r>
        <w:rPr>
          <w:rFonts w:eastAsia="Consolas" w:cs="Consolas" w:ascii="Consolas" w:hAnsi="Consolas"/>
          <w:color w:val="101820"/>
          <w:sz w:val="18"/>
        </w:rPr>
        <w:t>PII_ENCRYPTION_KEY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12907_1879725379"/>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time and source (screen, API or job), written by every mutating handler; kept by default; shown as business events with old and new values per field</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call to a third party and every message received, with 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System Configuration &gt; Audit Trail filters by record type, record, user, action and date and exports to Excel or CSV; the History panel of a record shows its own events.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12909_1879725379"/>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 CI runs </w:t>
            </w:r>
            <w:r>
              <w:rPr>
                <w:rFonts w:eastAsia="Consolas" w:cs="Consolas" w:ascii="Consolas" w:hAnsi="Consolas"/>
                <w:color w:val="101820"/>
                <w:kern w:val="0"/>
                <w:sz w:val="16"/>
                <w:szCs w:val="24"/>
                <w:lang w:val="en-US" w:eastAsia="ja-JP" w:bidi="ar-SA"/>
              </w:rPr>
              <w:t>npm audit --omit=dev --audit-level=high</w:t>
            </w:r>
            <w:r>
              <w:rPr>
                <w:rFonts w:eastAsia="Segoe UI" w:cs="Segoe UI" w:ascii="Segoe UI" w:hAnsi="Segoe UI"/>
                <w:color w:val="101820"/>
                <w:kern w:val="0"/>
                <w:sz w:val="18"/>
                <w:szCs w:val="24"/>
                <w:lang w:val="en-US" w:eastAsia="ja-JP" w:bidi="ar-SA"/>
              </w:rPr>
              <w:t xml:space="preserve"> on every pull request and fails on a high or critical advisory in a production dependency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Add an image scan (for example Trivy or the registry's scanner) to the CI audit job; enable GitHub Dependabot alerts and secret scanning; patch critical findings within 14 days and high within 30 days; patch the operating system, PostgreSQL and nginx monthly.</w:t>
      </w:r>
    </w:p>
    <w:p>
      <w:pPr>
        <w:pStyle w:val="Heading2"/>
        <w:rPr/>
      </w:pPr>
      <w:bookmarkStart w:id="47" w:name="__RefHeading___Toc12911_1879725379"/>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12913_1879725379"/>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the backend suite of 97 test files against PostgreSQL 16, front-end lint, tests and build, dependency audit); branch protection requires one approving review and the four checks; the Technical Reference gives the reviewer's checklist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classification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table classified for the transaction reset and every personal column in the personal data catalogue; tests fail otherwise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Image scanning; a short threat review for changes to authentication, payments, integrations and personal data.</w:t>
      </w:r>
      <w:r>
        <w:br w:type="page"/>
      </w:r>
    </w:p>
    <w:p>
      <w:pPr>
        <w:pStyle w:val="Heading1"/>
        <w:rPr/>
      </w:pPr>
      <w:bookmarkStart w:id="49" w:name="__RefHeading___Toc12915_1879725379"/>
      <w:bookmarkEnd w:id="49"/>
      <w:r>
        <w:rPr>
          <w:rFonts w:eastAsia="Segoe UI" w:cs="Segoe UI" w:ascii="Segoe UI" w:hAnsi="Segoe UI"/>
          <w:b/>
          <w:color w:val="0F4761"/>
          <w:sz w:val="32"/>
        </w:rPr>
        <w:t>10.  Data privacy</w:t>
      </w:r>
    </w:p>
    <w:p>
      <w:pPr>
        <w:pStyle w:val="Heading2"/>
        <w:rPr/>
      </w:pPr>
      <w:bookmarkStart w:id="50" w:name="__RefHeading___Toc12917_1879725379"/>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12919_1879725379"/>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12921_1879725379"/>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 signature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e_signatures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Juridical clients' signatories and beneficial owners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IDs, ownership share, board resolutions, due diligence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rating, screening matches, transaction alerts, case notes, CTR and STR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w:t>
            </w:r>
            <w:r>
              <w:rPr>
                <w:rFonts w:eastAsia="Segoe UI" w:cs="Segoe UI" w:ascii="Segoe UI" w:hAnsi="Segoe UI"/>
                <w:color w:val="101820"/>
                <w:kern w:val="0"/>
                <w:sz w:val="18"/>
                <w:szCs w:val="24"/>
                <w:lang w:val="en-US" w:eastAsia="ja-JP" w:bidi="ar-SA"/>
              </w:rPr>
              <w:t xml:space="preserve"> tables (Compliance Officer only)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consent checked, opt-out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campaign_recipients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Complainants and breach records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Complainant name and contact, complaint details; breach description and affected data subjects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12923_1879725379"/>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 marketing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 the campaign module sends only to parties with a marketing consent and every e-mail carries an opt-out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customer due diligence, screening, covered and suspicious transaction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 (AMLA and its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12925_1879725379"/>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12927_1879725379"/>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12929_1879725379"/>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12931_1879725379"/>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12933_1879725379"/>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 with package B record the assessment against the NPC criteria in Compliance &gt; Data Privacy (NPC) &gt; Breach Register</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with package B the Breach Register tracks the 72-hour deadline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 xml:space="preserve">) and the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job reminds the team;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 (package B: annual security incident report from the Breach Register)</w:t>
            </w:r>
          </w:p>
        </w:tc>
      </w:tr>
    </w:tbl>
    <w:p>
      <w:pPr>
        <w:pStyle w:val="Heading1"/>
        <w:rPr/>
      </w:pPr>
      <w:r>
        <w:br w:type="page"/>
      </w:r>
      <w:bookmarkStart w:id="59" w:name="__RefHeading___Toc12935_1879725379"/>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persons and payouts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of the firm, officers and referrers with expiry reminders; payouts to a referrer with a lapsed licence are blocked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fit and proper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only with authorised insurers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certificate of authority checked at placement and policy issue (</w:t>
            </w: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and production report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accounts mapped to the statement lines; production by line of business and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handling, RA 11765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with acknowledgement and resolution deadlines, escalation and the regulator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and onboarding before the first policy, beneficial owners, risk rating and EDD, screening, covered and suspicious transaction monitoring, cases and AMLC report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Heading1"/>
        <w:rPr/>
      </w:pPr>
      <w:r>
        <w:br w:type="page"/>
      </w:r>
      <w:bookmarkStart w:id="60" w:name="__RefHeading___Toc12937_1879725379"/>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Eight roles with read, write and approve permissions; deny by default; personal identifiers masked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(package 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Assign roles by job; keep few System Administrators; decide who holds </w:t>
            </w:r>
            <w:r>
              <w:rPr>
                <w:rFonts w:eastAsia="Consolas" w:cs="Consolas" w:ascii="Consolas" w:hAnsi="Consolas"/>
                <w:color w:val="101820"/>
                <w:kern w:val="0"/>
                <w:sz w:val="16"/>
                <w:szCs w:val="24"/>
                <w:lang w:val="en-US" w:eastAsia="ja-JP" w:bidi="ar-SA"/>
              </w:rPr>
              <w:t>view:pii</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 TIN, ID and bank account numbers encrypted (package 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rotate the personal data key on schedule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with required checks; one artefact promoted with approvals per environment; pre-deploy backup; forward-only migrations; automatic rollback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release approvers and CAB; UAT sign-off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tool; environment marker; go-live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 every copy of production before people without production access use 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 Breach Register with the 72-hour tracker (package 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module and the Compliance Officer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compliance officer; approve the risk factors and thresholds; file CTRs and STRs with the AMLC</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(RA 11765)</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(package 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deadlines and the escalation; report to the IC as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1" w:name="__RefHeading___Toc12939_1879725379"/>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9">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8">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8">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2026-10-04T09:23:41Z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