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2136440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84644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84644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TISPH Feature Catalogue and Release Tiers</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0.1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3</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w:t>
        </w:r>
        <w:r>
          <w:rPr>
            <w:b/>
            <w:noProof/>
          </w:rPr>
          <w:tab/>
        </w:r>
        <w:r>
          <w:rPr>
            <w:b/>
            <w:noProof/>
          </w:rPr>
          <w:t>3</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w:t>
        </w:r>
        <w:r>
          <w:rPr>
            <w:b/>
            <w:noProof/>
          </w:rPr>
          <w:tab/>
        </w:r>
        <w:r>
          <w:rPr>
            <w:b/>
            <w:noProof/>
          </w:rPr>
          <w:t>5</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Release Tiers</w:t>
        </w:r>
        <w:r>
          <w:rPr>
            <w:b/>
            <w:noProof/>
          </w:rPr>
          <w:tab/>
        </w:r>
        <w:r>
          <w:rPr>
            <w:b/>
            <w:noProof/>
          </w:rPr>
          <w:t>5</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How a Function Is Enabled</w:t>
        </w:r>
        <w:r>
          <w:rPr>
            <w:b/>
            <w:noProof/>
          </w:rPr>
          <w:tab/>
        </w:r>
        <w:r>
          <w:rPr>
            <w:b/>
            <w:noProof/>
          </w:rPr>
          <w:t>5</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Phase 1 Functions</w:t>
        </w:r>
        <w:r>
          <w:rPr>
            <w:b/>
            <w:noProof/>
          </w:rPr>
          <w:tab/>
        </w:r>
        <w:r>
          <w:rPr>
            <w:b/>
            <w:noProof/>
          </w:rPr>
          <w:t>6</w:t>
        </w:r>
      </w:hyperlink>
    </w:p>
    <w:p xmlns:a="http://schemas.openxmlformats.org/drawingml/2006/main" xmlns:pic="http://schemas.openxmlformats.org/drawingml/2006/picture">
      <w:pPr>
        <w:pStyle w:val="TOC1"/>
      </w:pPr>
      <w:hyperlink w:anchor="_Toc300001007" w:history="1">
        <w:r>
          <w:rPr>
            <w:b/>
            <w:noProof/>
          </w:rPr>
          <w:t xml:space="preserve">5.</w:t>
        </w:r>
        <w:r>
          <w:rPr>
            <w:b/>
            <w:noProof/>
          </w:rPr>
          <w:tab/>
        </w:r>
        <w:r>
          <w:rPr>
            <w:b/>
            <w:noProof/>
          </w:rPr>
          <w:t xml:space="preserve">Platform Functions</w:t>
        </w:r>
        <w:r>
          <w:rPr>
            <w:b/>
            <w:noProof/>
          </w:rPr>
          <w:tab/>
        </w:r>
        <w:r>
          <w:rPr>
            <w:b/>
            <w:noProof/>
          </w:rPr>
          <w:t>9</w:t>
        </w:r>
      </w:hyperlink>
    </w:p>
    <w:p xmlns:a="http://schemas.openxmlformats.org/drawingml/2006/main" xmlns:pic="http://schemas.openxmlformats.org/drawingml/2006/picture">
      <w:pPr>
        <w:pStyle w:val="TOC1"/>
      </w:pPr>
      <w:hyperlink w:anchor="_Toc300001008" w:history="1">
        <w:r>
          <w:rPr>
            <w:b/>
            <w:noProof/>
          </w:rPr>
          <w:t xml:space="preserve">6.</w:t>
        </w:r>
        <w:r>
          <w:rPr>
            <w:b/>
            <w:noProof/>
          </w:rPr>
          <w:tab/>
        </w:r>
        <w:r>
          <w:rPr>
            <w:b/>
            <w:noProof/>
          </w:rPr>
          <w:t xml:space="preserve">Phase 2 Functions</w:t>
        </w:r>
        <w:r>
          <w:rPr>
            <w:b/>
            <w:noProof/>
          </w:rPr>
          <w:tab/>
        </w:r>
        <w:r>
          <w:rPr>
            <w:b/>
            <w:noProof/>
          </w:rPr>
          <w:t>10</w:t>
        </w:r>
      </w:hyperlink>
    </w:p>
    <w:p xmlns:a="http://schemas.openxmlformats.org/drawingml/2006/main" xmlns:pic="http://schemas.openxmlformats.org/drawingml/2006/picture">
      <w:pPr>
        <w:pStyle w:val="TOC1"/>
      </w:pPr>
      <w:hyperlink w:anchor="_Toc300001009" w:history="1">
        <w:r>
          <w:rPr>
            <w:b/>
            <w:noProof/>
          </w:rPr>
          <w:t xml:space="preserve">7.</w:t>
        </w:r>
        <w:r>
          <w:rPr>
            <w:b/>
            <w:noProof/>
          </w:rPr>
          <w:tab/>
        </w:r>
        <w:r>
          <w:rPr>
            <w:b/>
            <w:noProof/>
          </w:rPr>
          <w:t xml:space="preserve">Future Releases</w:t>
        </w:r>
        <w:r>
          <w:rPr>
            <w:b/>
            <w:noProof/>
          </w:rPr>
          <w:tab/>
        </w:r>
        <w:r>
          <w:rPr>
            <w:b/>
            <w:noProof/>
          </w:rPr>
          <w:t>11</w:t>
        </w:r>
      </w:hyperlink>
    </w:p>
    <w:p xmlns:a="http://schemas.openxmlformats.org/drawingml/2006/main" xmlns:pic="http://schemas.openxmlformats.org/drawingml/2006/picture">
      <w:pPr>
        <w:pStyle w:val="TOC1"/>
      </w:pPr>
      <w:hyperlink w:anchor="_Toc300001010" w:history="1">
        <w:r>
          <w:rPr>
            <w:b/>
            <w:noProof/>
          </w:rPr>
          <w:t xml:space="preserve">8.</w:t>
        </w:r>
        <w:r>
          <w:rPr>
            <w:b/>
            <w:noProof/>
          </w:rPr>
          <w:tab/>
        </w:r>
        <w:r>
          <w:rPr>
            <w:b/>
            <w:noProof/>
          </w:rPr>
          <w:t xml:space="preserve">Decisions for TISPH</w:t>
        </w:r>
        <w:r>
          <w:rPr>
            <w:b/>
            <w:noProof/>
          </w:rPr>
          <w:tab/>
        </w:r>
        <w:r>
          <w:rPr>
            <w:b/>
            <w:noProof/>
          </w:rPr>
          <w:t>13</w:t>
        </w:r>
      </w:hyperlink>
    </w:p>
    <w:p xmlns:a="http://schemas.openxmlformats.org/drawingml/2006/main" xmlns:pic="http://schemas.openxmlformats.org/drawingml/2006/picture">
      <w:pPr>
        <w:pStyle w:val="TOC1"/>
      </w:pPr>
      <w:hyperlink w:anchor="_Toc300001011" w:history="1">
        <w:r>
          <w:rPr>
            <w:b/>
            <w:noProof/>
          </w:rPr>
          <w:t xml:space="preserve">9.</w:t>
        </w:r>
        <w:r>
          <w:rPr>
            <w:b/>
            <w:noProof/>
          </w:rPr>
          <w:tab/>
        </w:r>
        <w:r>
          <w:rPr>
            <w:b/>
            <w:noProof/>
          </w:rPr>
          <w:t xml:space="preserve">What Phase 2 and Future Functions Control</w:t>
        </w:r>
        <w:r>
          <w:rPr>
            <w:b/>
            <w:noProof/>
          </w:rPr>
          <w:tab/>
        </w:r>
        <w:r>
          <w:rPr>
            <w:b/>
            <w:noProof/>
          </w:rPr>
          <w:t>15</w:t>
        </w:r>
      </w:hyperlink>
    </w:p>
    <w:p xmlns:a="http://schemas.openxmlformats.org/drawingml/2006/main" xmlns:pic="http://schemas.openxmlformats.org/drawingml/2006/picture">
      <w:pPr>
        <w:pStyle w:val="TOC1"/>
      </w:pPr>
      <w:hyperlink w:anchor="_Toc300001012" w:history="1">
        <w:r>
          <w:rPr>
            <w:b/>
            <w:noProof/>
          </w:rPr>
          <w:t xml:space="preserve">10.</w:t>
        </w:r>
        <w:r>
          <w:rPr>
            <w:b/>
            <w:noProof/>
          </w:rPr>
          <w:tab/>
        </w:r>
        <w:r>
          <w:rPr>
            <w:b/>
            <w:noProof/>
          </w:rPr>
          <w:t xml:space="preserve">Document Sign-Off</w:t>
        </w:r>
        <w:r>
          <w:rPr>
            <w:b/>
            <w:noProof/>
          </w:rPr>
          <w:tab/>
        </w:r>
        <w:r>
          <w:rPr>
            <w:b/>
            <w:noProof/>
          </w:rPr>
          <w:t>17</w:t>
        </w:r>
      </w:hyperlink>
    </w:p>
    <w:p xmlns:a="http://schemas.openxmlformats.org/drawingml/2006/main" xmlns:pic="http://schemas.openxmlformats.org/drawingml/2006/picture">
      <w:pPr>
        <w:pStyle w:val="TOC1"/>
      </w:pPr>
      <w:hyperlink w:anchor="_Toc300001013" w:history="1">
        <w:r>
          <w:rPr>
            <w:b/>
            <w:noProof/>
          </w:rPr>
          <w:t xml:space="preserve">11.</w:t>
        </w:r>
        <w:r>
          <w:rPr>
            <w:b/>
            <w:noProof/>
          </w:rPr>
          <w:tab/>
        </w:r>
        <w:r>
          <w:rPr>
            <w:b/>
            <w:noProof/>
          </w:rPr>
          <w:t xml:space="preserve">Pending Items</w:t>
        </w:r>
        <w:r>
          <w:rPr>
            <w:b/>
            <w:noProof/>
          </w:rPr>
          <w:tab/>
        </w:r>
        <w:r>
          <w:rPr>
            <w:b/>
            <w:noProof/>
          </w:rPr>
          <w:t>18</w:t>
        </w:r>
      </w:hyperlink>
    </w:p>
    <w:p xmlns:a="http://schemas.openxmlformats.org/drawingml/2006/main" xmlns:pic="http://schemas.openxmlformats.org/drawingml/2006/picture">
      <w:pPr>
        <w:pStyle w:val="TOC1"/>
      </w:pPr>
      <w:hyperlink w:anchor="_Toc300001014" w:history="1">
        <w:r>
          <w:rPr>
            <w:b/>
            <w:noProof/>
          </w:rPr>
          <w:t xml:space="preserve">12.</w:t>
        </w:r>
        <w:r>
          <w:rPr>
            <w:b/>
            <w:noProof/>
          </w:rPr>
          <w:tab/>
        </w:r>
        <w:r>
          <w:rPr>
            <w:b/>
            <w:noProof/>
          </w:rPr>
          <w:t xml:space="preserve">Document Sign-Off</w:t>
        </w:r>
        <w:r>
          <w:rPr>
            <w:b/>
            <w:noProof/>
          </w:rPr>
          <w:tab/>
        </w:r>
        <w:r>
          <w:rPr>
            <w:b/>
            <w:noProof/>
          </w:rPr>
          <w:t>18</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0.1</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Toyota Insurance Services Philippines</w:t>
            </w:r>
          </w:p>
        </w:tc>
        <w:tc>
          <w:tcPr>
            <w:tcW w:w="1565" w:type="dxa"/>
          </w:tcPr>
          <w:p>
            <w:pPr>
              <w:spacing w:before="40" w:after="40" w:line="240" w:lineRule="auto"/>
            </w:pPr>
            <w:r>
              <w:rPr>
                <w:rFonts w:ascii="Segoe UI" w:hAnsi="Segoe UI" w:cs="Segoe UI" w:eastAsia="Segoe UI"/>
                <w:sz w:val="16"/>
                <w:szCs w:val="16"/>
              </w:rPr>
              <w:t xml:space="preserve">Pending review</w:t>
            </w:r>
          </w:p>
        </w:tc>
        <w:tc>
          <w:tcPr>
            <w:tcW w:w="1381" w:type="dxa"/>
          </w:tcPr>
          <w:p>
            <w:pPr>
              <w:spacing w:before="40" w:after="40" w:line="240" w:lineRule="auto"/>
            </w:pPr>
            <w:r>
              <w:rPr>
                <w:rFonts w:ascii="Segoe UI" w:hAnsi="Segoe UI" w:cs="Segoe UI" w:eastAsia="Segoe UI"/>
                <w:sz w:val="16"/>
                <w:szCs w:val="16"/>
              </w:rPr>
              <w:t xml:space="preserve">Pending approval</w:t>
            </w:r>
          </w:p>
        </w:tc>
        <w:tc>
          <w:tcPr>
            <w:tcW w:w="2674" w:type="dxa"/>
          </w:tcPr>
          <w:p>
            <w:pPr>
              <w:spacing w:before="40" w:after="40" w:line="240" w:lineRule="auto"/>
            </w:pPr>
            <w:r>
              <w:rPr>
                <w:rFonts w:ascii="Segoe UI" w:hAnsi="Segoe UI" w:cs="Segoe UI" w:eastAsia="Segoe UI"/>
                <w:sz w:val="16"/>
                <w:szCs w:val="16"/>
              </w:rPr>
              <w:t xml:space="preserve">First issue: every function of the platform with its release tier, requirement IDs, dependencies and the decisions TISPH has to take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TISPH Feature Catalogue and Release Tiers</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0.1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TISPH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Internal</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Toyota Insurance Services Philippines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Symbol</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AP</w:t>
            </w:r>
          </w:p>
        </w:tc>
        <w:tc>
          <w:tcPr>
            <w:tcW w:w="6319" w:type="dxa"/>
          </w:tcPr>
          <w:p>
            <w:pPr>
              <w:spacing w:before="40" w:after="40" w:line="240" w:lineRule="auto"/>
            </w:pPr>
            <w:r>
              <w:rPr>
                <w:rFonts w:ascii="Segoe UI" w:hAnsi="Segoe UI" w:cs="Segoe UI" w:eastAsia="Segoe UI"/>
                <w:sz w:val="16"/>
                <w:szCs w:val="16"/>
              </w:rPr>
              <w:t xml:space="preserve">Accounts payable</w:t>
            </w:r>
          </w:p>
        </w:tc>
      </w:tr>
      <w:tr>
        <w:trPr>
          <w:cantSplit/>
        </w:trPr>
        <w:tc>
          <w:tcPr>
            <w:tcW w:w="2708" w:type="dxa"/>
          </w:tcPr>
          <w:p>
            <w:pPr>
              <w:spacing w:before="40" w:after="40" w:line="240" w:lineRule="auto"/>
            </w:pPr>
            <w:r>
              <w:rPr>
                <w:rFonts w:ascii="Segoe UI" w:hAnsi="Segoe UI" w:cs="Segoe UI" w:eastAsia="Segoe UI"/>
                <w:b/>
                <w:bCs/>
                <w:sz w:val="16"/>
                <w:szCs w:val="16"/>
              </w:rPr>
              <w:t xml:space="preserve">API</w:t>
            </w:r>
          </w:p>
        </w:tc>
        <w:tc>
          <w:tcPr>
            <w:tcW w:w="6319" w:type="dxa"/>
          </w:tcPr>
          <w:p>
            <w:pPr>
              <w:spacing w:before="40" w:after="40" w:line="240" w:lineRule="auto"/>
            </w:pPr>
            <w:r>
              <w:rPr>
                <w:rFonts w:ascii="Segoe UI" w:hAnsi="Segoe UI" w:cs="Segoe UI" w:eastAsia="Segoe UI"/>
                <w:sz w:val="16"/>
                <w:szCs w:val="16"/>
              </w:rPr>
              <w:t xml:space="preserve">Application programming interface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BI</w:t>
            </w:r>
          </w:p>
        </w:tc>
        <w:tc>
          <w:tcPr>
            <w:tcW w:w="6319" w:type="dxa"/>
          </w:tcPr>
          <w:p>
            <w:pPr>
              <w:spacing w:before="40" w:after="40" w:line="240" w:lineRule="auto"/>
            </w:pPr>
            <w:r>
              <w:rPr>
                <w:rFonts w:ascii="Segoe UI" w:hAnsi="Segoe UI" w:cs="Segoe UI" w:eastAsia="Segoe UI"/>
                <w:sz w:val="16"/>
                <w:szCs w:val="16"/>
              </w:rPr>
              <w:t xml:space="preserve">Business intelligence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BIR</w:t>
            </w:r>
          </w:p>
        </w:tc>
        <w:tc>
          <w:tcPr>
            <w:tcW w:w="6319" w:type="dxa"/>
          </w:tcPr>
          <w:p>
            <w:pPr>
              <w:spacing w:before="40" w:after="40" w:line="240" w:lineRule="auto"/>
            </w:pPr>
            <w:r>
              <w:rPr>
                <w:rFonts w:ascii="Segoe UI" w:hAnsi="Segoe UI" w:cs="Segoe UI" w:eastAsia="Segoe UI"/>
                <w:sz w:val="16"/>
                <w:szCs w:val="16"/>
              </w:rPr>
              <w:t xml:space="preserve">Bureau of Internal Revenue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BRD</w:t>
            </w:r>
          </w:p>
        </w:tc>
        <w:tc>
          <w:tcPr>
            <w:tcW w:w="6319" w:type="dxa"/>
          </w:tcPr>
          <w:p>
            <w:pPr>
              <w:spacing w:before="40" w:after="40" w:line="240" w:lineRule="auto"/>
            </w:pPr>
            <w:r>
              <w:rPr>
                <w:rFonts w:ascii="Segoe UI" w:hAnsi="Segoe UI" w:cs="Segoe UI" w:eastAsia="Segoe UI"/>
                <w:sz w:val="16"/>
                <w:szCs w:val="16"/>
              </w:rPr>
              <w:t xml:space="preserve">Business Requirement Document (TISPH, v2.2, signed)</w:t>
            </w:r>
          </w:p>
        </w:tc>
      </w:tr>
      <w:tr>
        <w:trPr>
          <w:cantSplit/>
        </w:trPr>
        <w:tc>
          <w:tcPr>
            <w:tcW w:w="2708" w:type="dxa"/>
          </w:tcPr>
          <w:p>
            <w:pPr>
              <w:spacing w:before="40" w:after="40" w:line="240" w:lineRule="auto"/>
            </w:pPr>
            <w:r>
              <w:rPr>
                <w:rFonts w:ascii="Segoe UI" w:hAnsi="Segoe UI" w:cs="Segoe UI" w:eastAsia="Segoe UI"/>
                <w:b/>
                <w:bCs/>
                <w:sz w:val="16"/>
                <w:szCs w:val="16"/>
              </w:rPr>
              <w:t xml:space="preserve">CAS</w:t>
            </w:r>
          </w:p>
        </w:tc>
        <w:tc>
          <w:tcPr>
            <w:tcW w:w="6319" w:type="dxa"/>
          </w:tcPr>
          <w:p>
            <w:pPr>
              <w:spacing w:before="40" w:after="40" w:line="240" w:lineRule="auto"/>
            </w:pPr>
            <w:r>
              <w:rPr>
                <w:rFonts w:ascii="Segoe UI" w:hAnsi="Segoe UI" w:cs="Segoe UI" w:eastAsia="Segoe UI"/>
                <w:sz w:val="16"/>
                <w:szCs w:val="16"/>
              </w:rPr>
              <w:t xml:space="preserve">Computerized Accounting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COC</w:t>
            </w:r>
          </w:p>
        </w:tc>
        <w:tc>
          <w:tcPr>
            <w:tcW w:w="6319" w:type="dxa"/>
          </w:tcPr>
          <w:p>
            <w:pPr>
              <w:spacing w:before="40" w:after="40" w:line="240" w:lineRule="auto"/>
            </w:pPr>
            <w:r>
              <w:rPr>
                <w:rFonts w:ascii="Segoe UI" w:hAnsi="Segoe UI" w:cs="Segoe UI" w:eastAsia="Segoe UI"/>
                <w:sz w:val="16"/>
                <w:szCs w:val="16"/>
              </w:rPr>
              <w:t xml:space="preserve">Certificate of cover (CTPL)</w:t>
            </w:r>
          </w:p>
        </w:tc>
      </w:tr>
      <w:tr>
        <w:trPr>
          <w:cantSplit/>
        </w:trPr>
        <w:tc>
          <w:tcPr>
            <w:tcW w:w="2708" w:type="dxa"/>
          </w:tcPr>
          <w:p>
            <w:pPr>
              <w:spacing w:before="40" w:after="40" w:line="240" w:lineRule="auto"/>
            </w:pPr>
            <w:r>
              <w:rPr>
                <w:rFonts w:ascii="Segoe UI" w:hAnsi="Segoe UI" w:cs="Segoe UI" w:eastAsia="Segoe UI"/>
                <w:b/>
                <w:bCs/>
                <w:sz w:val="16"/>
                <w:szCs w:val="16"/>
              </w:rPr>
              <w:t xml:space="preserve">CSV</w:t>
            </w:r>
          </w:p>
        </w:tc>
        <w:tc>
          <w:tcPr>
            <w:tcW w:w="6319" w:type="dxa"/>
          </w:tcPr>
          <w:p>
            <w:pPr>
              <w:spacing w:before="40" w:after="40" w:line="240" w:lineRule="auto"/>
            </w:pPr>
            <w:r>
              <w:rPr>
                <w:rFonts w:ascii="Segoe UI" w:hAnsi="Segoe UI" w:cs="Segoe UI" w:eastAsia="Segoe UI"/>
                <w:sz w:val="16"/>
                <w:szCs w:val="16"/>
              </w:rPr>
              <w:t xml:space="preserve">Comma-separated values file</w:t>
            </w:r>
          </w:p>
        </w:tc>
      </w:tr>
      <w:tr>
        <w:trPr>
          <w:cantSplit/>
        </w:trPr>
        <w:tc>
          <w:tcPr>
            <w:tcW w:w="2708" w:type="dxa"/>
          </w:tcPr>
          <w:p>
            <w:pPr>
              <w:spacing w:before="40" w:after="40" w:line="240" w:lineRule="auto"/>
            </w:pPr>
            <w:r>
              <w:rPr>
                <w:rFonts w:ascii="Segoe UI" w:hAnsi="Segoe UI" w:cs="Segoe UI" w:eastAsia="Segoe UI"/>
                <w:b/>
                <w:bCs/>
                <w:sz w:val="16"/>
                <w:szCs w:val="16"/>
              </w:rPr>
              <w:t xml:space="preserve">CTPL</w:t>
            </w:r>
          </w:p>
        </w:tc>
        <w:tc>
          <w:tcPr>
            <w:tcW w:w="6319" w:type="dxa"/>
          </w:tcPr>
          <w:p>
            <w:pPr>
              <w:spacing w:before="40" w:after="40" w:line="240" w:lineRule="auto"/>
            </w:pPr>
            <w:r>
              <w:rPr>
                <w:rFonts w:ascii="Segoe UI" w:hAnsi="Segoe UI" w:cs="Segoe UI" w:eastAsia="Segoe UI"/>
                <w:sz w:val="16"/>
                <w:szCs w:val="16"/>
              </w:rPr>
              <w:t xml:space="preserve">Compulsory Third Party Liability motor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DAT</w:t>
            </w:r>
          </w:p>
        </w:tc>
        <w:tc>
          <w:tcPr>
            <w:tcW w:w="6319" w:type="dxa"/>
          </w:tcPr>
          <w:p>
            <w:pPr>
              <w:spacing w:before="40" w:after="40" w:line="240" w:lineRule="auto"/>
            </w:pPr>
            <w:r>
              <w:rPr>
                <w:rFonts w:ascii="Segoe UI" w:hAnsi="Segoe UI" w:cs="Segoe UI" w:eastAsia="Segoe UI"/>
                <w:sz w:val="16"/>
                <w:szCs w:val="16"/>
              </w:rPr>
              <w:t xml:space="preserve">BIR data file format for alphalists and relief</w:t>
            </w:r>
          </w:p>
        </w:tc>
      </w:tr>
      <w:tr>
        <w:trPr>
          <w:cantSplit/>
        </w:trPr>
        <w:tc>
          <w:tcPr>
            <w:tcW w:w="2708" w:type="dxa"/>
          </w:tcPr>
          <w:p>
            <w:pPr>
              <w:spacing w:before="40" w:after="40" w:line="240" w:lineRule="auto"/>
            </w:pPr>
            <w:r>
              <w:rPr>
                <w:rFonts w:ascii="Segoe UI" w:hAnsi="Segoe UI" w:cs="Segoe UI" w:eastAsia="Segoe UI"/>
                <w:b/>
                <w:bCs/>
                <w:sz w:val="16"/>
                <w:szCs w:val="16"/>
              </w:rPr>
              <w:t xml:space="preserve">EIS</w:t>
            </w:r>
          </w:p>
        </w:tc>
        <w:tc>
          <w:tcPr>
            <w:tcW w:w="6319" w:type="dxa"/>
          </w:tcPr>
          <w:p>
            <w:pPr>
              <w:spacing w:before="40" w:after="40" w:line="240" w:lineRule="auto"/>
            </w:pPr>
            <w:r>
              <w:rPr>
                <w:rFonts w:ascii="Segoe UI" w:hAnsi="Segoe UI" w:cs="Segoe UI" w:eastAsia="Segoe UI"/>
                <w:sz w:val="16"/>
                <w:szCs w:val="16"/>
              </w:rPr>
              <w:t xml:space="preserve">BIR Electronic Invoicing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EOPT</w:t>
            </w:r>
          </w:p>
        </w:tc>
        <w:tc>
          <w:tcPr>
            <w:tcW w:w="6319" w:type="dxa"/>
          </w:tcPr>
          <w:p>
            <w:pPr>
              <w:spacing w:before="40" w:after="40" w:line="240" w:lineRule="auto"/>
            </w:pPr>
            <w:r>
              <w:rPr>
                <w:rFonts w:ascii="Segoe UI" w:hAnsi="Segoe UI" w:cs="Segoe UI" w:eastAsia="Segoe UI"/>
                <w:sz w:val="16"/>
                <w:szCs w:val="16"/>
              </w:rPr>
              <w:t xml:space="preserve">Ease of Paying Taxes Act</w:t>
            </w:r>
          </w:p>
        </w:tc>
      </w:tr>
      <w:tr>
        <w:trPr>
          <w:cantSplit/>
        </w:trPr>
        <w:tc>
          <w:tcPr>
            <w:tcW w:w="2708" w:type="dxa"/>
          </w:tcPr>
          <w:p>
            <w:pPr>
              <w:spacing w:before="40" w:after="40" w:line="240" w:lineRule="auto"/>
            </w:pPr>
            <w:r>
              <w:rPr>
                <w:rFonts w:ascii="Segoe UI" w:hAnsi="Segoe UI" w:cs="Segoe UI" w:eastAsia="Segoe UI"/>
                <w:b/>
                <w:bCs/>
                <w:sz w:val="16"/>
                <w:szCs w:val="16"/>
              </w:rPr>
              <w:t xml:space="preserve">FRS</w:t>
            </w:r>
          </w:p>
        </w:tc>
        <w:tc>
          <w:tcPr>
            <w:tcW w:w="6319" w:type="dxa"/>
          </w:tcPr>
          <w:p>
            <w:pPr>
              <w:spacing w:before="40" w:after="40" w:line="240" w:lineRule="auto"/>
            </w:pPr>
            <w:r>
              <w:rPr>
                <w:rFonts w:ascii="Segoe UI" w:hAnsi="Segoe UI" w:cs="Segoe UI" w:eastAsia="Segoe UI"/>
                <w:sz w:val="16"/>
                <w:szCs w:val="16"/>
              </w:rPr>
              <w:t xml:space="preserve">Functional Requirement Specification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GL</w:t>
            </w:r>
          </w:p>
        </w:tc>
        <w:tc>
          <w:tcPr>
            <w:tcW w:w="6319" w:type="dxa"/>
          </w:tcPr>
          <w:p>
            <w:pPr>
              <w:spacing w:before="40" w:after="40" w:line="240" w:lineRule="auto"/>
            </w:pPr>
            <w:r>
              <w:rPr>
                <w:rFonts w:ascii="Segoe UI" w:hAnsi="Segoe UI" w:cs="Segoe UI" w:eastAsia="Segoe UI"/>
                <w:sz w:val="16"/>
                <w:szCs w:val="16"/>
              </w:rPr>
              <w:t xml:space="preserve">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ID</w:t>
            </w:r>
          </w:p>
        </w:tc>
        <w:tc>
          <w:tcPr>
            <w:tcW w:w="6319" w:type="dxa"/>
          </w:tcPr>
          <w:p>
            <w:pPr>
              <w:spacing w:before="40" w:after="40" w:line="240" w:lineRule="auto"/>
            </w:pPr>
            <w:r>
              <w:rPr>
                <w:rFonts w:ascii="Segoe UI" w:hAnsi="Segoe UI" w:cs="Segoe UI" w:eastAsia="Segoe UI"/>
                <w:sz w:val="16"/>
                <w:szCs w:val="16"/>
              </w:rPr>
              <w:t xml:space="preserve">Identifier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IT</w:t>
            </w:r>
          </w:p>
        </w:tc>
        <w:tc>
          <w:tcPr>
            <w:tcW w:w="6319" w:type="dxa"/>
          </w:tcPr>
          <w:p>
            <w:pPr>
              <w:spacing w:before="40" w:after="40" w:line="240" w:lineRule="auto"/>
            </w:pPr>
            <w:r>
              <w:rPr>
                <w:rFonts w:ascii="Segoe UI" w:hAnsi="Segoe UI" w:cs="Segoe UI" w:eastAsia="Segoe UI"/>
                <w:sz w:val="16"/>
                <w:szCs w:val="16"/>
              </w:rPr>
              <w:t xml:space="preserve">Information technology</w:t>
            </w:r>
          </w:p>
        </w:tc>
      </w:tr>
      <w:tr>
        <w:trPr>
          <w:cantSplit/>
        </w:trPr>
        <w:tc>
          <w:tcPr>
            <w:tcW w:w="2708" w:type="dxa"/>
          </w:tcPr>
          <w:p>
            <w:pPr>
              <w:spacing w:before="40" w:after="40" w:line="240" w:lineRule="auto"/>
            </w:pPr>
            <w:r>
              <w:rPr>
                <w:rFonts w:ascii="Segoe UI" w:hAnsi="Segoe UI" w:cs="Segoe UI" w:eastAsia="Segoe UI"/>
                <w:b/>
                <w:bCs/>
                <w:sz w:val="16"/>
                <w:szCs w:val="16"/>
              </w:rPr>
              <w:t xml:space="preserve">KYC</w:t>
            </w:r>
          </w:p>
        </w:tc>
        <w:tc>
          <w:tcPr>
            <w:tcW w:w="6319" w:type="dxa"/>
          </w:tcPr>
          <w:p>
            <w:pPr>
              <w:spacing w:before="40" w:after="40" w:line="240" w:lineRule="auto"/>
            </w:pPr>
            <w:r>
              <w:rPr>
                <w:rFonts w:ascii="Segoe UI" w:hAnsi="Segoe UI" w:cs="Segoe UI" w:eastAsia="Segoe UI"/>
                <w:sz w:val="16"/>
                <w:szCs w:val="16"/>
              </w:rPr>
              <w:t xml:space="preserve">Know your customer</w:t>
            </w:r>
          </w:p>
        </w:tc>
      </w:tr>
      <w:tr>
        <w:trPr>
          <w:cantSplit/>
        </w:trPr>
        <w:tc>
          <w:tcPr>
            <w:tcW w:w="2708" w:type="dxa"/>
          </w:tcPr>
          <w:p>
            <w:pPr>
              <w:spacing w:before="40" w:after="40" w:line="240" w:lineRule="auto"/>
            </w:pPr>
            <w:r>
              <w:rPr>
                <w:rFonts w:ascii="Segoe UI" w:hAnsi="Segoe UI" w:cs="Segoe UI" w:eastAsia="Segoe UI"/>
                <w:b/>
                <w:bCs/>
                <w:sz w:val="16"/>
                <w:szCs w:val="16"/>
              </w:rPr>
              <w:t xml:space="preserve">MOM</w:t>
            </w:r>
          </w:p>
        </w:tc>
        <w:tc>
          <w:tcPr>
            <w:tcW w:w="6319" w:type="dxa"/>
          </w:tcPr>
          <w:p>
            <w:pPr>
              <w:spacing w:before="40" w:after="40" w:line="240" w:lineRule="auto"/>
            </w:pPr>
            <w:r>
              <w:rPr>
                <w:rFonts w:ascii="Segoe UI" w:hAnsi="Segoe UI" w:cs="Segoe UI" w:eastAsia="Segoe UI"/>
                <w:sz w:val="16"/>
                <w:szCs w:val="16"/>
              </w:rPr>
              <w:t xml:space="preserve">Minutes of meeting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PA</w:t>
            </w:r>
          </w:p>
        </w:tc>
        <w:tc>
          <w:tcPr>
            <w:tcW w:w="6319" w:type="dxa"/>
          </w:tcPr>
          <w:p>
            <w:pPr>
              <w:spacing w:before="40" w:after="40" w:line="240" w:lineRule="auto"/>
            </w:pPr>
            <w:r>
              <w:rPr>
                <w:rFonts w:ascii="Segoe UI" w:hAnsi="Segoe UI" w:cs="Segoe UI" w:eastAsia="Segoe UI"/>
                <w:sz w:val="16"/>
                <w:szCs w:val="16"/>
              </w:rPr>
              <w:t xml:space="preserve">Personal accident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PDF</w:t>
            </w:r>
          </w:p>
        </w:tc>
        <w:tc>
          <w:tcPr>
            <w:tcW w:w="6319" w:type="dxa"/>
          </w:tcPr>
          <w:p>
            <w:pPr>
              <w:spacing w:before="40" w:after="40" w:line="240" w:lineRule="auto"/>
            </w:pPr>
            <w:r>
              <w:rPr>
                <w:rFonts w:ascii="Segoe UI" w:hAnsi="Segoe UI" w:cs="Segoe UI" w:eastAsia="Segoe UI"/>
                <w:sz w:val="16"/>
                <w:szCs w:val="16"/>
              </w:rPr>
              <w:t xml:space="preserve">Portable Document Format</w:t>
            </w:r>
          </w:p>
        </w:tc>
      </w:tr>
      <w:tr>
        <w:trPr>
          <w:cantSplit/>
        </w:trPr>
        <w:tc>
          <w:tcPr>
            <w:tcW w:w="2708" w:type="dxa"/>
          </w:tcPr>
          <w:p>
            <w:pPr>
              <w:spacing w:before="40" w:after="40" w:line="240" w:lineRule="auto"/>
            </w:pPr>
            <w:r>
              <w:rPr>
                <w:rFonts w:ascii="Segoe UI" w:hAnsi="Segoe UI" w:cs="Segoe UI" w:eastAsia="Segoe UI"/>
                <w:b/>
                <w:bCs/>
                <w:sz w:val="16"/>
                <w:szCs w:val="16"/>
              </w:rPr>
              <w:t xml:space="preserve">QAP</w:t>
            </w:r>
          </w:p>
        </w:tc>
        <w:tc>
          <w:tcPr>
            <w:tcW w:w="6319" w:type="dxa"/>
          </w:tcPr>
          <w:p>
            <w:pPr>
              <w:spacing w:before="40" w:after="40" w:line="240" w:lineRule="auto"/>
            </w:pPr>
            <w:r>
              <w:rPr>
                <w:rFonts w:ascii="Segoe UI" w:hAnsi="Segoe UI" w:cs="Segoe UI" w:eastAsia="Segoe UI"/>
                <w:sz w:val="16"/>
                <w:szCs w:val="16"/>
              </w:rPr>
              <w:t xml:space="preserve">Quarterly Alphalist of Payees</w:t>
            </w:r>
          </w:p>
        </w:tc>
      </w:tr>
      <w:tr>
        <w:trPr>
          <w:cantSplit/>
        </w:trPr>
        <w:tc>
          <w:tcPr>
            <w:tcW w:w="2708" w:type="dxa"/>
          </w:tcPr>
          <w:p>
            <w:pPr>
              <w:spacing w:before="40" w:after="40" w:line="240" w:lineRule="auto"/>
            </w:pPr>
            <w:r>
              <w:rPr>
                <w:rFonts w:ascii="Segoe UI" w:hAnsi="Segoe UI" w:cs="Segoe UI" w:eastAsia="Segoe UI"/>
                <w:b/>
                <w:bCs/>
                <w:sz w:val="16"/>
                <w:szCs w:val="16"/>
              </w:rPr>
              <w:t xml:space="preserve">REST</w:t>
            </w:r>
          </w:p>
        </w:tc>
        <w:tc>
          <w:tcPr>
            <w:tcW w:w="6319" w:type="dxa"/>
          </w:tcPr>
          <w:p>
            <w:pPr>
              <w:spacing w:before="40" w:after="40" w:line="240" w:lineRule="auto"/>
            </w:pPr>
            <w:r>
              <w:rPr>
                <w:rFonts w:ascii="Segoe UI" w:hAnsi="Segoe UI" w:cs="Segoe UI" w:eastAsia="Segoe UI"/>
                <w:sz w:val="16"/>
                <w:szCs w:val="16"/>
              </w:rPr>
              <w:t xml:space="preserve">Representational state transfer (API style)</w:t>
            </w:r>
          </w:p>
        </w:tc>
      </w:tr>
      <w:tr>
        <w:trPr>
          <w:cantSplit/>
        </w:trPr>
        <w:tc>
          <w:tcPr>
            <w:tcW w:w="2708" w:type="dxa"/>
          </w:tcPr>
          <w:p>
            <w:pPr>
              <w:spacing w:before="40" w:after="40" w:line="240" w:lineRule="auto"/>
            </w:pPr>
            <w:r>
              <w:rPr>
                <w:rFonts w:ascii="Segoe UI" w:hAnsi="Segoe UI" w:cs="Segoe UI" w:eastAsia="Segoe UI"/>
                <w:b/>
                <w:bCs/>
                <w:sz w:val="16"/>
                <w:szCs w:val="16"/>
              </w:rPr>
              <w:t xml:space="preserve">SAP</w:t>
            </w:r>
          </w:p>
        </w:tc>
        <w:tc>
          <w:tcPr>
            <w:tcW w:w="6319" w:type="dxa"/>
          </w:tcPr>
          <w:p>
            <w:pPr>
              <w:spacing w:before="40" w:after="40" w:line="240" w:lineRule="auto"/>
            </w:pPr>
            <w:r>
              <w:rPr>
                <w:rFonts w:ascii="Segoe UI" w:hAnsi="Segoe UI" w:cs="Segoe UI" w:eastAsia="Segoe UI"/>
                <w:sz w:val="16"/>
                <w:szCs w:val="16"/>
              </w:rPr>
              <w:t xml:space="preserve">SAP enterprise resource planning system (TISPH 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SAWT</w:t>
            </w:r>
          </w:p>
        </w:tc>
        <w:tc>
          <w:tcPr>
            <w:tcW w:w="6319" w:type="dxa"/>
          </w:tcPr>
          <w:p>
            <w:pPr>
              <w:spacing w:before="40" w:after="40" w:line="240" w:lineRule="auto"/>
            </w:pPr>
            <w:r>
              <w:rPr>
                <w:rFonts w:ascii="Segoe UI" w:hAnsi="Segoe UI" w:cs="Segoe UI" w:eastAsia="Segoe UI"/>
                <w:sz w:val="16"/>
                <w:szCs w:val="16"/>
              </w:rPr>
              <w:t xml:space="preserve">Summary Alphalist of Withholding Taxes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SLSP</w:t>
            </w:r>
          </w:p>
        </w:tc>
        <w:tc>
          <w:tcPr>
            <w:tcW w:w="6319" w:type="dxa"/>
          </w:tcPr>
          <w:p>
            <w:pPr>
              <w:spacing w:before="40" w:after="40" w:line="240" w:lineRule="auto"/>
            </w:pPr>
            <w:r>
              <w:rPr>
                <w:rFonts w:ascii="Segoe UI" w:hAnsi="Segoe UI" w:cs="Segoe UI" w:eastAsia="Segoe UI"/>
                <w:sz w:val="16"/>
                <w:szCs w:val="16"/>
              </w:rPr>
              <w:t xml:space="preserve">Summary List of Sales and Purchases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SMS</w:t>
            </w:r>
          </w:p>
        </w:tc>
        <w:tc>
          <w:tcPr>
            <w:tcW w:w="6319" w:type="dxa"/>
          </w:tcPr>
          <w:p>
            <w:pPr>
              <w:spacing w:before="40" w:after="40" w:line="240" w:lineRule="auto"/>
            </w:pPr>
            <w:r>
              <w:rPr>
                <w:rFonts w:ascii="Segoe UI" w:hAnsi="Segoe UI" w:cs="Segoe UI" w:eastAsia="Segoe UI"/>
                <w:sz w:val="16"/>
                <w:szCs w:val="16"/>
              </w:rPr>
              <w:t xml:space="preserve">Short message service</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w:t>
            </w:r>
          </w:p>
        </w:tc>
        <w:tc>
          <w:tcPr>
            <w:tcW w:w="6319" w:type="dxa"/>
          </w:tcPr>
          <w:p>
            <w:pPr>
              <w:spacing w:before="40" w:after="40" w:line="240" w:lineRule="auto"/>
            </w:pPr>
            <w:r>
              <w:rPr>
                <w:rFonts w:ascii="Segoe UI" w:hAnsi="Segoe UI" w:cs="Segoe UI" w:eastAsia="Segoe UI"/>
                <w:sz w:val="16"/>
                <w:szCs w:val="16"/>
              </w:rPr>
              <w:t xml:space="preserve">Toyota Insurance Services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TISPH</w:t>
            </w:r>
          </w:p>
        </w:tc>
        <w:tc>
          <w:tcPr>
            <w:tcW w:w="6319" w:type="dxa"/>
          </w:tcPr>
          <w:p>
            <w:pPr>
              <w:spacing w:before="40" w:after="40" w:line="240" w:lineRule="auto"/>
            </w:pPr>
            <w:r>
              <w:rPr>
                <w:rFonts w:ascii="Segoe UI" w:hAnsi="Segoe UI" w:cs="Segoe UI" w:eastAsia="Segoe UI"/>
                <w:sz w:val="16"/>
                <w:szCs w:val="16"/>
              </w:rPr>
              <w:t xml:space="preserve">Toyota Insurance Services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UAT</w:t>
            </w:r>
          </w:p>
        </w:tc>
        <w:tc>
          <w:tcPr>
            <w:tcW w:w="6319" w:type="dxa"/>
          </w:tcPr>
          <w:p>
            <w:pPr>
              <w:spacing w:before="40" w:after="40" w:line="240" w:lineRule="auto"/>
            </w:pPr>
            <w:r>
              <w:rPr>
                <w:rFonts w:ascii="Segoe UI" w:hAnsi="Segoe UI" w:cs="Segoe UI" w:eastAsia="Segoe UI"/>
                <w:sz w:val="16"/>
                <w:szCs w:val="16"/>
              </w:rPr>
              <w:t xml:space="preserve">User acceptance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VAT</w:t>
            </w:r>
          </w:p>
        </w:tc>
        <w:tc>
          <w:tcPr>
            <w:tcW w:w="6319" w:type="dxa"/>
          </w:tcPr>
          <w:p>
            <w:pPr>
              <w:spacing w:before="40" w:after="40" w:line="240" w:lineRule="auto"/>
            </w:pPr>
            <w:r>
              <w:rPr>
                <w:rFonts w:ascii="Segoe UI" w:hAnsi="Segoe UI" w:cs="Segoe UI" w:eastAsia="Segoe UI"/>
                <w:sz w:val="16"/>
                <w:szCs w:val="16"/>
              </w:rPr>
              <w:t xml:space="preserve">Value-added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w:t>
      </w:r>
      <w:bookmarkEnd w:id="1003"/>
    </w:p>
    <w:p xmlns:a="http://schemas.openxmlformats.org/drawingml/2006/main" xmlns:pic="http://schemas.openxmlformats.org/drawingml/2006/picture">
      <w:pPr>
        <w:jc w:val="both"/>
      </w:pPr>
      <w:r>
        <w:rPr>
          <w:rFonts w:ascii="Segoe UI" w:hAnsi="Segoe UI" w:cs="Segoe UI" w:eastAsia="Segoe UI"/>
        </w:rPr>
        <w:t xml:space="preserve">Phase 1 stays in the platform. Phase 2 functions are built and delivered off, ready to be enabled. Functions of the platform that are not part of the BRD and FRS are listed for future releases. This document lists every function with its release tier, so that TISPH can see what is enabled, what can be requested, and which decisions are open.</w:t>
      </w:r>
    </w:p>
    <w:p xmlns:a="http://schemas.openxmlformats.org/drawingml/2006/main" xmlns:pic="http://schemas.openxmlformats.org/drawingml/2006/picture">
      <w:pPr>
        <w:jc w:val="both"/>
      </w:pPr>
      <w:r>
        <w:rPr>
          <w:rFonts w:ascii="Segoe UI" w:hAnsi="Segoe UI" w:cs="Segoe UI" w:eastAsia="Segoe UI"/>
        </w:rPr>
        <w:t xml:space="preserve">Enabling replaces hiding, deactivating and switching off functions through menus or settings. Only the iorta TechNXT platform administrator enables a Phase 2 or future-release function; the administrators of TISPH see the catalogue read only (Master &gt; System Configuration &gt; Features &amp; Releases).</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Release Tiers</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50"/>
        <w:gridCol w:w="3137"/>
        <w:gridCol w:w="2516"/>
        <w:gridCol w:w="1156"/>
        <w:gridCol w:w="1068"/>
      </w:tblGrid>
      <w:tr>
        <w:trPr>
          <w:cantSplit/>
          <w:tblHeader/>
          <w:trHeight w:val="400"/>
        </w:trPr>
        <w:tc>
          <w:tcPr>
            <w:tcW w:w="1150" w:type="dxa"/>
            <w:shd w:val="clear" w:color="auto" w:fill="E8F0F8"/>
            <w:vAlign w:val="center"/>
          </w:tcPr>
          <w:p>
            <w:pPr>
              <w:spacing w:before="40" w:after="40" w:line="240" w:lineRule="auto"/>
            </w:pPr>
            <w:r>
              <w:rPr>
                <w:rFonts w:ascii="Segoe UI" w:hAnsi="Segoe UI" w:cs="Segoe UI" w:eastAsia="Segoe UI"/>
                <w:b/>
                <w:bCs/>
                <w:sz w:val="16"/>
                <w:szCs w:val="16"/>
              </w:rPr>
              <w:t xml:space="preserve">Tier</w:t>
            </w:r>
          </w:p>
        </w:tc>
        <w:tc>
          <w:tcPr>
            <w:tcW w:w="3137"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c>
          <w:tcPr>
            <w:tcW w:w="2516" w:type="dxa"/>
            <w:shd w:val="clear" w:color="auto" w:fill="E8F0F8"/>
            <w:vAlign w:val="center"/>
          </w:tcPr>
          <w:p>
            <w:pPr>
              <w:spacing w:before="40" w:after="40" w:line="240" w:lineRule="auto"/>
            </w:pPr>
            <w:r>
              <w:rPr>
                <w:rFonts w:ascii="Segoe UI" w:hAnsi="Segoe UI" w:cs="Segoe UI" w:eastAsia="Segoe UI"/>
                <w:b/>
                <w:bCs/>
                <w:sz w:val="16"/>
                <w:szCs w:val="16"/>
              </w:rPr>
              <w:t xml:space="preserve">State in a TISPH environment</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Features</w:t>
            </w:r>
          </w:p>
        </w:tc>
        <w:tc>
          <w:tcPr>
            <w:tcW w:w="1068" w:type="dxa"/>
            <w:shd w:val="clear" w:color="auto" w:fill="E8F0F8"/>
            <w:vAlign w:val="center"/>
          </w:tcPr>
          <w:p>
            <w:pPr>
              <w:spacing w:before="40" w:after="40" w:line="240" w:lineRule="auto"/>
            </w:pPr>
            <w:r>
              <w:rPr>
                <w:rFonts w:ascii="Segoe UI" w:hAnsi="Segoe UI" w:cs="Segoe UI" w:eastAsia="Segoe UI"/>
                <w:b/>
                <w:bCs/>
                <w:sz w:val="16"/>
                <w:szCs w:val="16"/>
              </w:rPr>
              <w:t xml:space="preserve">Menu entries</w:t>
            </w:r>
          </w:p>
        </w:tc>
      </w:tr>
      <w:tr>
        <w:trPr>
          <w:cantSplit/>
        </w:trPr>
        <w:tc>
          <w:tcPr>
            <w:tcW w:w="1150" w:type="dxa"/>
          </w:tcPr>
          <w:p>
            <w:pPr>
              <w:spacing w:before="40" w:after="40" w:line="240" w:lineRule="auto"/>
            </w:pPr>
            <w:r>
              <w:rPr>
                <w:rFonts w:ascii="Segoe UI" w:hAnsi="Segoe UI" w:cs="Segoe UI" w:eastAsia="Segoe UI"/>
                <w:sz w:val="16"/>
                <w:szCs w:val="16"/>
              </w:rPr>
              <w:t xml:space="preserve">Phase 1</w:t>
            </w:r>
          </w:p>
        </w:tc>
        <w:tc>
          <w:tcPr>
            <w:tcW w:w="3137" w:type="dxa"/>
          </w:tcPr>
          <w:p>
            <w:pPr>
              <w:spacing w:before="40" w:after="40" w:line="240" w:lineRule="auto"/>
            </w:pPr>
            <w:r>
              <w:rPr>
                <w:rFonts w:ascii="Segoe UI" w:hAnsi="Segoe UI" w:cs="Segoe UI" w:eastAsia="Segoe UI"/>
                <w:sz w:val="16"/>
                <w:szCs w:val="16"/>
              </w:rPr>
              <w:t xml:space="preserve">Core TISPH scope (BRD v2.2, FRS)</w:t>
            </w:r>
          </w:p>
        </w:tc>
        <w:tc>
          <w:tcPr>
            <w:tcW w:w="2516" w:type="dxa"/>
          </w:tcPr>
          <w:p>
            <w:pPr>
              <w:spacing w:before="40" w:after="40" w:line="240" w:lineRule="auto"/>
            </w:pPr>
            <w:r>
              <w:rPr>
                <w:rFonts w:ascii="Segoe UI" w:hAnsi="Segoe UI" w:cs="Segoe UI" w:eastAsia="Segoe UI"/>
                <w:sz w:val="16"/>
                <w:szCs w:val="16"/>
              </w:rPr>
              <w:t xml:space="preserve">Always on; cannot be switched off by TISPH</w:t>
            </w:r>
          </w:p>
        </w:tc>
        <w:tc>
          <w:tcPr>
            <w:tcW w:w="1156" w:type="dxa"/>
          </w:tcPr>
          <w:p>
            <w:pPr>
              <w:spacing w:before="40" w:after="40" w:line="240" w:lineRule="auto"/>
            </w:pPr>
            <w:r>
              <w:rPr>
                <w:rFonts w:ascii="Segoe UI" w:hAnsi="Segoe UI" w:cs="Segoe UI" w:eastAsia="Segoe UI"/>
                <w:sz w:val="16"/>
                <w:szCs w:val="16"/>
              </w:rPr>
              <w:t xml:space="preserve">29</w:t>
            </w:r>
          </w:p>
        </w:tc>
        <w:tc>
          <w:tcPr>
            <w:tcW w:w="1068" w:type="dxa"/>
          </w:tcPr>
          <w:p>
            <w:pPr>
              <w:spacing w:before="40" w:after="40" w:line="240" w:lineRule="auto"/>
            </w:pPr>
            <w:r>
              <w:rPr>
                <w:rFonts w:ascii="Segoe UI" w:hAnsi="Segoe UI" w:cs="Segoe UI" w:eastAsia="Segoe UI"/>
                <w:sz w:val="16"/>
                <w:szCs w:val="16"/>
              </w:rPr>
              <w:t xml:space="preserve">135</w:t>
            </w:r>
          </w:p>
        </w:tc>
      </w:tr>
      <w:tr>
        <w:trPr>
          <w:cantSplit/>
        </w:trPr>
        <w:tc>
          <w:tcPr>
            <w:tcW w:w="1150" w:type="dxa"/>
          </w:tcPr>
          <w:p>
            <w:pPr>
              <w:spacing w:before="40" w:after="40" w:line="240" w:lineRule="auto"/>
            </w:pPr>
            <w:r>
              <w:rPr>
                <w:rFonts w:ascii="Segoe UI" w:hAnsi="Segoe UI" w:cs="Segoe UI" w:eastAsia="Segoe UI"/>
                <w:sz w:val="16"/>
                <w:szCs w:val="16"/>
              </w:rPr>
              <w:t xml:space="preserve">Platform</w:t>
            </w:r>
          </w:p>
        </w:tc>
        <w:tc>
          <w:tcPr>
            <w:tcW w:w="3137" w:type="dxa"/>
          </w:tcPr>
          <w:p>
            <w:pPr>
              <w:spacing w:before="40" w:after="40" w:line="240" w:lineRule="auto"/>
            </w:pPr>
            <w:r>
              <w:rPr>
                <w:rFonts w:ascii="Segoe UI" w:hAnsi="Segoe UI" w:cs="Segoe UI" w:eastAsia="Segoe UI"/>
                <w:sz w:val="16"/>
                <w:szCs w:val="16"/>
              </w:rPr>
              <w:t xml:space="preserve">Supporting functions: users and roles, configuration, audit trail, schedules, organisation masters</w:t>
            </w:r>
          </w:p>
        </w:tc>
        <w:tc>
          <w:tcPr>
            <w:tcW w:w="2516" w:type="dxa"/>
          </w:tcPr>
          <w:p>
            <w:pPr>
              <w:spacing w:before="40" w:after="40" w:line="240" w:lineRule="auto"/>
            </w:pPr>
            <w:r>
              <w:rPr>
                <w:rFonts w:ascii="Segoe UI" w:hAnsi="Segoe UI" w:cs="Segoe UI" w:eastAsia="Segoe UI"/>
                <w:sz w:val="16"/>
                <w:szCs w:val="16"/>
              </w:rPr>
              <w:t xml:space="preserve">Always on</w:t>
            </w:r>
          </w:p>
        </w:tc>
        <w:tc>
          <w:tcPr>
            <w:tcW w:w="1156" w:type="dxa"/>
          </w:tcPr>
          <w:p>
            <w:pPr>
              <w:spacing w:before="40" w:after="40" w:line="240" w:lineRule="auto"/>
            </w:pPr>
            <w:r>
              <w:rPr>
                <w:rFonts w:ascii="Segoe UI" w:hAnsi="Segoe UI" w:cs="Segoe UI" w:eastAsia="Segoe UI"/>
                <w:sz w:val="16"/>
                <w:szCs w:val="16"/>
              </w:rPr>
              <w:t xml:space="preserve">9</w:t>
            </w:r>
          </w:p>
        </w:tc>
        <w:tc>
          <w:tcPr>
            <w:tcW w:w="1068" w:type="dxa"/>
          </w:tcPr>
          <w:p>
            <w:pPr>
              <w:spacing w:before="40" w:after="40" w:line="240" w:lineRule="auto"/>
            </w:pPr>
            <w:r>
              <w:rPr>
                <w:rFonts w:ascii="Segoe UI" w:hAnsi="Segoe UI" w:cs="Segoe UI" w:eastAsia="Segoe UI"/>
                <w:sz w:val="16"/>
                <w:szCs w:val="16"/>
              </w:rPr>
              <w:t xml:space="preserve">28</w:t>
            </w:r>
          </w:p>
        </w:tc>
      </w:tr>
      <w:tr>
        <w:trPr>
          <w:cantSplit/>
        </w:trPr>
        <w:tc>
          <w:tcPr>
            <w:tcW w:w="1150" w:type="dxa"/>
          </w:tcPr>
          <w:p>
            <w:pPr>
              <w:spacing w:before="40" w:after="40" w:line="240" w:lineRule="auto"/>
            </w:pPr>
            <w:r>
              <w:rPr>
                <w:rFonts w:ascii="Segoe UI" w:hAnsi="Segoe UI" w:cs="Segoe UI" w:eastAsia="Segoe UI"/>
                <w:sz w:val="16"/>
                <w:szCs w:val="16"/>
              </w:rPr>
              <w:t xml:space="preserve">Phase 2</w:t>
            </w:r>
          </w:p>
        </w:tc>
        <w:tc>
          <w:tcPr>
            <w:tcW w:w="3137" w:type="dxa"/>
          </w:tcPr>
          <w:p>
            <w:pPr>
              <w:spacing w:before="40" w:after="40" w:line="240" w:lineRule="auto"/>
            </w:pPr>
            <w:r>
              <w:rPr>
                <w:rFonts w:ascii="Segoe UI" w:hAnsi="Segoe UI" w:cs="Segoe UI" w:eastAsia="Segoe UI"/>
                <w:sz w:val="16"/>
                <w:szCs w:val="16"/>
              </w:rPr>
              <w:t xml:space="preserve">Built; Phase 2 of the BRD</w:t>
            </w:r>
          </w:p>
        </w:tc>
        <w:tc>
          <w:tcPr>
            <w:tcW w:w="2516" w:type="dxa"/>
          </w:tcPr>
          <w:p>
            <w:pPr>
              <w:spacing w:before="40" w:after="40" w:line="240" w:lineRule="auto"/>
            </w:pPr>
            <w:r>
              <w:rPr>
                <w:rFonts w:ascii="Segoe UI" w:hAnsi="Segoe UI" w:cs="Segoe UI" w:eastAsia="Segoe UI"/>
                <w:sz w:val="16"/>
                <w:szCs w:val="16"/>
              </w:rPr>
              <w:t xml:space="preserve">Off until enabled by iorta TechNXT ("Enable Phase 2")</w:t>
            </w:r>
          </w:p>
        </w:tc>
        <w:tc>
          <w:tcPr>
            <w:tcW w:w="1156" w:type="dxa"/>
          </w:tcPr>
          <w:p>
            <w:pPr>
              <w:spacing w:before="40" w:after="40" w:line="240" w:lineRule="auto"/>
            </w:pPr>
            <w:r>
              <w:rPr>
                <w:rFonts w:ascii="Segoe UI" w:hAnsi="Segoe UI" w:cs="Segoe UI" w:eastAsia="Segoe UI"/>
                <w:sz w:val="16"/>
                <w:szCs w:val="16"/>
              </w:rPr>
              <w:t xml:space="preserve">9</w:t>
            </w:r>
          </w:p>
        </w:tc>
        <w:tc>
          <w:tcPr>
            <w:tcW w:w="1068" w:type="dxa"/>
          </w:tcPr>
          <w:p>
            <w:pPr>
              <w:spacing w:before="40" w:after="40" w:line="240" w:lineRule="auto"/>
            </w:pPr>
            <w:r>
              <w:rPr>
                <w:rFonts w:ascii="Segoe UI" w:hAnsi="Segoe UI" w:cs="Segoe UI" w:eastAsia="Segoe UI"/>
                <w:sz w:val="16"/>
                <w:szCs w:val="16"/>
              </w:rPr>
              <w:t xml:space="preserve">10</w:t>
            </w:r>
          </w:p>
        </w:tc>
      </w:tr>
      <w:tr>
        <w:trPr>
          <w:cantSplit/>
        </w:trPr>
        <w:tc>
          <w:tcPr>
            <w:tcW w:w="1150" w:type="dxa"/>
          </w:tcPr>
          <w:p>
            <w:pPr>
              <w:spacing w:before="40" w:after="40" w:line="240" w:lineRule="auto"/>
            </w:pPr>
            <w:r>
              <w:rPr>
                <w:rFonts w:ascii="Segoe UI" w:hAnsi="Segoe UI" w:cs="Segoe UI" w:eastAsia="Segoe UI"/>
                <w:sz w:val="16"/>
                <w:szCs w:val="16"/>
              </w:rPr>
              <w:t xml:space="preserve">Future release</w:t>
            </w:r>
          </w:p>
        </w:tc>
        <w:tc>
          <w:tcPr>
            <w:tcW w:w="3137" w:type="dxa"/>
          </w:tcPr>
          <w:p>
            <w:pPr>
              <w:spacing w:before="40" w:after="40" w:line="240" w:lineRule="auto"/>
            </w:pPr>
            <w:r>
              <w:rPr>
                <w:rFonts w:ascii="Segoe UI" w:hAnsi="Segoe UI" w:cs="Segoe UI" w:eastAsia="Segoe UI"/>
                <w:sz w:val="16"/>
                <w:szCs w:val="16"/>
              </w:rPr>
              <w:t xml:space="preserve">In the platform, not in the BRD or FRS</w:t>
            </w:r>
          </w:p>
        </w:tc>
        <w:tc>
          <w:tcPr>
            <w:tcW w:w="2516" w:type="dxa"/>
          </w:tcPr>
          <w:p>
            <w:pPr>
              <w:spacing w:before="40" w:after="40" w:line="240" w:lineRule="auto"/>
            </w:pPr>
            <w:r>
              <w:rPr>
                <w:rFonts w:ascii="Segoe UI" w:hAnsi="Segoe UI" w:cs="Segoe UI" w:eastAsia="Segoe UI"/>
                <w:sz w:val="16"/>
                <w:szCs w:val="16"/>
              </w:rPr>
              <w:t xml:space="preserve">Off until enabled for a later release</w:t>
            </w:r>
          </w:p>
        </w:tc>
        <w:tc>
          <w:tcPr>
            <w:tcW w:w="1156" w:type="dxa"/>
          </w:tcPr>
          <w:p>
            <w:pPr>
              <w:spacing w:before="40" w:after="40" w:line="240" w:lineRule="auto"/>
            </w:pPr>
            <w:r>
              <w:rPr>
                <w:rFonts w:ascii="Segoe UI" w:hAnsi="Segoe UI" w:cs="Segoe UI" w:eastAsia="Segoe UI"/>
                <w:sz w:val="16"/>
                <w:szCs w:val="16"/>
              </w:rPr>
              <w:t xml:space="preserve">32</w:t>
            </w:r>
          </w:p>
        </w:tc>
        <w:tc>
          <w:tcPr>
            <w:tcW w:w="1068" w:type="dxa"/>
          </w:tcPr>
          <w:p>
            <w:pPr>
              <w:spacing w:before="40" w:after="40" w:line="240" w:lineRule="auto"/>
            </w:pPr>
            <w:r>
              <w:rPr>
                <w:rFonts w:ascii="Segoe UI" w:hAnsi="Segoe UI" w:cs="Segoe UI" w:eastAsia="Segoe UI"/>
                <w:sz w:val="16"/>
                <w:szCs w:val="16"/>
              </w:rPr>
              <w:t xml:space="preserve">34</w:t>
            </w:r>
          </w:p>
        </w:tc>
      </w:tr>
      <w:tr>
        <w:trPr>
          <w:cantSplit/>
        </w:trPr>
        <w:tc>
          <w:tcPr>
            <w:tcW w:w="1150" w:type="dxa"/>
          </w:tcPr>
          <w:p>
            <w:pPr>
              <w:spacing w:before="40" w:after="40" w:line="240" w:lineRule="auto"/>
            </w:pPr>
            <w:r>
              <w:rPr>
                <w:rFonts w:ascii="Segoe UI" w:hAnsi="Segoe UI" w:cs="Segoe UI" w:eastAsia="Segoe UI"/>
                <w:sz w:val="16"/>
                <w:szCs w:val="16"/>
              </w:rPr>
              <w:t xml:space="preserve">Total</w:t>
            </w:r>
          </w:p>
        </w:tc>
        <w:tc>
          <w:tcPr>
            <w:tcW w:w="3137" w:type="dxa"/>
          </w:tcPr>
          <w:p>
            <w:pPr>
              <w:spacing w:before="40" w:after="40" w:line="240" w:lineRule="auto"/>
            </w:pPr>
          </w:p>
        </w:tc>
        <w:tc>
          <w:tcPr>
            <w:tcW w:w="2516" w:type="dxa"/>
          </w:tcPr>
          <w:p>
            <w:pPr>
              <w:spacing w:before="40" w:after="40" w:line="240" w:lineRule="auto"/>
            </w:pPr>
          </w:p>
        </w:tc>
        <w:tc>
          <w:tcPr>
            <w:tcW w:w="1156" w:type="dxa"/>
          </w:tcPr>
          <w:p>
            <w:pPr>
              <w:spacing w:before="40" w:after="40" w:line="240" w:lineRule="auto"/>
            </w:pPr>
            <w:r>
              <w:rPr>
                <w:rFonts w:ascii="Segoe UI" w:hAnsi="Segoe UI" w:cs="Segoe UI" w:eastAsia="Segoe UI"/>
                <w:sz w:val="16"/>
                <w:szCs w:val="16"/>
              </w:rPr>
              <w:t xml:space="preserve">79</w:t>
            </w:r>
          </w:p>
        </w:tc>
        <w:tc>
          <w:tcPr>
            <w:tcW w:w="1068" w:type="dxa"/>
          </w:tcPr>
          <w:p>
            <w:pPr>
              <w:spacing w:before="40" w:after="40" w:line="240" w:lineRule="auto"/>
            </w:pPr>
            <w:r>
              <w:rPr>
                <w:rFonts w:ascii="Segoe UI" w:hAnsi="Segoe UI" w:cs="Segoe UI" w:eastAsia="Segoe UI"/>
                <w:sz w:val="16"/>
                <w:szCs w:val="16"/>
              </w:rPr>
              <w:t xml:space="preserve">207</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How a Function Is Enabled</w:t>
      </w:r>
      <w:bookmarkEnd w:id="1005"/>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A platform administrator of iorta TechNXT selects the functions, or the whole Phase 2 bundle, on Master &gt; Platform &gt; Features &amp; Releases.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system shows the impact before the request: the functions with their dependencies, the menus that appear, the roles that gain access, the scheduled jobs, the connectors and the settings to configure. A disable shows the functions that stay read-only because they hold records.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request carries a reason, the contract or change request reference and the effective date (immediately on approval or on a date).</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A second platform administrator approves or rejects it; the requester never approves.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On approval the function is enabled in that environment only. The audit trail records each change; TIS IT AppSupport / Admin and the General Manager receive an e-mail and a notification.</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entitlements of an environment are exported and promoted to the next one (UAT to Production) as a new request, approved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Controls: a function that is not enabled is absent from the menus; its screens show "Not available in this edition"; its API answers "not enabled"; its jobs do not run; its connectors cannot be switched on; its settings cannot be changed; its manual sections are left out of the user manual. The entitlements are signed: an entitlement changed outside an approved request counts as not enabled and raises an alert. A function disabled while it holds records stays read-only: its records can be viewed and exported.</w:t>
      </w: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Phase 1 Functions</w:t>
      </w:r>
      <w:bookmarkEnd w:id="10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31"/>
        <w:gridCol w:w="1338"/>
        <w:gridCol w:w="1656"/>
        <w:gridCol w:w="2278"/>
        <w:gridCol w:w="1066"/>
        <w:gridCol w:w="1158"/>
      </w:tblGrid>
      <w:tr>
        <w:trPr>
          <w:cantSplit/>
          <w:tblHeader/>
          <w:trHeight w:val="400"/>
        </w:trPr>
        <w:tc>
          <w:tcPr>
            <w:tcW w:w="1531"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338"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656"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278"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8"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31" w:type="dxa"/>
          </w:tcPr>
          <w:p>
            <w:pPr>
              <w:spacing w:before="40" w:after="40" w:line="240" w:lineRule="auto"/>
            </w:pPr>
            <w:r>
              <w:rPr>
                <w:rFonts w:ascii="Segoe UI" w:hAnsi="Segoe UI" w:cs="Segoe UI" w:eastAsia="Segoe UI"/>
                <w:sz w:val="16"/>
                <w:szCs w:val="16"/>
              </w:rPr>
              <w:t xml:space="preserve">Executive, processing and claims dashboards</w:t>
            </w:r>
          </w:p>
        </w:tc>
        <w:tc>
          <w:tcPr>
            <w:tcW w:w="1338" w:type="dxa"/>
          </w:tcPr>
          <w:p>
            <w:pPr>
              <w:spacing w:before="40" w:after="40" w:line="240" w:lineRule="auto"/>
            </w:pPr>
            <w:r>
              <w:rPr>
                <w:rFonts w:ascii="Segoe UI" w:hAnsi="Segoe UI" w:cs="Segoe UI" w:eastAsia="Segoe UI"/>
                <w:sz w:val="16"/>
                <w:szCs w:val="16"/>
              </w:rPr>
              <w:t xml:space="preserve">Dashboard</w:t>
            </w:r>
          </w:p>
        </w:tc>
        <w:tc>
          <w:tcPr>
            <w:tcW w:w="1656" w:type="dxa"/>
          </w:tcPr>
          <w:p>
            <w:pPr>
              <w:spacing w:before="40" w:after="40" w:line="240" w:lineRule="auto"/>
            </w:pPr>
            <w:r>
              <w:rPr>
                <w:rFonts w:ascii="Segoe UI" w:hAnsi="Segoe UI" w:cs="Segoe UI" w:eastAsia="Segoe UI"/>
                <w:sz w:val="16"/>
                <w:szCs w:val="16"/>
              </w:rPr>
              <w:t xml:space="preserve">Landing dashboards by department: book of business, items awaiting approval, processing and claims work</w:t>
            </w:r>
          </w:p>
        </w:tc>
        <w:tc>
          <w:tcPr>
            <w:tcW w:w="2278" w:type="dxa"/>
          </w:tcPr>
          <w:p>
            <w:pPr>
              <w:spacing w:before="40" w:after="40" w:line="240" w:lineRule="auto"/>
            </w:pPr>
            <w:r>
              <w:rPr>
                <w:rFonts w:ascii="Segoe UI" w:hAnsi="Segoe UI" w:cs="Segoe UI" w:eastAsia="Segoe UI"/>
                <w:sz w:val="16"/>
                <w:szCs w:val="16"/>
              </w:rPr>
              <w:t xml:space="preserve">TIS-BRD-RPT-01, TIS-BRD-RPT-03, TIS-BRD-NFR-10.1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Prospects and lead assignment</w:t>
            </w:r>
          </w:p>
        </w:tc>
        <w:tc>
          <w:tcPr>
            <w:tcW w:w="1338" w:type="dxa"/>
          </w:tcPr>
          <w:p>
            <w:pPr>
              <w:spacing w:before="40" w:after="40" w:line="240" w:lineRule="auto"/>
            </w:pPr>
            <w:r>
              <w:rPr>
                <w:rFonts w:ascii="Segoe UI" w:hAnsi="Segoe UI" w:cs="Segoe UI" w:eastAsia="Segoe UI"/>
                <w:sz w:val="16"/>
                <w:szCs w:val="16"/>
              </w:rPr>
              <w:t xml:space="preserve">Sales &amp; Marketing</w:t>
            </w:r>
          </w:p>
        </w:tc>
        <w:tc>
          <w:tcPr>
            <w:tcW w:w="1656" w:type="dxa"/>
          </w:tcPr>
          <w:p>
            <w:pPr>
              <w:spacing w:before="40" w:after="40" w:line="240" w:lineRule="auto"/>
            </w:pPr>
            <w:r>
              <w:rPr>
                <w:rFonts w:ascii="Segoe UI" w:hAnsi="Segoe UI" w:cs="Segoe UI" w:eastAsia="Segoe UI"/>
                <w:sz w:val="16"/>
                <w:szCs w:val="16"/>
              </w:rPr>
              <w:t xml:space="preserve">Prospect capture and import, duplicate check, quick quote, assignment rules and reassignment, lead sources</w:t>
            </w:r>
          </w:p>
        </w:tc>
        <w:tc>
          <w:tcPr>
            <w:tcW w:w="2278" w:type="dxa"/>
          </w:tcPr>
          <w:p>
            <w:pPr>
              <w:spacing w:before="40" w:after="40" w:line="240" w:lineRule="auto"/>
            </w:pPr>
            <w:r>
              <w:rPr>
                <w:rFonts w:ascii="Segoe UI" w:hAnsi="Segoe UI" w:cs="Segoe UI" w:eastAsia="Segoe UI"/>
                <w:sz w:val="16"/>
                <w:szCs w:val="16"/>
              </w:rPr>
              <w:t xml:space="preserve">TIS-BRD-LEAD-01, TIS-BRD-LEAD-02, TIS-BRD-LEAD-03, TIS-BRD-LEAD-04, TIS-BRD-LEAD-05, TIS-BRD-LEAD-06, TIS-BRD-LEAD-07, TIS-BRD-LEAD-08, TIS-BRD-LEAD-09</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Sales activities</w:t>
            </w:r>
          </w:p>
        </w:tc>
        <w:tc>
          <w:tcPr>
            <w:tcW w:w="1338" w:type="dxa"/>
          </w:tcPr>
          <w:p>
            <w:pPr>
              <w:spacing w:before="40" w:after="40" w:line="240" w:lineRule="auto"/>
            </w:pPr>
            <w:r>
              <w:rPr>
                <w:rFonts w:ascii="Segoe UI" w:hAnsi="Segoe UI" w:cs="Segoe UI" w:eastAsia="Segoe UI"/>
                <w:sz w:val="16"/>
                <w:szCs w:val="16"/>
              </w:rPr>
              <w:t xml:space="preserve">Sales &amp; Marketing</w:t>
            </w:r>
          </w:p>
        </w:tc>
        <w:tc>
          <w:tcPr>
            <w:tcW w:w="1656" w:type="dxa"/>
          </w:tcPr>
          <w:p>
            <w:pPr>
              <w:spacing w:before="40" w:after="40" w:line="240" w:lineRule="auto"/>
            </w:pPr>
            <w:r>
              <w:rPr>
                <w:rFonts w:ascii="Segoe UI" w:hAnsi="Segoe UI" w:cs="Segoe UI" w:eastAsia="Segoe UI"/>
                <w:sz w:val="16"/>
                <w:szCs w:val="16"/>
              </w:rPr>
              <w:t xml:space="preserve">Calls, meetings, e-mails and visits against prospects and clients, with their types and outcomes</w:t>
            </w:r>
          </w:p>
        </w:tc>
        <w:tc>
          <w:tcPr>
            <w:tcW w:w="2278" w:type="dxa"/>
          </w:tcPr>
          <w:p>
            <w:pPr>
              <w:spacing w:before="40" w:after="40" w:line="240" w:lineRule="auto"/>
            </w:pPr>
            <w:r>
              <w:rPr>
                <w:rFonts w:ascii="Segoe UI" w:hAnsi="Segoe UI" w:cs="Segoe UI" w:eastAsia="Segoe UI"/>
                <w:sz w:val="16"/>
                <w:szCs w:val="16"/>
              </w:rPr>
              <w:t xml:space="preserve">TIS-BRD-LEAD-10</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Quotations and placement</w:t>
            </w:r>
          </w:p>
        </w:tc>
        <w:tc>
          <w:tcPr>
            <w:tcW w:w="1338" w:type="dxa"/>
          </w:tcPr>
          <w:p>
            <w:pPr>
              <w:spacing w:before="40" w:after="40" w:line="240" w:lineRule="auto"/>
            </w:pPr>
            <w:r>
              <w:rPr>
                <w:rFonts w:ascii="Segoe UI" w:hAnsi="Segoe UI" w:cs="Segoe UI" w:eastAsia="Segoe UI"/>
                <w:sz w:val="16"/>
                <w:szCs w:val="16"/>
              </w:rPr>
              <w:t xml:space="preserve">Sales &amp; Marketing</w:t>
            </w:r>
          </w:p>
        </w:tc>
        <w:tc>
          <w:tcPr>
            <w:tcW w:w="1656" w:type="dxa"/>
          </w:tcPr>
          <w:p>
            <w:pPr>
              <w:spacing w:before="40" w:after="40" w:line="240" w:lineRule="auto"/>
            </w:pPr>
            <w:r>
              <w:rPr>
                <w:rFonts w:ascii="Segoe UI" w:hAnsi="Segoe UI" w:cs="Segoe UI" w:eastAsia="Segoe UI"/>
                <w:sz w:val="16"/>
                <w:szCs w:val="16"/>
              </w:rPr>
              <w:t xml:space="preserve">Motor, personal accident and credit life quotations with maker-checker, requests for quotation and placement slips to the insurer</w:t>
            </w:r>
          </w:p>
        </w:tc>
        <w:tc>
          <w:tcPr>
            <w:tcW w:w="2278" w:type="dxa"/>
          </w:tcPr>
          <w:p>
            <w:pPr>
              <w:spacing w:before="40" w:after="40" w:line="240" w:lineRule="auto"/>
            </w:pPr>
            <w:r>
              <w:rPr>
                <w:rFonts w:ascii="Segoe UI" w:hAnsi="Segoe UI" w:cs="Segoe UI" w:eastAsia="Segoe UI"/>
                <w:sz w:val="16"/>
                <w:szCs w:val="16"/>
              </w:rPr>
              <w:t xml:space="preserve">TIS-BRD-QUOT-01, TIS-BRD-QUOT-02, TIS-BRD-QUOT-03, TIS-BRD-QUOT-04, TIS-BRD-QUOT-05, TIS-BRD-QUOT-06, TIS-BRD-QUOT-08, TIS-BRD-PJRN-05, TIS-BRD-ISSUE-01, TIS-BRD-ISSUE-02, MOM-S2-PLACEMENT-DIRECT</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Dealer programmes</w:t>
            </w:r>
          </w:p>
        </w:tc>
        <w:tc>
          <w:tcPr>
            <w:tcW w:w="1338" w:type="dxa"/>
          </w:tcPr>
          <w:p>
            <w:pPr>
              <w:spacing w:before="40" w:after="40" w:line="240" w:lineRule="auto"/>
            </w:pPr>
            <w:r>
              <w:rPr>
                <w:rFonts w:ascii="Segoe UI" w:hAnsi="Segoe UI" w:cs="Segoe UI" w:eastAsia="Segoe UI"/>
                <w:sz w:val="16"/>
                <w:szCs w:val="16"/>
              </w:rPr>
              <w:t xml:space="preserve">Sales &amp; Marketing</w:t>
            </w:r>
          </w:p>
        </w:tc>
        <w:tc>
          <w:tcPr>
            <w:tcW w:w="1656" w:type="dxa"/>
          </w:tcPr>
          <w:p>
            <w:pPr>
              <w:spacing w:before="40" w:after="40" w:line="240" w:lineRule="auto"/>
            </w:pPr>
            <w:r>
              <w:rPr>
                <w:rFonts w:ascii="Segoe UI" w:hAnsi="Segoe UI" w:cs="Segoe UI" w:eastAsia="Segoe UI"/>
                <w:sz w:val="16"/>
                <w:szCs w:val="16"/>
              </w:rPr>
              <w:t xml:space="preserve">Scheme 1 and 2 programmes of brand-new vehicles, dealer sales uploads and bank endorsement letters</w:t>
            </w:r>
          </w:p>
        </w:tc>
        <w:tc>
          <w:tcPr>
            <w:tcW w:w="2278" w:type="dxa"/>
          </w:tcPr>
          <w:p>
            <w:pPr>
              <w:spacing w:before="40" w:after="40" w:line="240" w:lineRule="auto"/>
            </w:pPr>
            <w:r>
              <w:rPr>
                <w:rFonts w:ascii="Segoe UI" w:hAnsi="Segoe UI" w:cs="Segoe UI" w:eastAsia="Segoe UI"/>
                <w:sz w:val="16"/>
                <w:szCs w:val="16"/>
              </w:rPr>
              <w:t xml:space="preserve">TIS-BRD-SCHM-01, TIS-BRD-SCHM-02, TIS-BRD-SCHM-03, TIS-BRD-MAS-05, TIS-BRD-PROD-15</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Clients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Single client master with KYC documents and the 360 view of proposals, policies, receipts and claims</w:t>
            </w:r>
          </w:p>
        </w:tc>
        <w:tc>
          <w:tcPr>
            <w:tcW w:w="2278" w:type="dxa"/>
          </w:tcPr>
          <w:p>
            <w:pPr>
              <w:spacing w:before="40" w:after="40" w:line="240" w:lineRule="auto"/>
            </w:pPr>
            <w:r>
              <w:rPr>
                <w:rFonts w:ascii="Segoe UI" w:hAnsi="Segoe UI" w:cs="Segoe UI" w:eastAsia="Segoe UI"/>
                <w:sz w:val="16"/>
                <w:szCs w:val="16"/>
              </w:rPr>
              <w:t xml:space="preserve">TIS-BRD-KYC-01, TIS-BRD-KYC-02, TIS-BRD-KYC-04, TIS-BRD-KYC-05, TIS-BRD-NFR-10.2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Policies, cover notes and cancellations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Policy register and lifecycle, policy payments, cover notes, endorsements and cancellations with return premium</w:t>
            </w:r>
          </w:p>
        </w:tc>
        <w:tc>
          <w:tcPr>
            <w:tcW w:w="2278" w:type="dxa"/>
          </w:tcPr>
          <w:p>
            <w:pPr>
              <w:spacing w:before="40" w:after="40" w:line="240" w:lineRule="auto"/>
            </w:pPr>
            <w:r>
              <w:rPr>
                <w:rFonts w:ascii="Segoe UI" w:hAnsi="Segoe UI" w:cs="Segoe UI" w:eastAsia="Segoe UI"/>
                <w:sz w:val="16"/>
                <w:szCs w:val="16"/>
              </w:rPr>
              <w:t xml:space="preserve">TIS-BRD-ISSUE-03, TIS-BRD-ISSUE-04, TIS-BRD-KYC-03, TIS-BRD-ENDT-01, TIS-BRD-ENDT-02, TIS-BRD-ENDT-03, TIS-BRD-CANC-01, TIS-BRD-CANC-02, TIS-BRD-CANC-03, TIS-BRD-BULK-02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Fleet schedules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Fleet schedules of vehicles under one policy, with vehicles added or deleted by endorsement</w:t>
            </w:r>
          </w:p>
        </w:tc>
        <w:tc>
          <w:tcPr>
            <w:tcW w:w="2278" w:type="dxa"/>
          </w:tcPr>
          <w:p>
            <w:pPr>
              <w:spacing w:before="40" w:after="40" w:line="240" w:lineRule="auto"/>
            </w:pPr>
            <w:r>
              <w:rPr>
                <w:rFonts w:ascii="Segoe UI" w:hAnsi="Segoe UI" w:cs="Segoe UI" w:eastAsia="Segoe UI"/>
                <w:sz w:val="16"/>
                <w:szCs w:val="16"/>
              </w:rPr>
              <w:t xml:space="preserve">TIS-BRD-ENDT-04, MOM-S9-GROUP-ENDT</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Parcel and courier open covers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Open policy for parcel and courier shipments with certificates per customer and monthly declarations</w:t>
            </w:r>
          </w:p>
        </w:tc>
        <w:tc>
          <w:tcPr>
            <w:tcW w:w="2278" w:type="dxa"/>
          </w:tcPr>
          <w:p>
            <w:pPr>
              <w:spacing w:before="40" w:after="40" w:line="240" w:lineRule="auto"/>
            </w:pPr>
            <w:r>
              <w:rPr>
                <w:rFonts w:ascii="Segoe UI" w:hAnsi="Segoe UI" w:cs="Segoe UI" w:eastAsia="Segoe UI"/>
                <w:sz w:val="16"/>
                <w:szCs w:val="16"/>
              </w:rPr>
              <w:t xml:space="preserve">TIS-BRD-PJRN-09, FR-PCL-001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Claims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Motor and credit life claims from notification to settlement, document checklist, repairs and repair shops</w:t>
            </w:r>
          </w:p>
        </w:tc>
        <w:tc>
          <w:tcPr>
            <w:tcW w:w="2278" w:type="dxa"/>
          </w:tcPr>
          <w:p>
            <w:pPr>
              <w:spacing w:before="40" w:after="40" w:line="240" w:lineRule="auto"/>
            </w:pPr>
            <w:r>
              <w:rPr>
                <w:rFonts w:ascii="Segoe UI" w:hAnsi="Segoe UI" w:cs="Segoe UI" w:eastAsia="Segoe UI"/>
                <w:sz w:val="16"/>
                <w:szCs w:val="16"/>
              </w:rPr>
              <w:t xml:space="preserve">TIS-BRD-CLAIM-01, TIS-BRD-CLAIM-02, TIS-BRD-CLAIM-03, TIS-BRD-CLAIM-04, TIS-BRD-CLAIM-05, TIS-BRD-CLAIM-06, TIS-BRD-CLAIM-07, TIS-BRD-CLAIM-08, TIS-BRD-PJRN-08</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Renewals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Renewal run, notices at 90, 60 and 30 days, renewal queue, negotiations and lapse management</w:t>
            </w:r>
          </w:p>
        </w:tc>
        <w:tc>
          <w:tcPr>
            <w:tcW w:w="2278" w:type="dxa"/>
          </w:tcPr>
          <w:p>
            <w:pPr>
              <w:spacing w:before="40" w:after="40" w:line="240" w:lineRule="auto"/>
            </w:pPr>
            <w:r>
              <w:rPr>
                <w:rFonts w:ascii="Segoe UI" w:hAnsi="Segoe UI" w:cs="Segoe UI" w:eastAsia="Segoe UI"/>
                <w:sz w:val="16"/>
                <w:szCs w:val="16"/>
              </w:rPr>
              <w:t xml:space="preserve">TIS-BRD-RENEW-01, TIS-BRD-RENEW-02, TIS-BRD-RENEW-03, TIS-BRD-RENEW-05, PBSM-M24-LAP, PBSM-M15-REN-DUE</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Receipts and post-dated cheques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Official and acknowledgement receipts, allocation and matching, post-dated cheques and their deposit</w:t>
            </w:r>
          </w:p>
        </w:tc>
        <w:tc>
          <w:tcPr>
            <w:tcW w:w="2278" w:type="dxa"/>
          </w:tcPr>
          <w:p>
            <w:pPr>
              <w:spacing w:before="40" w:after="40" w:line="240" w:lineRule="auto"/>
            </w:pPr>
            <w:r>
              <w:rPr>
                <w:rFonts w:ascii="Segoe UI" w:hAnsi="Segoe UI" w:cs="Segoe UI" w:eastAsia="Segoe UI"/>
                <w:sz w:val="16"/>
                <w:szCs w:val="16"/>
              </w:rPr>
              <w:t xml:space="preserve">TIS-BRD-COLL-01, TIS-BRD-COLL-03, TIS-BRD-COLL-04, TIS-BRD-COLL-05, TIS-BRD-COLL-06, TIS-BRD-COLL-07, TIS-BRD-COLL-08, PBSM-M17v4-RECEIPTING, PBSM-M17v4-PDC</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Collections and credit control</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Collections, instalment plans, premium warranty monitor and remittance ageing</w:t>
            </w:r>
          </w:p>
        </w:tc>
        <w:tc>
          <w:tcPr>
            <w:tcW w:w="2278" w:type="dxa"/>
          </w:tcPr>
          <w:p>
            <w:pPr>
              <w:spacing w:before="40" w:after="40" w:line="240" w:lineRule="auto"/>
            </w:pPr>
            <w:r>
              <w:rPr>
                <w:rFonts w:ascii="Segoe UI" w:hAnsi="Segoe UI" w:cs="Segoe UI" w:eastAsia="Segoe UI"/>
                <w:sz w:val="16"/>
                <w:szCs w:val="16"/>
              </w:rPr>
              <w:t xml:space="preserve">TIS-BRD-PROD-17, TIS-BRD-RPT-OPS-10, TIS-BRD-RPT-OPS-11, TIS-BRD-COMM-04, MOM-S3-COLL-CREDIT-TERMS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Suppliers and supplier BIR 2307</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Vendor and payee register for non-insurer payments, and the BIR Form 2307 issued to suppliers</w:t>
            </w:r>
          </w:p>
        </w:tc>
        <w:tc>
          <w:tcPr>
            <w:tcW w:w="2278" w:type="dxa"/>
          </w:tcPr>
          <w:p>
            <w:pPr>
              <w:spacing w:before="40" w:after="40" w:line="240" w:lineRule="auto"/>
            </w:pPr>
            <w:r>
              <w:rPr>
                <w:rFonts w:ascii="Segoe UI" w:hAnsi="Segoe UI" w:cs="Segoe UI" w:eastAsia="Segoe UI"/>
                <w:sz w:val="16"/>
                <w:szCs w:val="16"/>
              </w:rPr>
              <w:t xml:space="preserve">TIS-BRD-MAS-06, FGA-EN-01, TIS-BRD-TAX-03</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Disbursements and bank payment files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Payment vouchers and cheques, refund fund transfers and Metrobank payment files with maker-checker</w:t>
            </w:r>
          </w:p>
        </w:tc>
        <w:tc>
          <w:tcPr>
            <w:tcW w:w="2278" w:type="dxa"/>
          </w:tcPr>
          <w:p>
            <w:pPr>
              <w:spacing w:before="40" w:after="40" w:line="240" w:lineRule="auto"/>
            </w:pPr>
            <w:r>
              <w:rPr>
                <w:rFonts w:ascii="Segoe UI" w:hAnsi="Segoe UI" w:cs="Segoe UI" w:eastAsia="Segoe UI"/>
                <w:sz w:val="16"/>
                <w:szCs w:val="16"/>
              </w:rPr>
              <w:t xml:space="preserve">TIS-BRD-DISB-01, TIS-BRD-DISB-02, TIS-BRD-DISB-03, PBSM-M17v4-DISB, MOM-S5-DISB-MAKER-CHECKER</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Bank file interface</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Connector and outbox of the bank payment files</w:t>
            </w:r>
          </w:p>
        </w:tc>
        <w:tc>
          <w:tcPr>
            <w:tcW w:w="2278" w:type="dxa"/>
          </w:tcPr>
          <w:p>
            <w:pPr>
              <w:spacing w:before="40" w:after="40" w:line="240" w:lineRule="auto"/>
            </w:pPr>
            <w:r>
              <w:rPr>
                <w:rFonts w:ascii="Segoe UI" w:hAnsi="Segoe UI" w:cs="Segoe UI" w:eastAsia="Segoe UI"/>
                <w:sz w:val="16"/>
                <w:szCs w:val="16"/>
              </w:rPr>
              <w:t xml:space="preserve">TIS-BRD-DISB-03, TIS-BRD-NFR-09</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Remittance to insurers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Weekly remittance with approvals, insurer payments, statement reconciliation, exceptions, billing, schedules and settlement</w:t>
            </w:r>
          </w:p>
        </w:tc>
        <w:tc>
          <w:tcPr>
            <w:tcW w:w="2278" w:type="dxa"/>
          </w:tcPr>
          <w:p>
            <w:pPr>
              <w:spacing w:before="40" w:after="40" w:line="240" w:lineRule="auto"/>
            </w:pPr>
            <w:r>
              <w:rPr>
                <w:rFonts w:ascii="Segoe UI" w:hAnsi="Segoe UI" w:cs="Segoe UI" w:eastAsia="Segoe UI"/>
                <w:sz w:val="16"/>
                <w:szCs w:val="16"/>
              </w:rPr>
              <w:t xml:space="preserve">TIS-BRD-COMM-01, TIS-BRD-COMM-03, TIS-BRD-COMM-04, TIS-BRD-RPT-OPS-05, TIS-BRD-RPT-OPS-06, TIS-BRD-RPT-OPS-08, TIS-BRD-RPT-OPS-09, PBSM-M15-REMIT-WEEKLY, FR-RMT-001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Journals and general ledger</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Journal vouchers with upload, correction and reversal, open entry matching, accounting queries and the daily SAP GL files</w:t>
            </w:r>
          </w:p>
        </w:tc>
        <w:tc>
          <w:tcPr>
            <w:tcW w:w="2278" w:type="dxa"/>
          </w:tcPr>
          <w:p>
            <w:pPr>
              <w:spacing w:before="40" w:after="40" w:line="240" w:lineRule="auto"/>
            </w:pPr>
            <w:r>
              <w:rPr>
                <w:rFonts w:ascii="Segoe UI" w:hAnsi="Segoe UI" w:cs="Segoe UI" w:eastAsia="Segoe UI"/>
                <w:sz w:val="16"/>
                <w:szCs w:val="16"/>
              </w:rPr>
              <w:t xml:space="preserve">TIS-BRD-NIA-05, TIS-BRD-GL-01, TIS-BRD-GL-02, TIS-BRD-GL-03, TIS-BRD-GL-06, TIS-BRD-INTG-04, FGA-JV-01, MOM-S5-AP-JV-UPLOAD, PBSM-M17v4-JV, PBSM-M17v4-REVERSALS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Bank reconciliation</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Bank statement upload and matching, reconciliations with approval, and the bank reconciliation reports</w:t>
            </w:r>
          </w:p>
        </w:tc>
        <w:tc>
          <w:tcPr>
            <w:tcW w:w="2278" w:type="dxa"/>
          </w:tcPr>
          <w:p>
            <w:pPr>
              <w:spacing w:before="40" w:after="40" w:line="240" w:lineRule="auto"/>
            </w:pPr>
            <w:r>
              <w:rPr>
                <w:rFonts w:ascii="Segoe UI" w:hAnsi="Segoe UI" w:cs="Segoe UI" w:eastAsia="Segoe UI"/>
                <w:sz w:val="16"/>
                <w:szCs w:val="16"/>
              </w:rPr>
              <w:t xml:space="preserve">TIS-BRD-COLL-09, TIS-BRD-RPT-OPS-12, TIS-BRD-RPT-OPS-13, PBSM-M17v4-RECON</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BIR 2307, sales invoices and CAS books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BIR Form 2307 certificates, sales invoices under the EOPT Act and the books and documents of the computerised accounting system</w:t>
            </w:r>
          </w:p>
        </w:tc>
        <w:tc>
          <w:tcPr>
            <w:tcW w:w="2278" w:type="dxa"/>
          </w:tcPr>
          <w:p>
            <w:pPr>
              <w:spacing w:before="40" w:after="40" w:line="240" w:lineRule="auto"/>
            </w:pPr>
            <w:r>
              <w:rPr>
                <w:rFonts w:ascii="Segoe UI" w:hAnsi="Segoe UI" w:cs="Segoe UI" w:eastAsia="Segoe UI"/>
                <w:sz w:val="16"/>
                <w:szCs w:val="16"/>
              </w:rPr>
              <w:t xml:space="preserve">TIS-BRD-TAX-01, TIS-BRD-TAX-02, TIS-BRD-TAX-03, FGA-E3, FGA-IB-06, PBSM-M17v4-INVOICES, MOM-S5-TAX-2307-BATCH</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Period end and financial statements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Period calendar, month-end and year-end close, close checklist and the financial statements</w:t>
            </w:r>
          </w:p>
        </w:tc>
        <w:tc>
          <w:tcPr>
            <w:tcW w:w="2278" w:type="dxa"/>
          </w:tcPr>
          <w:p>
            <w:pPr>
              <w:spacing w:before="40" w:after="40" w:line="240" w:lineRule="auto"/>
            </w:pPr>
            <w:r>
              <w:rPr>
                <w:rFonts w:ascii="Segoe UI" w:hAnsi="Segoe UI" w:cs="Segoe UI" w:eastAsia="Segoe UI"/>
                <w:sz w:val="16"/>
                <w:szCs w:val="16"/>
              </w:rPr>
              <w:t xml:space="preserve">TIS-BRD-GL-04, TIS-BRD-RPT-04, PBSM-M32-PERIODS, PBSM-M32-CONTROLS, MOM-S4-CLOSE-26-29</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Incentives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Telesales incentive programmes, calculation with approval, statements and reports</w:t>
            </w:r>
          </w:p>
        </w:tc>
        <w:tc>
          <w:tcPr>
            <w:tcW w:w="2278" w:type="dxa"/>
          </w:tcPr>
          <w:p>
            <w:pPr>
              <w:spacing w:before="40" w:after="40" w:line="240" w:lineRule="auto"/>
            </w:pPr>
            <w:r>
              <w:rPr>
                <w:rFonts w:ascii="Segoe UI" w:hAnsi="Segoe UI" w:cs="Segoe UI" w:eastAsia="Segoe UI"/>
                <w:sz w:val="16"/>
                <w:szCs w:val="16"/>
              </w:rPr>
              <w:t xml:space="preserve">TIS-BRD-COMM-08</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Commission and referrer accounts</w:t>
            </w:r>
          </w:p>
        </w:tc>
        <w:tc>
          <w:tcPr>
            <w:tcW w:w="1338" w:type="dxa"/>
          </w:tcPr>
          <w:p>
            <w:pPr>
              <w:spacing w:before="40" w:after="40" w:line="240" w:lineRule="auto"/>
            </w:pPr>
            <w:r>
              <w:rPr>
                <w:rFonts w:ascii="Segoe UI" w:hAnsi="Segoe UI" w:cs="Segoe UI" w:eastAsia="Segoe UI"/>
                <w:sz w:val="16"/>
                <w:szCs w:val="16"/>
              </w:rPr>
              <w:t xml:space="preserve">Commission</w:t>
            </w:r>
          </w:p>
        </w:tc>
        <w:tc>
          <w:tcPr>
            <w:tcW w:w="1656" w:type="dxa"/>
          </w:tcPr>
          <w:p>
            <w:pPr>
              <w:spacing w:before="40" w:after="40" w:line="240" w:lineRule="auto"/>
            </w:pPr>
            <w:r>
              <w:rPr>
                <w:rFonts w:ascii="Segoe UI" w:hAnsi="Segoe UI" w:cs="Segoe UI" w:eastAsia="Segoe UI"/>
                <w:sz w:val="16"/>
                <w:szCs w:val="16"/>
              </w:rPr>
              <w:t xml:space="preserve">Commission dashboard and the accounts of agents, dealers and referrers with their share</w:t>
            </w:r>
          </w:p>
        </w:tc>
        <w:tc>
          <w:tcPr>
            <w:tcW w:w="2278" w:type="dxa"/>
          </w:tcPr>
          <w:p>
            <w:pPr>
              <w:spacing w:before="40" w:after="40" w:line="240" w:lineRule="auto"/>
            </w:pPr>
            <w:r>
              <w:rPr>
                <w:rFonts w:ascii="Segoe UI" w:hAnsi="Segoe UI" w:cs="Segoe UI" w:eastAsia="Segoe UI"/>
                <w:sz w:val="16"/>
                <w:szCs w:val="16"/>
              </w:rPr>
              <w:t xml:space="preserve">TIS-BRD-COMM-05, TIS-BRD-COMM-06, TIS-BRD-PROD-16, TIS-BRD-RPT-OPS-07</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Operational and financial reports</w:t>
            </w:r>
          </w:p>
        </w:tc>
        <w:tc>
          <w:tcPr>
            <w:tcW w:w="1338" w:type="dxa"/>
          </w:tcPr>
          <w:p>
            <w:pPr>
              <w:spacing w:before="40" w:after="40" w:line="240" w:lineRule="auto"/>
            </w:pPr>
            <w:r>
              <w:rPr>
                <w:rFonts w:ascii="Segoe UI" w:hAnsi="Segoe UI" w:cs="Segoe UI" w:eastAsia="Segoe UI"/>
                <w:sz w:val="16"/>
                <w:szCs w:val="16"/>
              </w:rPr>
              <w:t xml:space="preserve">Reports</w:t>
            </w:r>
          </w:p>
        </w:tc>
        <w:tc>
          <w:tcPr>
            <w:tcW w:w="1656" w:type="dxa"/>
          </w:tcPr>
          <w:p>
            <w:pPr>
              <w:spacing w:before="40" w:after="40" w:line="240" w:lineRule="auto"/>
            </w:pPr>
            <w:r>
              <w:rPr>
                <w:rFonts w:ascii="Segoe UI" w:hAnsi="Segoe UI" w:cs="Segoe UI" w:eastAsia="Segoe UI"/>
                <w:sz w:val="16"/>
                <w:szCs w:val="16"/>
              </w:rPr>
              <w:t xml:space="preserve">Report catalogue, production, claims, renewal, remittance and commission reports, receivables, ledger and financial statement reports</w:t>
            </w:r>
          </w:p>
        </w:tc>
        <w:tc>
          <w:tcPr>
            <w:tcW w:w="2278" w:type="dxa"/>
          </w:tcPr>
          <w:p>
            <w:pPr>
              <w:spacing w:before="40" w:after="40" w:line="240" w:lineRule="auto"/>
            </w:pPr>
            <w:r>
              <w:rPr>
                <w:rFonts w:ascii="Segoe UI" w:hAnsi="Segoe UI" w:cs="Segoe UI" w:eastAsia="Segoe UI"/>
                <w:sz w:val="16"/>
                <w:szCs w:val="16"/>
              </w:rPr>
              <w:t xml:space="preserve">TIS-BRD-RPT-SLS-01, TIS-BRD-RPT-SLS-02, TIS-BRD-RPT-OPS-02, TIS-BRD-RPT-OPS-03, TIS-BRD-RPT-OPS-04, TIS-BRD-RPT-CCD-01, TIS-BRD-RPT-FGA-01, TIS-BRD-RPT-FGA-02, TIS-BRD-RPT-FGA-05, TIS-BRD-RPT-FGA-06</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Report Builder</w:t>
            </w:r>
          </w:p>
        </w:tc>
        <w:tc>
          <w:tcPr>
            <w:tcW w:w="1338" w:type="dxa"/>
          </w:tcPr>
          <w:p>
            <w:pPr>
              <w:spacing w:before="40" w:after="40" w:line="240" w:lineRule="auto"/>
            </w:pPr>
            <w:r>
              <w:rPr>
                <w:rFonts w:ascii="Segoe UI" w:hAnsi="Segoe UI" w:cs="Segoe UI" w:eastAsia="Segoe UI"/>
                <w:sz w:val="16"/>
                <w:szCs w:val="16"/>
              </w:rPr>
              <w:t xml:space="preserve">Reports</w:t>
            </w:r>
          </w:p>
        </w:tc>
        <w:tc>
          <w:tcPr>
            <w:tcW w:w="1656" w:type="dxa"/>
          </w:tcPr>
          <w:p>
            <w:pPr>
              <w:spacing w:before="40" w:after="40" w:line="240" w:lineRule="auto"/>
            </w:pPr>
            <w:r>
              <w:rPr>
                <w:rFonts w:ascii="Segoe UI" w:hAnsi="Segoe UI" w:cs="Segoe UI" w:eastAsia="Segoe UI"/>
                <w:sz w:val="16"/>
                <w:szCs w:val="16"/>
              </w:rPr>
              <w:t xml:space="preserve">Reports built and scheduled by the business on the published datasets</w:t>
            </w:r>
          </w:p>
        </w:tc>
        <w:tc>
          <w:tcPr>
            <w:tcW w:w="2278" w:type="dxa"/>
          </w:tcPr>
          <w:p>
            <w:pPr>
              <w:spacing w:before="40" w:after="40" w:line="240" w:lineRule="auto"/>
            </w:pPr>
            <w:r>
              <w:rPr>
                <w:rFonts w:ascii="Segoe UI" w:hAnsi="Segoe UI" w:cs="Segoe UI" w:eastAsia="Segoe UI"/>
                <w:sz w:val="16"/>
                <w:szCs w:val="16"/>
              </w:rPr>
              <w:t xml:space="preserve">TIS-BRD-NFR-10.1, TIS-BRD-NFR-10.4</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Insurance masters</w:t>
            </w:r>
          </w:p>
        </w:tc>
        <w:tc>
          <w:tcPr>
            <w:tcW w:w="1338" w:type="dxa"/>
          </w:tcPr>
          <w:p>
            <w:pPr>
              <w:spacing w:before="40" w:after="40" w:line="240" w:lineRule="auto"/>
            </w:pPr>
            <w:r>
              <w:rPr>
                <w:rFonts w:ascii="Segoe UI" w:hAnsi="Segoe UI" w:cs="Segoe UI" w:eastAsia="Segoe UI"/>
                <w:sz w:val="16"/>
                <w:szCs w:val="16"/>
              </w:rPr>
              <w:t xml:space="preserve">Master data</w:t>
            </w:r>
          </w:p>
        </w:tc>
        <w:tc>
          <w:tcPr>
            <w:tcW w:w="1656" w:type="dxa"/>
          </w:tcPr>
          <w:p>
            <w:pPr>
              <w:spacing w:before="40" w:after="40" w:line="240" w:lineRule="auto"/>
            </w:pPr>
            <w:r>
              <w:rPr>
                <w:rFonts w:ascii="Segoe UI" w:hAnsi="Segoe UI" w:cs="Segoe UI" w:eastAsia="Segoe UI"/>
                <w:sz w:val="16"/>
                <w:szCs w:val="16"/>
              </w:rPr>
              <w:t xml:space="preserve">Insurers, lines of business, products, covers, signatories, vehicles, short-period rates, cancellation and reason codes</w:t>
            </w:r>
          </w:p>
        </w:tc>
        <w:tc>
          <w:tcPr>
            <w:tcW w:w="2278" w:type="dxa"/>
          </w:tcPr>
          <w:p>
            <w:pPr>
              <w:spacing w:before="40" w:after="40" w:line="240" w:lineRule="auto"/>
            </w:pPr>
            <w:r>
              <w:rPr>
                <w:rFonts w:ascii="Segoe UI" w:hAnsi="Segoe UI" w:cs="Segoe UI" w:eastAsia="Segoe UI"/>
                <w:sz w:val="16"/>
                <w:szCs w:val="16"/>
              </w:rPr>
              <w:t xml:space="preserve">TIS-BRD-MAS-04, TIS-BRD-MAS-09, TIS-BRD-MAS-10, TIS-BRD-PROD-02, TIS-BRD-PROD-03, TIS-BRD-PROD-06, TIS-BRD-PROD-08, MOM-S3-9-PRODUCTS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Distribution channels</w:t>
            </w:r>
          </w:p>
        </w:tc>
        <w:tc>
          <w:tcPr>
            <w:tcW w:w="1338" w:type="dxa"/>
          </w:tcPr>
          <w:p>
            <w:pPr>
              <w:spacing w:before="40" w:after="40" w:line="240" w:lineRule="auto"/>
            </w:pPr>
            <w:r>
              <w:rPr>
                <w:rFonts w:ascii="Segoe UI" w:hAnsi="Segoe UI" w:cs="Segoe UI" w:eastAsia="Segoe UI"/>
                <w:sz w:val="16"/>
                <w:szCs w:val="16"/>
              </w:rPr>
              <w:t xml:space="preserve">Master data</w:t>
            </w:r>
          </w:p>
        </w:tc>
        <w:tc>
          <w:tcPr>
            <w:tcW w:w="1656" w:type="dxa"/>
          </w:tcPr>
          <w:p>
            <w:pPr>
              <w:spacing w:before="40" w:after="40" w:line="240" w:lineRule="auto"/>
            </w:pPr>
            <w:r>
              <w:rPr>
                <w:rFonts w:ascii="Segoe UI" w:hAnsi="Segoe UI" w:cs="Segoe UI" w:eastAsia="Segoe UI"/>
                <w:sz w:val="16"/>
                <w:szCs w:val="16"/>
              </w:rPr>
              <w:t xml:space="preserve">Dealers, financing banks, affinity partners and their production</w:t>
            </w:r>
          </w:p>
        </w:tc>
        <w:tc>
          <w:tcPr>
            <w:tcW w:w="2278" w:type="dxa"/>
          </w:tcPr>
          <w:p>
            <w:pPr>
              <w:spacing w:before="40" w:after="40" w:line="240" w:lineRule="auto"/>
            </w:pPr>
            <w:r>
              <w:rPr>
                <w:rFonts w:ascii="Segoe UI" w:hAnsi="Segoe UI" w:cs="Segoe UI" w:eastAsia="Segoe UI"/>
                <w:sz w:val="16"/>
                <w:szCs w:val="16"/>
              </w:rPr>
              <w:t xml:space="preserve">TIS-BRD-MAS-07, TIS-BRD-MAS-05</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Finance masters and posting rules</w:t>
            </w:r>
          </w:p>
        </w:tc>
        <w:tc>
          <w:tcPr>
            <w:tcW w:w="1338" w:type="dxa"/>
          </w:tcPr>
          <w:p>
            <w:pPr>
              <w:spacing w:before="40" w:after="40" w:line="240" w:lineRule="auto"/>
            </w:pPr>
            <w:r>
              <w:rPr>
                <w:rFonts w:ascii="Segoe UI" w:hAnsi="Segoe UI" w:cs="Segoe UI" w:eastAsia="Segoe UI"/>
                <w:sz w:val="16"/>
                <w:szCs w:val="16"/>
              </w:rPr>
              <w:t xml:space="preserve">Master data</w:t>
            </w:r>
          </w:p>
        </w:tc>
        <w:tc>
          <w:tcPr>
            <w:tcW w:w="1656" w:type="dxa"/>
          </w:tcPr>
          <w:p>
            <w:pPr>
              <w:spacing w:before="40" w:after="40" w:line="240" w:lineRule="auto"/>
            </w:pPr>
            <w:r>
              <w:rPr>
                <w:rFonts w:ascii="Segoe UI" w:hAnsi="Segoe UI" w:cs="Segoe UI" w:eastAsia="Segoe UI"/>
                <w:sz w:val="16"/>
                <w:szCs w:val="16"/>
              </w:rPr>
              <w:t xml:space="preserve">Chart of accounts, account determination and posting rules with approval, taxes, premium taxes, commission rates, banks, cost centres and statement formats</w:t>
            </w:r>
          </w:p>
        </w:tc>
        <w:tc>
          <w:tcPr>
            <w:tcW w:w="2278" w:type="dxa"/>
          </w:tcPr>
          <w:p>
            <w:pPr>
              <w:spacing w:before="40" w:after="40" w:line="240" w:lineRule="auto"/>
            </w:pPr>
            <w:r>
              <w:rPr>
                <w:rFonts w:ascii="Segoe UI" w:hAnsi="Segoe UI" w:cs="Segoe UI" w:eastAsia="Segoe UI"/>
                <w:sz w:val="16"/>
                <w:szCs w:val="16"/>
              </w:rPr>
              <w:t xml:space="preserve">TIS-BRD-GL-01, TIS-BRD-GL-02, TIS-BRD-TAX-01, TIS-BRD-PROD-11, TIS-BRD-PROD-16, FGA-DS-04, MOM-S9-ACC-COST-CENTRE, PBSM-M18-COA, PBSM-M23-POSTING</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Product configuration</w:t>
            </w:r>
          </w:p>
        </w:tc>
        <w:tc>
          <w:tcPr>
            <w:tcW w:w="1338" w:type="dxa"/>
          </w:tcPr>
          <w:p>
            <w:pPr>
              <w:spacing w:before="40" w:after="40" w:line="240" w:lineRule="auto"/>
            </w:pPr>
            <w:r>
              <w:rPr>
                <w:rFonts w:ascii="Segoe UI" w:hAnsi="Segoe UI" w:cs="Segoe UI" w:eastAsia="Segoe UI"/>
                <w:sz w:val="16"/>
                <w:szCs w:val="16"/>
              </w:rPr>
              <w:t xml:space="preserve">Product Configurator</w:t>
            </w:r>
          </w:p>
        </w:tc>
        <w:tc>
          <w:tcPr>
            <w:tcW w:w="1656" w:type="dxa"/>
          </w:tcPr>
          <w:p>
            <w:pPr>
              <w:spacing w:before="40" w:after="40" w:line="240" w:lineRule="auto"/>
            </w:pPr>
            <w:r>
              <w:rPr>
                <w:rFonts w:ascii="Segoe UI" w:hAnsi="Segoe UI" w:cs="Segoe UI" w:eastAsia="Segoe UI"/>
                <w:sz w:val="16"/>
                <w:szCs w:val="16"/>
              </w:rPr>
              <w:t xml:space="preserve">Product templates, coverages, rating engine, acceptance rules, documents, market mapping and risk mapping</w:t>
            </w:r>
          </w:p>
        </w:tc>
        <w:tc>
          <w:tcPr>
            <w:tcW w:w="2278" w:type="dxa"/>
          </w:tcPr>
          <w:p>
            <w:pPr>
              <w:spacing w:before="40" w:after="40" w:line="240" w:lineRule="auto"/>
            </w:pPr>
            <w:r>
              <w:rPr>
                <w:rFonts w:ascii="Segoe UI" w:hAnsi="Segoe UI" w:cs="Segoe UI" w:eastAsia="Segoe UI"/>
                <w:sz w:val="16"/>
                <w:szCs w:val="16"/>
              </w:rPr>
              <w:t xml:space="preserve">TIS-BRD-PROD-01, TIS-BRD-PROD-04, TIS-BRD-PROD-07, TIS-BRD-PROD-09, TIS-BRD-PROD-10, TIS-BRD-PROD-12, TIS-BRD-PROD-13, TIS-BRD-PROD-14</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7" w:name="_Toc300001007"/>
      <w:r>
        <w:rPr>
          <w:rFonts w:ascii="Segoe UI" w:hAnsi="Segoe UI" w:cs="Segoe UI" w:eastAsia="Segoe UI"/>
        </w:rPr>
        <w:t xml:space="preserve">Platform Functions</w:t>
      </w:r>
      <w:bookmarkEnd w:id="10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8"/>
        <w:gridCol w:w="976"/>
        <w:gridCol w:w="1831"/>
        <w:gridCol w:w="2488"/>
        <w:gridCol w:w="1066"/>
        <w:gridCol w:w="1158"/>
      </w:tblGrid>
      <w:tr>
        <w:trPr>
          <w:cantSplit/>
          <w:tblHeader/>
          <w:trHeight w:val="400"/>
        </w:trPr>
        <w:tc>
          <w:tcPr>
            <w:tcW w:w="1508"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831"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488"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8"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08" w:type="dxa"/>
          </w:tcPr>
          <w:p>
            <w:pPr>
              <w:spacing w:before="40" w:after="40" w:line="240" w:lineRule="auto"/>
            </w:pPr>
            <w:r>
              <w:rPr>
                <w:rFonts w:ascii="Segoe UI" w:hAnsi="Segoe UI" w:cs="Segoe UI" w:eastAsia="Segoe UI"/>
                <w:sz w:val="16"/>
                <w:szCs w:val="16"/>
              </w:rPr>
              <w:t xml:space="preserve">My Work and notifications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Daily work queue by role, notifications, own profile, global search and the on-screen help</w:t>
            </w:r>
          </w:p>
        </w:tc>
        <w:tc>
          <w:tcPr>
            <w:tcW w:w="2488" w:type="dxa"/>
          </w:tcPr>
          <w:p>
            <w:pPr>
              <w:spacing w:before="40" w:after="40" w:line="240" w:lineRule="auto"/>
            </w:pPr>
            <w:r>
              <w:rPr>
                <w:rFonts w:ascii="Segoe UI" w:hAnsi="Segoe UI" w:cs="Segoe UI" w:eastAsia="Segoe UI"/>
                <w:sz w:val="16"/>
                <w:szCs w:val="16"/>
              </w:rPr>
              <w:t xml:space="preserve">TIS-BRD-RPT-01, PBSM-M16-NOTIFICATIONS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Users and roles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Users, roles, the user access matrix and role permissions with maker-checker</w:t>
            </w:r>
          </w:p>
        </w:tc>
        <w:tc>
          <w:tcPr>
            <w:tcW w:w="2488" w:type="dxa"/>
          </w:tcPr>
          <w:p>
            <w:pPr>
              <w:spacing w:before="40" w:after="40" w:line="240" w:lineRule="auto"/>
            </w:pPr>
            <w:r>
              <w:rPr>
                <w:rFonts w:ascii="Segoe UI" w:hAnsi="Segoe UI" w:cs="Segoe UI" w:eastAsia="Segoe UI"/>
                <w:sz w:val="16"/>
                <w:szCs w:val="16"/>
              </w:rPr>
              <w:t xml:space="preserve">TIS-BRD-SEC-01, TIS-BRD-SEC-02, TIS-BRD-SEC-05, PBSM-M17v4-RBAC</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Access governance</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Approval limits, segregation of duties, delegations and periodic access reviews</w:t>
            </w:r>
          </w:p>
        </w:tc>
        <w:tc>
          <w:tcPr>
            <w:tcW w:w="2488" w:type="dxa"/>
          </w:tcPr>
          <w:p>
            <w:pPr>
              <w:spacing w:before="40" w:after="40" w:line="240" w:lineRule="auto"/>
            </w:pPr>
            <w:r>
              <w:rPr>
                <w:rFonts w:ascii="Segoe UI" w:hAnsi="Segoe UI" w:cs="Segoe UI" w:eastAsia="Segoe UI"/>
                <w:sz w:val="16"/>
                <w:szCs w:val="16"/>
              </w:rPr>
              <w:t xml:space="preserve">TIS-BRD-SEC-01, TIS-BRD-SEC-03, TIS-BRD-NFR-02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Audit trail</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Record of every change with who, when, from where and the values before and after</w:t>
            </w:r>
          </w:p>
        </w:tc>
        <w:tc>
          <w:tcPr>
            <w:tcW w:w="2488" w:type="dxa"/>
          </w:tcPr>
          <w:p>
            <w:pPr>
              <w:spacing w:before="40" w:after="40" w:line="240" w:lineRule="auto"/>
            </w:pPr>
            <w:r>
              <w:rPr>
                <w:rFonts w:ascii="Segoe UI" w:hAnsi="Segoe UI" w:cs="Segoe UI" w:eastAsia="Segoe UI"/>
                <w:sz w:val="16"/>
                <w:szCs w:val="16"/>
              </w:rPr>
              <w:t xml:space="preserve">PBSM-M17v4-AUDIT, TIS-BRD-NFR-14.7, BRD-5.14</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System configuration</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Settings, document numbering, job schedules, e-mail and document layouts, signatures and the e-mail outbox</w:t>
            </w:r>
          </w:p>
        </w:tc>
        <w:tc>
          <w:tcPr>
            <w:tcW w:w="2488" w:type="dxa"/>
          </w:tcPr>
          <w:p>
            <w:pPr>
              <w:spacing w:before="40" w:after="40" w:line="240" w:lineRule="auto"/>
            </w:pPr>
            <w:r>
              <w:rPr>
                <w:rFonts w:ascii="Segoe UI" w:hAnsi="Segoe UI" w:cs="Segoe UI" w:eastAsia="Segoe UI"/>
                <w:sz w:val="16"/>
                <w:szCs w:val="16"/>
              </w:rPr>
              <w:t xml:space="preserve">TIS-BRD-PROD-01, TIS-BRD-NFR-08.1, TIS-BRD-DOC-01, PBSM-M17v4-IFMON, TIS-BRD-NOTIF-01, TIS-BRD-NFR-10.6, TIS-BRD-QUOT-07, TIS-BRD-INTG-01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Organisation and location masters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Company, branch, reporting hierarchy, designations, locations with holidays, and the peso as base currency</w:t>
            </w:r>
          </w:p>
        </w:tc>
        <w:tc>
          <w:tcPr>
            <w:tcW w:w="2488" w:type="dxa"/>
          </w:tcPr>
          <w:p>
            <w:pPr>
              <w:spacing w:before="40" w:after="40" w:line="240" w:lineRule="auto"/>
            </w:pPr>
            <w:r>
              <w:rPr>
                <w:rFonts w:ascii="Segoe UI" w:hAnsi="Segoe UI" w:cs="Segoe UI" w:eastAsia="Segoe UI"/>
                <w:sz w:val="16"/>
                <w:szCs w:val="16"/>
              </w:rPr>
              <w:t xml:space="preserve">TIS-BRD-MAS-01, TIS-BRD-MAS-02, TIS-BRD-MAS-03, TIS-BRD-MAS-08, PBSM-M01-M03-ORG</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Product Configurator home</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Entry point to the configuration studio</w:t>
            </w:r>
          </w:p>
        </w:tc>
        <w:tc>
          <w:tcPr>
            <w:tcW w:w="2488" w:type="dxa"/>
          </w:tcPr>
          <w:p>
            <w:pPr>
              <w:spacing w:before="40" w:after="40" w:line="240" w:lineRule="auto"/>
            </w:pPr>
            <w:r>
              <w:rPr>
                <w:rFonts w:ascii="Segoe UI" w:hAnsi="Segoe UI" w:cs="Segoe UI" w:eastAsia="Segoe UI"/>
                <w:sz w:val="16"/>
                <w:szCs w:val="16"/>
              </w:rPr>
              <w:t xml:space="preserve">TIS-BRD-PROD-01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Configuration promotion</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Configuration workbook, master data load at cutover and comparison of environments (Dev, UAT, Production)</w:t>
            </w:r>
          </w:p>
        </w:tc>
        <w:tc>
          <w:tcPr>
            <w:tcW w:w="2488" w:type="dxa"/>
          </w:tcPr>
          <w:p>
            <w:pPr>
              <w:spacing w:before="40" w:after="40" w:line="240" w:lineRule="auto"/>
            </w:pPr>
            <w:r>
              <w:rPr>
                <w:rFonts w:ascii="Segoe UI" w:hAnsi="Segoe UI" w:cs="Segoe UI" w:eastAsia="Segoe UI"/>
                <w:sz w:val="16"/>
                <w:szCs w:val="16"/>
              </w:rPr>
              <w:t xml:space="preserve">TIS-BRD-NFR-08, PBSM-MIG-MASTERS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Features and releases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Catalogue of the functions of the platform with their release tier and status; enabling by the iorta TechNXT platform administrator</w:t>
            </w:r>
          </w:p>
        </w:tc>
        <w:tc>
          <w:tcPr>
            <w:tcW w:w="2488" w:type="dxa"/>
          </w:tcPr>
          <w:p>
            <w:pPr>
              <w:spacing w:before="40" w:after="40" w:line="240" w:lineRule="auto"/>
            </w:pPr>
            <w:r>
              <w:rPr>
                <w:rFonts w:ascii="Segoe UI" w:hAnsi="Segoe UI" w:cs="Segoe UI" w:eastAsia="Segoe UI"/>
                <w:sz w:val="16"/>
                <w:szCs w:val="16"/>
              </w:rPr>
              <w:t xml:space="preserve">TIS-BRD-NFR-8.2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8" w:name="_Toc300001008"/>
      <w:r>
        <w:rPr>
          <w:rFonts w:ascii="Segoe UI" w:hAnsi="Segoe UI" w:cs="Segoe UI" w:eastAsia="Segoe UI"/>
        </w:rPr>
        <w:t xml:space="preserve">Phase 2 Functions</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25"/>
        <w:gridCol w:w="1159"/>
        <w:gridCol w:w="1701"/>
        <w:gridCol w:w="2417"/>
        <w:gridCol w:w="1066"/>
        <w:gridCol w:w="1159"/>
      </w:tblGrid>
      <w:tr>
        <w:trPr>
          <w:cantSplit/>
          <w:tblHeader/>
          <w:trHeight w:val="400"/>
        </w:trPr>
        <w:tc>
          <w:tcPr>
            <w:tcW w:w="152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159"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701"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417"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9"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25" w:type="dxa"/>
          </w:tcPr>
          <w:p>
            <w:pPr>
              <w:spacing w:before="40" w:after="40" w:line="240" w:lineRule="auto"/>
            </w:pPr>
            <w:r>
              <w:rPr>
                <w:rFonts w:ascii="Segoe UI" w:hAnsi="Segoe UI" w:cs="Segoe UI" w:eastAsia="Segoe UI"/>
                <w:sz w:val="16"/>
                <w:szCs w:val="16"/>
              </w:rPr>
              <w:t xml:space="preserve">Sales dashboard</w:t>
            </w:r>
          </w:p>
        </w:tc>
        <w:tc>
          <w:tcPr>
            <w:tcW w:w="1159" w:type="dxa"/>
          </w:tcPr>
          <w:p>
            <w:pPr>
              <w:spacing w:before="40" w:after="40" w:line="240" w:lineRule="auto"/>
            </w:pPr>
            <w:r>
              <w:rPr>
                <w:rFonts w:ascii="Segoe UI" w:hAnsi="Segoe UI" w:cs="Segoe UI" w:eastAsia="Segoe UI"/>
                <w:sz w:val="16"/>
                <w:szCs w:val="16"/>
              </w:rPr>
              <w:t xml:space="preserve">Dashboard</w:t>
            </w:r>
          </w:p>
        </w:tc>
        <w:tc>
          <w:tcPr>
            <w:tcW w:w="1701" w:type="dxa"/>
          </w:tcPr>
          <w:p>
            <w:pPr>
              <w:spacing w:before="40" w:after="40" w:line="240" w:lineRule="auto"/>
            </w:pPr>
            <w:r>
              <w:rPr>
                <w:rFonts w:ascii="Segoe UI" w:hAnsi="Segoe UI" w:cs="Segoe UI" w:eastAsia="Segoe UI"/>
                <w:sz w:val="16"/>
                <w:szCs w:val="16"/>
              </w:rPr>
              <w:t xml:space="preserve">Conversion, figures by sales person, premium and policies by product and the monthly trend; agent performance on the executive dashboard</w:t>
            </w:r>
          </w:p>
        </w:tc>
        <w:tc>
          <w:tcPr>
            <w:tcW w:w="2417" w:type="dxa"/>
          </w:tcPr>
          <w:p>
            <w:pPr>
              <w:spacing w:before="40" w:after="40" w:line="240" w:lineRule="auto"/>
            </w:pPr>
            <w:r>
              <w:rPr>
                <w:rFonts w:ascii="Segoe UI" w:hAnsi="Segoe UI" w:cs="Segoe UI" w:eastAsia="Segoe UI"/>
                <w:sz w:val="16"/>
                <w:szCs w:val="16"/>
              </w:rPr>
              <w:t xml:space="preserve">TIS-BRD-RPT-DSH-05, TIS-BRD-RPT-DSH-06, TIS-BRD-RPT-DSH-07, CR-17, FGA-SD-01, FGA-SD-02</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FT-D02 pending</w:t>
            </w:r>
          </w:p>
        </w:tc>
      </w:tr>
      <w:tr>
        <w:trPr>
          <w:cantSplit/>
        </w:trPr>
        <w:tc>
          <w:tcPr>
            <w:tcW w:w="1525" w:type="dxa"/>
          </w:tcPr>
          <w:p>
            <w:pPr>
              <w:spacing w:before="40" w:after="40" w:line="240" w:lineRule="auto"/>
            </w:pPr>
            <w:r>
              <w:rPr>
                <w:rFonts w:ascii="Segoe UI" w:hAnsi="Segoe UI" w:cs="Segoe UI" w:eastAsia="Segoe UI"/>
                <w:sz w:val="16"/>
                <w:szCs w:val="16"/>
              </w:rPr>
              <w:t xml:space="preserve">Fire, engineering and industrial all risks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Prospect, quotation and policy flows of fire and allied perils, engineering and industrial all risks</w:t>
            </w:r>
          </w:p>
        </w:tc>
        <w:tc>
          <w:tcPr>
            <w:tcW w:w="2417" w:type="dxa"/>
          </w:tcPr>
          <w:p>
            <w:pPr>
              <w:spacing w:before="40" w:after="40" w:line="240" w:lineRule="auto"/>
            </w:pPr>
            <w:r>
              <w:rPr>
                <w:rFonts w:ascii="Segoe UI" w:hAnsi="Segoe UI" w:cs="Segoe UI" w:eastAsia="Segoe UI"/>
                <w:sz w:val="16"/>
                <w:szCs w:val="16"/>
              </w:rPr>
              <w:t xml:space="preserve">TIS-BRD-PJRN-11, FI-01, FI-02, FI-03, FI-04, FI-05, FI-06, FI-07, FI-08, FI-09, FI-10, FI-11</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Group life and employee benefits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Employee census upload, group life and employee benefit quotations with the yearly renewal quote</w:t>
            </w:r>
          </w:p>
        </w:tc>
        <w:tc>
          <w:tcPr>
            <w:tcW w:w="2417" w:type="dxa"/>
          </w:tcPr>
          <w:p>
            <w:pPr>
              <w:spacing w:before="40" w:after="40" w:line="240" w:lineRule="auto"/>
            </w:pPr>
            <w:r>
              <w:rPr>
                <w:rFonts w:ascii="Segoe UI" w:hAnsi="Segoe UI" w:cs="Segoe UI" w:eastAsia="Segoe UI"/>
                <w:sz w:val="16"/>
                <w:szCs w:val="16"/>
              </w:rPr>
              <w:t xml:space="preserve">TIS-BRD-PJRN-10</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Bonds, liability and miscellaneous lines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Quotations of bonds, comprehensive general liability and miscellaneous lines through requests for quotation</w:t>
            </w:r>
          </w:p>
        </w:tc>
        <w:tc>
          <w:tcPr>
            <w:tcW w:w="2417" w:type="dxa"/>
          </w:tcPr>
          <w:p>
            <w:pPr>
              <w:spacing w:before="40" w:after="40" w:line="240" w:lineRule="auto"/>
            </w:pPr>
            <w:r>
              <w:rPr>
                <w:rFonts w:ascii="Segoe UI" w:hAnsi="Segoe UI" w:cs="Segoe UI" w:eastAsia="Segoe UI"/>
                <w:sz w:val="16"/>
                <w:szCs w:val="16"/>
              </w:rPr>
              <w:t xml:space="preserve">TIS-BRD-PJRN-13</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Accounts payable</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Supplier invoices with input VAT and withholding, maker-checker approval, supplier payments and AP ageing</w:t>
            </w:r>
          </w:p>
        </w:tc>
        <w:tc>
          <w:tcPr>
            <w:tcW w:w="2417" w:type="dxa"/>
          </w:tcPr>
          <w:p>
            <w:pPr>
              <w:spacing w:before="40" w:after="40" w:line="240" w:lineRule="auto"/>
            </w:pPr>
            <w:r>
              <w:rPr>
                <w:rFonts w:ascii="Segoe UI" w:hAnsi="Segoe UI" w:cs="Segoe UI" w:eastAsia="Segoe UI"/>
                <w:sz w:val="16"/>
                <w:szCs w:val="16"/>
              </w:rPr>
              <w:t xml:space="preserve">TIS-BRD-NIA-03, PBSM-M17v4-NIA</w:t>
            </w:r>
          </w:p>
        </w:tc>
        <w:tc>
          <w:tcPr>
            <w:tcW w:w="1066" w:type="dxa"/>
          </w:tcPr>
          <w:p>
            <w:pPr>
              <w:spacing w:before="40" w:after="40" w:line="240" w:lineRule="auto"/>
            </w:pPr>
            <w:r>
              <w:rPr>
                <w:rFonts w:ascii="Segoe UI" w:hAnsi="Segoe UI" w:cs="Segoe UI" w:eastAsia="Segoe UI"/>
                <w:sz w:val="16"/>
                <w:szCs w:val="16"/>
              </w:rPr>
              <w:t xml:space="preserve">Suppliers and supplier BIR 2307</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Fixed assets</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Asset register by asset class, monthly straight-line depreciation and disposals</w:t>
            </w:r>
          </w:p>
        </w:tc>
        <w:tc>
          <w:tcPr>
            <w:tcW w:w="2417" w:type="dxa"/>
          </w:tcPr>
          <w:p>
            <w:pPr>
              <w:spacing w:before="40" w:after="40" w:line="240" w:lineRule="auto"/>
            </w:pPr>
            <w:r>
              <w:rPr>
                <w:rFonts w:ascii="Segoe UI" w:hAnsi="Segoe UI" w:cs="Segoe UI" w:eastAsia="Segoe UI"/>
                <w:sz w:val="16"/>
                <w:szCs w:val="16"/>
              </w:rPr>
              <w:t xml:space="preserve">TIS-BRD-NIA-07, FGA-FA-01, FGA-FA-02, FGA-FA-04, FGA-DS-08, TIS-BRD-RPT-FGA-10, PBSM-M17v4-PAFA</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FT-D01 pending</w:t>
            </w:r>
          </w:p>
        </w:tc>
      </w:tr>
      <w:tr>
        <w:trPr>
          <w:cantSplit/>
        </w:trPr>
        <w:tc>
          <w:tcPr>
            <w:tcW w:w="1525" w:type="dxa"/>
          </w:tcPr>
          <w:p>
            <w:pPr>
              <w:spacing w:before="40" w:after="40" w:line="240" w:lineRule="auto"/>
            </w:pPr>
            <w:r>
              <w:rPr>
                <w:rFonts w:ascii="Segoe UI" w:hAnsi="Segoe UI" w:cs="Segoe UI" w:eastAsia="Segoe UI"/>
                <w:sz w:val="16"/>
                <w:szCs w:val="16"/>
              </w:rPr>
              <w:t xml:space="preserve">Recurring and accrual journals</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Recurring and accrual journal templates posted automatically and reversed on the first day of the next period</w:t>
            </w:r>
          </w:p>
        </w:tc>
        <w:tc>
          <w:tcPr>
            <w:tcW w:w="2417" w:type="dxa"/>
          </w:tcPr>
          <w:p>
            <w:pPr>
              <w:spacing w:before="40" w:after="40" w:line="240" w:lineRule="auto"/>
            </w:pPr>
            <w:r>
              <w:rPr>
                <w:rFonts w:ascii="Segoe UI" w:hAnsi="Segoe UI" w:cs="Segoe UI" w:eastAsia="Segoe UI"/>
                <w:sz w:val="16"/>
                <w:szCs w:val="16"/>
              </w:rPr>
              <w:t xml:space="preserve">FGA-ACR-01, TIS-BRD-NIA-06</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Insurer API integration</w:t>
            </w:r>
          </w:p>
        </w:tc>
        <w:tc>
          <w:tcPr>
            <w:tcW w:w="1159" w:type="dxa"/>
          </w:tcPr>
          <w:p>
            <w:pPr>
              <w:spacing w:before="40" w:after="40" w:line="240" w:lineRule="auto"/>
            </w:pPr>
            <w:r>
              <w:rPr>
                <w:rFonts w:ascii="Segoe UI" w:hAnsi="Segoe UI" w:cs="Segoe UI" w:eastAsia="Segoe UI"/>
                <w:sz w:val="16"/>
                <w:szCs w:val="16"/>
              </w:rPr>
              <w:t xml:space="preserve">Master data</w:t>
            </w:r>
          </w:p>
        </w:tc>
        <w:tc>
          <w:tcPr>
            <w:tcW w:w="1701" w:type="dxa"/>
          </w:tcPr>
          <w:p>
            <w:pPr>
              <w:spacing w:before="40" w:after="40" w:line="240" w:lineRule="auto"/>
            </w:pPr>
            <w:r>
              <w:rPr>
                <w:rFonts w:ascii="Segoe UI" w:hAnsi="Segoe UI" w:cs="Segoe UI" w:eastAsia="Segoe UI"/>
                <w:sz w:val="16"/>
                <w:szCs w:val="16"/>
              </w:rPr>
              <w:t xml:space="preserve">REST API mappings and calls to the insurers, claim status received from the insurers</w:t>
            </w:r>
          </w:p>
        </w:tc>
        <w:tc>
          <w:tcPr>
            <w:tcW w:w="2417" w:type="dxa"/>
          </w:tcPr>
          <w:p>
            <w:pPr>
              <w:spacing w:before="40" w:after="40" w:line="240" w:lineRule="auto"/>
            </w:pPr>
            <w:r>
              <w:rPr>
                <w:rFonts w:ascii="Segoe UI" w:hAnsi="Segoe UI" w:cs="Segoe UI" w:eastAsia="Segoe UI"/>
                <w:sz w:val="16"/>
                <w:szCs w:val="16"/>
              </w:rPr>
              <w:t xml:space="preserve">TIS-BRD-INTG-05</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Legacy book migration</w:t>
            </w:r>
          </w:p>
        </w:tc>
        <w:tc>
          <w:tcPr>
            <w:tcW w:w="1159" w:type="dxa"/>
          </w:tcPr>
          <w:p>
            <w:pPr>
              <w:spacing w:before="40" w:after="40" w:line="240" w:lineRule="auto"/>
            </w:pPr>
            <w:r>
              <w:rPr>
                <w:rFonts w:ascii="Segoe UI" w:hAnsi="Segoe UI" w:cs="Segoe UI" w:eastAsia="Segoe UI"/>
                <w:sz w:val="16"/>
                <w:szCs w:val="16"/>
              </w:rPr>
              <w:t xml:space="preserve">Master data</w:t>
            </w:r>
          </w:p>
        </w:tc>
        <w:tc>
          <w:tcPr>
            <w:tcW w:w="1701" w:type="dxa"/>
          </w:tcPr>
          <w:p>
            <w:pPr>
              <w:spacing w:before="40" w:after="40" w:line="240" w:lineRule="auto"/>
            </w:pPr>
            <w:r>
              <w:rPr>
                <w:rFonts w:ascii="Segoe UI" w:hAnsi="Segoe UI" w:cs="Segoe UI" w:eastAsia="Segoe UI"/>
                <w:sz w:val="16"/>
                <w:szCs w:val="16"/>
              </w:rPr>
              <w:t xml:space="preserve">Cutover load of in-force policies, open bills, open claims and opening balances of the legacy system</w:t>
            </w:r>
          </w:p>
        </w:tc>
        <w:tc>
          <w:tcPr>
            <w:tcW w:w="2417" w:type="dxa"/>
          </w:tcPr>
          <w:p>
            <w:pPr>
              <w:spacing w:before="40" w:after="40" w:line="240" w:lineRule="auto"/>
            </w:pPr>
            <w:r>
              <w:rPr>
                <w:rFonts w:ascii="Segoe UI" w:hAnsi="Segoe UI" w:cs="Segoe UI" w:eastAsia="Segoe UI"/>
                <w:sz w:val="16"/>
                <w:szCs w:val="16"/>
              </w:rPr>
              <w:t xml:space="preserve">TIS-BRD-MIG-01, MOM-S21-MIGRATION-PARKED</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9" w:name="_Toc300001009"/>
      <w:r>
        <w:rPr>
          <w:rFonts w:ascii="Segoe UI" w:hAnsi="Segoe UI" w:cs="Segoe UI" w:eastAsia="Segoe UI"/>
        </w:rPr>
        <w:t xml:space="preserve">Future Releases</w:t>
      </w:r>
      <w:bookmarkEnd w:id="100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7"/>
        <w:gridCol w:w="1371"/>
        <w:gridCol w:w="2038"/>
        <w:gridCol w:w="1424"/>
        <w:gridCol w:w="1375"/>
        <w:gridCol w:w="1162"/>
      </w:tblGrid>
      <w:tr>
        <w:trPr>
          <w:cantSplit/>
          <w:tblHeader/>
          <w:trHeight w:val="400"/>
        </w:trPr>
        <w:tc>
          <w:tcPr>
            <w:tcW w:w="1657"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371"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2038"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1424"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375"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62"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657" w:type="dxa"/>
          </w:tcPr>
          <w:p>
            <w:pPr>
              <w:spacing w:before="40" w:after="40" w:line="240" w:lineRule="auto"/>
            </w:pPr>
            <w:r>
              <w:rPr>
                <w:rFonts w:ascii="Segoe UI" w:hAnsi="Segoe UI" w:cs="Segoe UI" w:eastAsia="Segoe UI"/>
                <w:sz w:val="16"/>
                <w:szCs w:val="16"/>
              </w:rPr>
              <w:t xml:space="preserve">Customer satisfaction indicator</w:t>
            </w:r>
          </w:p>
        </w:tc>
        <w:tc>
          <w:tcPr>
            <w:tcW w:w="1371" w:type="dxa"/>
          </w:tcPr>
          <w:p>
            <w:pPr>
              <w:spacing w:before="40" w:after="40" w:line="240" w:lineRule="auto"/>
            </w:pPr>
            <w:r>
              <w:rPr>
                <w:rFonts w:ascii="Segoe UI" w:hAnsi="Segoe UI" w:cs="Segoe UI" w:eastAsia="Segoe UI"/>
                <w:sz w:val="16"/>
                <w:szCs w:val="16"/>
              </w:rPr>
              <w:t xml:space="preserve">Dashboard</w:t>
            </w:r>
          </w:p>
        </w:tc>
        <w:tc>
          <w:tcPr>
            <w:tcW w:w="2038" w:type="dxa"/>
          </w:tcPr>
          <w:p>
            <w:pPr>
              <w:spacing w:before="40" w:after="40" w:line="240" w:lineRule="auto"/>
            </w:pPr>
            <w:r>
              <w:rPr>
                <w:rFonts w:ascii="Segoe UI" w:hAnsi="Segoe UI" w:cs="Segoe UI" w:eastAsia="Segoe UI"/>
                <w:sz w:val="16"/>
                <w:szCs w:val="16"/>
              </w:rPr>
              <w:t xml:space="preserve">Customer satisfaction figure among the renewal performance targets (no survey data is captured)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Regional performance</w:t>
            </w:r>
          </w:p>
        </w:tc>
        <w:tc>
          <w:tcPr>
            <w:tcW w:w="1371" w:type="dxa"/>
          </w:tcPr>
          <w:p>
            <w:pPr>
              <w:spacing w:before="40" w:after="40" w:line="240" w:lineRule="auto"/>
            </w:pPr>
            <w:r>
              <w:rPr>
                <w:rFonts w:ascii="Segoe UI" w:hAnsi="Segoe UI" w:cs="Segoe UI" w:eastAsia="Segoe UI"/>
                <w:sz w:val="16"/>
                <w:szCs w:val="16"/>
              </w:rPr>
              <w:t xml:space="preserve">Dashboard</w:t>
            </w:r>
          </w:p>
        </w:tc>
        <w:tc>
          <w:tcPr>
            <w:tcW w:w="2038" w:type="dxa"/>
          </w:tcPr>
          <w:p>
            <w:pPr>
              <w:spacing w:before="40" w:after="40" w:line="240" w:lineRule="auto"/>
            </w:pPr>
            <w:r>
              <w:rPr>
                <w:rFonts w:ascii="Segoe UI" w:hAnsi="Segoe UI" w:cs="Segoe UI" w:eastAsia="Segoe UI"/>
                <w:sz w:val="16"/>
                <w:szCs w:val="16"/>
              </w:rPr>
              <w:t xml:space="preserve">Production and collections by region on the executive dashboard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Comparison reports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Client report comparing the offers of several insurers with a recommendation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Requests for quotation to several insurers</w:t>
            </w:r>
          </w:p>
        </w:tc>
        <w:tc>
          <w:tcPr>
            <w:tcW w:w="1162" w:type="dxa"/>
          </w:tcPr>
          <w:p>
            <w:pPr>
              <w:spacing w:before="40" w:after="40" w:line="240" w:lineRule="auto"/>
            </w:pPr>
            <w:r>
              <w:rPr>
                <w:rFonts w:ascii="Segoe UI" w:hAnsi="Segoe UI" w:cs="Segoe UI" w:eastAsia="Segoe UI"/>
                <w:sz w:val="16"/>
                <w:szCs w:val="16"/>
              </w:rPr>
              <w:t xml:space="preserve">FT-D03 pending</w:t>
            </w:r>
          </w:p>
        </w:tc>
      </w:tr>
      <w:tr>
        <w:trPr>
          <w:cantSplit/>
        </w:trPr>
        <w:tc>
          <w:tcPr>
            <w:tcW w:w="1657" w:type="dxa"/>
          </w:tcPr>
          <w:p>
            <w:pPr>
              <w:spacing w:before="40" w:after="40" w:line="240" w:lineRule="auto"/>
            </w:pPr>
            <w:r>
              <w:rPr>
                <w:rFonts w:ascii="Segoe UI" w:hAnsi="Segoe UI" w:cs="Segoe UI" w:eastAsia="Segoe UI"/>
                <w:sz w:val="16"/>
                <w:szCs w:val="16"/>
              </w:rPr>
              <w:t xml:space="preserve">Requests for quotation to several insurers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Submitting one request to several insurers, comparing their offers and checking the insurers approached against market mapping</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FT-D04 pending</w:t>
            </w:r>
          </w:p>
        </w:tc>
      </w:tr>
      <w:tr>
        <w:trPr>
          <w:cantSplit/>
        </w:trPr>
        <w:tc>
          <w:tcPr>
            <w:tcW w:w="1657" w:type="dxa"/>
          </w:tcPr>
          <w:p>
            <w:pPr>
              <w:spacing w:before="40" w:after="40" w:line="240" w:lineRule="auto"/>
            </w:pPr>
            <w:r>
              <w:rPr>
                <w:rFonts w:ascii="Segoe UI" w:hAnsi="Segoe UI" w:cs="Segoe UI" w:eastAsia="Segoe UI"/>
                <w:sz w:val="16"/>
                <w:szCs w:val="16"/>
              </w:rPr>
              <w:t xml:space="preserve">Marketing campaigns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E-mail campaigns to consenting clients with segments, templates and the public opt-out link</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FT-D05 pending</w:t>
            </w:r>
          </w:p>
        </w:tc>
      </w:tr>
      <w:tr>
        <w:trPr>
          <w:cantSplit/>
        </w:trPr>
        <w:tc>
          <w:tcPr>
            <w:tcW w:w="1657" w:type="dxa"/>
          </w:tcPr>
          <w:p>
            <w:pPr>
              <w:spacing w:before="40" w:after="40" w:line="240" w:lineRule="auto"/>
            </w:pPr>
            <w:r>
              <w:rPr>
                <w:rFonts w:ascii="Segoe UI" w:hAnsi="Segoe UI" w:cs="Segoe UI" w:eastAsia="Segoe UI"/>
                <w:sz w:val="16"/>
                <w:szCs w:val="16"/>
              </w:rPr>
              <w:t xml:space="preserve">Online quotation approval by the client</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Client approves a quotation through a public link instead of the internal approval and e-mailed PDF</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FT-D06 pending</w:t>
            </w:r>
          </w:p>
        </w:tc>
      </w:tr>
      <w:tr>
        <w:trPr>
          <w:cantSplit/>
        </w:trPr>
        <w:tc>
          <w:tcPr>
            <w:tcW w:w="1657" w:type="dxa"/>
          </w:tcPr>
          <w:p>
            <w:pPr>
              <w:spacing w:before="40" w:after="40" w:line="240" w:lineRule="auto"/>
            </w:pPr>
            <w:r>
              <w:rPr>
                <w:rFonts w:ascii="Segoe UI" w:hAnsi="Segoe UI" w:cs="Segoe UI" w:eastAsia="Segoe UI"/>
                <w:sz w:val="16"/>
                <w:szCs w:val="16"/>
              </w:rPr>
              <w:t xml:space="preserve">Product recommendation step</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Rule-based product recommendation by vehicle class inside the motor quotation wizard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FT-D07 pending</w:t>
            </w:r>
          </w:p>
        </w:tc>
      </w:tr>
      <w:tr>
        <w:trPr>
          <w:cantSplit/>
        </w:trPr>
        <w:tc>
          <w:tcPr>
            <w:tcW w:w="1657" w:type="dxa"/>
          </w:tcPr>
          <w:p>
            <w:pPr>
              <w:spacing w:before="40" w:after="40" w:line="240" w:lineRule="auto"/>
            </w:pPr>
            <w:r>
              <w:rPr>
                <w:rFonts w:ascii="Segoe UI" w:hAnsi="Segoe UI" w:cs="Segoe UI" w:eastAsia="Segoe UI"/>
                <w:sz w:val="16"/>
                <w:szCs w:val="16"/>
              </w:rPr>
              <w:t xml:space="preserve">Co-insurance</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Lead insurer with participant shares totalling 100%, amounts split by share and a slip to each co-insurer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Foreign currency premium and receipts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Choice of a currency other than the peso for the premium and the receipt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Marine cargo open covers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Marine cargo as an open cover product beside parcel and courier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Parcel and courier open covers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Retention analytics and renewal performance</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Retention KPIs by product, agent and month; renewal rate, premium retention and cycle time</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At-risk renewals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Rule-based retention risk score of open renewals with recommended actions and escalation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Win-back campaigns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Campaigns, offers and links to win back lapsed renewals, with their statistics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Renewals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CTPL authentication</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COC number series, COC authentication with the accredited provider and the unauthenticated COC report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FT-D08 pending</w:t>
            </w:r>
          </w:p>
        </w:tc>
      </w:tr>
      <w:tr>
        <w:trPr>
          <w:cantSplit/>
        </w:trPr>
        <w:tc>
          <w:tcPr>
            <w:tcW w:w="1657" w:type="dxa"/>
          </w:tcPr>
          <w:p>
            <w:pPr>
              <w:spacing w:before="40" w:after="40" w:line="240" w:lineRule="auto"/>
            </w:pPr>
            <w:r>
              <w:rPr>
                <w:rFonts w:ascii="Segoe UI" w:hAnsi="Segoe UI" w:cs="Segoe UI" w:eastAsia="Segoe UI"/>
                <w:sz w:val="16"/>
                <w:szCs w:val="16"/>
              </w:rPr>
              <w:t xml:space="preserve">Client credit limits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Credit limit per client with the open broker-billed exposure and the exceptions over the limit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Collections and credit control</w:t>
            </w:r>
          </w:p>
        </w:tc>
        <w:tc>
          <w:tcPr>
            <w:tcW w:w="1162" w:type="dxa"/>
          </w:tcPr>
          <w:p>
            <w:pPr>
              <w:spacing w:before="40" w:after="40" w:line="240" w:lineRule="auto"/>
            </w:pPr>
            <w:r>
              <w:rPr>
                <w:rFonts w:ascii="Segoe UI" w:hAnsi="Segoe UI" w:cs="Segoe UI" w:eastAsia="Segoe UI"/>
                <w:sz w:val="16"/>
                <w:szCs w:val="16"/>
              </w:rPr>
              <w:t xml:space="preserve">FT-D09 pending</w:t>
            </w:r>
          </w:p>
        </w:tc>
      </w:tr>
      <w:tr>
        <w:trPr>
          <w:cantSplit/>
        </w:trPr>
        <w:tc>
          <w:tcPr>
            <w:tcW w:w="1657" w:type="dxa"/>
          </w:tcPr>
          <w:p>
            <w:pPr>
              <w:spacing w:before="40" w:after="40" w:line="240" w:lineRule="auto"/>
            </w:pPr>
            <w:r>
              <w:rPr>
                <w:rFonts w:ascii="Segoe UI" w:hAnsi="Segoe UI" w:cs="Segoe UI" w:eastAsia="Segoe UI"/>
                <w:sz w:val="16"/>
                <w:szCs w:val="16"/>
              </w:rPr>
              <w:t xml:space="preserve">Claims paid through the broker</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Insurer claim funds received by the broker and paid to the claimant, with voucher and release form</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Claims</w:t>
            </w:r>
          </w:p>
        </w:tc>
        <w:tc>
          <w:tcPr>
            <w:tcW w:w="1162" w:type="dxa"/>
          </w:tcPr>
          <w:p>
            <w:pPr>
              <w:spacing w:before="40" w:after="40" w:line="240" w:lineRule="auto"/>
            </w:pPr>
            <w:r>
              <w:rPr>
                <w:rFonts w:ascii="Segoe UI" w:hAnsi="Segoe UI" w:cs="Segoe UI" w:eastAsia="Segoe UI"/>
                <w:sz w:val="16"/>
                <w:szCs w:val="16"/>
              </w:rPr>
              <w:t xml:space="preserve">FT-D10 pending</w:t>
            </w:r>
          </w:p>
        </w:tc>
      </w:tr>
      <w:tr>
        <w:trPr>
          <w:cantSplit/>
        </w:trPr>
        <w:tc>
          <w:tcPr>
            <w:tcW w:w="1657" w:type="dxa"/>
          </w:tcPr>
          <w:p>
            <w:pPr>
              <w:spacing w:before="40" w:after="40" w:line="240" w:lineRule="auto"/>
            </w:pPr>
            <w:r>
              <w:rPr>
                <w:rFonts w:ascii="Segoe UI" w:hAnsi="Segoe UI" w:cs="Segoe UI" w:eastAsia="Segoe UI"/>
                <w:sz w:val="16"/>
                <w:szCs w:val="16"/>
              </w:rPr>
              <w:t xml:space="preserve">Petty cash</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Petty cash funds, requests, disbursements, receipts and replenishment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BIR relief and summary reports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VAT summary, SAWT, QAP and the summary lists of sales and purchases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FT-D11 pending</w:t>
            </w:r>
          </w:p>
        </w:tc>
      </w:tr>
      <w:tr>
        <w:trPr>
          <w:cantSplit/>
        </w:trPr>
        <w:tc>
          <w:tcPr>
            <w:tcW w:w="1657"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Withholding returns 0619-E and 1601-EQ with filing records, the annual alphalist 1604-E and the DAT files for the BIR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FT-D12 pending</w:t>
            </w:r>
          </w:p>
        </w:tc>
      </w:tr>
      <w:tr>
        <w:trPr>
          <w:cantSplit/>
        </w:trPr>
        <w:tc>
          <w:tcPr>
            <w:tcW w:w="1657" w:type="dxa"/>
          </w:tcPr>
          <w:p>
            <w:pPr>
              <w:spacing w:before="40" w:after="40" w:line="240" w:lineRule="auto"/>
            </w:pPr>
            <w:r>
              <w:rPr>
                <w:rFonts w:ascii="Segoe UI" w:hAnsi="Segoe UI" w:cs="Segoe UI" w:eastAsia="Segoe UI"/>
                <w:sz w:val="16"/>
                <w:szCs w:val="16"/>
              </w:rPr>
              <w:t xml:space="preserve">Percentage tax 2551Q</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Quarterly percentage tax return of a non-VAT broker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1162" w:type="dxa"/>
          </w:tcPr>
          <w:p>
            <w:pPr>
              <w:spacing w:before="40" w:after="40" w:line="240" w:lineRule="auto"/>
            </w:pPr>
            <w:r>
              <w:rPr>
                <w:rFonts w:ascii="Segoe UI" w:hAnsi="Segoe UI" w:cs="Segoe UI" w:eastAsia="Segoe UI"/>
                <w:sz w:val="16"/>
                <w:szCs w:val="16"/>
              </w:rPr>
              <w:t xml:space="preserve">FT-D13 pending</w:t>
            </w:r>
          </w:p>
        </w:tc>
      </w:tr>
      <w:tr>
        <w:trPr>
          <w:cantSplit/>
        </w:trPr>
        <w:tc>
          <w:tcPr>
            <w:tcW w:w="1657" w:type="dxa"/>
          </w:tcPr>
          <w:p>
            <w:pPr>
              <w:spacing w:before="40" w:after="40" w:line="240" w:lineRule="auto"/>
            </w:pPr>
            <w:r>
              <w:rPr>
                <w:rFonts w:ascii="Segoe UI" w:hAnsi="Segoe UI" w:cs="Segoe UI" w:eastAsia="Segoe UI"/>
                <w:sz w:val="16"/>
                <w:szCs w:val="16"/>
              </w:rPr>
              <w:t xml:space="preserve">BIR electronic invoicing (EIS)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Submission of sales invoices to the BIR electronic invoicing system</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FT-D14 pending</w:t>
            </w:r>
          </w:p>
        </w:tc>
      </w:tr>
      <w:tr>
        <w:trPr>
          <w:cantSplit/>
        </w:trPr>
        <w:tc>
          <w:tcPr>
            <w:tcW w:w="1657" w:type="dxa"/>
          </w:tcPr>
          <w:p>
            <w:pPr>
              <w:spacing w:before="40" w:after="40" w:line="240" w:lineRule="auto"/>
            </w:pPr>
            <w:r>
              <w:rPr>
                <w:rFonts w:ascii="Segoe UI" w:hAnsi="Segoe UI" w:cs="Segoe UI" w:eastAsia="Segoe UI"/>
                <w:sz w:val="16"/>
                <w:szCs w:val="16"/>
              </w:rPr>
              <w:t xml:space="preserve">Insurer overriding commission</w:t>
            </w:r>
          </w:p>
        </w:tc>
        <w:tc>
          <w:tcPr>
            <w:tcW w:w="1371" w:type="dxa"/>
          </w:tcPr>
          <w:p>
            <w:pPr>
              <w:spacing w:before="40" w:after="40" w:line="240" w:lineRule="auto"/>
            </w:pPr>
            <w:r>
              <w:rPr>
                <w:rFonts w:ascii="Segoe UI" w:hAnsi="Segoe UI" w:cs="Segoe UI" w:eastAsia="Segoe UI"/>
                <w:sz w:val="16"/>
                <w:szCs w:val="16"/>
              </w:rPr>
              <w:t xml:space="preserve">Commission</w:t>
            </w:r>
          </w:p>
        </w:tc>
        <w:tc>
          <w:tcPr>
            <w:tcW w:w="2038" w:type="dxa"/>
          </w:tcPr>
          <w:p>
            <w:pPr>
              <w:spacing w:before="40" w:after="40" w:line="240" w:lineRule="auto"/>
            </w:pPr>
            <w:r>
              <w:rPr>
                <w:rFonts w:ascii="Segoe UI" w:hAnsi="Segoe UI" w:cs="Segoe UI" w:eastAsia="Segoe UI"/>
                <w:sz w:val="16"/>
                <w:szCs w:val="16"/>
              </w:rPr>
              <w:t xml:space="preserve">Overriding, profit and contingent commission agreements with insurers and their computations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Co-insurance reports</w:t>
            </w:r>
          </w:p>
        </w:tc>
        <w:tc>
          <w:tcPr>
            <w:tcW w:w="1371" w:type="dxa"/>
          </w:tcPr>
          <w:p>
            <w:pPr>
              <w:spacing w:before="40" w:after="40" w:line="240" w:lineRule="auto"/>
            </w:pPr>
            <w:r>
              <w:rPr>
                <w:rFonts w:ascii="Segoe UI" w:hAnsi="Segoe UI" w:cs="Segoe UI" w:eastAsia="Segoe UI"/>
                <w:sz w:val="16"/>
                <w:szCs w:val="16"/>
              </w:rPr>
              <w:t xml:space="preserve">Reports</w:t>
            </w:r>
          </w:p>
        </w:tc>
        <w:tc>
          <w:tcPr>
            <w:tcW w:w="2038" w:type="dxa"/>
          </w:tcPr>
          <w:p>
            <w:pPr>
              <w:spacing w:before="40" w:after="40" w:line="240" w:lineRule="auto"/>
            </w:pPr>
            <w:r>
              <w:rPr>
                <w:rFonts w:ascii="Segoe UI" w:hAnsi="Segoe UI" w:cs="Segoe UI" w:eastAsia="Segoe UI"/>
                <w:sz w:val="16"/>
                <w:szCs w:val="16"/>
              </w:rPr>
              <w:t xml:space="preserve">Co-insurance register and amounts due to insurers by co-insurer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Co-insurance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BI extract</w:t>
            </w:r>
          </w:p>
        </w:tc>
        <w:tc>
          <w:tcPr>
            <w:tcW w:w="1371" w:type="dxa"/>
          </w:tcPr>
          <w:p>
            <w:pPr>
              <w:spacing w:before="40" w:after="40" w:line="240" w:lineRule="auto"/>
            </w:pPr>
            <w:r>
              <w:rPr>
                <w:rFonts w:ascii="Segoe UI" w:hAnsi="Segoe UI" w:cs="Segoe UI" w:eastAsia="Segoe UI"/>
                <w:sz w:val="16"/>
                <w:szCs w:val="16"/>
              </w:rPr>
              <w:t xml:space="preserve">Reports</w:t>
            </w:r>
          </w:p>
        </w:tc>
        <w:tc>
          <w:tcPr>
            <w:tcW w:w="2038" w:type="dxa"/>
          </w:tcPr>
          <w:p>
            <w:pPr>
              <w:spacing w:before="40" w:after="40" w:line="240" w:lineRule="auto"/>
            </w:pPr>
            <w:r>
              <w:rPr>
                <w:rFonts w:ascii="Segoe UI" w:hAnsi="Segoe UI" w:cs="Segoe UI" w:eastAsia="Segoe UI"/>
                <w:sz w:val="16"/>
                <w:szCs w:val="16"/>
              </w:rPr>
              <w:t xml:space="preserve">Nightly CSV extract of the datasets for an external BI tool</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Report Builder</w:t>
            </w:r>
          </w:p>
        </w:tc>
        <w:tc>
          <w:tcPr>
            <w:tcW w:w="1162" w:type="dxa"/>
          </w:tcPr>
          <w:p>
            <w:pPr>
              <w:spacing w:before="40" w:after="40" w:line="240" w:lineRule="auto"/>
            </w:pPr>
            <w:r>
              <w:rPr>
                <w:rFonts w:ascii="Segoe UI" w:hAnsi="Segoe UI" w:cs="Segoe UI" w:eastAsia="Segoe UI"/>
                <w:sz w:val="16"/>
                <w:szCs w:val="16"/>
              </w:rPr>
              <w:t xml:space="preserve">FT-D15 pending</w:t>
            </w:r>
          </w:p>
        </w:tc>
      </w:tr>
      <w:tr>
        <w:trPr>
          <w:cantSplit/>
        </w:trPr>
        <w:tc>
          <w:tcPr>
            <w:tcW w:w="1657" w:type="dxa"/>
          </w:tcPr>
          <w:p>
            <w:pPr>
              <w:spacing w:before="40" w:after="40" w:line="240" w:lineRule="auto"/>
            </w:pPr>
            <w:r>
              <w:rPr>
                <w:rFonts w:ascii="Segoe UI" w:hAnsi="Segoe UI" w:cs="Segoe UI" w:eastAsia="Segoe UI"/>
                <w:sz w:val="16"/>
                <w:szCs w:val="16"/>
              </w:rPr>
              <w:t xml:space="preserve">Exchange rates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Dated foreign exchange rates for amounts in other currencies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Foreign currency premium and receipts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Online payment links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Card and e-wallet payment links with the public checkout page and the payment gateways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Package bundles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Multi-section bundles across insurers issued under one package policy number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Insurer rate tables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Insurer rate tables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One rate per insurer and product used by packages and comparisons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FT-D16 pending</w:t>
            </w:r>
          </w:p>
        </w:tc>
      </w:tr>
      <w:tr>
        <w:trPr>
          <w:cantSplit/>
        </w:trPr>
        <w:tc>
          <w:tcPr>
            <w:tcW w:w="1657" w:type="dxa"/>
          </w:tcPr>
          <w:p>
            <w:pPr>
              <w:spacing w:before="40" w:after="40" w:line="240" w:lineRule="auto"/>
            </w:pPr>
            <w:r>
              <w:rPr>
                <w:rFonts w:ascii="Segoe UI" w:hAnsi="Segoe UI" w:cs="Segoe UI" w:eastAsia="Segoe UI"/>
                <w:sz w:val="16"/>
                <w:szCs w:val="16"/>
              </w:rPr>
              <w:t xml:space="preserve">Automated remittance master</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Earlier remittance configuration: automated remittance, statement template and settlement parameters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SMS and Viber messages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SMS and Viber templates, SMS renewal notices and payment reminders through the SMS connectors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Inbound integration messages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Public endpoint receiving signed messages pushed by third parties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Product analytics</w:t>
            </w:r>
          </w:p>
        </w:tc>
        <w:tc>
          <w:tcPr>
            <w:tcW w:w="1371" w:type="dxa"/>
          </w:tcPr>
          <w:p>
            <w:pPr>
              <w:spacing w:before="40" w:after="40" w:line="240" w:lineRule="auto"/>
            </w:pPr>
            <w:r>
              <w:rPr>
                <w:rFonts w:ascii="Segoe UI" w:hAnsi="Segoe UI" w:cs="Segoe UI" w:eastAsia="Segoe UI"/>
                <w:sz w:val="16"/>
                <w:szCs w:val="16"/>
              </w:rPr>
              <w:t xml:space="preserve">Product Configurator</w:t>
            </w:r>
          </w:p>
        </w:tc>
        <w:tc>
          <w:tcPr>
            <w:tcW w:w="2038" w:type="dxa"/>
          </w:tcPr>
          <w:p>
            <w:pPr>
              <w:spacing w:before="40" w:after="40" w:line="240" w:lineRule="auto"/>
            </w:pPr>
            <w:r>
              <w:rPr>
                <w:rFonts w:ascii="Segoe UI" w:hAnsi="Segoe UI" w:cs="Segoe UI" w:eastAsia="Segoe UI"/>
                <w:sz w:val="16"/>
                <w:szCs w:val="16"/>
              </w:rPr>
              <w:t xml:space="preserve">Top products, trends and category breakdown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0" w:name="_Toc300001010"/>
      <w:r>
        <w:rPr>
          <w:rFonts w:ascii="Segoe UI" w:hAnsi="Segoe UI" w:cs="Segoe UI" w:eastAsia="Segoe UI"/>
        </w:rPr>
        <w:t xml:space="preserve">Decisions for TISPH</w:t>
      </w:r>
      <w:bookmarkEnd w:id="1010"/>
    </w:p>
    <w:p xmlns:a="http://schemas.openxmlformats.org/drawingml/2006/main" xmlns:pic="http://schemas.openxmlformats.org/drawingml/2006/picture">
      <w:pPr>
        <w:jc w:val="both"/>
      </w:pPr>
      <w:r>
        <w:rPr>
          <w:rFonts w:ascii="Segoe UI" w:hAnsi="Segoe UI" w:cs="Segoe UI" w:eastAsia="Segoe UI"/>
        </w:rPr>
        <w:t xml:space="preserve">The functions below are classified on the proposal shown and flagged "Decision pending" on the Features &amp; Releases screen until TISPH answers.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97"/>
        <w:gridCol w:w="1805"/>
        <w:gridCol w:w="2997"/>
        <w:gridCol w:w="1922"/>
        <w:gridCol w:w="1506"/>
      </w:tblGrid>
      <w:tr>
        <w:trPr>
          <w:cantSplit/>
          <w:tblHeader/>
          <w:trHeight w:val="400"/>
        </w:trPr>
        <w:tc>
          <w:tcPr>
            <w:tcW w:w="797" w:type="dxa"/>
            <w:shd w:val="clear" w:color="auto" w:fill="E8F0F8"/>
            <w:vAlign w:val="center"/>
          </w:tcPr>
          <w:p>
            <w:pPr>
              <w:spacing w:before="40" w:after="40" w:line="240" w:lineRule="auto"/>
            </w:pPr>
            <w:r>
              <w:rPr>
                <w:rFonts w:ascii="Segoe UI" w:hAnsi="Segoe UI" w:cs="Segoe UI" w:eastAsia="Segoe UI"/>
                <w:b/>
                <w:bCs/>
                <w:sz w:val="16"/>
                <w:szCs w:val="16"/>
              </w:rPr>
              <w:t xml:space="preserve">ID</w:t>
            </w:r>
          </w:p>
        </w:tc>
        <w:tc>
          <w:tcPr>
            <w:tcW w:w="180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2997" w:type="dxa"/>
            <w:shd w:val="clear" w:color="auto" w:fill="E8F0F8"/>
            <w:vAlign w:val="center"/>
          </w:tcPr>
          <w:p>
            <w:pPr>
              <w:spacing w:before="40" w:after="40" w:line="240" w:lineRule="auto"/>
            </w:pPr>
            <w:r>
              <w:rPr>
                <w:rFonts w:ascii="Segoe UI" w:hAnsi="Segoe UI" w:cs="Segoe UI" w:eastAsia="Segoe UI"/>
                <w:b/>
                <w:bCs/>
                <w:sz w:val="16"/>
                <w:szCs w:val="16"/>
              </w:rPr>
              <w:t xml:space="preserve">Question</w:t>
            </w:r>
          </w:p>
        </w:tc>
        <w:tc>
          <w:tcPr>
            <w:tcW w:w="1922" w:type="dxa"/>
            <w:shd w:val="clear" w:color="auto" w:fill="E8F0F8"/>
            <w:vAlign w:val="center"/>
          </w:tcPr>
          <w:p>
            <w:pPr>
              <w:spacing w:before="40" w:after="40" w:line="240" w:lineRule="auto"/>
            </w:pPr>
            <w:r>
              <w:rPr>
                <w:rFonts w:ascii="Segoe UI" w:hAnsi="Segoe UI" w:cs="Segoe UI" w:eastAsia="Segoe UI"/>
                <w:b/>
                <w:bCs/>
                <w:sz w:val="16"/>
                <w:szCs w:val="16"/>
              </w:rPr>
              <w:t xml:space="preserve">Options</w:t>
            </w:r>
          </w:p>
        </w:tc>
        <w:tc>
          <w:tcPr>
            <w:tcW w:w="1506" w:type="dxa"/>
            <w:shd w:val="clear" w:color="auto" w:fill="E8F0F8"/>
            <w:vAlign w:val="center"/>
          </w:tcPr>
          <w:p>
            <w:pPr>
              <w:spacing w:before="40" w:after="40" w:line="240" w:lineRule="auto"/>
            </w:pPr>
            <w:r>
              <w:rPr>
                <w:rFonts w:ascii="Segoe UI" w:hAnsi="Segoe UI" w:cs="Segoe UI" w:eastAsia="Segoe UI"/>
                <w:b/>
                <w:bCs/>
                <w:sz w:val="16"/>
                <w:szCs w:val="16"/>
              </w:rPr>
              <w:t xml:space="preserve">Classified as</w:t>
            </w:r>
          </w:p>
        </w:tc>
      </w:tr>
      <w:tr>
        <w:trPr>
          <w:cantSplit/>
        </w:trPr>
        <w:tc>
          <w:tcPr>
            <w:tcW w:w="797" w:type="dxa"/>
          </w:tcPr>
          <w:p>
            <w:pPr>
              <w:spacing w:before="40" w:after="40" w:line="240" w:lineRule="auto"/>
            </w:pPr>
            <w:r>
              <w:rPr>
                <w:rFonts w:ascii="Segoe UI" w:hAnsi="Segoe UI" w:cs="Segoe UI" w:eastAsia="Segoe UI"/>
                <w:sz w:val="16"/>
                <w:szCs w:val="16"/>
              </w:rPr>
              <w:t xml:space="preserve">FT-D01</w:t>
            </w:r>
          </w:p>
        </w:tc>
        <w:tc>
          <w:tcPr>
            <w:tcW w:w="1805" w:type="dxa"/>
          </w:tcPr>
          <w:p>
            <w:pPr>
              <w:spacing w:before="40" w:after="40" w:line="240" w:lineRule="auto"/>
            </w:pPr>
            <w:r>
              <w:rPr>
                <w:rFonts w:ascii="Segoe UI" w:hAnsi="Segoe UI" w:cs="Segoe UI" w:eastAsia="Segoe UI"/>
                <w:sz w:val="16"/>
                <w:szCs w:val="16"/>
              </w:rPr>
              <w:t xml:space="preserve">Fixed assets</w:t>
            </w:r>
          </w:p>
        </w:tc>
        <w:tc>
          <w:tcPr>
            <w:tcW w:w="2997" w:type="dxa"/>
          </w:tcPr>
          <w:p>
            <w:pPr>
              <w:spacing w:before="40" w:after="40" w:line="240" w:lineRule="auto"/>
            </w:pPr>
            <w:r>
              <w:rPr>
                <w:rFonts w:ascii="Segoe UI" w:hAnsi="Segoe UI" w:cs="Segoe UI" w:eastAsia="Segoe UI"/>
                <w:sz w:val="16"/>
                <w:szCs w:val="16"/>
              </w:rPr>
              <w:t xml:space="preserve">MOM-S5-AP-ASSET-MASTER (Phase 1) asks for an asset master at requisition while fixed assets (TIS-BRD-NIA-07) are Phase 2. Does the asset master go live in Phase 1?</w:t>
            </w:r>
          </w:p>
        </w:tc>
        <w:tc>
          <w:tcPr>
            <w:tcW w:w="1922" w:type="dxa"/>
          </w:tcPr>
          <w:p>
            <w:pPr>
              <w:spacing w:before="40" w:after="40" w:line="240" w:lineRule="auto"/>
            </w:pPr>
            <w:r>
              <w:rPr>
                <w:rFonts w:ascii="Segoe UI" w:hAnsi="Segoe UI" w:cs="Segoe UI" w:eastAsia="Segoe UI"/>
                <w:sz w:val="16"/>
                <w:szCs w:val="16"/>
              </w:rPr>
              <w:t xml:space="preserve">Phase 2 (enable with Phase 2); Asset master in Phase 1</w:t>
            </w:r>
          </w:p>
        </w:tc>
        <w:tc>
          <w:tcPr>
            <w:tcW w:w="1506" w:type="dxa"/>
          </w:tcPr>
          <w:p>
            <w:pPr>
              <w:spacing w:before="40" w:after="40" w:line="240" w:lineRule="auto"/>
            </w:pPr>
            <w:r>
              <w:rPr>
                <w:rFonts w:ascii="Segoe UI" w:hAnsi="Segoe UI" w:cs="Segoe UI" w:eastAsia="Segoe UI"/>
                <w:sz w:val="16"/>
                <w:szCs w:val="16"/>
              </w:rPr>
              <w:t xml:space="preserve">Phase 2,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FT-D02</w:t>
            </w:r>
          </w:p>
        </w:tc>
        <w:tc>
          <w:tcPr>
            <w:tcW w:w="1805" w:type="dxa"/>
          </w:tcPr>
          <w:p>
            <w:pPr>
              <w:spacing w:before="40" w:after="40" w:line="240" w:lineRule="auto"/>
            </w:pPr>
            <w:r>
              <w:rPr>
                <w:rFonts w:ascii="Segoe UI" w:hAnsi="Segoe UI" w:cs="Segoe UI" w:eastAsia="Segoe UI"/>
                <w:sz w:val="16"/>
                <w:szCs w:val="16"/>
              </w:rPr>
              <w:t xml:space="preserve">Sales dashboard</w:t>
            </w:r>
          </w:p>
        </w:tc>
        <w:tc>
          <w:tcPr>
            <w:tcW w:w="2997" w:type="dxa"/>
          </w:tcPr>
          <w:p>
            <w:pPr>
              <w:spacing w:before="40" w:after="40" w:line="240" w:lineRule="auto"/>
            </w:pPr>
            <w:r>
              <w:rPr>
                <w:rFonts w:ascii="Segoe UI" w:hAnsi="Segoe UI" w:cs="Segoe UI" w:eastAsia="Segoe UI"/>
                <w:sz w:val="16"/>
                <w:szCs w:val="16"/>
              </w:rPr>
              <w:t xml:space="preserve">TIS-BRD-RPT-02 (Phase 1) names the same measures as the Phase 2 dashboards DSH-05 to DSH-07. Is the Sales Dashboard the Phase 1 delivery of RPT-02 (always on) or a Phase 2 dashboard?</w:t>
            </w:r>
          </w:p>
        </w:tc>
        <w:tc>
          <w:tcPr>
            <w:tcW w:w="1922" w:type="dxa"/>
          </w:tcPr>
          <w:p>
            <w:pPr>
              <w:spacing w:before="40" w:after="40" w:line="240" w:lineRule="auto"/>
            </w:pPr>
            <w:r>
              <w:rPr>
                <w:rFonts w:ascii="Segoe UI" w:hAnsi="Segoe UI" w:cs="Segoe UI" w:eastAsia="Segoe UI"/>
                <w:sz w:val="16"/>
                <w:szCs w:val="16"/>
              </w:rPr>
              <w:t xml:space="preserve">Phase 1 (RPT-02 delivery, always on); Phase 2 (enable with Phase 2)</w:t>
            </w:r>
          </w:p>
        </w:tc>
        <w:tc>
          <w:tcPr>
            <w:tcW w:w="1506" w:type="dxa"/>
          </w:tcPr>
          <w:p>
            <w:pPr>
              <w:spacing w:before="40" w:after="40" w:line="240" w:lineRule="auto"/>
            </w:pPr>
            <w:r>
              <w:rPr>
                <w:rFonts w:ascii="Segoe UI" w:hAnsi="Segoe UI" w:cs="Segoe UI" w:eastAsia="Segoe UI"/>
                <w:sz w:val="16"/>
                <w:szCs w:val="16"/>
              </w:rPr>
              <w:t xml:space="preserve">Phase 2,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FT-D03</w:t>
            </w:r>
          </w:p>
        </w:tc>
        <w:tc>
          <w:tcPr>
            <w:tcW w:w="1805" w:type="dxa"/>
          </w:tcPr>
          <w:p>
            <w:pPr>
              <w:spacing w:before="40" w:after="40" w:line="240" w:lineRule="auto"/>
            </w:pPr>
            <w:r>
              <w:rPr>
                <w:rFonts w:ascii="Segoe UI" w:hAnsi="Segoe UI" w:cs="Segoe UI" w:eastAsia="Segoe UI"/>
                <w:sz w:val="16"/>
                <w:szCs w:val="16"/>
              </w:rPr>
              <w:t xml:space="preserve">Comparison reports</w:t>
            </w:r>
          </w:p>
        </w:tc>
        <w:tc>
          <w:tcPr>
            <w:tcW w:w="2997" w:type="dxa"/>
          </w:tcPr>
          <w:p>
            <w:pPr>
              <w:spacing w:before="40" w:after="40" w:line="240" w:lineRule="auto"/>
            </w:pPr>
            <w:r>
              <w:rPr>
                <w:rFonts w:ascii="Segoe UI" w:hAnsi="Segoe UI" w:cs="Segoe UI" w:eastAsia="Segoe UI"/>
                <w:sz w:val="16"/>
                <w:szCs w:val="16"/>
              </w:rPr>
              <w:t xml:space="preserve">Placement is one insurer per client (MOM s.4) but TIS-BRD-PJRN-05 shares the PA quotation with every partner. Are comparison reports wanted, for PA only?</w:t>
            </w:r>
          </w:p>
        </w:tc>
        <w:tc>
          <w:tcPr>
            <w:tcW w:w="1922" w:type="dxa"/>
          </w:tcPr>
          <w:p>
            <w:pPr>
              <w:spacing w:before="40" w:after="40" w:line="240" w:lineRule="auto"/>
            </w:pPr>
            <w:r>
              <w:rPr>
                <w:rFonts w:ascii="Segoe UI" w:hAnsi="Segoe UI" w:cs="Segoe UI" w:eastAsia="Segoe UI"/>
                <w:sz w:val="16"/>
                <w:szCs w:val="16"/>
              </w:rPr>
              <w:t xml:space="preserve">Not wanted; Personal Accident only; Every line</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FT-D04</w:t>
            </w:r>
          </w:p>
        </w:tc>
        <w:tc>
          <w:tcPr>
            <w:tcW w:w="1805" w:type="dxa"/>
          </w:tcPr>
          <w:p>
            <w:pPr>
              <w:spacing w:before="40" w:after="40" w:line="240" w:lineRule="auto"/>
            </w:pPr>
            <w:r>
              <w:rPr>
                <w:rFonts w:ascii="Segoe UI" w:hAnsi="Segoe UI" w:cs="Segoe UI" w:eastAsia="Segoe UI"/>
                <w:sz w:val="16"/>
                <w:szCs w:val="16"/>
              </w:rPr>
              <w:t xml:space="preserve">Requests for quotation to several insurers</w:t>
            </w:r>
          </w:p>
        </w:tc>
        <w:tc>
          <w:tcPr>
            <w:tcW w:w="2997" w:type="dxa"/>
          </w:tcPr>
          <w:p>
            <w:pPr>
              <w:spacing w:before="40" w:after="40" w:line="240" w:lineRule="auto"/>
            </w:pPr>
            <w:r>
              <w:rPr>
                <w:rFonts w:ascii="Segoe UI" w:hAnsi="Segoe UI" w:cs="Segoe UI" w:eastAsia="Segoe UI"/>
                <w:sz w:val="16"/>
                <w:szCs w:val="16"/>
              </w:rPr>
              <w:t xml:space="preserve">Placement is one insurer per client (MOM s.4). Keep multi-insurer requests for quotation for Personal Accident only?</w:t>
            </w:r>
          </w:p>
        </w:tc>
        <w:tc>
          <w:tcPr>
            <w:tcW w:w="1922" w:type="dxa"/>
          </w:tcPr>
          <w:p>
            <w:pPr>
              <w:spacing w:before="40" w:after="40" w:line="240" w:lineRule="auto"/>
            </w:pPr>
            <w:r>
              <w:rPr>
                <w:rFonts w:ascii="Segoe UI" w:hAnsi="Segoe UI" w:cs="Segoe UI" w:eastAsia="Segoe UI"/>
                <w:sz w:val="16"/>
                <w:szCs w:val="16"/>
              </w:rPr>
              <w:t xml:space="preserve">Not wanted; Personal Accident only</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FT-D05</w:t>
            </w:r>
          </w:p>
        </w:tc>
        <w:tc>
          <w:tcPr>
            <w:tcW w:w="1805" w:type="dxa"/>
          </w:tcPr>
          <w:p>
            <w:pPr>
              <w:spacing w:before="40" w:after="40" w:line="240" w:lineRule="auto"/>
            </w:pPr>
            <w:r>
              <w:rPr>
                <w:rFonts w:ascii="Segoe UI" w:hAnsi="Segoe UI" w:cs="Segoe UI" w:eastAsia="Segoe UI"/>
                <w:sz w:val="16"/>
                <w:szCs w:val="16"/>
              </w:rPr>
              <w:t xml:space="preserve">Marketing campaigns</w:t>
            </w:r>
          </w:p>
        </w:tc>
        <w:tc>
          <w:tcPr>
            <w:tcW w:w="2997" w:type="dxa"/>
          </w:tcPr>
          <w:p>
            <w:pPr>
              <w:spacing w:before="40" w:after="40" w:line="240" w:lineRule="auto"/>
            </w:pPr>
            <w:r>
              <w:rPr>
                <w:rFonts w:ascii="Segoe UI" w:hAnsi="Segoe UI" w:cs="Segoe UI" w:eastAsia="Segoe UI"/>
                <w:sz w:val="16"/>
                <w:szCs w:val="16"/>
              </w:rPr>
              <w:t xml:space="preserve">No BRD or FRS requirement asks for marketing campaigns (NFR-17.1 covers consent and opt-out only). Are campaigns wanted?</w:t>
            </w:r>
          </w:p>
        </w:tc>
        <w:tc>
          <w:tcPr>
            <w:tcW w:w="1922" w:type="dxa"/>
          </w:tcPr>
          <w:p>
            <w:pPr>
              <w:spacing w:before="40" w:after="40" w:line="240" w:lineRule="auto"/>
            </w:pPr>
            <w:r>
              <w:rPr>
                <w:rFonts w:ascii="Segoe UI" w:hAnsi="Segoe UI" w:cs="Segoe UI" w:eastAsia="Segoe UI"/>
                <w:sz w:val="16"/>
                <w:szCs w:val="16"/>
              </w:rPr>
              <w:t xml:space="preserve">Not wanted; Wanted in a later release</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FT-D06</w:t>
            </w:r>
          </w:p>
        </w:tc>
        <w:tc>
          <w:tcPr>
            <w:tcW w:w="1805" w:type="dxa"/>
          </w:tcPr>
          <w:p>
            <w:pPr>
              <w:spacing w:before="40" w:after="40" w:line="240" w:lineRule="auto"/>
            </w:pPr>
            <w:r>
              <w:rPr>
                <w:rFonts w:ascii="Segoe UI" w:hAnsi="Segoe UI" w:cs="Segoe UI" w:eastAsia="Segoe UI"/>
                <w:sz w:val="16"/>
                <w:szCs w:val="16"/>
              </w:rPr>
              <w:t xml:space="preserve">Online quotation approval by the client</w:t>
            </w:r>
          </w:p>
        </w:tc>
        <w:tc>
          <w:tcPr>
            <w:tcW w:w="2997" w:type="dxa"/>
          </w:tcPr>
          <w:p>
            <w:pPr>
              <w:spacing w:before="40" w:after="40" w:line="240" w:lineRule="auto"/>
            </w:pPr>
            <w:r>
              <w:rPr>
                <w:rFonts w:ascii="Segoe UI" w:hAnsi="Segoe UI" w:cs="Segoe UI" w:eastAsia="Segoe UI"/>
                <w:sz w:val="16"/>
                <w:szCs w:val="16"/>
              </w:rPr>
              <w:t xml:space="preserve">TIS-BRD-QUOT-03 asks for internal maker-checker approval and an e-mailed PDF. Should clients also approve quotations through a link?</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FT-D07</w:t>
            </w:r>
          </w:p>
        </w:tc>
        <w:tc>
          <w:tcPr>
            <w:tcW w:w="1805" w:type="dxa"/>
          </w:tcPr>
          <w:p>
            <w:pPr>
              <w:spacing w:before="40" w:after="40" w:line="240" w:lineRule="auto"/>
            </w:pPr>
            <w:r>
              <w:rPr>
                <w:rFonts w:ascii="Segoe UI" w:hAnsi="Segoe UI" w:cs="Segoe UI" w:eastAsia="Segoe UI"/>
                <w:sz w:val="16"/>
                <w:szCs w:val="16"/>
              </w:rPr>
              <w:t xml:space="preserve">Product recommendation step</w:t>
            </w:r>
          </w:p>
        </w:tc>
        <w:tc>
          <w:tcPr>
            <w:tcW w:w="2997" w:type="dxa"/>
          </w:tcPr>
          <w:p>
            <w:pPr>
              <w:spacing w:before="40" w:after="40" w:line="240" w:lineRule="auto"/>
            </w:pPr>
            <w:r>
              <w:rPr>
                <w:rFonts w:ascii="Segoe UI" w:hAnsi="Segoe UI" w:cs="Segoe UI" w:eastAsia="Segoe UI"/>
                <w:sz w:val="16"/>
                <w:szCs w:val="16"/>
              </w:rPr>
              <w:t xml:space="preserve">The motor quotation wizard offers a product recommendation step that no requirement names. Keep the step?</w:t>
            </w:r>
          </w:p>
        </w:tc>
        <w:tc>
          <w:tcPr>
            <w:tcW w:w="1922" w:type="dxa"/>
          </w:tcPr>
          <w:p>
            <w:pPr>
              <w:spacing w:before="40" w:after="40" w:line="240" w:lineRule="auto"/>
            </w:pPr>
            <w:r>
              <w:rPr>
                <w:rFonts w:ascii="Segoe UI" w:hAnsi="Segoe UI" w:cs="Segoe UI" w:eastAsia="Segoe UI"/>
                <w:sz w:val="16"/>
                <w:szCs w:val="16"/>
              </w:rPr>
              <w:t xml:space="preserve">Skip the step; Keep the step</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FT-D08</w:t>
            </w:r>
          </w:p>
        </w:tc>
        <w:tc>
          <w:tcPr>
            <w:tcW w:w="1805" w:type="dxa"/>
          </w:tcPr>
          <w:p>
            <w:pPr>
              <w:spacing w:before="40" w:after="40" w:line="240" w:lineRule="auto"/>
            </w:pPr>
            <w:r>
              <w:rPr>
                <w:rFonts w:ascii="Segoe UI" w:hAnsi="Segoe UI" w:cs="Segoe UI" w:eastAsia="Segoe UI"/>
                <w:sz w:val="16"/>
                <w:szCs w:val="16"/>
              </w:rPr>
              <w:t xml:space="preserve">CTPL authentication</w:t>
            </w:r>
          </w:p>
        </w:tc>
        <w:tc>
          <w:tcPr>
            <w:tcW w:w="2997" w:type="dxa"/>
          </w:tcPr>
          <w:p>
            <w:pPr>
              <w:spacing w:before="40" w:after="40" w:line="240" w:lineRule="auto"/>
            </w:pPr>
            <w:r>
              <w:rPr>
                <w:rFonts w:ascii="Segoe UI" w:hAnsi="Segoe UI" w:cs="Segoe UI" w:eastAsia="Segoe UI"/>
                <w:sz w:val="16"/>
                <w:szCs w:val="16"/>
              </w:rPr>
              <w:t xml:space="preserve">The broker does not issue policies (BRD 4.1) and no requirement asks for COC authentication. Is CTPL authentication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FT-D09</w:t>
            </w:r>
          </w:p>
        </w:tc>
        <w:tc>
          <w:tcPr>
            <w:tcW w:w="1805" w:type="dxa"/>
          </w:tcPr>
          <w:p>
            <w:pPr>
              <w:spacing w:before="40" w:after="40" w:line="240" w:lineRule="auto"/>
            </w:pPr>
            <w:r>
              <w:rPr>
                <w:rFonts w:ascii="Segoe UI" w:hAnsi="Segoe UI" w:cs="Segoe UI" w:eastAsia="Segoe UI"/>
                <w:sz w:val="16"/>
                <w:szCs w:val="16"/>
              </w:rPr>
              <w:t xml:space="preserve">Client credit limits</w:t>
            </w:r>
          </w:p>
        </w:tc>
        <w:tc>
          <w:tcPr>
            <w:tcW w:w="2997" w:type="dxa"/>
          </w:tcPr>
          <w:p>
            <w:pPr>
              <w:spacing w:before="40" w:after="40" w:line="240" w:lineRule="auto"/>
            </w:pPr>
            <w:r>
              <w:rPr>
                <w:rFonts w:ascii="Segoe UI" w:hAnsi="Segoe UI" w:cs="Segoe UI" w:eastAsia="Segoe UI"/>
                <w:sz w:val="16"/>
                <w:szCs w:val="16"/>
              </w:rPr>
              <w:t xml:space="preserve">MOM-S3-COLL-CREDIT-TERMS covers credit terms, not credit limits. Are client credit limits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FT-D10</w:t>
            </w:r>
          </w:p>
        </w:tc>
        <w:tc>
          <w:tcPr>
            <w:tcW w:w="1805" w:type="dxa"/>
          </w:tcPr>
          <w:p>
            <w:pPr>
              <w:spacing w:before="40" w:after="40" w:line="240" w:lineRule="auto"/>
            </w:pPr>
            <w:r>
              <w:rPr>
                <w:rFonts w:ascii="Segoe UI" w:hAnsi="Segoe UI" w:cs="Segoe UI" w:eastAsia="Segoe UI"/>
                <w:sz w:val="16"/>
                <w:szCs w:val="16"/>
              </w:rPr>
              <w:t xml:space="preserve">Claims paid through the broker</w:t>
            </w:r>
          </w:p>
        </w:tc>
        <w:tc>
          <w:tcPr>
            <w:tcW w:w="2997" w:type="dxa"/>
          </w:tcPr>
          <w:p>
            <w:pPr>
              <w:spacing w:before="40" w:after="40" w:line="240" w:lineRule="auto"/>
            </w:pPr>
            <w:r>
              <w:rPr>
                <w:rFonts w:ascii="Segoe UI" w:hAnsi="Segoe UI" w:cs="Segoe UI" w:eastAsia="Segoe UI"/>
                <w:sz w:val="16"/>
                <w:szCs w:val="16"/>
              </w:rPr>
              <w:t xml:space="preserve">TIS-BRD-CLAIM-05 covers the settlement status with the insurer. Do claim funds ever pass through TISPH?</w:t>
            </w:r>
          </w:p>
        </w:tc>
        <w:tc>
          <w:tcPr>
            <w:tcW w:w="1922" w:type="dxa"/>
          </w:tcPr>
          <w:p>
            <w:pPr>
              <w:spacing w:before="40" w:after="40" w:line="240" w:lineRule="auto"/>
            </w:pPr>
            <w:r>
              <w:rPr>
                <w:rFonts w:ascii="Segoe UI" w:hAnsi="Segoe UI" w:cs="Segoe UI" w:eastAsia="Segoe UI"/>
                <w:sz w:val="16"/>
                <w:szCs w:val="16"/>
              </w:rPr>
              <w:t xml:space="preserve">Never: not wanted; Yes: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FT-D11</w:t>
            </w:r>
          </w:p>
        </w:tc>
        <w:tc>
          <w:tcPr>
            <w:tcW w:w="1805" w:type="dxa"/>
          </w:tcPr>
          <w:p>
            <w:pPr>
              <w:spacing w:before="40" w:after="40" w:line="240" w:lineRule="auto"/>
            </w:pPr>
            <w:r>
              <w:rPr>
                <w:rFonts w:ascii="Segoe UI" w:hAnsi="Segoe UI" w:cs="Segoe UI" w:eastAsia="Segoe UI"/>
                <w:sz w:val="16"/>
                <w:szCs w:val="16"/>
              </w:rPr>
              <w:t xml:space="preserve">BIR relief and summary reports</w:t>
            </w:r>
          </w:p>
        </w:tc>
        <w:tc>
          <w:tcPr>
            <w:tcW w:w="2997" w:type="dxa"/>
          </w:tcPr>
          <w:p>
            <w:pPr>
              <w:spacing w:before="40" w:after="40" w:line="240" w:lineRule="auto"/>
            </w:pPr>
            <w:r>
              <w:rPr>
                <w:rFonts w:ascii="Segoe UI" w:hAnsi="Segoe UI" w:cs="Segoe UI" w:eastAsia="Segoe UI"/>
                <w:sz w:val="16"/>
                <w:szCs w:val="16"/>
              </w:rPr>
              <w:t xml:space="preserve">TIS-BRD-TAX-02 asks for a BIR report on criteria TISPH has not yet given (MOM s.16). Which BIR reports are wanted?</w:t>
            </w:r>
          </w:p>
        </w:tc>
        <w:tc>
          <w:tcPr>
            <w:tcW w:w="1922" w:type="dxa"/>
          </w:tcPr>
          <w:p>
            <w:pPr>
              <w:spacing w:before="40" w:after="40" w:line="240" w:lineRule="auto"/>
            </w:pPr>
            <w:r>
              <w:rPr>
                <w:rFonts w:ascii="Segoe UI" w:hAnsi="Segoe UI" w:cs="Segoe UI" w:eastAsia="Segoe UI"/>
                <w:sz w:val="16"/>
                <w:szCs w:val="16"/>
              </w:rPr>
              <w:t xml:space="preserve">VAT summary; SAWT; QAP; SLSP sales and purchases; None for now</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FT-D12</w:t>
            </w:r>
          </w:p>
        </w:tc>
        <w:tc>
          <w:tcPr>
            <w:tcW w:w="180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2997" w:type="dxa"/>
          </w:tcPr>
          <w:p>
            <w:pPr>
              <w:spacing w:before="40" w:after="40" w:line="240" w:lineRule="auto"/>
            </w:pPr>
            <w:r>
              <w:rPr>
                <w:rFonts w:ascii="Segoe UI" w:hAnsi="Segoe UI" w:cs="Segoe UI" w:eastAsia="Segoe UI"/>
                <w:sz w:val="16"/>
                <w:szCs w:val="16"/>
              </w:rPr>
              <w:t xml:space="preserve">Which BIR returns does TISPH want the system to prepare (0619-E, 1601-EQ, 1604-E, DAT files)?</w:t>
            </w:r>
          </w:p>
        </w:tc>
        <w:tc>
          <w:tcPr>
            <w:tcW w:w="1922" w:type="dxa"/>
          </w:tcPr>
          <w:p>
            <w:pPr>
              <w:spacing w:before="40" w:after="40" w:line="240" w:lineRule="auto"/>
            </w:pPr>
            <w:r>
              <w:rPr>
                <w:rFonts w:ascii="Segoe UI" w:hAnsi="Segoe UI" w:cs="Segoe UI" w:eastAsia="Segoe UI"/>
                <w:sz w:val="16"/>
                <w:szCs w:val="16"/>
              </w:rPr>
              <w:t xml:space="preserve">All; Withholding returns only; None for now</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FT-D13</w:t>
            </w:r>
          </w:p>
        </w:tc>
        <w:tc>
          <w:tcPr>
            <w:tcW w:w="1805" w:type="dxa"/>
          </w:tcPr>
          <w:p>
            <w:pPr>
              <w:spacing w:before="40" w:after="40" w:line="240" w:lineRule="auto"/>
            </w:pPr>
            <w:r>
              <w:rPr>
                <w:rFonts w:ascii="Segoe UI" w:hAnsi="Segoe UI" w:cs="Segoe UI" w:eastAsia="Segoe UI"/>
                <w:sz w:val="16"/>
                <w:szCs w:val="16"/>
              </w:rPr>
              <w:t xml:space="preserve">Percentage tax 2551Q</w:t>
            </w:r>
          </w:p>
        </w:tc>
        <w:tc>
          <w:tcPr>
            <w:tcW w:w="2997" w:type="dxa"/>
          </w:tcPr>
          <w:p>
            <w:pPr>
              <w:spacing w:before="40" w:after="40" w:line="240" w:lineRule="auto"/>
            </w:pPr>
            <w:r>
              <w:rPr>
                <w:rFonts w:ascii="Segoe UI" w:hAnsi="Segoe UI" w:cs="Segoe UI" w:eastAsia="Segoe UI"/>
                <w:sz w:val="16"/>
                <w:szCs w:val="16"/>
              </w:rPr>
              <w:t xml:space="preserve">TISPH is VAT-registered. Is the percentage tax return 2551Q ever needed?</w:t>
            </w:r>
          </w:p>
        </w:tc>
        <w:tc>
          <w:tcPr>
            <w:tcW w:w="1922" w:type="dxa"/>
          </w:tcPr>
          <w:p>
            <w:pPr>
              <w:spacing w:before="40" w:after="40" w:line="240" w:lineRule="auto"/>
            </w:pPr>
            <w:r>
              <w:rPr>
                <w:rFonts w:ascii="Segoe UI" w:hAnsi="Segoe UI" w:cs="Segoe UI" w:eastAsia="Segoe UI"/>
                <w:sz w:val="16"/>
                <w:szCs w:val="16"/>
              </w:rPr>
              <w:t xml:space="preserve">Not needed; Needed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FT-D14</w:t>
            </w:r>
          </w:p>
        </w:tc>
        <w:tc>
          <w:tcPr>
            <w:tcW w:w="1805" w:type="dxa"/>
          </w:tcPr>
          <w:p>
            <w:pPr>
              <w:spacing w:before="40" w:after="40" w:line="240" w:lineRule="auto"/>
            </w:pPr>
            <w:r>
              <w:rPr>
                <w:rFonts w:ascii="Segoe UI" w:hAnsi="Segoe UI" w:cs="Segoe UI" w:eastAsia="Segoe UI"/>
                <w:sz w:val="16"/>
                <w:szCs w:val="16"/>
              </w:rPr>
              <w:t xml:space="preserve">BIR electronic invoicing (EIS)</w:t>
            </w:r>
          </w:p>
        </w:tc>
        <w:tc>
          <w:tcPr>
            <w:tcW w:w="2997" w:type="dxa"/>
          </w:tcPr>
          <w:p>
            <w:pPr>
              <w:spacing w:before="40" w:after="40" w:line="240" w:lineRule="auto"/>
            </w:pPr>
            <w:r>
              <w:rPr>
                <w:rFonts w:ascii="Segoe UI" w:hAnsi="Segoe UI" w:cs="Segoe UI" w:eastAsia="Segoe UI"/>
                <w:sz w:val="16"/>
                <w:szCs w:val="16"/>
              </w:rPr>
              <w:t xml:space="preserve">Is TISPH required to submit invoices to the BIR EIS?</w:t>
            </w:r>
          </w:p>
        </w:tc>
        <w:tc>
          <w:tcPr>
            <w:tcW w:w="1922" w:type="dxa"/>
          </w:tcPr>
          <w:p>
            <w:pPr>
              <w:spacing w:before="40" w:after="40" w:line="240" w:lineRule="auto"/>
            </w:pPr>
            <w:r>
              <w:rPr>
                <w:rFonts w:ascii="Segoe UI" w:hAnsi="Segoe UI" w:cs="Segoe UI" w:eastAsia="Segoe UI"/>
                <w:sz w:val="16"/>
                <w:szCs w:val="16"/>
              </w:rPr>
              <w:t xml:space="preserve">Not required; Required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FT-D15</w:t>
            </w:r>
          </w:p>
        </w:tc>
        <w:tc>
          <w:tcPr>
            <w:tcW w:w="1805" w:type="dxa"/>
          </w:tcPr>
          <w:p>
            <w:pPr>
              <w:spacing w:before="40" w:after="40" w:line="240" w:lineRule="auto"/>
            </w:pPr>
            <w:r>
              <w:rPr>
                <w:rFonts w:ascii="Segoe UI" w:hAnsi="Segoe UI" w:cs="Segoe UI" w:eastAsia="Segoe UI"/>
                <w:sz w:val="16"/>
                <w:szCs w:val="16"/>
              </w:rPr>
              <w:t xml:space="preserve">BI extract</w:t>
            </w:r>
          </w:p>
        </w:tc>
        <w:tc>
          <w:tcPr>
            <w:tcW w:w="2997" w:type="dxa"/>
          </w:tcPr>
          <w:p>
            <w:pPr>
              <w:spacing w:before="40" w:after="40" w:line="240" w:lineRule="auto"/>
            </w:pPr>
            <w:r>
              <w:rPr>
                <w:rFonts w:ascii="Segoe UI" w:hAnsi="Segoe UI" w:cs="Segoe UI" w:eastAsia="Segoe UI"/>
                <w:sz w:val="16"/>
                <w:szCs w:val="16"/>
              </w:rPr>
              <w:t xml:space="preserve">TIS-BRD-RPT-DSH-01 leaves the BI tool open (Power BI or in-app). Is a nightly extract for a BI tool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FT-D16</w:t>
            </w:r>
          </w:p>
        </w:tc>
        <w:tc>
          <w:tcPr>
            <w:tcW w:w="1805" w:type="dxa"/>
          </w:tcPr>
          <w:p>
            <w:pPr>
              <w:spacing w:before="40" w:after="40" w:line="240" w:lineRule="auto"/>
            </w:pPr>
            <w:r>
              <w:rPr>
                <w:rFonts w:ascii="Segoe UI" w:hAnsi="Segoe UI" w:cs="Segoe UI" w:eastAsia="Segoe UI"/>
                <w:sz w:val="16"/>
                <w:szCs w:val="16"/>
              </w:rPr>
              <w:t xml:space="preserve">Insurer rate tables</w:t>
            </w:r>
          </w:p>
        </w:tc>
        <w:tc>
          <w:tcPr>
            <w:tcW w:w="2997" w:type="dxa"/>
          </w:tcPr>
          <w:p>
            <w:pPr>
              <w:spacing w:before="40" w:after="40" w:line="240" w:lineRule="auto"/>
            </w:pPr>
            <w:r>
              <w:rPr>
                <w:rFonts w:ascii="Segoe UI" w:hAnsi="Segoe UI" w:cs="Segoe UI" w:eastAsia="Segoe UI"/>
                <w:sz w:val="16"/>
                <w:szCs w:val="16"/>
              </w:rPr>
              <w:t xml:space="preserve">TIS-BRD-PROD-13 asks for a rate card per insurer. Is it met by the Product Configurator rating, or are insurer rate tables wanted?</w:t>
            </w:r>
          </w:p>
        </w:tc>
        <w:tc>
          <w:tcPr>
            <w:tcW w:w="1922" w:type="dxa"/>
          </w:tcPr>
          <w:p>
            <w:pPr>
              <w:spacing w:before="40" w:after="40" w:line="240" w:lineRule="auto"/>
            </w:pPr>
            <w:r>
              <w:rPr>
                <w:rFonts w:ascii="Segoe UI" w:hAnsi="Segoe UI" w:cs="Segoe UI" w:eastAsia="Segoe UI"/>
                <w:sz w:val="16"/>
                <w:szCs w:val="16"/>
              </w:rPr>
              <w:t xml:space="preserve">Met by the Product Configurator; Insurer rate tables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1" w:name="_Toc300001011"/>
      <w:r>
        <w:rPr>
          <w:rFonts w:ascii="Segoe UI" w:hAnsi="Segoe UI" w:cs="Segoe UI" w:eastAsia="Segoe UI"/>
        </w:rPr>
        <w:t xml:space="preserve">What Phase 2 and Future Functions Control</w:t>
      </w:r>
      <w:bookmarkEnd w:id="1011"/>
    </w:p>
    <w:p xmlns:a="http://schemas.openxmlformats.org/drawingml/2006/main" xmlns:pic="http://schemas.openxmlformats.org/drawingml/2006/picture">
      <w:pPr>
        <w:jc w:val="both"/>
      </w:pPr>
      <w:r>
        <w:rPr>
          <w:rFonts w:ascii="Segoe UI" w:hAnsi="Segoe UI" w:cs="Segoe UI" w:eastAsia="Segoe UI"/>
        </w:rPr>
        <w:t xml:space="preserve">The menus, scheduled jobs, connectors and settings that appear or are switched on together with each function.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15"/>
        <w:gridCol w:w="970"/>
        <w:gridCol w:w="2128"/>
        <w:gridCol w:w="1714"/>
        <w:gridCol w:w="2400"/>
      </w:tblGrid>
      <w:tr>
        <w:trPr>
          <w:cantSplit/>
          <w:tblHeader/>
          <w:trHeight w:val="400"/>
        </w:trPr>
        <w:tc>
          <w:tcPr>
            <w:tcW w:w="181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970" w:type="dxa"/>
            <w:shd w:val="clear" w:color="auto" w:fill="E8F0F8"/>
            <w:vAlign w:val="center"/>
          </w:tcPr>
          <w:p>
            <w:pPr>
              <w:spacing w:before="40" w:after="40" w:line="240" w:lineRule="auto"/>
            </w:pPr>
            <w:r>
              <w:rPr>
                <w:rFonts w:ascii="Segoe UI" w:hAnsi="Segoe UI" w:cs="Segoe UI" w:eastAsia="Segoe UI"/>
                <w:b/>
                <w:bCs/>
                <w:sz w:val="16"/>
                <w:szCs w:val="16"/>
              </w:rPr>
              <w:t xml:space="preserve">Tier</w:t>
            </w:r>
          </w:p>
        </w:tc>
        <w:tc>
          <w:tcPr>
            <w:tcW w:w="2128" w:type="dxa"/>
            <w:shd w:val="clear" w:color="auto" w:fill="E8F0F8"/>
            <w:vAlign w:val="center"/>
          </w:tcPr>
          <w:p>
            <w:pPr>
              <w:spacing w:before="40" w:after="40" w:line="240" w:lineRule="auto"/>
            </w:pPr>
            <w:r>
              <w:rPr>
                <w:rFonts w:ascii="Segoe UI" w:hAnsi="Segoe UI" w:cs="Segoe UI" w:eastAsia="Segoe UI"/>
                <w:b/>
                <w:bCs/>
                <w:sz w:val="16"/>
                <w:szCs w:val="16"/>
              </w:rPr>
              <w:t xml:space="preserve">Menus</w:t>
            </w:r>
          </w:p>
        </w:tc>
        <w:tc>
          <w:tcPr>
            <w:tcW w:w="1714" w:type="dxa"/>
            <w:shd w:val="clear" w:color="auto" w:fill="E8F0F8"/>
            <w:vAlign w:val="center"/>
          </w:tcPr>
          <w:p>
            <w:pPr>
              <w:spacing w:before="40" w:after="40" w:line="240" w:lineRule="auto"/>
            </w:pPr>
            <w:r>
              <w:rPr>
                <w:rFonts w:ascii="Segoe UI" w:hAnsi="Segoe UI" w:cs="Segoe UI" w:eastAsia="Segoe UI"/>
                <w:b/>
                <w:bCs/>
                <w:sz w:val="16"/>
                <w:szCs w:val="16"/>
              </w:rPr>
              <w:t xml:space="preserve">Parts of screens</w:t>
            </w:r>
          </w:p>
        </w:tc>
        <w:tc>
          <w:tcPr>
            <w:tcW w:w="2400" w:type="dxa"/>
            <w:shd w:val="clear" w:color="auto" w:fill="E8F0F8"/>
            <w:vAlign w:val="center"/>
          </w:tcPr>
          <w:p>
            <w:pPr>
              <w:spacing w:before="40" w:after="40" w:line="240" w:lineRule="auto"/>
            </w:pPr>
            <w:r>
              <w:rPr>
                <w:rFonts w:ascii="Segoe UI" w:hAnsi="Segoe UI" w:cs="Segoe UI" w:eastAsia="Segoe UI"/>
                <w:b/>
                <w:bCs/>
                <w:sz w:val="16"/>
                <w:szCs w:val="16"/>
              </w:rPr>
              <w:t xml:space="preserve">Jobs, connectors, settings</w:t>
            </w:r>
          </w:p>
        </w:tc>
      </w:tr>
      <w:tr>
        <w:trPr>
          <w:cantSplit/>
        </w:trPr>
        <w:tc>
          <w:tcPr>
            <w:tcW w:w="1815" w:type="dxa"/>
          </w:tcPr>
          <w:p>
            <w:pPr>
              <w:spacing w:before="40" w:after="40" w:line="240" w:lineRule="auto"/>
            </w:pPr>
            <w:r>
              <w:rPr>
                <w:rFonts w:ascii="Segoe UI" w:hAnsi="Segoe UI" w:cs="Segoe UI" w:eastAsia="Segoe UI"/>
                <w:sz w:val="16"/>
                <w:szCs w:val="16"/>
              </w:rPr>
              <w:t xml:space="preserve">Sales dashboard</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Dashboard &gt; Sales Dashboard</w:t>
            </w:r>
          </w:p>
        </w:tc>
        <w:tc>
          <w:tcPr>
            <w:tcW w:w="1714" w:type="dxa"/>
          </w:tcPr>
          <w:p>
            <w:pPr>
              <w:spacing w:before="40" w:after="40" w:line="240" w:lineRule="auto"/>
            </w:pPr>
            <w:r>
              <w:rPr>
                <w:rFonts w:ascii="Segoe UI" w:hAnsi="Segoe UI" w:cs="Segoe UI" w:eastAsia="Segoe UI"/>
                <w:sz w:val="16"/>
                <w:szCs w:val="16"/>
              </w:rPr>
              <w:t xml:space="preserve">Executive Dashboard: agent performance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Customer satisfaction indicator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Renewals &gt; Performance: customer satisfaction</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Regional performance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Executive Dashboard: regional performance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Comparison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Sales &amp; Marketing &gt; Comparison Reports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Requests for quotation to several insurers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Request for Quotation: several insurers and offer comparison</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Marketing campaigns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Sales &amp; Marketing &gt; Campaigns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campaign-dispatch; setting campaigns.conversion_window_days; setting campaigns.max_recipients</w:t>
            </w:r>
          </w:p>
        </w:tc>
      </w:tr>
      <w:tr>
        <w:trPr>
          <w:cantSplit/>
        </w:trPr>
        <w:tc>
          <w:tcPr>
            <w:tcW w:w="1815" w:type="dxa"/>
          </w:tcPr>
          <w:p>
            <w:pPr>
              <w:spacing w:before="40" w:after="40" w:line="240" w:lineRule="auto"/>
            </w:pPr>
            <w:r>
              <w:rPr>
                <w:rFonts w:ascii="Segoe UI" w:hAnsi="Segoe UI" w:cs="Segoe UI" w:eastAsia="Segoe UI"/>
                <w:sz w:val="16"/>
                <w:szCs w:val="16"/>
              </w:rPr>
              <w:t xml:space="preserve">Online quotation approval by the client</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quotations.approval_link_ttl_hours</w:t>
            </w:r>
          </w:p>
        </w:tc>
      </w:tr>
      <w:tr>
        <w:trPr>
          <w:cantSplit/>
        </w:trPr>
        <w:tc>
          <w:tcPr>
            <w:tcW w:w="1815" w:type="dxa"/>
          </w:tcPr>
          <w:p>
            <w:pPr>
              <w:spacing w:before="40" w:after="40" w:line="240" w:lineRule="auto"/>
            </w:pPr>
            <w:r>
              <w:rPr>
                <w:rFonts w:ascii="Segoe UI" w:hAnsi="Segoe UI" w:cs="Segoe UI" w:eastAsia="Segoe UI"/>
                <w:sz w:val="16"/>
                <w:szCs w:val="16"/>
              </w:rPr>
              <w:t xml:space="preserve">Product recommendation step</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Motor quotation: product recommendation step</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Co-insurance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Quotations, placement slips and policies: co-insurance participants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Foreign currency premium and receipts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Motor quotation: premium currency; Receipts: receipt currency</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Marine cargo open covers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Marine Open Covers: open covers on the marine cargo product (parcel and courier otherwise)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Retention analytics and renewal performance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Renewals &gt; Retention Analytics; Operations &gt; Renewals &gt; Performance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At-risk renewals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Renewals &gt; At-Risk Policies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Win-back campaigns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Renewals &gt; Lapse Management: win-back campaigns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CTPL authentication</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CTPL Authentication</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connector CTPL_AUTH; connector LTO_FEED; setting ctpl.register_on_issue; setting ctpl.authenticate_on_issue; setting ctpl.lto_feed</w:t>
            </w:r>
          </w:p>
        </w:tc>
      </w:tr>
      <w:tr>
        <w:trPr>
          <w:cantSplit/>
        </w:trPr>
        <w:tc>
          <w:tcPr>
            <w:tcW w:w="1815" w:type="dxa"/>
          </w:tcPr>
          <w:p>
            <w:pPr>
              <w:spacing w:before="40" w:after="40" w:line="240" w:lineRule="auto"/>
            </w:pPr>
            <w:r>
              <w:rPr>
                <w:rFonts w:ascii="Segoe UI" w:hAnsi="Segoe UI" w:cs="Segoe UI" w:eastAsia="Segoe UI"/>
                <w:sz w:val="16"/>
                <w:szCs w:val="16"/>
              </w:rPr>
              <w:t xml:space="preserve">Fire, engineering and industrial all risks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Group life and employee benefits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Bonds, liability and miscellaneous lines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Request for Quotation: bond and liability lines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Client credit limits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Credit Control &gt; Client Credit Limits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Claims paid through the broker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Claims Settlements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Accounts payable</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Payables &gt; Supplier Invoices; Accounts &gt; Payables &gt; Supplier Payments; Accounts &gt; Payables &gt; AP Ageing</w:t>
            </w:r>
          </w:p>
        </w:tc>
        <w:tc>
          <w:tcPr>
            <w:tcW w:w="1714" w:type="dxa"/>
          </w:tcPr>
          <w:p>
            <w:pPr>
              <w:spacing w:before="40" w:after="40" w:line="240" w:lineRule="auto"/>
            </w:pPr>
            <w:r>
              <w:rPr>
                <w:rFonts w:ascii="Segoe UI" w:hAnsi="Segoe UI" w:cs="Segoe UI" w:eastAsia="Segoe UI"/>
                <w:sz w:val="16"/>
                <w:szCs w:val="16"/>
              </w:rPr>
              <w:t xml:space="preserve">Accounts &gt; Payables: supplier invoices, payments and ageing (the manual section also explains the suppliers)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Fixed assets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Fixed Assets &gt; Asset Register; Accounts &gt; Fixed Assets &gt; Depreciation Run; Accounts &gt; Fixed Assets &gt; Disposals; Master &gt; Finance &gt; Asset Classes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Petty cash</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Petty Cash &gt; Initiate; Accounts &gt; Petty Cash &gt; Request; Accounts &gt; Petty Cash &gt; Disbursement; Accounts &gt; Petty Cash &gt; Receipts; Accounts &gt; Petty Cash &gt; Replenish</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relief and summary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VAT Summary; Accounts &gt; Tax &gt; SAWT; Accounts &gt; Tax &gt; QAP; Accounts &gt; Tax &gt; SLSP Sales; Accounts &gt; Tax &gt; SLSP Purchases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Withholding Returns; Accounts &gt; Tax &gt; Annual Alphalist 1604-E; Accounts &gt; Tax &gt; BIR DAT Files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Percentage tax 2551Q</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Percentage Tax 2551Q</w:t>
            </w:r>
          </w:p>
        </w:tc>
        <w:tc>
          <w:tcPr>
            <w:tcW w:w="1714" w:type="dxa"/>
          </w:tcPr>
          <w:p>
            <w:pPr>
              <w:spacing w:before="40" w:after="40" w:line="240" w:lineRule="auto"/>
            </w:pPr>
            <w:r>
              <w:rPr>
                <w:rFonts w:ascii="Segoe UI" w:hAnsi="Segoe UI" w:cs="Segoe UI" w:eastAsia="Segoe UI"/>
                <w:sz w:val="16"/>
                <w:szCs w:val="16"/>
              </w:rPr>
              <w:t xml:space="preserve">Withholding Returns: 2551Q in the returns calendar</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electronic invoicing (EIS)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E-Invoicing (EIS)</w:t>
            </w:r>
          </w:p>
        </w:tc>
        <w:tc>
          <w:tcPr>
            <w:tcW w:w="1714" w:type="dxa"/>
          </w:tcPr>
          <w:p>
            <w:pPr>
              <w:spacing w:before="40" w:after="40" w:line="240" w:lineRule="auto"/>
            </w:pPr>
            <w:r>
              <w:rPr>
                <w:rFonts w:ascii="Segoe UI" w:hAnsi="Segoe UI" w:cs="Segoe UI" w:eastAsia="Segoe UI"/>
                <w:sz w:val="16"/>
                <w:szCs w:val="16"/>
              </w:rPr>
              <w:t xml:space="preserve">Sales Invoices: EIS submission status</w:t>
            </w:r>
          </w:p>
        </w:tc>
        <w:tc>
          <w:tcPr>
            <w:tcW w:w="2400" w:type="dxa"/>
          </w:tcPr>
          <w:p>
            <w:pPr>
              <w:spacing w:before="40" w:after="40" w:line="240" w:lineRule="auto"/>
            </w:pPr>
            <w:r>
              <w:rPr>
                <w:rFonts w:ascii="Segoe UI" w:hAnsi="Segoe UI" w:cs="Segoe UI" w:eastAsia="Segoe UI"/>
                <w:sz w:val="16"/>
                <w:szCs w:val="16"/>
              </w:rPr>
              <w:t xml:space="preserve">job eis-outbox; setting eis.enabled; setting eis.submit_on_issue; setting eis.mode</w:t>
            </w:r>
          </w:p>
        </w:tc>
      </w:tr>
      <w:tr>
        <w:trPr>
          <w:cantSplit/>
        </w:trPr>
        <w:tc>
          <w:tcPr>
            <w:tcW w:w="1815" w:type="dxa"/>
          </w:tcPr>
          <w:p>
            <w:pPr>
              <w:spacing w:before="40" w:after="40" w:line="240" w:lineRule="auto"/>
            </w:pPr>
            <w:r>
              <w:rPr>
                <w:rFonts w:ascii="Segoe UI" w:hAnsi="Segoe UI" w:cs="Segoe UI" w:eastAsia="Segoe UI"/>
                <w:sz w:val="16"/>
                <w:szCs w:val="16"/>
              </w:rPr>
              <w:t xml:space="preserve">Recurring and accrual journals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Period End &gt; Recurring Journals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recurring-journals; job accrual-reversal</w:t>
            </w:r>
          </w:p>
        </w:tc>
      </w:tr>
      <w:tr>
        <w:trPr>
          <w:cantSplit/>
        </w:trPr>
        <w:tc>
          <w:tcPr>
            <w:tcW w:w="1815" w:type="dxa"/>
          </w:tcPr>
          <w:p>
            <w:pPr>
              <w:spacing w:before="40" w:after="40" w:line="240" w:lineRule="auto"/>
            </w:pPr>
            <w:r>
              <w:rPr>
                <w:rFonts w:ascii="Segoe UI" w:hAnsi="Segoe UI" w:cs="Segoe UI" w:eastAsia="Segoe UI"/>
                <w:sz w:val="16"/>
                <w:szCs w:val="16"/>
              </w:rPr>
              <w:t xml:space="preserve">Insurer overriding commission</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Commission &gt; Insurer Overrides &gt; Agreements; Commission &gt; Insurer Overrides &gt; Computations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Co-insurance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Reports &gt; Financial Reports &gt; Co-insurance Register; Reports &gt; Financial Reports &gt; Due to Insurers by Co-insurer</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 extract</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Report Builder: BI extract</w:t>
            </w:r>
          </w:p>
        </w:tc>
        <w:tc>
          <w:tcPr>
            <w:tcW w:w="2400" w:type="dxa"/>
          </w:tcPr>
          <w:p>
            <w:pPr>
              <w:spacing w:before="40" w:after="40" w:line="240" w:lineRule="auto"/>
            </w:pPr>
            <w:r>
              <w:rPr>
                <w:rFonts w:ascii="Segoe UI" w:hAnsi="Segoe UI" w:cs="Segoe UI" w:eastAsia="Segoe UI"/>
                <w:sz w:val="16"/>
                <w:szCs w:val="16"/>
              </w:rPr>
              <w:t xml:space="preserve">job bi-extract; setting bi.extract_datasets; setting bi.extract_folder; setting bi.extract_keep_runs</w:t>
            </w:r>
          </w:p>
        </w:tc>
      </w:tr>
      <w:tr>
        <w:trPr>
          <w:cantSplit/>
        </w:trPr>
        <w:tc>
          <w:tcPr>
            <w:tcW w:w="1815" w:type="dxa"/>
          </w:tcPr>
          <w:p>
            <w:pPr>
              <w:spacing w:before="40" w:after="40" w:line="240" w:lineRule="auto"/>
            </w:pPr>
            <w:r>
              <w:rPr>
                <w:rFonts w:ascii="Segoe UI" w:hAnsi="Segoe UI" w:cs="Segoe UI" w:eastAsia="Segoe UI"/>
                <w:sz w:val="16"/>
                <w:szCs w:val="16"/>
              </w:rPr>
              <w:t xml:space="preserve">Exchange rates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Exchange Rate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Online payment links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Payment Gateways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Package bundles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Package Bundles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payments.auto_issue_package_policies</w:t>
            </w:r>
          </w:p>
        </w:tc>
      </w:tr>
      <w:tr>
        <w:trPr>
          <w:cantSplit/>
        </w:trPr>
        <w:tc>
          <w:tcPr>
            <w:tcW w:w="1815" w:type="dxa"/>
          </w:tcPr>
          <w:p>
            <w:pPr>
              <w:spacing w:before="40" w:after="40" w:line="240" w:lineRule="auto"/>
            </w:pPr>
            <w:r>
              <w:rPr>
                <w:rFonts w:ascii="Segoe UI" w:hAnsi="Segoe UI" w:cs="Segoe UI" w:eastAsia="Segoe UI"/>
                <w:sz w:val="16"/>
                <w:szCs w:val="16"/>
              </w:rPr>
              <w:t xml:space="preserve">Insurer rate tables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Insurer Rate Tables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Automated remittance master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Remittance Master</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SMS and Viber messages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System Configuration &gt; Message Templates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sms-renewal-notices; job sms-payment-reminders; connector SMS_SEMAPHORE; connector SMS_GLOBE_LABS; connector SMS_GENERIC; connector VIBER_BUSINESS</w:t>
            </w:r>
          </w:p>
        </w:tc>
      </w:tr>
      <w:tr>
        <w:trPr>
          <w:cantSplit/>
        </w:trPr>
        <w:tc>
          <w:tcPr>
            <w:tcW w:w="1815" w:type="dxa"/>
          </w:tcPr>
          <w:p>
            <w:pPr>
              <w:spacing w:before="40" w:after="40" w:line="240" w:lineRule="auto"/>
            </w:pPr>
            <w:r>
              <w:rPr>
                <w:rFonts w:ascii="Segoe UI" w:hAnsi="Segoe UI" w:cs="Segoe UI" w:eastAsia="Segoe UI"/>
                <w:sz w:val="16"/>
                <w:szCs w:val="16"/>
              </w:rPr>
              <w:t xml:space="preserve">Insurer API integration</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Master &gt; System Configuration &gt; Insurer Integration</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connector INSURER_API</w:t>
            </w:r>
          </w:p>
        </w:tc>
      </w:tr>
      <w:tr>
        <w:trPr>
          <w:cantSplit/>
        </w:trPr>
        <w:tc>
          <w:tcPr>
            <w:tcW w:w="1815" w:type="dxa"/>
          </w:tcPr>
          <w:p>
            <w:pPr>
              <w:spacing w:before="40" w:after="40" w:line="240" w:lineRule="auto"/>
            </w:pPr>
            <w:r>
              <w:rPr>
                <w:rFonts w:ascii="Segoe UI" w:hAnsi="Segoe UI" w:cs="Segoe UI" w:eastAsia="Segoe UI"/>
                <w:sz w:val="16"/>
                <w:szCs w:val="16"/>
              </w:rPr>
              <w:t xml:space="preserve">Inbound integration messages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integrations.inbound_enabled</w:t>
            </w:r>
          </w:p>
        </w:tc>
      </w:tr>
      <w:tr>
        <w:trPr>
          <w:cantSplit/>
        </w:trPr>
        <w:tc>
          <w:tcPr>
            <w:tcW w:w="1815" w:type="dxa"/>
          </w:tcPr>
          <w:p>
            <w:pPr>
              <w:spacing w:before="40" w:after="40" w:line="240" w:lineRule="auto"/>
            </w:pPr>
            <w:r>
              <w:rPr>
                <w:rFonts w:ascii="Segoe UI" w:hAnsi="Segoe UI" w:cs="Segoe UI" w:eastAsia="Segoe UI"/>
                <w:sz w:val="16"/>
                <w:szCs w:val="16"/>
              </w:rPr>
              <w:t xml:space="preserve">Legacy book migration</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Product analytics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Product Configurator &gt; Product Analytics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2" w:name="_Toc300001012"/>
      <w:r>
        <w:rPr>
          <w:rFonts w:ascii="Segoe UI" w:hAnsi="Segoe UI" w:cs="Segoe UI" w:eastAsia="Segoe UI"/>
        </w:rPr>
        <w:t xml:space="preserve">Document Sign-Off</w:t>
      </w:r>
      <w:bookmarkEnd w:id="101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43"/>
        <w:gridCol w:w="1139"/>
        <w:gridCol w:w="2004"/>
        <w:gridCol w:w="1141"/>
      </w:tblGrid>
      <w:tr>
        <w:trPr>
          <w:cantSplit/>
          <w:tblHeader/>
          <w:trHeight w:val="400"/>
        </w:trPr>
        <w:tc>
          <w:tcPr>
            <w:tcW w:w="4743"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139" w:type="dxa"/>
            <w:shd w:val="clear" w:color="auto" w:fill="E8F0F8"/>
            <w:vAlign w:val="center"/>
          </w:tcPr>
          <w:p>
            <w:pPr>
              <w:spacing w:before="40" w:after="40" w:line="240" w:lineRule="auto"/>
            </w:pPr>
            <w:r>
              <w:rPr>
                <w:rFonts w:ascii="Segoe UI" w:hAnsi="Segoe UI" w:cs="Segoe UI" w:eastAsia="Segoe UI"/>
                <w:b/>
                <w:bCs/>
                <w:sz w:val="16"/>
                <w:szCs w:val="16"/>
              </w:rPr>
              <w:t xml:space="preserve">Name</w:t>
            </w:r>
          </w:p>
        </w:tc>
        <w:tc>
          <w:tcPr>
            <w:tcW w:w="2004" w:type="dxa"/>
            <w:shd w:val="clear" w:color="auto" w:fill="E8F0F8"/>
            <w:vAlign w:val="center"/>
          </w:tcPr>
          <w:p>
            <w:pPr>
              <w:spacing w:before="40" w:after="40" w:line="240" w:lineRule="auto"/>
            </w:pPr>
            <w:r>
              <w:rPr>
                <w:rFonts w:ascii="Segoe UI" w:hAnsi="Segoe UI" w:cs="Segoe UI" w:eastAsia="Segoe UI"/>
                <w:b/>
                <w:bCs/>
                <w:sz w:val="16"/>
                <w:szCs w:val="16"/>
              </w:rPr>
              <w:t xml:space="preserve">Signature</w:t>
            </w:r>
          </w:p>
        </w:tc>
        <w:tc>
          <w:tcPr>
            <w:tcW w:w="1141"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r>
      <w:tr>
        <w:trPr>
          <w:cantSplit/>
        </w:trPr>
        <w:tc>
          <w:tcPr>
            <w:tcW w:w="4743" w:type="dxa"/>
          </w:tcPr>
          <w:p>
            <w:pPr>
              <w:spacing w:before="40" w:after="40" w:line="240" w:lineRule="auto"/>
            </w:pPr>
            <w:r>
              <w:rPr>
                <w:rFonts w:ascii="Segoe UI" w:hAnsi="Segoe UI" w:cs="Segoe UI" w:eastAsia="Segoe UI"/>
                <w:sz w:val="16"/>
                <w:szCs w:val="16"/>
              </w:rPr>
              <w:t xml:space="preserve">TISPH Project Manager</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r>
        <w:trPr>
          <w:cantSplit/>
        </w:trPr>
        <w:tc>
          <w:tcPr>
            <w:tcW w:w="4743" w:type="dxa"/>
          </w:tcPr>
          <w:p>
            <w:pPr>
              <w:spacing w:before="40" w:after="40" w:line="240" w:lineRule="auto"/>
            </w:pPr>
            <w:r>
              <w:rPr>
                <w:rFonts w:ascii="Segoe UI" w:hAnsi="Segoe UI" w:cs="Segoe UI" w:eastAsia="Segoe UI"/>
                <w:sz w:val="16"/>
                <w:szCs w:val="16"/>
              </w:rPr>
              <w:t xml:space="preserve">TISPH Head of IT</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r>
        <w:trPr>
          <w:cantSplit/>
        </w:trPr>
        <w:tc>
          <w:tcPr>
            <w:tcW w:w="4743" w:type="dxa"/>
          </w:tcPr>
          <w:p>
            <w:pPr>
              <w:spacing w:before="40" w:after="40" w:line="240" w:lineRule="auto"/>
            </w:pPr>
            <w:r>
              <w:rPr>
                <w:rFonts w:ascii="Segoe UI" w:hAnsi="Segoe UI" w:cs="Segoe UI" w:eastAsia="Segoe UI"/>
                <w:sz w:val="16"/>
                <w:szCs w:val="16"/>
              </w:rPr>
              <w:t xml:space="preserve">iorta TechNXT Delivery Manager</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3" w:name="_Toc300001013"/>
      <w:r>
        <w:rPr>
          <w:rFonts w:ascii="Segoe UI" w:hAnsi="Segoe UI" w:cs="Segoe UI" w:eastAsia="Segoe UI"/>
        </w:rPr>
        <w:t xml:space="preserve">Pending Items</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w:t>
            </w:r>
          </w:p>
        </w:tc>
        <w:tc>
          <w:tcPr>
            <w:tcW w:w="5000" w:type="dxa"/>
          </w:tcPr>
          <w:p>
            <w:pPr>
              <w:spacing w:before="40" w:after="40" w:line="240" w:lineRule="auto"/>
            </w:pPr>
            <w:r>
              <w:rPr>
                <w:rFonts w:ascii="Segoe UI" w:hAnsi="Segoe UI" w:cs="Segoe UI" w:eastAsia="Segoe UI"/>
                <w:sz w:val="16"/>
                <w:szCs w:val="16"/>
              </w:rPr>
              <w:t xml:space="preserve">No pending items are recorded in this version.</w:t>
            </w:r>
          </w:p>
        </w:tc>
        <w:tc>
          <w:tcPr>
            <w:tcW w:w="1300" w:type="dxa"/>
          </w:tcPr>
          <w:p>
            <w:pPr>
              <w:spacing w:before="40" w:after="40" w:line="240" w:lineRule="auto"/>
            </w:pP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4" w:name="_Toc300001014"/>
      <w:r>
        <w:rPr>
          <w:rFonts w:ascii="Segoe UI" w:hAnsi="Segoe UI" w:cs="Segoe UI" w:eastAsia="Segoe UI"/>
        </w:rPr>
        <w:t xml:space="preserve">Document Sign-Off</w:t>
      </w:r>
      <w:bookmarkEnd w:id="101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 Lead</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TISPH Feature Catalogue and Release Tiers</dc:title>
  <dc:subject>Toyota Insurance Services Philippines</dc:subject>
  <dc:creator>iorta TechNXT</dc:creator>
  <cp:keywords>TISPH; BrokerVerse</cp:keywords>
  <dc:description/>
  <cp:lastModifiedBy>iorta TechNXT</cp:lastModifiedBy>
  <cp:revision>1</cp:revision>
  <dcterms:created xsi:type="dcterms:W3CDTF">2026-10-10T13:45:36Z</dcterms:created>
  <dcterms:modified xsi:type="dcterms:W3CDTF">2026-10-10T13:45:36Z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