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Introduction: "How to read this document" - the colour code of the points beyond the BRD: green where the system offers the point out of the box (23 points), orange where it needs a change request (1).</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Functional Requirements: BDOI's text of the 23 items beyond the BRD coloured green where it is stated.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AP.1: the points beyond the BRD with what the system offers, and the change requests with their effort (20.0 man-days; CR Effort Estimate workbook).</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194</w:t>
          </w:r>
        </w:p>
        <w:p>
          <w:pPr>
            <w:pStyle w:val="TOC2"/>
            <w:tabs>
              <w:tab w:val="right" w:leader="dot" w:pos="9630"/>
            </w:tabs>
          </w:pPr>
          <w:r>
            <w:t xml:space="preserve">I. Corporate</w:t>
          </w:r>
          <w:r>
            <w:tab/>
          </w:r>
          <w:r>
            <w:t xml:space="preserve">194</w:t>
          </w:r>
        </w:p>
        <w:p>
          <w:pPr>
            <w:pStyle w:val="TOC2"/>
            <w:tabs>
              <w:tab w:val="right" w:leader="dot" w:pos="9630"/>
            </w:tabs>
          </w:pPr>
          <w:r>
            <w:t xml:space="preserve">II. Retail</w:t>
          </w:r>
          <w:r>
            <w:tab/>
          </w:r>
          <w:r>
            <w:t xml:space="preserve">194</w:t>
          </w:r>
        </w:p>
        <w:p>
          <w:pPr>
            <w:pStyle w:val="TOC2"/>
            <w:tabs>
              <w:tab w:val="right" w:leader="dot" w:pos="9630"/>
            </w:tabs>
          </w:pPr>
          <w:r>
            <w:t xml:space="preserve">III. CBG Motor</w:t>
          </w:r>
          <w:r>
            <w:tab/>
          </w:r>
          <w:r>
            <w:t xml:space="preserve">195</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196</w:t>
          </w:r>
        </w:p>
        <w:p>
          <w:pPr>
            <w:pStyle w:val="TOC2"/>
            <w:tabs>
              <w:tab w:val="right" w:leader="dot" w:pos="9630"/>
            </w:tabs>
          </w:pPr>
          <w:r>
            <w:t xml:space="preserve">I. CBG Loans excluding Personal</w:t>
          </w:r>
          <w:r>
            <w:tab/>
          </w:r>
          <w:r>
            <w:t xml:space="preserve">196</w:t>
          </w:r>
        </w:p>
        <w:p>
          <w:pPr>
            <w:pStyle w:val="TOC2"/>
            <w:tabs>
              <w:tab w:val="right" w:leader="dot" w:pos="9630"/>
            </w:tabs>
          </w:pPr>
          <w:r>
            <w:t xml:space="preserve">II. List of Paid Off Accounts</w:t>
          </w:r>
          <w:r>
            <w:tab/>
          </w:r>
          <w:r>
            <w:t xml:space="preserve">198</w:t>
          </w:r>
        </w:p>
        <w:p>
          <w:pPr>
            <w:pStyle w:val="TOC1"/>
            <w:tabs>
              <w:tab w:val="right" w:leader="dot" w:pos="9630"/>
            </w:tabs>
          </w:pPr>
          <w:r>
            <w:t xml:space="preserve">Annex H – Insurer Disposition Upload Details (CBG)</w:t>
          </w:r>
          <w:r>
            <w:tab/>
          </w:r>
          <w:r>
            <w:t xml:space="preserve">199</w:t>
          </w:r>
        </w:p>
        <w:p>
          <w:pPr>
            <w:pStyle w:val="TOC1"/>
            <w:tabs>
              <w:tab w:val="right" w:leader="dot" w:pos="9630"/>
            </w:tabs>
          </w:pPr>
          <w:r>
            <w:t xml:space="preserve">Annex I – Quick Proposal Template</w:t>
          </w:r>
          <w:r>
            <w:tab/>
          </w:r>
          <w:r>
            <w:t xml:space="preserve">199</w:t>
          </w:r>
        </w:p>
        <w:p>
          <w:pPr>
            <w:pStyle w:val="TOC1"/>
            <w:tabs>
              <w:tab w:val="right" w:leader="dot" w:pos="9630"/>
            </w:tabs>
          </w:pPr>
          <w:r>
            <w:t xml:space="preserve">Annex J – Full Proposal Template</w:t>
          </w:r>
          <w:r>
            <w:tab/>
          </w:r>
          <w:r>
            <w:t xml:space="preserve">199</w:t>
          </w:r>
        </w:p>
        <w:p>
          <w:pPr>
            <w:pStyle w:val="TOC1"/>
            <w:tabs>
              <w:tab w:val="right" w:leader="dot" w:pos="9630"/>
            </w:tabs>
          </w:pPr>
          <w:r>
            <w:t xml:space="preserve">Annex K - Non –Package Quotation Request Details</w:t>
          </w:r>
          <w:r>
            <w:tab/>
          </w:r>
          <w:r>
            <w:t xml:space="preserve">199</w:t>
          </w:r>
        </w:p>
        <w:p>
          <w:pPr>
            <w:pStyle w:val="TOC1"/>
            <w:tabs>
              <w:tab w:val="right" w:leader="dot" w:pos="9630"/>
            </w:tabs>
          </w:pPr>
          <w:r>
            <w:t xml:space="preserve">Annex L – Renewal Advice Template</w:t>
          </w:r>
          <w:r>
            <w:tab/>
          </w:r>
          <w:r>
            <w:t xml:space="preserve">200</w:t>
          </w:r>
        </w:p>
        <w:p>
          <w:pPr>
            <w:pStyle w:val="TOC1"/>
            <w:tabs>
              <w:tab w:val="right" w:leader="dot" w:pos="9630"/>
            </w:tabs>
          </w:pPr>
          <w:r>
            <w:t xml:space="preserve">Annex M - Letter Eligibility Matrix</w:t>
          </w:r>
          <w:r>
            <w:tab/>
          </w:r>
          <w:r>
            <w:t xml:space="preserve">200</w:t>
          </w:r>
        </w:p>
        <w:p>
          <w:pPr>
            <w:pStyle w:val="TOC1"/>
            <w:tabs>
              <w:tab w:val="right" w:leader="dot" w:pos="9630"/>
            </w:tabs>
          </w:pPr>
          <w:r>
            <w:t xml:space="preserve">Annex N – NRNS Reminder Letter Template</w:t>
          </w:r>
          <w:r>
            <w:tab/>
          </w:r>
          <w:r>
            <w:t xml:space="preserve">201</w:t>
          </w:r>
        </w:p>
        <w:p>
          <w:pPr>
            <w:pStyle w:val="TOC1"/>
            <w:tabs>
              <w:tab w:val="right" w:leader="dot" w:pos="9630"/>
            </w:tabs>
          </w:pPr>
          <w:r>
            <w:t xml:space="preserve">Annex O – No Advice Letter Template</w:t>
          </w:r>
          <w:r>
            <w:tab/>
          </w:r>
          <w:r>
            <w:t xml:space="preserve">201</w:t>
          </w:r>
        </w:p>
        <w:p>
          <w:pPr>
            <w:pStyle w:val="TOC1"/>
            <w:tabs>
              <w:tab w:val="right" w:leader="dot" w:pos="9630"/>
            </w:tabs>
          </w:pPr>
          <w:r>
            <w:t xml:space="preserve">Annex P – Non-Renewal Letter Template</w:t>
          </w:r>
          <w:r>
            <w:tab/>
          </w:r>
          <w:r>
            <w:t xml:space="preserve">201</w:t>
          </w:r>
        </w:p>
        <w:p>
          <w:pPr>
            <w:pStyle w:val="TOC1"/>
            <w:tabs>
              <w:tab w:val="right" w:leader="dot" w:pos="9630"/>
            </w:tabs>
          </w:pPr>
          <w:r>
            <w:t xml:space="preserve">Annex Q – SFU Letter Template</w:t>
          </w:r>
          <w:r>
            <w:tab/>
          </w:r>
          <w:r>
            <w:t xml:space="preserve">201</w:t>
          </w:r>
        </w:p>
        <w:p>
          <w:pPr>
            <w:pStyle w:val="TOC1"/>
            <w:tabs>
              <w:tab w:val="right" w:leader="dot" w:pos="9630"/>
            </w:tabs>
          </w:pPr>
          <w:r>
            <w:t xml:space="preserve">Annex R – FFY Reminder Letter Template</w:t>
          </w:r>
          <w:r>
            <w:tab/>
          </w:r>
          <w:r>
            <w:t xml:space="preserve">201</w:t>
          </w:r>
        </w:p>
        <w:p>
          <w:pPr>
            <w:pStyle w:val="TOC1"/>
            <w:tabs>
              <w:tab w:val="right" w:leader="dot" w:pos="9630"/>
            </w:tabs>
          </w:pPr>
          <w:r>
            <w:t xml:space="preserve">Annex S - Billing File Email and Attachment Template</w:t>
          </w:r>
          <w:r>
            <w:tab/>
          </w:r>
          <w:r>
            <w:t xml:space="preserve">201</w:t>
          </w:r>
        </w:p>
        <w:p>
          <w:pPr>
            <w:pStyle w:val="TOC2"/>
            <w:tabs>
              <w:tab w:val="right" w:leader="dot" w:pos="9630"/>
            </w:tabs>
          </w:pPr>
          <w:r>
            <w:t xml:space="preserve">I. Attachment Details</w:t>
          </w:r>
          <w:r>
            <w:tab/>
          </w:r>
          <w:r>
            <w:t xml:space="preserve">201</w:t>
          </w:r>
        </w:p>
        <w:p>
          <w:pPr>
            <w:pStyle w:val="TOC2"/>
            <w:tabs>
              <w:tab w:val="right" w:leader="dot" w:pos="9630"/>
            </w:tabs>
          </w:pPr>
          <w:r>
            <w:t xml:space="preserve">II. Email Template</w:t>
          </w:r>
          <w:r>
            <w:tab/>
          </w:r>
          <w:r>
            <w:t xml:space="preserve">202</w:t>
          </w:r>
        </w:p>
        <w:p>
          <w:pPr>
            <w:pStyle w:val="TOC1"/>
            <w:tabs>
              <w:tab w:val="right" w:leader="dot" w:pos="9630"/>
            </w:tabs>
          </w:pPr>
          <w:r>
            <w:t xml:space="preserve">Annex T - Placement Slip Template</w:t>
          </w:r>
          <w:r>
            <w:tab/>
          </w:r>
          <w:r>
            <w:t xml:space="preserve">203</w:t>
          </w:r>
        </w:p>
        <w:p>
          <w:pPr>
            <w:pStyle w:val="TOC1"/>
            <w:tabs>
              <w:tab w:val="right" w:leader="dot" w:pos="9630"/>
            </w:tabs>
          </w:pPr>
          <w:r>
            <w:t xml:space="preserve">Annex U – Placement File Field Details</w:t>
          </w:r>
          <w:r>
            <w:tab/>
          </w:r>
          <w:r>
            <w:t xml:space="preserve">203</w:t>
          </w:r>
        </w:p>
        <w:p>
          <w:pPr>
            <w:pStyle w:val="TOC2"/>
            <w:tabs>
              <w:tab w:val="right" w:leader="dot" w:pos="9630"/>
            </w:tabs>
          </w:pPr>
          <w:r>
            <w:t xml:space="preserve">I. Package Risk Description</w:t>
          </w:r>
          <w:r>
            <w:tab/>
          </w:r>
          <w:r>
            <w:t xml:space="preserve">204</w:t>
          </w:r>
        </w:p>
        <w:p>
          <w:pPr>
            <w:pStyle w:val="TOC2"/>
            <w:tabs>
              <w:tab w:val="right" w:leader="dot" w:pos="9630"/>
            </w:tabs>
          </w:pPr>
          <w:r>
            <w:t xml:space="preserve">II. Non-Package Risk Description</w:t>
          </w:r>
          <w:r>
            <w:tab/>
          </w:r>
          <w:r>
            <w:t xml:space="preserve">205</w:t>
          </w:r>
        </w:p>
        <w:p>
          <w:pPr>
            <w:pStyle w:val="TOC1"/>
            <w:tabs>
              <w:tab w:val="right" w:leader="dot" w:pos="9630"/>
            </w:tabs>
          </w:pPr>
          <w:r>
            <w:t xml:space="preserve">Annex V – Return Reasons</w:t>
          </w:r>
          <w:r>
            <w:tab/>
          </w:r>
          <w:r>
            <w:t xml:space="preserve">209</w:t>
          </w:r>
        </w:p>
        <w:p>
          <w:pPr>
            <w:pStyle w:val="TOC1"/>
            <w:tabs>
              <w:tab w:val="right" w:leader="dot" w:pos="9630"/>
            </w:tabs>
          </w:pPr>
          <w:r>
            <w:t xml:space="preserve">Annex W – Insurance Advice Template</w:t>
          </w:r>
          <w:r>
            <w:tab/>
          </w:r>
          <w:r>
            <w:t xml:space="preserve">210</w:t>
          </w:r>
        </w:p>
        <w:p>
          <w:pPr>
            <w:pStyle w:val="TOC1"/>
            <w:tabs>
              <w:tab w:val="right" w:leader="dot" w:pos="9630"/>
            </w:tabs>
          </w:pPr>
          <w:r>
            <w:t xml:space="preserve">Annex X – E-Policy Email Template</w:t>
          </w:r>
          <w:r>
            <w:tab/>
          </w:r>
          <w:r>
            <w:t xml:space="preserve">210</w:t>
          </w:r>
        </w:p>
        <w:p>
          <w:pPr>
            <w:pStyle w:val="TOC1"/>
            <w:tabs>
              <w:tab w:val="right" w:leader="dot" w:pos="9630"/>
            </w:tabs>
          </w:pPr>
          <w:r>
            <w:t xml:space="preserve">Annex Y – Service Invoice Template</w:t>
          </w:r>
          <w:r>
            <w:tab/>
          </w:r>
          <w:r>
            <w:t xml:space="preserve">210</w:t>
          </w:r>
        </w:p>
        <w:p>
          <w:pPr>
            <w:pStyle w:val="TOC1"/>
            <w:tabs>
              <w:tab w:val="right" w:leader="dot" w:pos="9630"/>
            </w:tabs>
          </w:pPr>
          <w:r>
            <w:t xml:space="preserve">Annex Z – Hold Cover Template</w:t>
          </w:r>
          <w:r>
            <w:tab/>
          </w:r>
          <w:r>
            <w:t xml:space="preserve">211</w:t>
          </w:r>
        </w:p>
        <w:p>
          <w:pPr>
            <w:pStyle w:val="TOC1"/>
            <w:tabs>
              <w:tab w:val="right" w:leader="dot" w:pos="9630"/>
            </w:tabs>
          </w:pPr>
          <w:r>
            <w:t xml:space="preserve">Annex AA – Screen Specifications</w:t>
          </w:r>
          <w:r>
            <w:tab/>
          </w:r>
          <w:r>
            <w:t xml:space="preserve">212</w:t>
          </w:r>
        </w:p>
        <w:p>
          <w:pPr>
            <w:pStyle w:val="TOC1"/>
            <w:tabs>
              <w:tab w:val="right" w:leader="dot" w:pos="9630"/>
            </w:tabs>
          </w:pPr>
          <w:r>
            <w:t xml:space="preserve">Annex AB – Messages and Validations</w:t>
          </w:r>
          <w:r>
            <w:tab/>
          </w:r>
          <w:r>
            <w:t xml:space="preserve">258</w:t>
          </w:r>
        </w:p>
        <w:p>
          <w:pPr>
            <w:pStyle w:val="TOC1"/>
            <w:tabs>
              <w:tab w:val="right" w:leader="dot" w:pos="9630"/>
            </w:tabs>
          </w:pPr>
          <w:r>
            <w:t xml:space="preserve">Annex AC – Business Rules and Configurable Parameters</w:t>
          </w:r>
          <w:r>
            <w:tab/>
          </w:r>
          <w:r>
            <w:t xml:space="preserve">268</w:t>
          </w:r>
        </w:p>
        <w:p>
          <w:pPr>
            <w:pStyle w:val="TOC1"/>
            <w:tabs>
              <w:tab w:val="right" w:leader="dot" w:pos="9630"/>
            </w:tabs>
          </w:pPr>
          <w:r>
            <w:t xml:space="preserve">Annex AD – Workflow and Approvals</w:t>
          </w:r>
          <w:r>
            <w:tab/>
          </w:r>
          <w:r>
            <w:t xml:space="preserve">273</w:t>
          </w:r>
        </w:p>
        <w:p>
          <w:pPr>
            <w:pStyle w:val="TOC1"/>
            <w:tabs>
              <w:tab w:val="right" w:leader="dot" w:pos="9630"/>
            </w:tabs>
          </w:pPr>
          <w:r>
            <w:t xml:space="preserve">Annex AE – E-mail and Notification Texts</w:t>
          </w:r>
          <w:r>
            <w:tab/>
          </w:r>
          <w:r>
            <w:t xml:space="preserve">275</w:t>
          </w:r>
        </w:p>
        <w:p>
          <w:pPr>
            <w:pStyle w:val="TOC1"/>
            <w:tabs>
              <w:tab w:val="right" w:leader="dot" w:pos="9630"/>
            </w:tabs>
          </w:pPr>
          <w:r>
            <w:t xml:space="preserve">Annex AF – Document Prints and Output Formats</w:t>
          </w:r>
          <w:r>
            <w:tab/>
          </w:r>
          <w:r>
            <w:t xml:space="preserve">292</w:t>
          </w:r>
        </w:p>
        <w:p>
          <w:pPr>
            <w:pStyle w:val="TOC1"/>
            <w:tabs>
              <w:tab w:val="right" w:leader="dot" w:pos="9630"/>
            </w:tabs>
          </w:pPr>
          <w:r>
            <w:t xml:space="preserve">Annex AG – Reports and Schedules</w:t>
          </w:r>
          <w:r>
            <w:tab/>
          </w:r>
          <w:r>
            <w:t xml:space="preserve">301</w:t>
          </w:r>
        </w:p>
        <w:p>
          <w:pPr>
            <w:pStyle w:val="TOC1"/>
            <w:tabs>
              <w:tab w:val="right" w:leader="dot" w:pos="9630"/>
            </w:tabs>
          </w:pPr>
          <w:r>
            <w:t xml:space="preserve">Annex AH – Integrations</w:t>
          </w:r>
          <w:r>
            <w:tab/>
          </w:r>
          <w:r>
            <w:t xml:space="preserve">303</w:t>
          </w:r>
        </w:p>
        <w:p>
          <w:pPr>
            <w:pStyle w:val="TOC1"/>
            <w:tabs>
              <w:tab w:val="right" w:leader="dot" w:pos="9630"/>
            </w:tabs>
          </w:pPr>
          <w:r>
            <w:t xml:space="preserve">Annex AJ – Non-functional Requirements</w:t>
          </w:r>
          <w:r>
            <w:tab/>
          </w:r>
          <w:r>
            <w:t xml:space="preserve">305</w:t>
          </w:r>
        </w:p>
        <w:p>
          <w:pPr>
            <w:pStyle w:val="TOC1"/>
            <w:tabs>
              <w:tab w:val="right" w:leader="dot" w:pos="9630"/>
            </w:tabs>
          </w:pPr>
          <w:r>
            <w:t xml:space="preserve">Annex AK – Data Set-up and Migration at Go-live</w:t>
          </w:r>
          <w:r>
            <w:tab/>
          </w:r>
          <w:r>
            <w:t xml:space="preserve">306</w:t>
          </w:r>
        </w:p>
        <w:p>
          <w:pPr>
            <w:pStyle w:val="TOC1"/>
            <w:tabs>
              <w:tab w:val="right" w:leader="dot" w:pos="9630"/>
            </w:tabs>
          </w:pPr>
          <w:r>
            <w:t xml:space="preserve">Annex AL – Process Walkthroughs</w:t>
          </w:r>
          <w:r>
            <w:tab/>
          </w:r>
          <w:r>
            <w:t xml:space="preserve">307</w:t>
          </w:r>
        </w:p>
        <w:p>
          <w:pPr>
            <w:pStyle w:val="TOC1"/>
            <w:tabs>
              <w:tab w:val="right" w:leader="dot" w:pos="9630"/>
            </w:tabs>
          </w:pPr>
          <w:r>
            <w:t xml:space="preserve">Annex AM – Requirements Traceability</w:t>
          </w:r>
          <w:r>
            <w:tab/>
          </w:r>
          <w:r>
            <w:t xml:space="preserve">310</w:t>
          </w:r>
        </w:p>
        <w:p>
          <w:pPr>
            <w:pStyle w:val="TOC1"/>
            <w:tabs>
              <w:tab w:val="right" w:leader="dot" w:pos="9630"/>
            </w:tabs>
          </w:pPr>
          <w:r>
            <w:t xml:space="preserve">Annex AN – Assumptions, Dependencies and Open Questions</w:t>
          </w:r>
          <w:r>
            <w:tab/>
          </w:r>
          <w:r>
            <w:t xml:space="preserve">320</w:t>
          </w:r>
        </w:p>
        <w:p>
          <w:pPr>
            <w:pStyle w:val="TOC1"/>
            <w:tabs>
              <w:tab w:val="right" w:leader="dot" w:pos="9630"/>
            </w:tabs>
          </w:pPr>
          <w:r>
            <w:t xml:space="preserve">Annex AO – Observations and Points for BDOI Decision</w:t>
          </w:r>
          <w:r>
            <w:tab/>
          </w:r>
          <w:r>
            <w:t xml:space="preserve">323</w:t>
          </w:r>
        </w:p>
        <w:p>
          <w:pPr>
            <w:pStyle w:val="TOC1"/>
            <w:tabs>
              <w:tab w:val="right" w:leader="dot" w:pos="9630"/>
            </w:tabs>
          </w:pPr>
          <w:r>
            <w:t xml:space="preserve">Annex AP – Change Control after Sign-off</w:t>
          </w:r>
          <w:r>
            <w:tab/>
          </w:r>
          <w:r>
            <w:t xml:space="preserve">335</w:t>
          </w:r>
        </w:p>
        <w:p>
          <w:pPr>
            <w:pStyle w:val="TOC1"/>
            <w:tabs>
              <w:tab w:val="right" w:leader="dot" w:pos="9630"/>
            </w:tabs>
          </w:pPr>
          <w:r>
            <w:t xml:space="preserve">Annex AQ – Business Unit Review Checklist</w:t>
          </w:r>
          <w:r>
            <w:tab/>
          </w:r>
          <w:r>
            <w:t xml:space="preserve">337</w:t>
          </w:r>
        </w:p>
        <w:p>
          <w:pPr>
            <w:pStyle w:val="TOC1"/>
            <w:tabs>
              <w:tab w:val="right" w:leader="dot" w:pos="9630"/>
            </w:tabs>
          </w:pPr>
          <w:r>
            <w:t xml:space="preserve">Annex AR – Glossary</w:t>
          </w:r>
          <w:r>
            <w:tab/>
          </w:r>
          <w:r>
            <w:t xml:space="preserve">338</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BDOI's text of version 1.0 and every point that traces to the Renewal BRD (or to the signed Concept Paper) is in black. The points of this FRS that are not in the BRD are coloured where they are stated:</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offered by the system out of the box, at no cost (listed in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not in the BRD and not offered out of the box; needs a change request with the effort of Annex AP.1 and the CR Effort Estimate workbook.</w:t>
      </w:r>
    </w:p>
    <w:p>
      <w:pPr>
        <w:pStyle w:val="BodyText"/>
        <w:ind w:left="360" w:right="270"/>
        <w:jc w:val="both"/>
        <w:rPr>
          <w:rFonts w:cs="Arial"/>
        </w:rPr>
      </w:pPr>
      <w:r>
        <w:rPr>
          <w:rFonts w:cs="Arial"/>
          <w:shd w:val="clear" w:color="auto" w:fill="FFF59D"/>
        </w:rPr>
        <w:t xml:space="preserve">A requirement of another BRD of the programme that also applies to Renewal (for example the session and audit rules of the Collections, Claims and Reinsurance addenda) is a BRD requirement and stays black; its source is named where it is stated (Annex AJ).</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2E7D32"/>
              </w:rPr>
              <w:t>FRRN</w:t>
            </w:r>
            <w:r w:rsidR="00BA7B2A" w:rsidRPr="6EC80736">
              <w:rPr>
                <w:rFonts w:ascii="Arial" w:hAnsi="Arial" w:cs="Arial"/>
                <w:b/>
                <w:bCs/>
                <w:color w:val="2E7D32"/>
              </w:rPr>
              <w:t>.002.02</w:t>
            </w:r>
            <w:r w:rsidR="00BA7B2A">
              <w:rPr>
                <w:rFonts w:ascii="Arial" w:hAnsi="Arial" w:cs="Arial"/>
                <w:b/>
                <w:bCs/>
                <w:color w:val="2E7D32"/>
              </w:rPr>
              <w:t xml:space="preserve">.01 </w:t>
            </w:r>
            <w:r w:rsidR="00BA7B2A" w:rsidRPr="00BA7B2A">
              <w:rPr>
                <w:rFonts w:ascii="Arial" w:hAnsi="Arial" w:cs="Arial"/>
                <w:b/>
                <w:bCs/>
                <w:color w:val="2E7D32"/>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2E7D32"/>
                <w:lang w:val="en-US"/>
              </w:rPr>
              <w:t>The dashboard shall display production metrics</w:t>
            </w:r>
            <w:r>
              <w:rPr>
                <w:rFonts w:ascii="Arial" w:hAnsi="Arial" w:cs="Arial"/>
                <w:color w:val="2E7D32"/>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2E7D32"/>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2E7D32"/>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 vs Budget</w:t>
            </w:r>
            <w:r w:rsidR="00B076A2">
              <w:rPr>
                <w:rFonts w:ascii="Arial" w:hAnsi="Arial" w:cs="Arial"/>
                <w:color w:val="2E7D32"/>
                <w:lang w:val="en-US"/>
              </w:rPr>
              <w:t xml:space="preserve"> </w:t>
            </w:r>
            <w:r w:rsidR="006E7BB8">
              <w:rPr>
                <w:rFonts w:ascii="Arial" w:hAnsi="Arial" w:cs="Arial"/>
                <w:color w:val="2E7D32"/>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Variance</w:t>
            </w:r>
            <w:r w:rsidR="00552BF0">
              <w:rPr>
                <w:rFonts w:ascii="Arial" w:hAnsi="Arial" w:cs="Arial"/>
                <w:color w:val="2E7D32"/>
                <w:lang w:val="en-US"/>
              </w:rPr>
              <w:t xml:space="preserve">: </w:t>
            </w:r>
            <w:r w:rsidR="00552BF0" w:rsidRPr="00552BF0">
              <w:rPr>
                <w:rFonts w:ascii="Arial" w:hAnsi="Arial" w:cs="Arial"/>
                <w:color w:val="2E7D32"/>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Growth</w:t>
            </w:r>
            <w:r w:rsidR="00285E5C">
              <w:rPr>
                <w:rFonts w:ascii="Arial" w:hAnsi="Arial" w:cs="Arial"/>
                <w:color w:val="2E7D32"/>
                <w:lang w:val="en-US"/>
              </w:rPr>
              <w:t>:</w:t>
            </w:r>
            <w:r w:rsidR="00D612EE">
              <w:rPr>
                <w:rFonts w:ascii="Arial" w:hAnsi="Arial" w:cs="Arial"/>
                <w:color w:val="2E7D32"/>
                <w:lang w:val="en-US"/>
              </w:rPr>
              <w:t xml:space="preserve"> </w:t>
            </w:r>
            <w:r w:rsidR="004D6D80">
              <w:rPr>
                <w:rFonts w:ascii="Arial" w:hAnsi="Arial" w:cs="Arial"/>
                <w:color w:val="2E7D32"/>
                <w:lang w:val="en-US"/>
              </w:rPr>
              <w:t>(</w:t>
            </w:r>
            <w:r w:rsidR="00D612EE">
              <w:rPr>
                <w:rFonts w:ascii="Arial" w:hAnsi="Arial" w:cs="Arial"/>
                <w:color w:val="2E7D32"/>
                <w:lang w:val="en-US"/>
              </w:rPr>
              <w:t xml:space="preserve">Previous Actual YoY/ </w:t>
            </w:r>
            <w:r w:rsidR="004D6D80">
              <w:rPr>
                <w:rFonts w:ascii="Arial" w:hAnsi="Arial" w:cs="Arial"/>
                <w:color w:val="2E7D32"/>
                <w:lang w:val="en-US"/>
              </w:rPr>
              <w:t>Current Budget YoY) x 100</w:t>
            </w:r>
            <w:r w:rsidR="00285E5C">
              <w:rPr>
                <w:rFonts w:ascii="Arial" w:hAnsi="Arial" w:cs="Arial"/>
                <w:color w:val="2E7D32"/>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Adjustments</w:t>
            </w:r>
            <w:r w:rsidR="00064A22">
              <w:rPr>
                <w:rFonts w:ascii="Arial" w:hAnsi="Arial" w:cs="Arial"/>
                <w:color w:val="2E7D32"/>
                <w:lang w:val="en-US"/>
              </w:rPr>
              <w:t xml:space="preserve">: Sum </w:t>
            </w:r>
            <w:r w:rsidR="003B4963">
              <w:rPr>
                <w:rFonts w:ascii="Arial" w:hAnsi="Arial" w:cs="Arial"/>
                <w:color w:val="2E7D32"/>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2E7D32"/>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Variance</w:t>
            </w:r>
            <w:r>
              <w:rPr>
                <w:rFonts w:ascii="Arial" w:hAnsi="Arial" w:cs="Arial"/>
                <w:color w:val="2E7D32"/>
                <w:lang w:val="en-US"/>
              </w:rPr>
              <w:t xml:space="preserve">: </w:t>
            </w:r>
            <w:r w:rsidRPr="00552BF0">
              <w:rPr>
                <w:rFonts w:ascii="Arial" w:hAnsi="Arial" w:cs="Arial"/>
                <w:color w:val="2E7D32"/>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Growth</w:t>
            </w:r>
            <w:r>
              <w:rPr>
                <w:rFonts w:ascii="Arial" w:hAnsi="Arial" w:cs="Arial"/>
                <w:color w:val="2E7D32"/>
                <w:lang w:val="en-US"/>
              </w:rPr>
              <w:t xml:space="preserve">: </w:t>
            </w:r>
            <w:r w:rsidR="00D5597C">
              <w:rPr>
                <w:rFonts w:ascii="Arial" w:hAnsi="Arial" w:cs="Arial"/>
                <w:color w:val="2E7D32"/>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2E7D32"/>
                <w:lang w:val="en-US"/>
              </w:rPr>
              <w:t>Adjustments</w:t>
            </w:r>
            <w:r>
              <w:rPr>
                <w:rFonts w:ascii="Arial" w:hAnsi="Arial" w:cs="Arial"/>
                <w:color w:val="2E7D32"/>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2E7D32"/>
                <w:lang w:val="en-US"/>
              </w:rPr>
              <w:t xml:space="preserve">Users shall be able to click </w:t>
            </w:r>
            <w:r w:rsidRPr="00311721">
              <w:rPr>
                <w:rFonts w:ascii="Arial" w:hAnsi="Arial" w:cs="Arial"/>
                <w:b/>
                <w:bCs/>
                <w:color w:val="2E7D32"/>
                <w:lang w:val="en-US"/>
              </w:rPr>
              <w:t>Show Details</w:t>
            </w:r>
            <w:r w:rsidRPr="00311721">
              <w:rPr>
                <w:rFonts w:ascii="Arial" w:hAnsi="Arial" w:cs="Arial"/>
                <w:color w:val="2E7D32"/>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2E7D32"/>
              </w:rPr>
              <w:t>FRRN</w:t>
            </w:r>
            <w:r w:rsidR="006C6845" w:rsidRPr="6EC80736">
              <w:rPr>
                <w:rFonts w:ascii="Arial" w:hAnsi="Arial" w:cs="Arial"/>
                <w:b/>
                <w:bCs/>
                <w:color w:val="2E7D32"/>
              </w:rPr>
              <w:t>.00</w:t>
            </w:r>
            <w:r w:rsidR="006C6845">
              <w:rPr>
                <w:rFonts w:ascii="Arial" w:hAnsi="Arial" w:cs="Arial"/>
                <w:b/>
                <w:bCs/>
                <w:color w:val="2E7D32"/>
              </w:rPr>
              <w:t>3</w:t>
            </w:r>
            <w:r w:rsidR="006C6845" w:rsidRPr="6EC80736">
              <w:rPr>
                <w:rFonts w:ascii="Arial" w:hAnsi="Arial" w:cs="Arial"/>
                <w:b/>
                <w:bCs/>
                <w:color w:val="2E7D32"/>
              </w:rPr>
              <w:t>.</w:t>
            </w:r>
            <w:r w:rsidR="004468AD">
              <w:rPr>
                <w:rFonts w:ascii="Arial" w:hAnsi="Arial" w:cs="Arial"/>
                <w:b/>
                <w:bCs/>
                <w:color w:val="2E7D32"/>
              </w:rPr>
              <w:t>02</w:t>
            </w:r>
            <w:r w:rsidR="006C6845">
              <w:rPr>
                <w:rFonts w:ascii="Arial" w:hAnsi="Arial" w:cs="Arial"/>
                <w:b/>
                <w:bCs/>
                <w:color w:val="2E7D32"/>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2E7D32"/>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2E7D32"/>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Submitted f</w:t>
            </w:r>
            <w:r w:rsidRPr="00C27E43">
              <w:rPr>
                <w:rFonts w:ascii="Arial" w:hAnsi="Arial" w:cs="Arial"/>
                <w:color w:val="2E7D32"/>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2E7D32"/>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2E7D32"/>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2E7D32"/>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 xml:space="preserve">accounts with </w:t>
            </w:r>
            <w:r w:rsidR="004468AD">
              <w:rPr>
                <w:rFonts w:ascii="Arial" w:hAnsi="Arial" w:cs="Arial"/>
                <w:color w:val="2E7D32"/>
                <w:lang w:val="en-US"/>
              </w:rPr>
              <w:t xml:space="preserve">no </w:t>
            </w:r>
            <w:r w:rsidRPr="0076506A">
              <w:rPr>
                <w:rFonts w:ascii="Arial" w:hAnsi="Arial" w:cs="Arial"/>
                <w:color w:val="2E7D32"/>
                <w:lang w:val="en-US"/>
              </w:rPr>
              <w:t>policy</w:t>
            </w:r>
            <w:r>
              <w:rPr>
                <w:rFonts w:ascii="Arial" w:hAnsi="Arial" w:cs="Arial"/>
                <w:color w:val="2E7D32"/>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2E7D32"/>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For E-Policy Sending</w:t>
            </w:r>
            <w:r w:rsidRPr="00C27E43">
              <w:rPr>
                <w:rFonts w:ascii="Arial" w:hAnsi="Arial" w:cs="Arial"/>
                <w:color w:val="2E7D32"/>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2E7D32"/>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2E7D32"/>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w:t>
            </w:r>
            <w:r>
              <w:rPr>
                <w:rFonts w:ascii="Arial" w:hAnsi="Arial" w:cs="Arial"/>
                <w:color w:val="2E7D32"/>
                <w:lang w:val="en-US"/>
              </w:rPr>
              <w:t>un</w:t>
            </w:r>
            <w:r w:rsidRPr="00AF057B">
              <w:rPr>
                <w:rFonts w:ascii="Arial" w:hAnsi="Arial" w:cs="Arial"/>
                <w:color w:val="2E7D32"/>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2E7D32"/>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2E7D32"/>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2E7D32"/>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2E7D32"/>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2E7D32"/>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2E7D32"/>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2E7D32"/>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2E7D32"/>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2E7D32"/>
              </w:rPr>
              <w:t>FRRN</w:t>
            </w:r>
            <w:r w:rsidR="00214225" w:rsidRPr="003F65BA">
              <w:rPr>
                <w:rFonts w:ascii="Arial" w:hAnsi="Arial" w:cs="Arial"/>
                <w:b/>
                <w:bCs/>
                <w:color w:val="2E7D32"/>
              </w:rPr>
              <w:t>.00</w:t>
            </w:r>
            <w:r w:rsidR="00214225">
              <w:rPr>
                <w:rFonts w:ascii="Arial" w:hAnsi="Arial" w:cs="Arial"/>
                <w:b/>
                <w:bCs/>
                <w:color w:val="2E7D32"/>
              </w:rPr>
              <w:t>6</w:t>
            </w:r>
            <w:r w:rsidR="00214225" w:rsidRPr="003F65BA">
              <w:rPr>
                <w:rFonts w:ascii="Arial" w:hAnsi="Arial" w:cs="Arial"/>
                <w:b/>
                <w:bCs/>
                <w:color w:val="2E7D32"/>
              </w:rPr>
              <w:t>.0</w:t>
            </w:r>
            <w:r w:rsidR="00214225">
              <w:rPr>
                <w:rFonts w:ascii="Arial" w:hAnsi="Arial" w:cs="Arial"/>
                <w:b/>
                <w:bCs/>
                <w:color w:val="2E7D32"/>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system shall automatically perform duplicate validation whenever an account is being created or generated</w:t>
            </w:r>
            <w:r>
              <w:rPr>
                <w:rFonts w:ascii="Arial" w:hAnsi="Arial" w:cs="Arial"/>
                <w:color w:val="2E7D32"/>
                <w:lang w:val="en-US"/>
              </w:rPr>
              <w:t xml:space="preserve"> or updated</w:t>
            </w:r>
            <w:r w:rsidRPr="005A1421">
              <w:rPr>
                <w:rFonts w:ascii="Arial" w:hAnsi="Arial" w:cs="Arial"/>
                <w:color w:val="2E7D32"/>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system shall identify potential duplicate accounts using</w:t>
            </w:r>
            <w:r>
              <w:rPr>
                <w:rFonts w:ascii="Arial" w:hAnsi="Arial" w:cs="Arial"/>
                <w:color w:val="2E7D32"/>
                <w:lang w:val="en-US"/>
              </w:rPr>
              <w:t xml:space="preserve"> </w:t>
            </w:r>
            <w:r w:rsidRPr="005A1421">
              <w:rPr>
                <w:rFonts w:ascii="Arial" w:hAnsi="Arial" w:cs="Arial"/>
                <w:color w:val="2E7D32"/>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2E7D32"/>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2E7D32"/>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 xml:space="preserve">PN </w:t>
            </w:r>
            <w:r w:rsidR="0BF236D5" w:rsidRPr="3C7F3FD4">
              <w:rPr>
                <w:rFonts w:ascii="Arial" w:hAnsi="Arial" w:cs="Arial"/>
                <w:color w:val="2E7D32"/>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2E7D32"/>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2E7D32"/>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2E7D32"/>
              </w:rPr>
              <w:t xml:space="preserve">Message: </w:t>
            </w:r>
            <w:r w:rsidRPr="002F421E">
              <w:rPr>
                <w:rFonts w:ascii="Arial" w:hAnsi="Arial" w:cs="Arial"/>
                <w:color w:val="2E7D32"/>
              </w:rPr>
              <w:t>“</w:t>
            </w:r>
            <w:r w:rsidRPr="002F421E">
              <w:rPr>
                <w:rFonts w:ascii="Arial" w:hAnsi="Arial" w:cs="Arial"/>
                <w:b/>
                <w:bCs/>
                <w:color w:val="2E7D32"/>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2E7D32"/>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2E7D32"/>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2E7D32"/>
              </w:rPr>
              <w:t>[Duplicate Account</w:t>
            </w:r>
            <w:r>
              <w:rPr>
                <w:rFonts w:ascii="Arial" w:hAnsi="Arial" w:cs="Arial"/>
                <w:b/>
                <w:bCs/>
                <w:color w:val="2E7D32"/>
              </w:rPr>
              <w:t xml:space="preserve"> Link</w:t>
            </w:r>
            <w:r w:rsidRPr="002F421E">
              <w:rPr>
                <w:rFonts w:ascii="Arial" w:hAnsi="Arial" w:cs="Arial"/>
                <w:b/>
                <w:bCs/>
                <w:color w:val="2E7D32"/>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2E7D32"/>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2E7D32"/>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2E7D32"/>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2E7D32"/>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2E7D32"/>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2E7D32"/>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2E7D32"/>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2E7D32"/>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t>The system shall allow creation of accounts that match an existing account when the matching account has a status of</w:t>
            </w:r>
            <w:r>
              <w:rPr>
                <w:rFonts w:ascii="Arial" w:hAnsi="Arial" w:cs="Arial"/>
                <w:color w:val="2E7D32"/>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2E7D32"/>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2E7D32"/>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2E7D32"/>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2E7D32"/>
              </w:rPr>
              <w:t>FRRN</w:t>
            </w:r>
            <w:r w:rsidR="001875DA" w:rsidRPr="003F65BA">
              <w:rPr>
                <w:rFonts w:ascii="Arial" w:hAnsi="Arial" w:cs="Arial"/>
                <w:b/>
                <w:bCs/>
                <w:color w:val="2E7D32"/>
              </w:rPr>
              <w:t>.00</w:t>
            </w:r>
            <w:r w:rsidR="001875DA">
              <w:rPr>
                <w:rFonts w:ascii="Arial" w:hAnsi="Arial" w:cs="Arial"/>
                <w:b/>
                <w:bCs/>
                <w:color w:val="2E7D32"/>
              </w:rPr>
              <w:t>9</w:t>
            </w:r>
            <w:r w:rsidR="001875DA" w:rsidRPr="003F65BA">
              <w:rPr>
                <w:rFonts w:ascii="Arial" w:hAnsi="Arial" w:cs="Arial"/>
                <w:b/>
                <w:bCs/>
                <w:color w:val="2E7D32"/>
              </w:rPr>
              <w:t>.0</w:t>
            </w:r>
            <w:r w:rsidR="001875DA">
              <w:rPr>
                <w:rFonts w:ascii="Arial" w:hAnsi="Arial" w:cs="Arial"/>
                <w:b/>
                <w:bCs/>
                <w:color w:val="2E7D32"/>
              </w:rPr>
              <w:t xml:space="preserve">1 </w:t>
            </w:r>
            <w:r w:rsidR="001875DA" w:rsidRPr="001875DA">
              <w:rPr>
                <w:rFonts w:ascii="Arial" w:hAnsi="Arial" w:cs="Arial"/>
                <w:b/>
                <w:bCs/>
                <w:color w:val="2E7D32"/>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2E7D32"/>
                <w:lang w:val="en-US"/>
              </w:rPr>
              <w:t xml:space="preserve">The system shall automatically retrieve, calculate, and update </w:t>
            </w:r>
            <w:r w:rsidR="007F48FE">
              <w:rPr>
                <w:rFonts w:ascii="Arial" w:hAnsi="Arial" w:cs="Arial"/>
                <w:color w:val="2E7D32"/>
                <w:lang w:val="en-US"/>
              </w:rPr>
              <w:t xml:space="preserve">CBG Motor </w:t>
            </w:r>
            <w:r w:rsidRPr="001875DA">
              <w:rPr>
                <w:rFonts w:ascii="Arial" w:hAnsi="Arial" w:cs="Arial"/>
                <w:color w:val="2E7D32"/>
                <w:lang w:val="en-US"/>
              </w:rPr>
              <w:t>renewal account information after the Renewal Account has been created</w:t>
            </w:r>
            <w:r>
              <w:rPr>
                <w:rFonts w:ascii="Arial" w:hAnsi="Arial" w:cs="Arial"/>
                <w:color w:val="2E7D32"/>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2E7D32"/>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2E7D32"/>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2E7D32"/>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2E7D32"/>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2E7D32"/>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2E7D32"/>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2E7D32"/>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2E7D32"/>
                  <w:lang w:val="en-US"/>
                </w:rPr>
                <w:t xml:space="preserve">See Annex </w:t>
              </w:r>
              <w:r w:rsidR="74BE75D8" w:rsidRPr="3C7F3FD4">
                <w:rPr>
                  <w:rStyle w:val="Hyperlink"/>
                  <w:rFonts w:ascii="Arial" w:hAnsi="Arial" w:cs="Arial"/>
                  <w:b/>
                  <w:bCs/>
                  <w:i/>
                  <w:iCs/>
                  <w:color w:val="2E7D32"/>
                  <w:lang w:val="en-US"/>
                </w:rPr>
                <w:t>D</w:t>
              </w:r>
              <w:r w:rsidR="007F48FE" w:rsidRPr="3C7F3FD4">
                <w:rPr>
                  <w:rStyle w:val="Hyperlink"/>
                  <w:rFonts w:ascii="Arial" w:hAnsi="Arial" w:cs="Arial"/>
                  <w:b/>
                  <w:bCs/>
                  <w:i/>
                  <w:iCs/>
                  <w:color w:val="2E7D32"/>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2E7D32"/>
                  <w:lang w:val="en-US"/>
                </w:rPr>
                <w:t xml:space="preserve">See Annex </w:t>
              </w:r>
              <w:r w:rsidR="37D2DD44" w:rsidRPr="3C7F3FD4">
                <w:rPr>
                  <w:rStyle w:val="Hyperlink"/>
                  <w:rFonts w:ascii="Arial" w:hAnsi="Arial" w:cs="Arial"/>
                  <w:b/>
                  <w:bCs/>
                  <w:i/>
                  <w:iCs/>
                  <w:color w:val="2E7D32"/>
                  <w:lang w:val="en-US"/>
                </w:rPr>
                <w:t>E</w:t>
              </w:r>
              <w:r w:rsidR="00AF332D" w:rsidRPr="3C7F3FD4">
                <w:rPr>
                  <w:rStyle w:val="Hyperlink"/>
                  <w:rFonts w:ascii="Arial" w:hAnsi="Arial" w:cs="Arial"/>
                  <w:b/>
                  <w:bCs/>
                  <w:i/>
                  <w:iCs/>
                  <w:color w:val="2E7D32"/>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2E7D32"/>
              </w:rPr>
              <w:t>FRRN</w:t>
            </w:r>
            <w:r w:rsidR="008937E7" w:rsidRPr="003F65BA">
              <w:rPr>
                <w:rFonts w:ascii="Arial" w:hAnsi="Arial" w:cs="Arial"/>
                <w:b/>
                <w:bCs/>
                <w:color w:val="2E7D32"/>
              </w:rPr>
              <w:t>.0</w:t>
            </w:r>
            <w:r w:rsidR="00AF332D">
              <w:rPr>
                <w:rFonts w:ascii="Arial" w:hAnsi="Arial" w:cs="Arial"/>
                <w:b/>
                <w:bCs/>
                <w:color w:val="2E7D32"/>
              </w:rPr>
              <w:t>10</w:t>
            </w:r>
            <w:r w:rsidR="008937E7" w:rsidRPr="003F65BA">
              <w:rPr>
                <w:rFonts w:ascii="Arial" w:hAnsi="Arial" w:cs="Arial"/>
                <w:b/>
                <w:bCs/>
                <w:color w:val="2E7D32"/>
              </w:rPr>
              <w:t>.0</w:t>
            </w:r>
            <w:r w:rsidR="008937E7">
              <w:rPr>
                <w:rFonts w:ascii="Arial" w:hAnsi="Arial" w:cs="Arial"/>
                <w:b/>
                <w:bCs/>
                <w:color w:val="2E7D32"/>
              </w:rPr>
              <w:t>1</w:t>
            </w:r>
            <w:r w:rsidR="00ED1B20">
              <w:rPr>
                <w:rFonts w:ascii="Arial" w:hAnsi="Arial" w:cs="Arial"/>
                <w:b/>
                <w:bCs/>
                <w:color w:val="2E7D32"/>
              </w:rPr>
              <w:t xml:space="preserve"> </w:t>
            </w:r>
            <w:r w:rsidR="008445FA">
              <w:rPr>
                <w:rFonts w:ascii="Arial" w:hAnsi="Arial" w:cs="Arial"/>
                <w:b/>
                <w:bCs/>
                <w:color w:val="2E7D32"/>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2E7D32"/>
                <w:lang w:val="en-US"/>
              </w:rPr>
              <w:t>For Marketing, t</w:t>
            </w:r>
            <w:r w:rsidR="00F36C9C" w:rsidRPr="3C7F3FD4">
              <w:rPr>
                <w:rFonts w:ascii="Arial" w:hAnsi="Arial" w:cs="Arial"/>
                <w:color w:val="2E7D32"/>
                <w:lang w:val="en-US"/>
              </w:rPr>
              <w:t xml:space="preserve">he system shall support automatic assignment of accounts to </w:t>
            </w:r>
            <w:r w:rsidR="00F03360" w:rsidRPr="3C7F3FD4">
              <w:rPr>
                <w:rFonts w:ascii="Arial" w:hAnsi="Arial" w:cs="Arial"/>
                <w:color w:val="2E7D32"/>
                <w:lang w:val="en-US"/>
              </w:rPr>
              <w:t>users</w:t>
            </w:r>
            <w:r w:rsidR="00F36C9C" w:rsidRPr="3C7F3FD4">
              <w:rPr>
                <w:rFonts w:ascii="Arial" w:hAnsi="Arial" w:cs="Arial"/>
                <w:color w:val="2E7D32"/>
                <w:lang w:val="en-US"/>
              </w:rPr>
              <w:t xml:space="preserve"> based on </w:t>
            </w:r>
            <w:r w:rsidRPr="3C7F3FD4">
              <w:rPr>
                <w:rFonts w:ascii="Arial" w:hAnsi="Arial" w:cs="Arial"/>
                <w:color w:val="2E7D32"/>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2E7D32"/>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2E7D32"/>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2E7D32"/>
                <w:lang w:val="en-US"/>
              </w:rPr>
              <w:t xml:space="preserve">Auto assignment shall take place after </w:t>
            </w:r>
            <w:r w:rsidR="009F27E5">
              <w:rPr>
                <w:rFonts w:ascii="Arial" w:hAnsi="Arial" w:cs="Arial"/>
                <w:color w:val="2E7D32"/>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2E7D32"/>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2E7D32"/>
              </w:rPr>
              <w:t>User </w:t>
            </w:r>
            <w:r w:rsidRPr="00985E7A">
              <w:rPr>
                <w:rFonts w:ascii="Arial" w:hAnsi="Arial" w:cs="Arial"/>
                <w:color w:val="2E7D32"/>
              </w:rPr>
              <w:t>- Can manage only records assigned to them.</w:t>
            </w:r>
            <w:r w:rsidRPr="00985E7A">
              <w:rPr>
                <w:rFonts w:ascii="Arial" w:hAnsi="Arial" w:cs="Arial"/>
                <w:color w:val="2E7D32"/>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2E7D32"/>
              </w:rPr>
              <w:t>Team Lead/ Team Head/ Unit Head </w:t>
            </w:r>
            <w:r w:rsidRPr="00985E7A">
              <w:rPr>
                <w:rFonts w:ascii="Arial" w:hAnsi="Arial" w:cs="Arial"/>
                <w:color w:val="2E7D32"/>
              </w:rPr>
              <w:t xml:space="preserve">- </w:t>
            </w:r>
            <w:r w:rsidR="001E50C1" w:rsidRPr="001E50C1">
              <w:rPr>
                <w:rFonts w:ascii="Arial" w:hAnsi="Arial" w:cs="Arial"/>
                <w:color w:val="2E7D32"/>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2E7D32"/>
                  <w:lang w:val="en-US"/>
                </w:rPr>
                <w:t xml:space="preserve">See Annex </w:t>
              </w:r>
              <w:r w:rsidR="670A73CC" w:rsidRPr="3C7F3FD4">
                <w:rPr>
                  <w:rStyle w:val="Hyperlink"/>
                  <w:rFonts w:ascii="Arial" w:hAnsi="Arial" w:cs="Arial"/>
                  <w:b/>
                  <w:bCs/>
                  <w:i/>
                  <w:iCs/>
                  <w:color w:val="2E7D32"/>
                  <w:lang w:val="en-US"/>
                </w:rPr>
                <w:t>F</w:t>
              </w:r>
              <w:r w:rsidR="00AF332D" w:rsidRPr="3C7F3FD4">
                <w:rPr>
                  <w:rStyle w:val="Hyperlink"/>
                  <w:rFonts w:ascii="Arial" w:hAnsi="Arial" w:cs="Arial"/>
                  <w:b/>
                  <w:bCs/>
                  <w:i/>
                  <w:iCs/>
                  <w:color w:val="2E7D32"/>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2E7D32"/>
              </w:rPr>
              <w:t>FRRN</w:t>
            </w:r>
            <w:r w:rsidR="000B7EC2" w:rsidRPr="5B358E25">
              <w:rPr>
                <w:rFonts w:ascii="Arial" w:hAnsi="Arial" w:cs="Arial"/>
                <w:b/>
                <w:bCs/>
                <w:color w:val="2E7D32"/>
              </w:rPr>
              <w:t>.0</w:t>
            </w:r>
            <w:r w:rsidR="0022419E" w:rsidRPr="5B358E25">
              <w:rPr>
                <w:rFonts w:ascii="Arial" w:hAnsi="Arial" w:cs="Arial"/>
                <w:b/>
                <w:bCs/>
                <w:color w:val="2E7D32"/>
              </w:rPr>
              <w:t>1</w:t>
            </w:r>
            <w:r w:rsidR="1A91DCF6" w:rsidRPr="5B358E25">
              <w:rPr>
                <w:rFonts w:ascii="Arial" w:hAnsi="Arial" w:cs="Arial"/>
                <w:b/>
                <w:bCs/>
                <w:color w:val="2E7D32"/>
              </w:rPr>
              <w:t>1</w:t>
            </w:r>
            <w:r w:rsidR="000B7EC2" w:rsidRPr="5B358E25">
              <w:rPr>
                <w:rFonts w:ascii="Arial" w:hAnsi="Arial" w:cs="Arial"/>
                <w:b/>
                <w:bCs/>
                <w:color w:val="2E7D32"/>
              </w:rPr>
              <w:t xml:space="preserve">.03 </w:t>
            </w:r>
            <w:r w:rsidR="000B7EC2" w:rsidRPr="5B358E25">
              <w:rPr>
                <w:rFonts w:ascii="Arial" w:hAnsi="Arial" w:cs="Arial"/>
                <w:b/>
                <w:bCs/>
                <w:color w:val="2E7D32"/>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2E7D32"/>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2E7D32"/>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2E7D32"/>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color w:val="2E7D32"/>
              </w:rPr>
              <w:t>FRRN</w:t>
            </w:r>
            <w:r w:rsidR="00E471EB" w:rsidRPr="5B358E25">
              <w:rPr>
                <w:rFonts w:ascii="Arial" w:hAnsi="Arial" w:cs="Arial"/>
                <w:b/>
                <w:bCs/>
                <w:color w:val="2E7D32"/>
              </w:rPr>
              <w:t>.012.0</w:t>
            </w:r>
            <w:r w:rsidR="00A41AEA">
              <w:rPr>
                <w:rFonts w:ascii="Arial" w:hAnsi="Arial" w:cs="Arial"/>
                <w:b/>
                <w:bCs/>
                <w:color w:val="2E7D32"/>
              </w:rPr>
              <w:t>6</w:t>
            </w:r>
            <w:r w:rsidR="00E471EB" w:rsidRPr="5B358E25">
              <w:rPr>
                <w:rFonts w:ascii="Arial" w:hAnsi="Arial" w:cs="Arial"/>
                <w:b/>
                <w:bCs/>
                <w:color w:val="2E7D32"/>
              </w:rPr>
              <w:t xml:space="preserve"> </w:t>
            </w:r>
            <w:r w:rsidR="00A41AEA">
              <w:rPr>
                <w:rFonts w:ascii="Arial" w:hAnsi="Arial" w:cs="Arial"/>
                <w:b/>
                <w:bCs/>
                <w:color w:val="2E7D32"/>
              </w:rPr>
              <w:t>BDOFC</w:t>
            </w:r>
            <w:r w:rsidR="00E471EB" w:rsidRPr="5B358E25">
              <w:rPr>
                <w:rFonts w:ascii="Arial" w:hAnsi="Arial" w:cs="Arial"/>
                <w:b/>
                <w:bCs/>
                <w:color w:val="2E7D32"/>
              </w:rPr>
              <w:t xml:space="preserve"> </w:t>
            </w:r>
            <w:r w:rsidR="00E471EB" w:rsidRPr="5B358E25">
              <w:rPr>
                <w:rFonts w:ascii="Arial" w:hAnsi="Arial" w:cs="Arial"/>
                <w:b/>
                <w:bCs/>
                <w:color w:val="2E7D32"/>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The system shall display a “</w:t>
            </w:r>
            <w:r w:rsidR="00A41AEA">
              <w:rPr>
                <w:rFonts w:ascii="Arial" w:hAnsi="Arial" w:cs="Arial"/>
                <w:color w:val="2E7D32"/>
                <w:lang w:val="en-US"/>
              </w:rPr>
              <w:t>BDOFC</w:t>
            </w:r>
            <w:r w:rsidR="5D4A4276" w:rsidRPr="504C2021">
              <w:rPr>
                <w:rFonts w:ascii="Arial" w:hAnsi="Arial" w:cs="Arial"/>
                <w:color w:val="2E7D32"/>
                <w:lang w:val="en-US"/>
              </w:rPr>
              <w:t>/SOLD</w:t>
            </w:r>
            <w:r w:rsidRPr="5B358E25">
              <w:rPr>
                <w:rFonts w:ascii="Arial" w:hAnsi="Arial" w:cs="Arial"/>
                <w:color w:val="2E7D32"/>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color w:val="2E7D32"/>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color w:val="2E7D32"/>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color w:val="2E7D32"/>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color w:val="2E7D32"/>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color w:val="2E7D32"/>
                <w:lang w:val="en-US"/>
              </w:rPr>
              <w:t xml:space="preserve">The system shall support </w:t>
            </w:r>
            <w:r w:rsidR="2285C7CF" w:rsidRPr="059957E8">
              <w:rPr>
                <w:rFonts w:ascii="Arial" w:hAnsi="Arial" w:cs="Arial"/>
                <w:color w:val="2E7D32"/>
                <w:lang w:val="en-US"/>
              </w:rPr>
              <w:t>excel and csv</w:t>
            </w:r>
            <w:r w:rsidRPr="5B358E25">
              <w:rPr>
                <w:rFonts w:ascii="Arial" w:hAnsi="Arial" w:cs="Arial"/>
                <w:color w:val="2E7D32"/>
                <w:lang w:val="en-US"/>
              </w:rPr>
              <w:t xml:space="preserve"> formats</w:t>
            </w:r>
            <w:r w:rsidR="2285C7CF" w:rsidRPr="059957E8">
              <w:rPr>
                <w:rFonts w:ascii="Arial" w:hAnsi="Arial" w:cs="Arial"/>
                <w:color w:val="2E7D32"/>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color w:val="2E7D32"/>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color w:val="2E7D32"/>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color w:val="2E7D32"/>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color w:val="2E7D32"/>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color w:val="2E7D32"/>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color w:val="2E7D32"/>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color w:val="2E7D32"/>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color w:val="2E7D32"/>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color w:val="2E7D32"/>
                <w:lang w:val="en-US"/>
              </w:rPr>
              <w:t>Upload and Processing Complete: “</w:t>
            </w:r>
            <w:r w:rsidR="1E5D3755" w:rsidRPr="515E4A49">
              <w:rPr>
                <w:rFonts w:ascii="Arial" w:hAnsi="Arial" w:cs="Arial"/>
                <w:color w:val="2E7D32"/>
                <w:lang w:val="en-US"/>
              </w:rPr>
              <w:t>BDOFC</w:t>
            </w:r>
            <w:r w:rsidR="65AF89DB" w:rsidRPr="059957E8">
              <w:rPr>
                <w:rFonts w:ascii="Arial" w:hAnsi="Arial" w:cs="Arial"/>
                <w:color w:val="2E7D32"/>
                <w:lang w:val="en-US"/>
              </w:rPr>
              <w:t>/</w:t>
            </w:r>
            <w:r w:rsidR="65AF89DB" w:rsidRPr="731C9248">
              <w:rPr>
                <w:rFonts w:ascii="Arial" w:hAnsi="Arial" w:cs="Arial"/>
                <w:color w:val="2E7D32"/>
                <w:lang w:val="en-US"/>
              </w:rPr>
              <w:t>SOLD</w:t>
            </w:r>
            <w:r w:rsidRPr="00FC6452">
              <w:rPr>
                <w:rFonts w:ascii="Arial" w:hAnsi="Arial" w:cs="Arial"/>
                <w:color w:val="2E7D32"/>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Invalid File Format:</w:t>
            </w:r>
            <w:r w:rsidRPr="00FC6452">
              <w:rPr>
                <w:rFonts w:ascii="Arial" w:hAnsi="Arial" w:cs="Arial"/>
                <w:color w:val="2E7D32"/>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Missing Required Data:</w:t>
            </w:r>
            <w:r w:rsidRPr="00FC6452">
              <w:rPr>
                <w:rFonts w:ascii="Arial" w:hAnsi="Arial" w:cs="Arial"/>
                <w:color w:val="2E7D32"/>
                <w:lang w:val="en-US"/>
              </w:rPr>
              <w:t xml:space="preserve"> “Upload failed. The file is missing required fields (e.g., PN, </w:t>
            </w:r>
            <w:r w:rsidR="31A6DFF3" w:rsidRPr="515E4A49">
              <w:rPr>
                <w:rFonts w:ascii="Arial" w:hAnsi="Arial" w:cs="Arial"/>
                <w:color w:val="2E7D32"/>
                <w:lang w:val="en-US"/>
              </w:rPr>
              <w:t>Remarks</w:t>
            </w:r>
            <w:r w:rsidRPr="515E4A49">
              <w:rPr>
                <w:rFonts w:ascii="Arial" w:hAnsi="Arial" w:cs="Arial"/>
                <w:color w:val="2E7D32"/>
                <w:lang w:val="en-US"/>
              </w:rPr>
              <w:t>).</w:t>
            </w:r>
            <w:r w:rsidRPr="00FC6452">
              <w:rPr>
                <w:rFonts w:ascii="Arial" w:hAnsi="Arial" w:cs="Arial"/>
                <w:color w:val="2E7D32"/>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color w:val="2E7D32"/>
                <w:lang w:val="en-US"/>
              </w:rPr>
              <w:t>Corrupted or Unreadable File:</w:t>
            </w:r>
            <w:r w:rsidRPr="00FC6452">
              <w:rPr>
                <w:rFonts w:ascii="Arial" w:hAnsi="Arial" w:cs="Arial"/>
                <w:color w:val="2E7D32"/>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color w:val="2E7D32"/>
                <w:lang w:val="en-US"/>
              </w:rPr>
              <w:t>Processing Error:</w:t>
            </w:r>
            <w:r w:rsidRPr="5B358E25">
              <w:rPr>
                <w:rFonts w:ascii="Arial" w:hAnsi="Arial" w:cs="Arial"/>
                <w:color w:val="2E7D32"/>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2E7D32"/>
              </w:rPr>
              <w:t>FRRN</w:t>
            </w:r>
            <w:r w:rsidR="008A0CAC" w:rsidRPr="5B358E25">
              <w:rPr>
                <w:rFonts w:ascii="Arial" w:hAnsi="Arial" w:cs="Arial"/>
                <w:b/>
                <w:bCs/>
                <w:color w:val="2E7D32"/>
              </w:rPr>
              <w:t>.0</w:t>
            </w:r>
            <w:r w:rsidR="005D3B8E" w:rsidRPr="5B358E25">
              <w:rPr>
                <w:rFonts w:ascii="Arial" w:hAnsi="Arial" w:cs="Arial"/>
                <w:b/>
                <w:bCs/>
                <w:color w:val="2E7D32"/>
              </w:rPr>
              <w:t>1</w:t>
            </w:r>
            <w:r w:rsidR="307B1C22" w:rsidRPr="5B358E25">
              <w:rPr>
                <w:rFonts w:ascii="Arial" w:hAnsi="Arial" w:cs="Arial"/>
                <w:b/>
                <w:bCs/>
                <w:color w:val="2E7D32"/>
              </w:rPr>
              <w:t>3</w:t>
            </w:r>
            <w:r w:rsidR="008A0CAC" w:rsidRPr="5B358E25">
              <w:rPr>
                <w:rFonts w:ascii="Arial" w:hAnsi="Arial" w:cs="Arial"/>
                <w:b/>
                <w:bCs/>
                <w:color w:val="2E7D32"/>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2E7D32"/>
                <w:lang w:val="en-US"/>
              </w:rPr>
              <w:t xml:space="preserve">The system shall match </w:t>
            </w:r>
            <w:r w:rsidR="00AA29A0">
              <w:rPr>
                <w:rFonts w:ascii="Arial" w:hAnsi="Arial" w:cs="Arial"/>
                <w:color w:val="2E7D32"/>
                <w:lang w:val="en-US"/>
              </w:rPr>
              <w:t>renewal</w:t>
            </w:r>
            <w:r w:rsidRPr="00F67969">
              <w:rPr>
                <w:rFonts w:ascii="Arial" w:hAnsi="Arial" w:cs="Arial"/>
                <w:color w:val="2E7D32"/>
                <w:lang w:val="en-US"/>
              </w:rPr>
              <w:t xml:space="preserve"> records from </w:t>
            </w:r>
            <w:r w:rsidR="00511FEC">
              <w:rPr>
                <w:rFonts w:ascii="Arial" w:hAnsi="Arial" w:cs="Arial"/>
                <w:color w:val="2E7D32"/>
                <w:lang w:val="en-US"/>
              </w:rPr>
              <w:t xml:space="preserve">the uploaded Insurer Disposition </w:t>
            </w:r>
            <w:r w:rsidR="00D0349C">
              <w:rPr>
                <w:rFonts w:ascii="Arial" w:hAnsi="Arial" w:cs="Arial"/>
                <w:color w:val="2E7D32"/>
                <w:lang w:val="en-US"/>
              </w:rPr>
              <w:t>file</w:t>
            </w:r>
            <w:r w:rsidRPr="00F67969">
              <w:rPr>
                <w:rFonts w:ascii="Arial" w:hAnsi="Arial" w:cs="Arial"/>
                <w:color w:val="2E7D32"/>
                <w:lang w:val="en-US"/>
              </w:rPr>
              <w:t xml:space="preserve"> using</w:t>
            </w:r>
            <w:r>
              <w:rPr>
                <w:rFonts w:ascii="Arial" w:hAnsi="Arial" w:cs="Arial"/>
                <w:color w:val="2E7D32"/>
                <w:lang w:val="en-US"/>
              </w:rPr>
              <w:t xml:space="preserve"> </w:t>
            </w:r>
            <w:r w:rsidR="00644D0E" w:rsidRPr="00644D0E">
              <w:rPr>
                <w:rFonts w:ascii="Arial" w:hAnsi="Arial" w:cs="Arial"/>
                <w:b/>
                <w:bCs/>
                <w:color w:val="2E7D32"/>
                <w:lang w:val="en-US"/>
              </w:rPr>
              <w:t xml:space="preserve">Expiring Policy Number </w:t>
            </w:r>
            <w:r w:rsidR="00644D0E" w:rsidRPr="00644D0E">
              <w:rPr>
                <w:rFonts w:ascii="Arial" w:hAnsi="Arial" w:cs="Arial"/>
                <w:color w:val="2E7D32"/>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2E7D32"/>
                <w:lang w:val="en-US"/>
              </w:rPr>
              <w:t>Expiring Reference Number</w:t>
            </w:r>
            <w:r w:rsidR="222193B1" w:rsidRPr="3C7F3FD4">
              <w:rPr>
                <w:rFonts w:ascii="Arial" w:hAnsi="Arial" w:cs="Arial"/>
                <w:b/>
                <w:bCs/>
                <w:color w:val="2E7D32"/>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2E7D32"/>
              </w:rPr>
              <w:t>Update the Insurer Disposition field</w:t>
            </w:r>
            <w:r w:rsidR="003C2C8B">
              <w:rPr>
                <w:rFonts w:ascii="Arial" w:hAnsi="Arial" w:cs="Arial"/>
                <w:color w:val="2E7D32"/>
              </w:rPr>
              <w:t>, Bucket classification, and Renewal Disposition</w:t>
            </w:r>
            <w:r w:rsidRPr="000B06AF">
              <w:rPr>
                <w:rFonts w:ascii="Arial" w:hAnsi="Arial" w:cs="Arial"/>
                <w:color w:val="2E7D32"/>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2E7D32"/>
              </w:rPr>
              <w:t>Insurer Disposition</w:t>
            </w:r>
            <w:r w:rsidR="003C2C8B">
              <w:rPr>
                <w:rFonts w:ascii="Arial" w:hAnsi="Arial" w:cs="Arial"/>
                <w:color w:val="2E7D32"/>
              </w:rPr>
              <w:t xml:space="preserve">: </w:t>
            </w:r>
            <w:r w:rsidRPr="003C2C8B">
              <w:rPr>
                <w:rFonts w:ascii="Arial" w:hAnsi="Arial" w:cs="Arial"/>
                <w:color w:val="2E7D32"/>
              </w:rPr>
              <w:t>Renew As is</w:t>
            </w:r>
            <w:r w:rsidR="00D34ACA">
              <w:rPr>
                <w:rFonts w:ascii="Arial" w:hAnsi="Arial" w:cs="Arial"/>
                <w:color w:val="2E7D32"/>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00695016" w:rsidRPr="003C2C8B">
              <w:rPr>
                <w:rFonts w:ascii="Arial" w:hAnsi="Arial" w:cs="Arial"/>
                <w:color w:val="2E7D32"/>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00695016" w:rsidRPr="003C2C8B">
              <w:rPr>
                <w:rFonts w:ascii="Arial" w:hAnsi="Arial" w:cs="Arial"/>
                <w:color w:val="2E7D32"/>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2E7D32"/>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r>
              <w:rPr>
                <w:rFonts w:ascii="Arial" w:hAnsi="Arial" w:cs="Arial"/>
                <w:color w:val="2E7D32"/>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2E7D32"/>
              </w:rPr>
              <w:t xml:space="preserve">Insurer Disposition: </w:t>
            </w:r>
            <w:r w:rsidRPr="00695016">
              <w:rPr>
                <w:rFonts w:ascii="Arial" w:hAnsi="Arial" w:cs="Arial"/>
                <w:color w:val="2E7D32"/>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Bucket: </w:t>
            </w:r>
            <w:r w:rsidRPr="00695016">
              <w:rPr>
                <w:rFonts w:ascii="Arial" w:hAnsi="Arial" w:cs="Arial"/>
                <w:color w:val="2E7D32"/>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2E7D32"/>
              </w:rPr>
              <w:t>FRRN</w:t>
            </w:r>
            <w:r w:rsidR="59FAB855" w:rsidRPr="3C7F3FD4">
              <w:rPr>
                <w:rFonts w:ascii="Arial" w:hAnsi="Arial" w:cs="Arial"/>
                <w:b/>
                <w:bCs/>
                <w:color w:val="2E7D32"/>
              </w:rPr>
              <w:t>.014.0</w:t>
            </w:r>
            <w:r w:rsidR="368BD561" w:rsidRPr="3C7F3FD4">
              <w:rPr>
                <w:rFonts w:ascii="Arial" w:hAnsi="Arial" w:cs="Arial"/>
                <w:b/>
                <w:bCs/>
                <w:color w:val="2E7D32"/>
              </w:rPr>
              <w:t>5</w:t>
            </w:r>
            <w:r w:rsidR="59FAB855" w:rsidRPr="3C7F3FD4">
              <w:rPr>
                <w:rFonts w:ascii="Arial" w:hAnsi="Arial" w:cs="Arial"/>
                <w:b/>
                <w:bCs/>
                <w:color w:val="2E7D32"/>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2E7D32"/>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2E7D32"/>
                <w:szCs w:val="20"/>
                <w:lang w:val="en-US"/>
              </w:rPr>
              <w:t xml:space="preserve">The system shall allow authorized users to tag an account as </w:t>
            </w:r>
            <w:r w:rsidRPr="3C7F3FD4">
              <w:rPr>
                <w:rFonts w:ascii="Arial" w:hAnsi="Arial" w:cs="Arial"/>
                <w:color w:val="2E7D32"/>
              </w:rPr>
              <w:t>Direct-to-Insurer Payment</w:t>
            </w:r>
            <w:r w:rsidRPr="3C7F3FD4">
              <w:rPr>
                <w:rFonts w:ascii="Arial" w:eastAsia="Arial" w:hAnsi="Arial" w:cs="Arial"/>
                <w:color w:val="2E7D32"/>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2E7D32"/>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2E7D32"/>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2E7D32"/>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2E7D32"/>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2E7D32"/>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2E7D32"/>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2E7D32"/>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color w:val="2E7D32"/>
              </w:rPr>
              <w:t>FRRN</w:t>
            </w:r>
            <w:r w:rsidR="04C312B9" w:rsidRPr="3C7F3FD4">
              <w:rPr>
                <w:rFonts w:ascii="Arial" w:hAnsi="Arial" w:cs="Arial"/>
                <w:b/>
                <w:bCs/>
                <w:color w:val="2E7D32"/>
              </w:rPr>
              <w:t xml:space="preserve">.022.02 </w:t>
            </w:r>
            <w:r w:rsidR="04C312B9" w:rsidRPr="3C7F3FD4">
              <w:rPr>
                <w:rFonts w:ascii="Arial" w:hAnsi="Arial" w:cs="Arial"/>
                <w:b/>
                <w:bCs/>
                <w:color w:val="2E7D32"/>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color w:val="2E7D32"/>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color w:val="2E7D32"/>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2E7D32"/>
              </w:rPr>
              <w:t>FRRN</w:t>
            </w:r>
            <w:r w:rsidR="18A24494" w:rsidRPr="3C7F3FD4">
              <w:rPr>
                <w:rFonts w:ascii="Arial" w:hAnsi="Arial" w:cs="Arial"/>
                <w:b/>
                <w:bCs/>
                <w:color w:val="2E7D32"/>
              </w:rPr>
              <w:t>.02</w:t>
            </w:r>
            <w:r w:rsidR="6A738837" w:rsidRPr="3C7F3FD4">
              <w:rPr>
                <w:rFonts w:ascii="Arial" w:hAnsi="Arial" w:cs="Arial"/>
                <w:b/>
                <w:bCs/>
                <w:color w:val="2E7D32"/>
              </w:rPr>
              <w:t>4</w:t>
            </w:r>
            <w:r w:rsidR="18A24494" w:rsidRPr="3C7F3FD4">
              <w:rPr>
                <w:rFonts w:ascii="Arial" w:hAnsi="Arial" w:cs="Arial"/>
                <w:b/>
                <w:bCs/>
                <w:color w:val="2E7D32"/>
              </w:rPr>
              <w:t>.0</w:t>
            </w:r>
            <w:r w:rsidR="3563D567" w:rsidRPr="3C7F3FD4">
              <w:rPr>
                <w:rFonts w:ascii="Arial" w:hAnsi="Arial" w:cs="Arial"/>
                <w:b/>
                <w:bCs/>
                <w:color w:val="2E7D32"/>
              </w:rPr>
              <w:t>1</w:t>
            </w:r>
            <w:r w:rsidR="18A24494" w:rsidRPr="3C7F3FD4">
              <w:rPr>
                <w:rFonts w:ascii="Arial" w:hAnsi="Arial" w:cs="Arial"/>
                <w:b/>
                <w:bCs/>
                <w:color w:val="2E7D32"/>
                <w:lang w:val="en-US"/>
              </w:rPr>
              <w:t xml:space="preserve"> </w:t>
            </w:r>
            <w:r w:rsidR="0A750EC3" w:rsidRPr="3C7F3FD4">
              <w:rPr>
                <w:rFonts w:ascii="Arial" w:hAnsi="Arial" w:cs="Arial"/>
                <w:b/>
                <w:bCs/>
                <w:color w:val="2E7D32"/>
                <w:lang w:val="en-US"/>
              </w:rPr>
              <w:t xml:space="preserve">Generated File </w:t>
            </w:r>
            <w:r w:rsidR="18A24494" w:rsidRPr="3C7F3FD4">
              <w:rPr>
                <w:rFonts w:ascii="Arial" w:hAnsi="Arial" w:cs="Arial"/>
                <w:b/>
                <w:bCs/>
                <w:color w:val="2E7D32"/>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2E7D32"/>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2E7D32"/>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2E7D32"/>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2E7D32"/>
              </w:rPr>
              <w:t>FRRN</w:t>
            </w:r>
            <w:r w:rsidR="00994CD1" w:rsidRPr="3C7F3FD4">
              <w:rPr>
                <w:rFonts w:ascii="Arial" w:hAnsi="Arial" w:cs="Arial"/>
                <w:b/>
                <w:bCs/>
                <w:color w:val="2E7D32"/>
              </w:rPr>
              <w:t>.</w:t>
            </w:r>
            <w:r w:rsidR="10BAC7CB" w:rsidRPr="3C7F3FD4">
              <w:rPr>
                <w:rFonts w:ascii="Arial" w:hAnsi="Arial" w:cs="Arial"/>
                <w:b/>
                <w:bCs/>
                <w:color w:val="2E7D32"/>
              </w:rPr>
              <w:t>2</w:t>
            </w:r>
            <w:r w:rsidR="1ADA547C" w:rsidRPr="3C7F3FD4">
              <w:rPr>
                <w:rFonts w:ascii="Arial" w:hAnsi="Arial" w:cs="Arial"/>
                <w:b/>
                <w:bCs/>
                <w:color w:val="2E7D32"/>
              </w:rPr>
              <w:t>6</w:t>
            </w:r>
            <w:r w:rsidR="00994CD1" w:rsidRPr="3C7F3FD4">
              <w:rPr>
                <w:rFonts w:ascii="Arial" w:hAnsi="Arial" w:cs="Arial"/>
                <w:b/>
                <w:bCs/>
                <w:color w:val="2E7D32"/>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2E7D32"/>
              </w:rPr>
              <w:t xml:space="preserve">The system shall allow the </w:t>
            </w:r>
            <w:r>
              <w:rPr>
                <w:rFonts w:ascii="Arial" w:hAnsi="Arial" w:cs="Arial"/>
                <w:color w:val="2E7D32"/>
              </w:rPr>
              <w:t>authorized users</w:t>
            </w:r>
            <w:r w:rsidRPr="00994CD1">
              <w:rPr>
                <w:rFonts w:ascii="Arial" w:hAnsi="Arial" w:cs="Arial"/>
                <w:color w:val="2E7D32"/>
              </w:rPr>
              <w:t xml:space="preserve"> to view the list of accounts with status “Submitted for Approval”.</w:t>
            </w:r>
            <w:r w:rsidRPr="00994CD1">
              <w:rPr>
                <w:rFonts w:ascii="Arial" w:hAnsi="Arial" w:cs="Arial"/>
                <w:color w:val="2E7D32"/>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2E7D32"/>
              </w:rPr>
              <w:t xml:space="preserve">The </w:t>
            </w:r>
            <w:r w:rsidR="00F77AF3">
              <w:rPr>
                <w:rFonts w:ascii="Arial" w:hAnsi="Arial" w:cs="Arial"/>
                <w:color w:val="2E7D32"/>
              </w:rPr>
              <w:t>user</w:t>
            </w:r>
            <w:r w:rsidRPr="00994CD1">
              <w:rPr>
                <w:rFonts w:ascii="Arial" w:hAnsi="Arial" w:cs="Arial"/>
                <w:color w:val="2E7D32"/>
              </w:rPr>
              <w:t xml:space="preserve"> shall review the correctness and completeness of the account details.</w:t>
            </w:r>
            <w:r w:rsidRPr="00994CD1">
              <w:rPr>
                <w:rFonts w:ascii="Arial" w:hAnsi="Arial" w:cs="Arial"/>
                <w:color w:val="2E7D32"/>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2E7D32"/>
                <w:lang w:val="en-US"/>
              </w:rPr>
              <w:t xml:space="preserve">The system shall provide an </w:t>
            </w:r>
            <w:r w:rsidRPr="003A369D">
              <w:rPr>
                <w:rFonts w:ascii="Arial" w:hAnsi="Arial" w:cs="Arial"/>
                <w:b/>
                <w:bCs/>
                <w:color w:val="2E7D32"/>
                <w:lang w:val="en-US"/>
              </w:rPr>
              <w:t>Approve</w:t>
            </w:r>
            <w:r w:rsidRPr="003A369D">
              <w:rPr>
                <w:rFonts w:ascii="Arial" w:hAnsi="Arial" w:cs="Arial"/>
                <w:color w:val="2E7D32"/>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2E7D32"/>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2E7D32"/>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2E7D32"/>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2E7D32"/>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2E7D32"/>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2E7D32"/>
                <w:lang w:val="en-US"/>
              </w:rPr>
              <w:t>For Non-CBG accounts</w:t>
            </w:r>
            <w:r w:rsidR="00A739A6" w:rsidRPr="3C7F3FD4">
              <w:rPr>
                <w:rFonts w:ascii="Arial" w:hAnsi="Arial" w:cs="Arial"/>
                <w:color w:val="2E7D32"/>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2E7D32"/>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2E7D32"/>
                <w:lang w:val="en-US"/>
              </w:rPr>
              <w:t xml:space="preserve">Error message: </w:t>
            </w:r>
            <w:r w:rsidRPr="00392FA3">
              <w:rPr>
                <w:rFonts w:ascii="Arial" w:hAnsi="Arial" w:cs="Arial"/>
                <w:color w:val="2E7D32"/>
                <w:lang w:val="en-US"/>
              </w:rPr>
              <w:t xml:space="preserve">"Please select the </w:t>
            </w:r>
            <w:r w:rsidR="37F18963" w:rsidRPr="5E9F2FE5">
              <w:rPr>
                <w:rFonts w:ascii="Arial" w:hAnsi="Arial" w:cs="Arial"/>
                <w:color w:val="2E7D32"/>
                <w:lang w:val="en-US"/>
              </w:rPr>
              <w:t>client's</w:t>
            </w:r>
            <w:r w:rsidRPr="00392FA3">
              <w:rPr>
                <w:rFonts w:ascii="Arial" w:hAnsi="Arial" w:cs="Arial"/>
                <w:color w:val="2E7D32"/>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2E7D32"/>
                <w:lang w:val="en-US"/>
              </w:rPr>
              <w:t>If the user selects a payment confirmation, the system shall update the account status to "Submitted for Placement"</w:t>
            </w:r>
            <w:r w:rsidR="0093226B" w:rsidRPr="5B358E25">
              <w:rPr>
                <w:rFonts w:ascii="Arial" w:hAnsi="Arial" w:cs="Arial"/>
                <w:color w:val="2E7D32"/>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2E7D32"/>
                <w:lang w:val="en-US"/>
              </w:rPr>
              <w:t xml:space="preserve">Success Message: </w:t>
            </w:r>
            <w:r w:rsidRPr="0093226B">
              <w:rPr>
                <w:rFonts w:ascii="Arial" w:hAnsi="Arial" w:cs="Arial"/>
                <w:color w:val="2E7D32"/>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2E7D32"/>
              </w:rPr>
              <w:t>Button: Reject</w:t>
            </w:r>
            <w:r w:rsidRPr="00994CD1">
              <w:rPr>
                <w:rFonts w:ascii="Arial" w:hAnsi="Arial" w:cs="Arial"/>
                <w:color w:val="2E7D32"/>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2E7D32"/>
              </w:rPr>
              <w:t>A prompt will be displayed by the system requiring the user to provide a reason or remarks for the rejection.</w:t>
            </w:r>
            <w:r w:rsidRPr="00994CD1">
              <w:rPr>
                <w:rFonts w:ascii="Arial" w:hAnsi="Arial" w:cs="Arial"/>
                <w:color w:val="2E7D32"/>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2E7D32"/>
              </w:rPr>
              <w:t>When clicked, the system shall automatically update the status of the account to “Returned Account”.</w:t>
            </w:r>
            <w:r w:rsidRPr="00994CD1">
              <w:rPr>
                <w:rFonts w:ascii="Arial" w:hAnsi="Arial" w:cs="Arial"/>
                <w:color w:val="2E7D32"/>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2E7D32"/>
                <w:lang w:val="en-US"/>
              </w:rPr>
              <w:t xml:space="preserve">Success message: </w:t>
            </w:r>
            <w:r w:rsidRPr="00F618FF">
              <w:rPr>
                <w:rFonts w:ascii="Arial" w:hAnsi="Arial" w:cs="Arial"/>
                <w:color w:val="2E7D32"/>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2E7D32"/>
                <w:lang w:val="en-US"/>
              </w:rPr>
              <w:t>The system shall r</w:t>
            </w:r>
            <w:r w:rsidRPr="00510972">
              <w:rPr>
                <w:rFonts w:ascii="Arial" w:hAnsi="Arial" w:cs="Arial"/>
                <w:color w:val="2E7D32"/>
                <w:lang w:val="en-US"/>
              </w:rPr>
              <w:t xml:space="preserve">eturn the account to the originating work queue of the authorized user responsible for the </w:t>
            </w:r>
            <w:r>
              <w:rPr>
                <w:rFonts w:ascii="Arial" w:hAnsi="Arial" w:cs="Arial"/>
                <w:color w:val="2E7D32"/>
                <w:lang w:val="en-US"/>
              </w:rPr>
              <w:t xml:space="preserve">renewal </w:t>
            </w:r>
            <w:r w:rsidRPr="00510972">
              <w:rPr>
                <w:rFonts w:ascii="Arial" w:hAnsi="Arial" w:cs="Arial"/>
                <w:color w:val="2E7D32"/>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2E7D32"/>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2E7D32"/>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lastRenderedPageBreak/>
              <w:t>Update the account status to "Submitted for Approval</w:t>
            </w:r>
            <w:r w:rsidRPr="5E9F2FE5">
              <w:rPr>
                <w:rFonts w:ascii="Arial" w:hAnsi="Arial" w:cs="Arial"/>
                <w:color w:val="2E7D32"/>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2E7D32"/>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pPr>
              <w:spacing w:before="20" w:after="20"/>
            </w:pPr>
            <w:r>
              <w:rPr>
                <w:rFonts w:ascii="Arial" w:hAnsi="Arial" w:cs="Arial"/>
                <w:b/>
                <w:bCs/>
                <w:color w:val="2E7D32"/>
              </w:rPr>
              <w:t>FRRN</w:t>
            </w:r>
            <w:r w:rsidR="26AA99CC" w:rsidRPr="3C7F3FD4">
              <w:rPr>
                <w:rFonts w:ascii="Arial" w:hAnsi="Arial" w:cs="Arial"/>
                <w:b/>
                <w:bCs/>
                <w:color w:val="2E7D32"/>
              </w:rPr>
              <w:t xml:space="preserve">.27.01 </w:t>
            </w:r>
            <w:r w:rsidR="7DA381C6" w:rsidRPr="3C7F3FD4">
              <w:rPr>
                <w:rFonts w:ascii="Arial" w:hAnsi="Arial" w:cs="Arial"/>
                <w:b/>
                <w:bCs/>
                <w:color w:val="2E7D32"/>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color w:val="2E7D32"/>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 xml:space="preserve">10 calendar days </w:t>
            </w:r>
            <w:r w:rsidR="005A2EAB">
              <w:rPr>
                <w:rFonts w:ascii="Arial" w:hAnsi="Arial" w:cs="Arial"/>
                <w:color w:val="2E7D32"/>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color w:val="2E7D32"/>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rPr>
              <w:t>File types:</w:t>
            </w:r>
            <w:r w:rsidRPr="3C7F3FD4">
              <w:rPr>
                <w:rFonts w:ascii="Arial" w:hAnsi="Arial" w:cs="Arial"/>
                <w:color w:val="2E7D32"/>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Built-in: contains amortized accounts</w:t>
            </w:r>
            <w:r w:rsidRPr="3C7F3FD4">
              <w:rPr>
                <w:rFonts w:ascii="Arial" w:hAnsi="Arial" w:cs="Arial"/>
                <w:color w:val="2E7D32"/>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_CLPC Billing Built in_ is constant</w:t>
            </w:r>
            <w:r w:rsidRPr="3C7F3FD4">
              <w:rPr>
                <w:rFonts w:ascii="Arial" w:hAnsi="Arial" w:cs="Arial"/>
                <w:color w:val="2E7D32"/>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Non-Built-in: contains non-amortized accounts</w:t>
            </w:r>
            <w:r w:rsidRPr="3C7F3FD4">
              <w:rPr>
                <w:rFonts w:ascii="Arial" w:hAnsi="Arial" w:cs="Arial"/>
                <w:color w:val="2E7D32"/>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&lt;Product Line&gt; is Product</w:t>
            </w:r>
            <w:r w:rsidRPr="3C7F3FD4">
              <w:rPr>
                <w:rFonts w:ascii="Arial" w:hAnsi="Arial" w:cs="Arial"/>
                <w:color w:val="2E7D32"/>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_CLPC Billing NonBuilt in_ is constant</w:t>
            </w:r>
            <w:r w:rsidRPr="3C7F3FD4">
              <w:rPr>
                <w:rFonts w:ascii="Arial" w:hAnsi="Arial" w:cs="Arial"/>
                <w:color w:val="2E7D32"/>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color w:val="2E7D32"/>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color w:val="2E7D32"/>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color w:val="2E7D32"/>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14:paraId="6DA4F035" w14:textId="4EAFD204" w:rsidR="528EDD91" w:rsidRDefault="00917415" w:rsidP="3C7F3FD4">
            <w:pPr>
              <w:spacing w:before="20" w:after="20"/>
            </w:pPr>
            <w:r>
              <w:rPr>
                <w:rFonts w:ascii="Arial" w:hAnsi="Arial" w:cs="Arial"/>
                <w:b/>
                <w:bCs/>
                <w:color w:val="2E7D32"/>
              </w:rPr>
              <w:t>FRRN</w:t>
            </w:r>
            <w:r w:rsidR="528EDD91" w:rsidRPr="3C7F3FD4">
              <w:rPr>
                <w:rFonts w:ascii="Arial" w:hAnsi="Arial" w:cs="Arial"/>
                <w:b/>
                <w:bCs/>
                <w:color w:val="2E7D32"/>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color w:val="2E7D32"/>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 xml:space="preserve">Insurer is tagged as </w:t>
            </w:r>
            <w:r w:rsidRPr="3C7F3FD4">
              <w:rPr>
                <w:rFonts w:ascii="Arial" w:hAnsi="Arial" w:cs="Arial"/>
                <w:b/>
                <w:bCs/>
                <w:color w:val="2E7D32"/>
              </w:rPr>
              <w:t>MFT Enrolled</w:t>
            </w:r>
            <w:r w:rsidRPr="3C7F3FD4">
              <w:rPr>
                <w:rFonts w:ascii="Arial" w:hAnsi="Arial" w:cs="Arial"/>
                <w:color w:val="2E7D32"/>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color w:val="2E7D32"/>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color w:val="2E7D32"/>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color w:val="2E7D32"/>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color w:val="2E7D32"/>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color w:val="2E7D32"/>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color w:val="2E7D32"/>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2E7D32"/>
              </w:rPr>
              <w:t>FRRN</w:t>
            </w:r>
            <w:r w:rsidR="2DE5A2AC" w:rsidRPr="3C7F3FD4">
              <w:rPr>
                <w:rFonts w:ascii="Arial" w:hAnsi="Arial" w:cs="Arial"/>
                <w:b/>
                <w:bCs/>
                <w:color w:val="2E7D32"/>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2E7D32"/>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2E7D32"/>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2E7D32"/>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2E7D32"/>
                <w:lang w:eastAsia="en-US"/>
              </w:rPr>
              <w:t>FRRN</w:t>
            </w:r>
            <w:r w:rsidR="00190B6B" w:rsidRPr="3C7F3FD4">
              <w:rPr>
                <w:rFonts w:ascii="Arial" w:hAnsi="Arial" w:cs="Arial"/>
                <w:b/>
                <w:bCs/>
                <w:color w:val="2E7D32"/>
                <w:lang w:eastAsia="en-US"/>
              </w:rPr>
              <w:t>.0</w:t>
            </w:r>
            <w:r w:rsidR="30341C30" w:rsidRPr="3C7F3FD4">
              <w:rPr>
                <w:rFonts w:ascii="Arial" w:hAnsi="Arial" w:cs="Arial"/>
                <w:b/>
                <w:bCs/>
                <w:color w:val="2E7D32"/>
                <w:lang w:eastAsia="en-US"/>
              </w:rPr>
              <w:t>33</w:t>
            </w:r>
            <w:r w:rsidR="00190B6B" w:rsidRPr="3C7F3FD4">
              <w:rPr>
                <w:rFonts w:ascii="Arial" w:hAnsi="Arial" w:cs="Arial"/>
                <w:b/>
                <w:bCs/>
                <w:color w:val="2E7D32"/>
                <w:lang w:eastAsia="en-US"/>
              </w:rPr>
              <w:t>.01</w:t>
            </w:r>
            <w:r w:rsidR="00D47412" w:rsidRPr="3C7F3FD4">
              <w:rPr>
                <w:rFonts w:ascii="Arial" w:hAnsi="Arial" w:cs="Arial"/>
                <w:b/>
                <w:bCs/>
                <w:color w:val="2E7D32"/>
                <w:lang w:eastAsia="en-US"/>
              </w:rPr>
              <w:t xml:space="preserve"> </w:t>
            </w:r>
            <w:r w:rsidR="7E387922" w:rsidRPr="3C7F3FD4">
              <w:rPr>
                <w:rFonts w:ascii="Arial" w:hAnsi="Arial" w:cs="Arial"/>
                <w:b/>
                <w:bCs/>
                <w:color w:val="2E7D32"/>
                <w:lang w:val="en-US" w:eastAsia="en-US"/>
              </w:rPr>
              <w:t>Receipt</w:t>
            </w:r>
            <w:r w:rsidR="00D47412" w:rsidRPr="3C7F3FD4">
              <w:rPr>
                <w:rFonts w:ascii="Arial" w:hAnsi="Arial" w:cs="Arial"/>
                <w:b/>
                <w:bCs/>
                <w:color w:val="2E7D32"/>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2E7D32"/>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2E7D32"/>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2E7D32"/>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2E7D32"/>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2E7D32"/>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2E7D32"/>
                <w:lang w:val="en-US"/>
              </w:rPr>
              <w:t xml:space="preserve">The system shall automatically match extracted documents using the </w:t>
            </w:r>
            <w:r w:rsidRPr="3C7F3FD4">
              <w:rPr>
                <w:rFonts w:ascii="Arial" w:hAnsi="Arial" w:cs="Arial"/>
                <w:b/>
                <w:bCs/>
                <w:color w:val="2E7D32"/>
                <w:lang w:val="en-US"/>
              </w:rPr>
              <w:t>Reference Number</w:t>
            </w:r>
            <w:r w:rsidRPr="3C7F3FD4">
              <w:rPr>
                <w:rFonts w:ascii="Arial" w:hAnsi="Arial" w:cs="Arial"/>
                <w:color w:val="2E7D32"/>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2E7D32"/>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2E7D32"/>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2E7D32"/>
                <w:lang w:val="en-US"/>
              </w:rPr>
              <w:t xml:space="preserve">Attach the corresponding </w:t>
            </w:r>
            <w:r>
              <w:rPr>
                <w:rFonts w:ascii="Arial" w:hAnsi="Arial" w:cs="Arial"/>
                <w:color w:val="2E7D32"/>
                <w:lang w:val="en-US"/>
              </w:rPr>
              <w:t>E-</w:t>
            </w:r>
            <w:r w:rsidRPr="002B5F12">
              <w:rPr>
                <w:rFonts w:ascii="Arial" w:hAnsi="Arial" w:cs="Arial"/>
                <w:color w:val="2E7D32"/>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2E7D32"/>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2E7D32"/>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2E7D32"/>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2E7D32"/>
              </w:rPr>
              <w:t>FRRN</w:t>
            </w:r>
            <w:r w:rsidR="06B569EF" w:rsidRPr="3C7F3FD4">
              <w:rPr>
                <w:rFonts w:ascii="Arial" w:hAnsi="Arial" w:cs="Arial"/>
                <w:b/>
                <w:bCs/>
                <w:color w:val="2E7D32"/>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2E7D32"/>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2E7D32"/>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2E7D32"/>
              </w:rPr>
              <w:t>FRRN</w:t>
            </w:r>
            <w:r w:rsidR="00355594" w:rsidRPr="57AD56D7">
              <w:rPr>
                <w:rFonts w:ascii="Arial" w:hAnsi="Arial" w:cs="Arial"/>
                <w:b/>
                <w:bCs/>
                <w:color w:val="2E7D32"/>
              </w:rPr>
              <w:t>.</w:t>
            </w:r>
            <w:r w:rsidR="00355594" w:rsidRPr="18CF4360">
              <w:rPr>
                <w:rFonts w:ascii="Arial" w:hAnsi="Arial" w:cs="Arial"/>
                <w:b/>
                <w:bCs/>
                <w:color w:val="2E7D32"/>
              </w:rPr>
              <w:t>03</w:t>
            </w:r>
            <w:r w:rsidR="4EE04CF8" w:rsidRPr="18CF4360">
              <w:rPr>
                <w:rFonts w:ascii="Arial" w:hAnsi="Arial" w:cs="Arial"/>
                <w:b/>
                <w:bCs/>
                <w:color w:val="2E7D32"/>
              </w:rPr>
              <w:t>9</w:t>
            </w:r>
            <w:r w:rsidR="00355594" w:rsidRPr="57AD56D7">
              <w:rPr>
                <w:rFonts w:ascii="Arial" w:hAnsi="Arial" w:cs="Arial"/>
                <w:b/>
                <w:bCs/>
                <w:color w:val="2E7D32"/>
              </w:rPr>
              <w:t xml:space="preserve">.02 </w:t>
            </w:r>
            <w:r w:rsidR="00591D31" w:rsidRPr="57AD56D7">
              <w:rPr>
                <w:rFonts w:ascii="Arial" w:hAnsi="Arial" w:cs="Arial"/>
                <w:b/>
                <w:bCs/>
                <w:color w:val="2E7D32"/>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2E7D32"/>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2E7D32"/>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2E7D32"/>
                <w:lang w:val="en-US"/>
              </w:rPr>
              <w:t xml:space="preserve">KYC </w:t>
            </w:r>
            <w:r w:rsidR="00F77F91">
              <w:rPr>
                <w:rFonts w:ascii="Arial" w:hAnsi="Arial" w:cs="Arial"/>
                <w:color w:val="2E7D32"/>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2E7D32"/>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2E7D32"/>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2E7D32"/>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2E7D32"/>
              </w:rPr>
              <w:t>FRRN</w:t>
            </w:r>
            <w:r w:rsidR="65D4CE8A" w:rsidRPr="18CF4360">
              <w:rPr>
                <w:rFonts w:ascii="Arial" w:hAnsi="Arial" w:cs="Arial"/>
                <w:b/>
                <w:bCs/>
                <w:color w:val="2E7D32"/>
              </w:rPr>
              <w:t xml:space="preserve">.041.01 </w:t>
            </w:r>
            <w:r w:rsidR="4B5F02DE" w:rsidRPr="18CF4360">
              <w:rPr>
                <w:rFonts w:ascii="Arial" w:hAnsi="Arial" w:cs="Arial"/>
                <w:b/>
                <w:bCs/>
                <w:color w:val="2E7D32"/>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2E7D32"/>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2E7D32"/>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2E7D32"/>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2E7D32"/>
              </w:rPr>
              <w:t>FRRN</w:t>
            </w:r>
            <w:r w:rsidR="00236C3E" w:rsidRPr="57AD56D7">
              <w:rPr>
                <w:rFonts w:ascii="Arial" w:hAnsi="Arial" w:cs="Arial"/>
                <w:b/>
                <w:bCs/>
                <w:color w:val="2E7D32"/>
              </w:rPr>
              <w:t>.</w:t>
            </w:r>
            <w:r w:rsidR="00236C3E" w:rsidRPr="18CF4360">
              <w:rPr>
                <w:rFonts w:ascii="Arial" w:hAnsi="Arial" w:cs="Arial"/>
                <w:b/>
                <w:bCs/>
                <w:color w:val="2E7D32"/>
              </w:rPr>
              <w:t>0</w:t>
            </w:r>
            <w:r w:rsidR="2D2B4171" w:rsidRPr="18CF4360">
              <w:rPr>
                <w:rFonts w:ascii="Arial" w:hAnsi="Arial" w:cs="Arial"/>
                <w:b/>
                <w:bCs/>
                <w:color w:val="2E7D32"/>
              </w:rPr>
              <w:t>42</w:t>
            </w:r>
            <w:r w:rsidR="00236C3E" w:rsidRPr="57AD56D7">
              <w:rPr>
                <w:rFonts w:ascii="Arial" w:hAnsi="Arial" w:cs="Arial"/>
                <w:b/>
                <w:bCs/>
                <w:color w:val="2E7D32"/>
              </w:rPr>
              <w:t>.01 </w:t>
            </w:r>
            <w:r w:rsidR="00236C3E" w:rsidRPr="00236C3E">
              <w:rPr>
                <w:rFonts w:ascii="Arial" w:hAnsi="Arial" w:cs="Arial"/>
                <w:b/>
                <w:bCs/>
                <w:color w:val="2E7D32"/>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2E7D32"/>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2E7D32"/>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2E7D32"/>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55"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39"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711"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color w:val="2E7D32"/>
                <w:sz w:val="14"/>
                <w:szCs w:val="14"/>
              </w:rPr>
              <w:t xml:space="preserve">RN-NFR-15</w:t>
            </w:r>
          </w:p>
        </w:tc>
        <w:tc>
          <w:tcPr>
            <w:tcW w:w="1152" w:type="dxa"/>
          </w:tcPr>
          <w:p>
            <w:pPr>
              <w:spacing w:after="20" w:before="20"/>
              <w:rPr>
                <w:rFonts w:ascii="Arial" w:hAnsi="Arial" w:cs="Arial"/>
                <w:sz w:val="14"/>
                <w:szCs w:val="14"/>
              </w:rPr>
            </w:pPr>
            <w:r>
              <w:rPr>
                <w:rFonts w:ascii="Arial" w:hAnsi="Arial" w:cs="Arial"/>
                <w:color w:val="2E7D32"/>
                <w:sz w:val="14"/>
                <w:szCs w:val="14"/>
              </w:rPr>
              <w:t xml:space="preserve">E-mail channel</w:t>
            </w:r>
          </w:p>
        </w:tc>
        <w:tc>
          <w:tcPr>
            <w:tcW w:w="3024" w:type="dxa"/>
          </w:tcPr>
          <w:p>
            <w:pPr>
              <w:spacing w:after="20" w:before="20"/>
              <w:rPr>
                <w:rFonts w:ascii="Arial" w:hAnsi="Arial" w:cs="Arial"/>
                <w:sz w:val="14"/>
                <w:szCs w:val="14"/>
              </w:rPr>
            </w:pPr>
            <w:r>
              <w:rPr>
                <w:rFonts w:ascii="Arial" w:hAnsi="Arial" w:cs="Arial"/>
                <w:color w:val="2E7D32"/>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color w:val="2E7D32"/>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color w:val="2E7D32"/>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4"/>
                <w:szCs w:val="14"/>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4"/>
                <w:szCs w:val="14"/>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4"/>
                <w:szCs w:val="14"/>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80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Raise</w:t>
            </w:r>
          </w:p>
        </w:tc>
        <w:tc>
          <w:tcPr>
            <w:tcW w:w="4536"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808"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92"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Assess</w:t>
            </w:r>
          </w:p>
        </w:tc>
        <w:tc>
          <w:tcPr>
            <w:tcW w:w="4536"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808"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92"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Approve</w:t>
            </w:r>
          </w:p>
        </w:tc>
        <w:tc>
          <w:tcPr>
            <w:tcW w:w="4536"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808"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92"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Schedule</w:t>
            </w:r>
          </w:p>
        </w:tc>
        <w:tc>
          <w:tcPr>
            <w:tcW w:w="4536"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808" w:type="dxa"/>
          </w:tcPr>
          <w:p>
            <w:pPr>
              <w:keepNext/>
              <w:spacing w:after="20" w:before="20"/>
              <w:rPr>
                <w:rFonts w:ascii="Arial" w:hAnsi="Arial" w:cs="Arial"/>
                <w:sz w:val="16"/>
                <w:szCs w:val="16"/>
              </w:rPr>
            </w:pPr>
            <w:r>
              <w:rPr>
                <w:rFonts w:ascii="Arial" w:hAnsi="Arial" w:cs="Arial"/>
                <w:sz w:val="16"/>
                <w:szCs w:val="16"/>
              </w:rPr>
              <w:t xml:space="preserve">PMO</w:t>
            </w:r>
          </w:p>
        </w:tc>
        <w:tc>
          <w:tcPr>
            <w:tcW w:w="2592"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Test</w:t>
            </w:r>
          </w:p>
        </w:tc>
        <w:tc>
          <w:tcPr>
            <w:tcW w:w="4536"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808"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92"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Close</w:t>
            </w:r>
          </w:p>
        </w:tc>
        <w:tc>
          <w:tcPr>
            <w:tcW w:w="4536"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808" w:type="dxa"/>
          </w:tcPr>
          <w:p>
            <w:pPr>
              <w:spacing w:after="20" w:before="20"/>
              <w:rPr>
                <w:rFonts w:ascii="Arial" w:hAnsi="Arial" w:cs="Arial"/>
                <w:sz w:val="16"/>
                <w:szCs w:val="16"/>
              </w:rPr>
            </w:pPr>
            <w:r>
              <w:rPr>
                <w:rFonts w:ascii="Arial" w:hAnsi="Arial" w:cs="Arial"/>
                <w:sz w:val="16"/>
                <w:szCs w:val="16"/>
              </w:rPr>
              <w:t xml:space="preserve">System Analyst</w:t>
            </w:r>
          </w:p>
        </w:tc>
        <w:tc>
          <w:tcPr>
            <w:tcW w:w="2592"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Green points are offered by the system out of the box and cost nothing; they stay in the Change Request Register as candidates for BDOI's confirmation of scope. Orange points need a change request; their effort, by activity, is in the CR Effort Estimate workbook (one man-day = 8 hours, estimate within plus or minus 20 percent).</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440"/>
        <w:gridCol w:w="2736"/>
        <w:gridCol w:w="1872"/>
        <w:gridCol w:w="3024"/>
        <w:gridCol w:w="1007"/>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the system</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G-01</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FRRN.010.01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Automatic assignment by team and sub-team (Annex F)</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BRD 1.005, 3.005 (the Team Lead assigns)</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Automatic assignment of the market segments chosen to the Account Officer of the team with the fewest open accounts; a setting of Renewal Setup</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CR-RN-001</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G-02</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FRRN.011.03</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New Business account from an accepted referral</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BRD 1.006 (transfer of the account)</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Referral to another unit, accepted by the receiving unit, which opens the New Business account; transfer or referral is a setting</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CR-RN-002</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G-03</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FRRN.002.02.01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Marketing dashboard metrics (budget, pipeline, closing ratio, top deals, persistency, product mix)</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BRD 1.009.7 (accounts per officer)</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Renewal Dashboard with the budget, pipeline, closing ratio, top deals, persistency and product mix tiles and their drill-downs</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CR-RN-003</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G-04</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FRRN.003.02</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Processing dashboard cards and drill-downs</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BRD 3.010.7</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Processing Dashboard with the placement, booking, policy and releasing cards and drill-downs</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CR-RN-004</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G-05</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FRRN.042.01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Annual renewal budget maintenance, upload, inquiry and history</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BRD 1.009.7 (dashboard)</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Renewal Budget screen: maintenance with four eyes, upload, inquiry and history</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CR-RN-005</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G-06</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FRRN.039.02</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KYC monitoring statuses, history and dashboard</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BRRN.028 (KYC flag)</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KYC Monitoring screen with statuses, history and counts, and the daily KYC run</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CR-RN-006</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G-07</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FRRN.012.06</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BDOFC and SOLD uploads and matching</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BRRN.029</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Upload of the BDOFC and SOLD reports in the Upload Centre with matching on the PN and the sanitation rule</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CR-RN-007</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G-08</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FRRN.009.01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CBG Motor automatic update (depreciation, BI / PD tiers, Auto Promo to Regular)</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BRRN.039</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Automatic update of CBG Motor renewals with the depreciation and tier tables maintained by the Business Administrator</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CR-RN-008</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G-09</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FRRN.014.03</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Insurer allocation on the renewal account by percentage or amount</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G-10</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FRRN.014.05</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Direct-to-Insurer Payment approval (blanket or Unit Head)</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Direct-to-Insurer Payment tag with blanket or Unit Head approval in the Approvals screen</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G-11</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FRRN.036.03</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Hold cover automation (CBG at 75 days, extensions, CBG Home on the 15th)</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BRRN.042</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Hold Cover Requests with the automatic CBG requests, extensions and insurer batches</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CR-RN-011</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G-12</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FRRN.022.02</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Delivery through CCM</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BRRN.010 (sending)</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CCM channel with delivery statuses in the Channel Monitor; the e-mail of the system as the fall-back. The connection details come from BDO ITG</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CR-RN-012</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G-13</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FRRN.29.03</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MFT exchange with insurers</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MFT inbox and per-insurer delivery of placement, hold cover and e-policy files</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CR-RN-013</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G-14</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FRRN.033.01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E-policy batch processing (summary file and ZIP)</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E-policy screen: receipt of the summary file and ZIP, matching and batch sending</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CR-RN-014</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G-15</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FRRN.29.05</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Placement turnaround time (business days, With Issue, resolution date)</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Placement tracking with the TAT in business days, With Issue and resolution date</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CR-RN-015</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G-16</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FRRN.26.01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Second approval after acceptance</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 (no delay)</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Submitted for Approval before placement, a setting (Annex AO C23)</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CR-RN-016</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G-17</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FRRN.013.02</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Nine insurer disposition values</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BRRN.035 (three outcomes)</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BDOI's nine values mapped to the three outcomes of the BRD in the insurer disposition list</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CR-RN-017</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G-18</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FRRN.006.01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Duplicate criteria per line and segment (Annex B)</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BRRN.005</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Duplicate check of the sanitation with criteria per line and segment</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CR-RN-018</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G-19</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FRRN.022.01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BRRN.010</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BDOI's Renewal Advice templates per line; notice set from the days before expiry (setting, Annex AO C13)</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G-20</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FRRN.024.01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Password convention of protected files</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BRRN.010 (encrypt and add password)</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BDOI's password convention, a setting (Annex AO C16)</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CR-RN-020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G-21</w:t>
            </w:r>
          </w:p>
        </w:tc>
        <w:tc>
          <w:tcPr>
            <w:tcW w:w="14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FRRN.27.01</w:t>
            </w:r>
          </w:p>
        </w:tc>
        <w:tc>
          <w:tcPr>
            <w:tcW w:w="2736"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Scheduled CLPC billing (CBG Home, FFY Motor) and the e-mail of Annex S</w:t>
            </w:r>
          </w:p>
        </w:tc>
        <w:tc>
          <w:tcPr>
            <w:tcW w:w="187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3024"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Billing Files screen and the scheduled billing runs</w:t>
            </w:r>
          </w:p>
        </w:tc>
        <w:tc>
          <w:tcPr>
            <w:tcW w:w="100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CR-RN-021</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G-22</w:t>
            </w:r>
          </w:p>
        </w:tc>
        <w:tc>
          <w:tcPr>
            <w:tcW w:w="14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FRRN.041.01</w:t>
            </w:r>
          </w:p>
        </w:tc>
        <w:tc>
          <w:tcPr>
            <w:tcW w:w="2736"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RMU Account Officer maintenance</w:t>
            </w:r>
          </w:p>
        </w:tc>
        <w:tc>
          <w:tcPr>
            <w:tcW w:w="187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BRRN.029</w:t>
            </w:r>
          </w:p>
        </w:tc>
        <w:tc>
          <w:tcPr>
            <w:tcW w:w="3024"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RMU Officers screen</w:t>
            </w:r>
          </w:p>
        </w:tc>
        <w:tc>
          <w:tcPr>
            <w:tcW w:w="100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CR-RN-022</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G-23</w:t>
            </w:r>
          </w:p>
        </w:tc>
        <w:tc>
          <w:tcPr>
            <w:tcW w:w="14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FRRN.043.01</w:t>
            </w:r>
          </w:p>
        </w:tc>
        <w:tc>
          <w:tcPr>
            <w:tcW w:w="2736"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87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BRRN.021</w:t>
            </w:r>
          </w:p>
        </w:tc>
        <w:tc>
          <w:tcPr>
            <w:tcW w:w="302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Logs screen with filters and export</w:t>
            </w:r>
          </w:p>
        </w:tc>
        <w:tc>
          <w:tcPr>
            <w:tcW w:w="10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152"/>
        <w:gridCol w:w="1296"/>
        <w:gridCol w:w="2304"/>
        <w:gridCol w:w="864"/>
        <w:gridCol w:w="3456"/>
        <w:gridCol w:w="864"/>
        <w:gridCol w:w="864"/>
      </w:tblGrid>
      <w:tr>
        <w:trPr>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c>
          <w:tcPr>
            <w:tcW w:w="115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CR-RN-024</w:t>
            </w:r>
          </w:p>
        </w:tc>
        <w:tc>
          <w:tcPr>
            <w:tcW w:w="1296"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230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in BRD</w:t>
            </w:r>
          </w:p>
        </w:tc>
        <w:tc>
          <w:tcPr>
            <w:tcW w:w="3456"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The BRD has no accessibility requirement; BDO's policies and the programme register expect screens usable with the keyboard and a screen reader, with sufficient contrast. A conformance claim needs a check of every Renewal screen and the corrections it finds.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20.0 man-days (1 change request). The requirements of other BRDs of the programme that also apply to Renewal (Annex AJ, RN-NFR-17 and RN-NFR-18) are BRD requirements and are not change requests of Renewal.</w:t>
      </w: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7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6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19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8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6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w:t>
            </w:r>
          </w:p>
        </w:tc>
        <w:tc>
          <w:tcPr>
            <w:tcW w:w="1763" w:type="dxa"/>
          </w:tcPr>
          <w:p>
            <w:pPr>
              <w:spacing w:after="20" w:before="20"/>
              <w:rPr>
                <w:rFonts w:ascii="Arial" w:hAnsi="Arial" w:cs="Arial"/>
                <w:sz w:val="16"/>
                <w:szCs w:val="16"/>
              </w:rPr>
            </w:pPr>
            <w:r>
              <w:rPr>
                <w:rFonts w:ascii="Arial" w:hAnsi="Arial" w:cs="Arial"/>
                <w:sz w:val="16"/>
                <w:szCs w:val="16"/>
              </w:rPr>
              <w:t xml:space="preserve">Scope</w:t>
            </w:r>
          </w:p>
        </w:tc>
        <w:tc>
          <w:tcPr>
            <w:tcW w:w="2644"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195"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w:t>
            </w:r>
          </w:p>
        </w:tc>
        <w:tc>
          <w:tcPr>
            <w:tcW w:w="1763" w:type="dxa"/>
          </w:tcPr>
          <w:p>
            <w:pPr>
              <w:spacing w:after="20" w:before="20"/>
              <w:rPr>
                <w:rFonts w:ascii="Arial" w:hAnsi="Arial" w:cs="Arial"/>
                <w:sz w:val="16"/>
                <w:szCs w:val="16"/>
              </w:rPr>
            </w:pPr>
            <w:r>
              <w:rPr>
                <w:rFonts w:ascii="Arial" w:hAnsi="Arial" w:cs="Arial"/>
                <w:sz w:val="16"/>
                <w:szCs w:val="16"/>
              </w:rPr>
              <w:t xml:space="preserve">BRD coverage</w:t>
            </w:r>
          </w:p>
        </w:tc>
        <w:tc>
          <w:tcPr>
            <w:tcW w:w="2644"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195"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83"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3</w:t>
            </w:r>
          </w:p>
        </w:tc>
        <w:tc>
          <w:tcPr>
            <w:tcW w:w="1763" w:type="dxa"/>
          </w:tcPr>
          <w:p>
            <w:pPr>
              <w:spacing w:after="20" w:before="20"/>
              <w:rPr>
                <w:rFonts w:ascii="Arial" w:hAnsi="Arial" w:cs="Arial"/>
                <w:sz w:val="16"/>
                <w:szCs w:val="16"/>
              </w:rPr>
            </w:pPr>
            <w:r>
              <w:rPr>
                <w:rFonts w:ascii="Arial" w:hAnsi="Arial" w:cs="Arial"/>
                <w:sz w:val="16"/>
                <w:szCs w:val="16"/>
              </w:rPr>
              <w:t xml:space="preserve">Decisions</w:t>
            </w:r>
          </w:p>
        </w:tc>
        <w:tc>
          <w:tcPr>
            <w:tcW w:w="2644" w:type="dxa"/>
          </w:tcPr>
          <w:p>
            <w:pPr>
              <w:spacing w:after="20" w:before="20"/>
              <w:rPr>
                <w:rFonts w:ascii="Arial" w:hAnsi="Arial" w:cs="Arial"/>
                <w:sz w:val="16"/>
                <w:szCs w:val="16"/>
              </w:rPr>
            </w:pPr>
            <w:r>
              <w:rPr>
                <w:rFonts w:ascii="Arial" w:hAnsi="Arial" w:cs="Arial"/>
                <w:sz w:val="16"/>
                <w:szCs w:val="16"/>
              </w:rPr>
              <w:t xml:space="preserve">Annex AO</w:t>
            </w:r>
          </w:p>
        </w:tc>
        <w:tc>
          <w:tcPr>
            <w:tcW w:w="3195"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4</w:t>
            </w:r>
          </w:p>
        </w:tc>
        <w:tc>
          <w:tcPr>
            <w:tcW w:w="1763" w:type="dxa"/>
          </w:tcPr>
          <w:p>
            <w:pPr>
              <w:spacing w:after="20" w:before="20"/>
              <w:rPr>
                <w:rFonts w:ascii="Arial" w:hAnsi="Arial" w:cs="Arial"/>
                <w:sz w:val="16"/>
                <w:szCs w:val="16"/>
              </w:rPr>
            </w:pPr>
            <w:r>
              <w:rPr>
                <w:rFonts w:ascii="Arial" w:hAnsi="Arial" w:cs="Arial"/>
                <w:sz w:val="16"/>
                <w:szCs w:val="16"/>
              </w:rPr>
              <w:t xml:space="preserve">Open questions</w:t>
            </w:r>
          </w:p>
        </w:tc>
        <w:tc>
          <w:tcPr>
            <w:tcW w:w="2644" w:type="dxa"/>
          </w:tcPr>
          <w:p>
            <w:pPr>
              <w:spacing w:after="20" w:before="20"/>
              <w:rPr>
                <w:rFonts w:ascii="Arial" w:hAnsi="Arial" w:cs="Arial"/>
                <w:sz w:val="16"/>
                <w:szCs w:val="16"/>
              </w:rPr>
            </w:pPr>
            <w:r>
              <w:rPr>
                <w:rFonts w:ascii="Arial" w:hAnsi="Arial" w:cs="Arial"/>
                <w:sz w:val="16"/>
                <w:szCs w:val="16"/>
              </w:rPr>
              <w:t xml:space="preserve">Annex AN</w:t>
            </w:r>
          </w:p>
        </w:tc>
        <w:tc>
          <w:tcPr>
            <w:tcW w:w="3195"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5</w:t>
            </w:r>
          </w:p>
        </w:tc>
        <w:tc>
          <w:tcPr>
            <w:tcW w:w="1763" w:type="dxa"/>
          </w:tcPr>
          <w:p>
            <w:pPr>
              <w:spacing w:after="20" w:before="20"/>
              <w:rPr>
                <w:rFonts w:ascii="Arial" w:hAnsi="Arial" w:cs="Arial"/>
                <w:sz w:val="16"/>
                <w:szCs w:val="16"/>
              </w:rPr>
            </w:pPr>
            <w:r>
              <w:rPr>
                <w:rFonts w:ascii="Arial" w:hAnsi="Arial" w:cs="Arial"/>
                <w:sz w:val="16"/>
                <w:szCs w:val="16"/>
              </w:rPr>
              <w:t xml:space="preserve">RMEL and extraction</w:t>
            </w:r>
          </w:p>
        </w:tc>
        <w:tc>
          <w:tcPr>
            <w:tcW w:w="2644" w:type="dxa"/>
          </w:tcPr>
          <w:p>
            <w:pPr>
              <w:spacing w:after="20" w:before="20"/>
              <w:rPr>
                <w:rFonts w:ascii="Arial" w:hAnsi="Arial" w:cs="Arial"/>
                <w:sz w:val="16"/>
                <w:szCs w:val="16"/>
              </w:rPr>
            </w:pPr>
            <w:r>
              <w:rPr>
                <w:rFonts w:ascii="Arial" w:hAnsi="Arial" w:cs="Arial"/>
                <w:sz w:val="16"/>
                <w:szCs w:val="16"/>
              </w:rPr>
              <w:t xml:space="preserve">FRRN.004; FRRN.045</w:t>
            </w:r>
          </w:p>
        </w:tc>
        <w:tc>
          <w:tcPr>
            <w:tcW w:w="3195"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6</w:t>
            </w:r>
          </w:p>
        </w:tc>
        <w:tc>
          <w:tcPr>
            <w:tcW w:w="1763"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644"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195"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7</w:t>
            </w:r>
          </w:p>
        </w:tc>
        <w:tc>
          <w:tcPr>
            <w:tcW w:w="1763"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644" w:type="dxa"/>
          </w:tcPr>
          <w:p>
            <w:pPr>
              <w:spacing w:after="20" w:before="20"/>
              <w:rPr>
                <w:rFonts w:ascii="Arial" w:hAnsi="Arial" w:cs="Arial"/>
                <w:sz w:val="16"/>
                <w:szCs w:val="16"/>
              </w:rPr>
            </w:pPr>
            <w:r>
              <w:rPr>
                <w:rFonts w:ascii="Arial" w:hAnsi="Arial" w:cs="Arial"/>
                <w:sz w:val="16"/>
                <w:szCs w:val="16"/>
              </w:rPr>
              <w:t xml:space="preserve">FRRN.010-011</w:t>
            </w:r>
          </w:p>
        </w:tc>
        <w:tc>
          <w:tcPr>
            <w:tcW w:w="3195"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8</w:t>
            </w:r>
          </w:p>
        </w:tc>
        <w:tc>
          <w:tcPr>
            <w:tcW w:w="1763" w:type="dxa"/>
          </w:tcPr>
          <w:p>
            <w:pPr>
              <w:spacing w:after="20" w:before="20"/>
              <w:rPr>
                <w:rFonts w:ascii="Arial" w:hAnsi="Arial" w:cs="Arial"/>
                <w:sz w:val="16"/>
                <w:szCs w:val="16"/>
              </w:rPr>
            </w:pPr>
            <w:r>
              <w:rPr>
                <w:rFonts w:ascii="Arial" w:hAnsi="Arial" w:cs="Arial"/>
                <w:sz w:val="16"/>
                <w:szCs w:val="16"/>
              </w:rPr>
              <w:t xml:space="preserve">LAMD and RMU</w:t>
            </w:r>
          </w:p>
        </w:tc>
        <w:tc>
          <w:tcPr>
            <w:tcW w:w="2644" w:type="dxa"/>
          </w:tcPr>
          <w:p>
            <w:pPr>
              <w:spacing w:after="20" w:before="20"/>
              <w:rPr>
                <w:rFonts w:ascii="Arial" w:hAnsi="Arial" w:cs="Arial"/>
                <w:sz w:val="16"/>
                <w:szCs w:val="16"/>
              </w:rPr>
            </w:pPr>
            <w:r>
              <w:rPr>
                <w:rFonts w:ascii="Arial" w:hAnsi="Arial" w:cs="Arial"/>
                <w:sz w:val="16"/>
                <w:szCs w:val="16"/>
              </w:rPr>
              <w:t xml:space="preserve">FRRN.012, 041; Annex G</w:t>
            </w:r>
          </w:p>
        </w:tc>
        <w:tc>
          <w:tcPr>
            <w:tcW w:w="3195"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83" w:type="dxa"/>
          </w:tcPr>
          <w:p>
            <w:pPr>
              <w:spacing w:after="20" w:before="20"/>
              <w:rPr>
                <w:rFonts w:ascii="Arial" w:hAnsi="Arial" w:cs="Arial"/>
                <w:sz w:val="16"/>
                <w:szCs w:val="16"/>
              </w:rPr>
            </w:pPr>
            <w:r>
              <w:rPr>
                <w:rFonts w:ascii="Arial" w:hAnsi="Arial" w:cs="Arial"/>
                <w:sz w:val="16"/>
                <w:szCs w:val="16"/>
              </w:rPr>
              <w:t xml:space="preserve">LAMD;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9</w:t>
            </w:r>
          </w:p>
        </w:tc>
        <w:tc>
          <w:tcPr>
            <w:tcW w:w="1763"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644" w:type="dxa"/>
          </w:tcPr>
          <w:p>
            <w:pPr>
              <w:spacing w:after="20" w:before="20"/>
              <w:rPr>
                <w:rFonts w:ascii="Arial" w:hAnsi="Arial" w:cs="Arial"/>
                <w:sz w:val="16"/>
                <w:szCs w:val="16"/>
              </w:rPr>
            </w:pPr>
            <w:r>
              <w:rPr>
                <w:rFonts w:ascii="Arial" w:hAnsi="Arial" w:cs="Arial"/>
                <w:sz w:val="16"/>
                <w:szCs w:val="16"/>
              </w:rPr>
              <w:t xml:space="preserve">FRRN.013, 021; Annex H</w:t>
            </w:r>
          </w:p>
        </w:tc>
        <w:tc>
          <w:tcPr>
            <w:tcW w:w="3195"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10</w:t>
            </w:r>
          </w:p>
        </w:tc>
        <w:tc>
          <w:tcPr>
            <w:tcW w:w="1763"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644" w:type="dxa"/>
          </w:tcPr>
          <w:p>
            <w:pPr>
              <w:spacing w:after="20" w:before="20"/>
              <w:rPr>
                <w:rFonts w:ascii="Arial" w:hAnsi="Arial" w:cs="Arial"/>
                <w:sz w:val="16"/>
                <w:szCs w:val="16"/>
              </w:rPr>
            </w:pPr>
            <w:r>
              <w:rPr>
                <w:rFonts w:ascii="Arial" w:hAnsi="Arial" w:cs="Arial"/>
                <w:sz w:val="16"/>
                <w:szCs w:val="16"/>
              </w:rPr>
              <w:t xml:space="preserve">FRRN.014-016, 020</w:t>
            </w:r>
          </w:p>
        </w:tc>
        <w:tc>
          <w:tcPr>
            <w:tcW w:w="3195"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11</w:t>
            </w:r>
          </w:p>
        </w:tc>
        <w:tc>
          <w:tcPr>
            <w:tcW w:w="1763" w:type="dxa"/>
          </w:tcPr>
          <w:p>
            <w:pPr>
              <w:spacing w:after="20" w:before="20"/>
              <w:rPr>
                <w:rFonts w:ascii="Arial" w:hAnsi="Arial" w:cs="Arial"/>
                <w:sz w:val="16"/>
                <w:szCs w:val="16"/>
              </w:rPr>
            </w:pPr>
            <w:r>
              <w:rPr>
                <w:rFonts w:ascii="Arial" w:hAnsi="Arial" w:cs="Arial"/>
                <w:sz w:val="16"/>
                <w:szCs w:val="16"/>
              </w:rPr>
              <w:t xml:space="preserve">Proposals and TSU</w:t>
            </w:r>
          </w:p>
        </w:tc>
        <w:tc>
          <w:tcPr>
            <w:tcW w:w="2644" w:type="dxa"/>
          </w:tcPr>
          <w:p>
            <w:pPr>
              <w:spacing w:after="20" w:before="20"/>
              <w:rPr>
                <w:rFonts w:ascii="Arial" w:hAnsi="Arial" w:cs="Arial"/>
                <w:sz w:val="16"/>
                <w:szCs w:val="16"/>
              </w:rPr>
            </w:pPr>
            <w:r>
              <w:rPr>
                <w:rFonts w:ascii="Arial" w:hAnsi="Arial" w:cs="Arial"/>
                <w:sz w:val="16"/>
                <w:szCs w:val="16"/>
              </w:rPr>
              <w:t xml:space="preserve">FRRN.017-019</w:t>
            </w:r>
          </w:p>
        </w:tc>
        <w:tc>
          <w:tcPr>
            <w:tcW w:w="3195"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83" w:type="dxa"/>
          </w:tcPr>
          <w:p>
            <w:pPr>
              <w:spacing w:after="20" w:before="20"/>
              <w:rPr>
                <w:rFonts w:ascii="Arial" w:hAnsi="Arial" w:cs="Arial"/>
                <w:sz w:val="16"/>
                <w:szCs w:val="16"/>
              </w:rPr>
            </w:pPr>
            <w:r>
              <w:rPr>
                <w:rFonts w:ascii="Arial" w:hAnsi="Arial" w:cs="Arial"/>
                <w:sz w:val="16"/>
                <w:szCs w:val="16"/>
              </w:rPr>
              <w:t xml:space="preserve">Marketing; TSU</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12</w:t>
            </w:r>
          </w:p>
        </w:tc>
        <w:tc>
          <w:tcPr>
            <w:tcW w:w="1763"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644"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195"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13</w:t>
            </w:r>
          </w:p>
        </w:tc>
        <w:tc>
          <w:tcPr>
            <w:tcW w:w="1763"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644" w:type="dxa"/>
          </w:tcPr>
          <w:p>
            <w:pPr>
              <w:spacing w:after="20" w:before="20"/>
              <w:rPr>
                <w:rFonts w:ascii="Arial" w:hAnsi="Arial" w:cs="Arial"/>
                <w:sz w:val="16"/>
                <w:szCs w:val="16"/>
              </w:rPr>
            </w:pPr>
            <w:r>
              <w:rPr>
                <w:rFonts w:ascii="Arial" w:hAnsi="Arial" w:cs="Arial"/>
                <w:sz w:val="16"/>
                <w:szCs w:val="16"/>
              </w:rPr>
              <w:t xml:space="preserve">FRRN.025-031</w:t>
            </w:r>
          </w:p>
        </w:tc>
        <w:tc>
          <w:tcPr>
            <w:tcW w:w="3195"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14</w:t>
            </w:r>
          </w:p>
        </w:tc>
        <w:tc>
          <w:tcPr>
            <w:tcW w:w="1763"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644" w:type="dxa"/>
          </w:tcPr>
          <w:p>
            <w:pPr>
              <w:spacing w:after="20" w:before="20"/>
              <w:rPr>
                <w:rFonts w:ascii="Arial" w:hAnsi="Arial" w:cs="Arial"/>
                <w:sz w:val="16"/>
                <w:szCs w:val="16"/>
              </w:rPr>
            </w:pPr>
            <w:r>
              <w:rPr>
                <w:rFonts w:ascii="Arial" w:hAnsi="Arial" w:cs="Arial"/>
                <w:sz w:val="16"/>
                <w:szCs w:val="16"/>
              </w:rPr>
              <w:t xml:space="preserve">FRRN.032-033</w:t>
            </w:r>
          </w:p>
        </w:tc>
        <w:tc>
          <w:tcPr>
            <w:tcW w:w="3195"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15</w:t>
            </w:r>
          </w:p>
        </w:tc>
        <w:tc>
          <w:tcPr>
            <w:tcW w:w="1763"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644" w:type="dxa"/>
          </w:tcPr>
          <w:p>
            <w:pPr>
              <w:spacing w:after="20" w:before="20"/>
              <w:rPr>
                <w:rFonts w:ascii="Arial" w:hAnsi="Arial" w:cs="Arial"/>
                <w:sz w:val="16"/>
                <w:szCs w:val="16"/>
              </w:rPr>
            </w:pPr>
            <w:r>
              <w:rPr>
                <w:rFonts w:ascii="Arial" w:hAnsi="Arial" w:cs="Arial"/>
                <w:sz w:val="16"/>
                <w:szCs w:val="16"/>
              </w:rPr>
              <w:t xml:space="preserve">FRRN.034-035</w:t>
            </w:r>
          </w:p>
        </w:tc>
        <w:tc>
          <w:tcPr>
            <w:tcW w:w="3195"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16</w:t>
            </w:r>
          </w:p>
        </w:tc>
        <w:tc>
          <w:tcPr>
            <w:tcW w:w="1763" w:type="dxa"/>
          </w:tcPr>
          <w:p>
            <w:pPr>
              <w:spacing w:after="20" w:before="20"/>
              <w:rPr>
                <w:rFonts w:ascii="Arial" w:hAnsi="Arial" w:cs="Arial"/>
                <w:sz w:val="16"/>
                <w:szCs w:val="16"/>
              </w:rPr>
            </w:pPr>
            <w:r>
              <w:rPr>
                <w:rFonts w:ascii="Arial" w:hAnsi="Arial" w:cs="Arial"/>
                <w:sz w:val="16"/>
                <w:szCs w:val="16"/>
              </w:rPr>
              <w:t xml:space="preserve">Hold cover</w:t>
            </w:r>
          </w:p>
        </w:tc>
        <w:tc>
          <w:tcPr>
            <w:tcW w:w="2644" w:type="dxa"/>
          </w:tcPr>
          <w:p>
            <w:pPr>
              <w:spacing w:after="20" w:before="20"/>
              <w:rPr>
                <w:rFonts w:ascii="Arial" w:hAnsi="Arial" w:cs="Arial"/>
                <w:sz w:val="16"/>
                <w:szCs w:val="16"/>
              </w:rPr>
            </w:pPr>
            <w:r>
              <w:rPr>
                <w:rFonts w:ascii="Arial" w:hAnsi="Arial" w:cs="Arial"/>
                <w:sz w:val="16"/>
                <w:szCs w:val="16"/>
              </w:rPr>
              <w:t xml:space="preserve">FRRN.036-037</w:t>
            </w:r>
          </w:p>
        </w:tc>
        <w:tc>
          <w:tcPr>
            <w:tcW w:w="3195"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83" w:type="dxa"/>
          </w:tcPr>
          <w:p>
            <w:pPr>
              <w:spacing w:after="20" w:before="20"/>
              <w:rPr>
                <w:rFonts w:ascii="Arial" w:hAnsi="Arial" w:cs="Arial"/>
                <w:sz w:val="16"/>
                <w:szCs w:val="16"/>
              </w:rPr>
            </w:pPr>
            <w:r>
              <w:rPr>
                <w:rFonts w:ascii="Arial" w:hAnsi="Arial" w:cs="Arial"/>
                <w:sz w:val="16"/>
                <w:szCs w:val="16"/>
              </w:rPr>
              <w:t xml:space="preserve">Processing Head;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17</w:t>
            </w:r>
          </w:p>
        </w:tc>
        <w:tc>
          <w:tcPr>
            <w:tcW w:w="1763"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644" w:type="dxa"/>
          </w:tcPr>
          <w:p>
            <w:pPr>
              <w:spacing w:after="20" w:before="20"/>
              <w:rPr>
                <w:rFonts w:ascii="Arial" w:hAnsi="Arial" w:cs="Arial"/>
                <w:sz w:val="16"/>
                <w:szCs w:val="16"/>
              </w:rPr>
            </w:pPr>
            <w:r>
              <w:rPr>
                <w:rFonts w:ascii="Arial" w:hAnsi="Arial" w:cs="Arial"/>
                <w:sz w:val="16"/>
                <w:szCs w:val="16"/>
              </w:rPr>
              <w:t xml:space="preserve">FRRN.038-042, 049</w:t>
            </w:r>
          </w:p>
        </w:tc>
        <w:tc>
          <w:tcPr>
            <w:tcW w:w="3195"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83"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18</w:t>
            </w:r>
          </w:p>
        </w:tc>
        <w:tc>
          <w:tcPr>
            <w:tcW w:w="1763"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644" w:type="dxa"/>
          </w:tcPr>
          <w:p>
            <w:pPr>
              <w:spacing w:after="20" w:before="20"/>
              <w:rPr>
                <w:rFonts w:ascii="Arial" w:hAnsi="Arial" w:cs="Arial"/>
                <w:sz w:val="16"/>
                <w:szCs w:val="16"/>
              </w:rPr>
            </w:pPr>
            <w:r>
              <w:rPr>
                <w:rFonts w:ascii="Arial" w:hAnsi="Arial" w:cs="Arial"/>
                <w:sz w:val="16"/>
                <w:szCs w:val="16"/>
              </w:rPr>
              <w:t xml:space="preserve">Annex AD</w:t>
            </w:r>
          </w:p>
        </w:tc>
        <w:tc>
          <w:tcPr>
            <w:tcW w:w="3195"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19</w:t>
            </w:r>
          </w:p>
        </w:tc>
        <w:tc>
          <w:tcPr>
            <w:tcW w:w="1763"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644" w:type="dxa"/>
          </w:tcPr>
          <w:p>
            <w:pPr>
              <w:spacing w:after="20" w:before="20"/>
              <w:rPr>
                <w:rFonts w:ascii="Arial" w:hAnsi="Arial" w:cs="Arial"/>
                <w:sz w:val="16"/>
                <w:szCs w:val="16"/>
              </w:rPr>
            </w:pPr>
            <w:r>
              <w:rPr>
                <w:rFonts w:ascii="Arial" w:hAnsi="Arial" w:cs="Arial"/>
                <w:sz w:val="16"/>
                <w:szCs w:val="16"/>
              </w:rPr>
              <w:t xml:space="preserve">Annex AE</w:t>
            </w:r>
          </w:p>
        </w:tc>
        <w:tc>
          <w:tcPr>
            <w:tcW w:w="3195"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20</w:t>
            </w:r>
          </w:p>
        </w:tc>
        <w:tc>
          <w:tcPr>
            <w:tcW w:w="1763"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644" w:type="dxa"/>
          </w:tcPr>
          <w:p>
            <w:pPr>
              <w:spacing w:after="20" w:before="20"/>
              <w:rPr>
                <w:rFonts w:ascii="Arial" w:hAnsi="Arial" w:cs="Arial"/>
                <w:sz w:val="16"/>
                <w:szCs w:val="16"/>
              </w:rPr>
            </w:pPr>
            <w:r>
              <w:rPr>
                <w:rFonts w:ascii="Arial" w:hAnsi="Arial" w:cs="Arial"/>
                <w:sz w:val="16"/>
                <w:szCs w:val="16"/>
              </w:rPr>
              <w:t xml:space="preserve">Annex AF</w:t>
            </w:r>
          </w:p>
        </w:tc>
        <w:tc>
          <w:tcPr>
            <w:tcW w:w="3195"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21</w:t>
            </w:r>
          </w:p>
        </w:tc>
        <w:tc>
          <w:tcPr>
            <w:tcW w:w="1763"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644" w:type="dxa"/>
          </w:tcPr>
          <w:p>
            <w:pPr>
              <w:spacing w:after="20" w:before="20"/>
              <w:rPr>
                <w:rFonts w:ascii="Arial" w:hAnsi="Arial" w:cs="Arial"/>
                <w:sz w:val="16"/>
                <w:szCs w:val="16"/>
              </w:rPr>
            </w:pPr>
            <w:r>
              <w:rPr>
                <w:rFonts w:ascii="Arial" w:hAnsi="Arial" w:cs="Arial"/>
                <w:sz w:val="16"/>
                <w:szCs w:val="16"/>
              </w:rPr>
              <w:t xml:space="preserve">Annex AG</w:t>
            </w:r>
          </w:p>
        </w:tc>
        <w:tc>
          <w:tcPr>
            <w:tcW w:w="3195"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22</w:t>
            </w:r>
          </w:p>
        </w:tc>
        <w:tc>
          <w:tcPr>
            <w:tcW w:w="1763" w:type="dxa"/>
          </w:tcPr>
          <w:p>
            <w:pPr>
              <w:spacing w:after="20" w:before="20"/>
              <w:rPr>
                <w:rFonts w:ascii="Arial" w:hAnsi="Arial" w:cs="Arial"/>
                <w:sz w:val="16"/>
                <w:szCs w:val="16"/>
              </w:rPr>
            </w:pPr>
            <w:r>
              <w:rPr>
                <w:rFonts w:ascii="Arial" w:hAnsi="Arial" w:cs="Arial"/>
                <w:sz w:val="16"/>
                <w:szCs w:val="16"/>
              </w:rPr>
              <w:t xml:space="preserve">Integrations</w:t>
            </w:r>
          </w:p>
        </w:tc>
        <w:tc>
          <w:tcPr>
            <w:tcW w:w="2644" w:type="dxa"/>
          </w:tcPr>
          <w:p>
            <w:pPr>
              <w:spacing w:after="20" w:before="20"/>
              <w:rPr>
                <w:rFonts w:ascii="Arial" w:hAnsi="Arial" w:cs="Arial"/>
                <w:sz w:val="16"/>
                <w:szCs w:val="16"/>
              </w:rPr>
            </w:pPr>
            <w:r>
              <w:rPr>
                <w:rFonts w:ascii="Arial" w:hAnsi="Arial" w:cs="Arial"/>
                <w:sz w:val="16"/>
                <w:szCs w:val="16"/>
              </w:rPr>
              <w:t xml:space="preserve">Annex AH</w:t>
            </w:r>
          </w:p>
        </w:tc>
        <w:tc>
          <w:tcPr>
            <w:tcW w:w="3195"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23</w:t>
            </w:r>
          </w:p>
        </w:tc>
        <w:tc>
          <w:tcPr>
            <w:tcW w:w="1763" w:type="dxa"/>
          </w:tcPr>
          <w:p>
            <w:pPr>
              <w:spacing w:after="20" w:before="20"/>
              <w:rPr>
                <w:rFonts w:ascii="Arial" w:hAnsi="Arial" w:cs="Arial"/>
                <w:sz w:val="16"/>
                <w:szCs w:val="16"/>
              </w:rPr>
            </w:pPr>
            <w:r>
              <w:rPr>
                <w:rFonts w:ascii="Arial" w:hAnsi="Arial" w:cs="Arial"/>
                <w:sz w:val="16"/>
                <w:szCs w:val="16"/>
              </w:rPr>
              <w:t xml:space="preserve">Non-functional</w:t>
            </w:r>
          </w:p>
        </w:tc>
        <w:tc>
          <w:tcPr>
            <w:tcW w:w="2644" w:type="dxa"/>
          </w:tcPr>
          <w:p>
            <w:pPr>
              <w:spacing w:after="20" w:before="20"/>
              <w:rPr>
                <w:rFonts w:ascii="Arial" w:hAnsi="Arial" w:cs="Arial"/>
                <w:sz w:val="16"/>
                <w:szCs w:val="16"/>
              </w:rPr>
            </w:pPr>
            <w:r>
              <w:rPr>
                <w:rFonts w:ascii="Arial" w:hAnsi="Arial" w:cs="Arial"/>
                <w:sz w:val="16"/>
                <w:szCs w:val="16"/>
              </w:rPr>
              <w:t xml:space="preserve">Annex AJ</w:t>
            </w:r>
          </w:p>
        </w:tc>
        <w:tc>
          <w:tcPr>
            <w:tcW w:w="3195"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24</w:t>
            </w:r>
          </w:p>
        </w:tc>
        <w:tc>
          <w:tcPr>
            <w:tcW w:w="1763" w:type="dxa"/>
          </w:tcPr>
          <w:p>
            <w:pPr>
              <w:spacing w:after="20" w:before="20"/>
              <w:rPr>
                <w:rFonts w:ascii="Arial" w:hAnsi="Arial" w:cs="Arial"/>
                <w:sz w:val="16"/>
                <w:szCs w:val="16"/>
              </w:rPr>
            </w:pPr>
            <w:r>
              <w:rPr>
                <w:rFonts w:ascii="Arial" w:hAnsi="Arial" w:cs="Arial"/>
                <w:sz w:val="16"/>
                <w:szCs w:val="16"/>
              </w:rPr>
              <w:t xml:space="preserve">Data set-up</w:t>
            </w:r>
          </w:p>
        </w:tc>
        <w:tc>
          <w:tcPr>
            <w:tcW w:w="2644" w:type="dxa"/>
          </w:tcPr>
          <w:p>
            <w:pPr>
              <w:spacing w:after="20" w:before="20"/>
              <w:rPr>
                <w:rFonts w:ascii="Arial" w:hAnsi="Arial" w:cs="Arial"/>
                <w:sz w:val="16"/>
                <w:szCs w:val="16"/>
              </w:rPr>
            </w:pPr>
            <w:r>
              <w:rPr>
                <w:rFonts w:ascii="Arial" w:hAnsi="Arial" w:cs="Arial"/>
                <w:sz w:val="16"/>
                <w:szCs w:val="16"/>
              </w:rPr>
              <w:t xml:space="preserve">Annex AK</w:t>
            </w:r>
          </w:p>
        </w:tc>
        <w:tc>
          <w:tcPr>
            <w:tcW w:w="3195"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25</w:t>
            </w:r>
          </w:p>
        </w:tc>
        <w:tc>
          <w:tcPr>
            <w:tcW w:w="1763"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195"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83"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26</w:t>
            </w:r>
          </w:p>
        </w:tc>
        <w:tc>
          <w:tcPr>
            <w:tcW w:w="1763"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AP</w:t>
            </w:r>
          </w:p>
        </w:tc>
        <w:tc>
          <w:tcPr>
            <w:tcW w:w="3195"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83"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27</w:t>
            </w:r>
          </w:p>
        </w:tc>
        <w:tc>
          <w:tcPr>
            <w:tcW w:w="1763" w:type="dxa"/>
          </w:tcPr>
          <w:p>
            <w:pPr>
              <w:spacing w:after="20" w:before="20"/>
              <w:rPr>
                <w:rFonts w:ascii="Arial" w:hAnsi="Arial" w:cs="Arial"/>
                <w:sz w:val="16"/>
                <w:szCs w:val="16"/>
              </w:rPr>
            </w:pPr>
            <w:r>
              <w:rPr>
                <w:rFonts w:ascii="Arial" w:hAnsi="Arial" w:cs="Arial"/>
                <w:sz w:val="16"/>
                <w:szCs w:val="16"/>
              </w:rPr>
              <w:t xml:space="preserve">Signatories</w:t>
            </w:r>
          </w:p>
        </w:tc>
        <w:tc>
          <w:tcPr>
            <w:tcW w:w="2644"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195"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83" w:type="dxa"/>
          </w:tcPr>
          <w:p>
            <w:pPr>
              <w:spacing w:after="20" w:before="20"/>
              <w:rPr>
                <w:rFonts w:ascii="Arial" w:hAnsi="Arial" w:cs="Arial"/>
                <w:sz w:val="16"/>
                <w:szCs w:val="16"/>
              </w:rPr>
            </w:pPr>
            <w:r>
              <w:rPr>
                <w:rFonts w:ascii="Arial" w:hAnsi="Arial" w:cs="Arial"/>
                <w:sz w:val="16"/>
                <w:szCs w:val="16"/>
              </w:rPr>
              <w:t xml:space="preserve">Project Owner; PMO</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