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START HERE GUIDE</w:t>
      </w:r>
    </w:p>
    <w:p>
      <w:pPr>
        <w:spacing w:after="80" w:line="240" w:lineRule="auto"/>
      </w:pPr>
      <w:r>
        <w:rPr>
          <w:b/>
          <w:color w:val="004EA8"/>
          <w:sz w:val="56"/>
        </w:rPr>
        <w:t>Start Here</w:t>
      </w:r>
    </w:p>
    <w:p>
      <w:pPr>
        <w:spacing w:after="40"/>
      </w:pPr>
      <w:r>
        <w:rPr>
          <w:color w:val="2E2E2E"/>
          <w:sz w:val="28"/>
        </w:rPr>
        <w:t>Guide to the BRD-05 Accounting, Disbursement and ACSL Sign-off Pack, release set v2.1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BIBS-SH-BRD-05</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BRD-5 Accounting, Disbursement and ACSL business sign-off pack (replaces the cover note of the two FRS volumes)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2.1</w:t>
            </w:r>
          </w:p>
        </w:tc>
        <w:tc>
          <w:tcPr>
            <w:tcW w:type="dxa" w:w="1360"/>
            <w:tcMar>
              <w:top w:w="50" w:type="dxa"/>
              <w:bottom w:w="50" w:type="dxa"/>
              <w:left w:w="90" w:type="dxa"/>
              <w:right w:w="90" w:type="dxa"/>
            </w:tcMar>
            <w:shd w:val="clear" w:color="auto" w:fill="E5F5FF"/>
          </w:tcPr>
          <w:p>
            <w:pPr>
              <w:pStyle w:val="BDOITable"/>
            </w:pPr>
            <w:r>
              <w:rPr>
                <w:sz w:val="18"/>
              </w:rPr>
              <w:t>08 Oct 2026</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p>
        </w:tc>
        <w:tc>
          <w:tcPr>
            <w:tcW w:type="dxa" w:w="2606"/>
            <w:tcMar>
              <w:top w:w="50" w:type="dxa"/>
              <w:bottom w:w="50" w:type="dxa"/>
              <w:left w:w="90" w:type="dxa"/>
              <w:right w:w="90" w:type="dxa"/>
            </w:tcMar>
            <w:shd w:val="clear" w:color="auto" w:fill="E5F5FF"/>
          </w:tcPr>
          <w:p>
            <w:pPr>
              <w:pStyle w:val="BDOITable"/>
            </w:pPr>
            <w:r>
              <w:rPr>
                <w:sz w:val="18"/>
              </w:rPr>
              <w:t>Re-based on the WS Addendum v04152026 (minutes of 4-May-2026); user-story view and storyboard index added to the FRS; CPC2 by the incentive tag of the booked transaction; granularity of the incentive service invoice for confirmation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Ronald Allan E. De Leon, VP, Head -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Iris S. Marquez (FRBS and ACSL), Rodrigo R. Dela Cruz (Disbursement), Perjelyn Joy R. Gutierrez (Comptrollership and Operations), Shellah Marie C. Miranda (Marketing, Processing and Collections), Roderick L. Lim (Institutional Banking, SM and BDO Accounts)</w:t>
            </w:r>
          </w:p>
        </w:tc>
        <w:tc>
          <w:tcPr>
            <w:tcW w:type="dxa" w:w="2266"/>
            <w:tcMar>
              <w:top w:w="50" w:type="dxa"/>
              <w:bottom w:w="50" w:type="dxa"/>
              <w:left w:w="90" w:type="dxa"/>
              <w:right w:w="90" w:type="dxa"/>
            </w:tcMar>
            <w:shd w:val="clear" w:color="auto" w:fill="E5F5FF"/>
          </w:tcPr>
          <w:p>
            <w:pPr>
              <w:pStyle w:val="BDOITable"/>
            </w:pPr>
            <w:r>
              <w:rPr>
                <w:sz w:val="18"/>
              </w:rPr>
              <w:t>Approvers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Sign-off of the rows of their units</w:t>
            </w:r>
          </w:p>
        </w:tc>
      </w:tr>
      <w:tr>
        <w:trPr>
          <w:cantSplit w:val="true"/>
        </w:trPr>
        <w:tc>
          <w:tcPr>
            <w:tcW w:type="dxa" w:w="2606"/>
            <w:tcMar>
              <w:top w:w="50" w:type="dxa"/>
              <w:bottom w:w="50" w:type="dxa"/>
              <w:left w:w="90" w:type="dxa"/>
              <w:right w:w="90" w:type="dxa"/>
            </w:tcMar>
          </w:tcPr>
          <w:p>
            <w:pPr>
              <w:pStyle w:val="BDOITable"/>
            </w:pPr>
            <w:r>
              <w:rPr>
                <w:sz w:val="18"/>
              </w:rPr>
              <w:t>Freddie A. Atanque and Jennifer T. Lugtu, Product Owners - Comptrollership - ACSL</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ACSL, Disbursement and Accounting screens and rows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(Ma. Fides Rivera, Ruby Evangelista, Darryl Castillo, Rhommel Mark Galler)</w:t>
            </w:r>
          </w:p>
        </w:tc>
        <w:tc>
          <w:tcPr>
            <w:tcW w:type="dxa" w:w="2266"/>
            <w:tcMar>
              <w:top w:w="50" w:type="dxa"/>
              <w:bottom w:w="50" w:type="dxa"/>
              <w:left w:w="90" w:type="dxa"/>
              <w:right w:w="90" w:type="dxa"/>
            </w:tcMar>
            <w:shd w:val="clear" w:color="auto" w:fill="E5F5FF"/>
          </w:tcPr>
          <w:p>
            <w:pPr>
              <w:pStyle w:val="BDOITable"/>
            </w:pPr>
            <w:r>
              <w:rPr>
                <w:sz w:val="18"/>
              </w:rPr>
              <w:t>Input providers and 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Marketing request screens and of the non-functional requirements</w:t>
            </w:r>
          </w:p>
        </w:tc>
      </w:tr>
      <w:tr>
        <w:trPr>
          <w:cantSplit w:val="true"/>
        </w:trPr>
        <w:tc>
          <w:tcPr>
            <w:tcW w:type="dxa" w:w="2606"/>
            <w:tcMar>
              <w:top w:w="50" w:type="dxa"/>
              <w:bottom w:w="50" w:type="dxa"/>
              <w:left w:w="90" w:type="dxa"/>
              <w:right w:w="90" w:type="dxa"/>
            </w:tcMar>
          </w:tcPr>
          <w:p>
            <w:pPr>
              <w:pStyle w:val="BDOITable"/>
            </w:pPr>
            <w:r>
              <w:rPr>
                <w:sz w:val="18"/>
              </w:rPr>
              <w:t>GL team, Disbursement, ACSL, Marketing requesters and approvers, Human Resources, Cashiering and Remittance</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their screens and rows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Information Technology Group</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Scheduled runs, files, bank files and forms, access; the Technical Specification</w:t>
            </w:r>
          </w:p>
        </w:tc>
      </w:tr>
      <w:tr>
        <w:trPr>
          <w:cantSplit w:val="true"/>
        </w:trPr>
        <w:tc>
          <w:tcPr>
            <w:tcW w:type="dxa" w:w="2606"/>
            <w:tcMar>
              <w:top w:w="50" w:type="dxa"/>
              <w:bottom w:w="50" w:type="dxa"/>
              <w:left w:w="90" w:type="dxa"/>
              <w:right w:w="90" w:type="dxa"/>
            </w:tcMar>
          </w:tcPr>
          <w:p>
            <w:pPr>
              <w:pStyle w:val="BDOITable"/>
            </w:pPr>
            <w:r>
              <w:rPr>
                <w:sz w:val="18"/>
              </w:rPr>
              <w:t>Dan Ace R. Cauton, Roda Lyn D. Gallardo, Zean C. Ibay and Jane Tagle, ESG - 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and sign-off coordination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Sessions, answers, revisions, change requests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1 What this pack is for</w:t>
        </w:r>
        <w:r>
          <w:t xml:space="preserve">	</w:t>
        </w:r>
        <w:r>
          <w:t xml:space="preserve">5</w:t>
        </w:r>
      </w:hyperlink>
    </w:p>
    <w:p>
      <w:pPr>
        <w:pStyle w:val="toc1"/>
      </w:pPr>
      <w:hyperlink w:anchor="_Toc000102" w:history="1">
        <w:r>
          <w:t xml:space="preserve">2 The pack at a glance</w:t>
        </w:r>
        <w:r>
          <w:t xml:space="preserve">	</w:t>
        </w:r>
        <w:r>
          <w:t xml:space="preserve">5</w:t>
        </w:r>
      </w:hyperlink>
    </w:p>
    <w:p>
      <w:pPr>
        <w:pStyle w:val="toc1"/>
      </w:pPr>
      <w:hyperlink w:anchor="_Toc000103" w:history="1">
        <w:r>
          <w:t xml:space="preserve">3 Where to start</w:t>
        </w:r>
        <w:r>
          <w:t xml:space="preserve">	</w:t>
        </w:r>
        <w:r>
          <w:t xml:space="preserve">6</w:t>
        </w:r>
      </w:hyperlink>
    </w:p>
    <w:p>
      <w:pPr>
        <w:pStyle w:val="toc1"/>
      </w:pPr>
      <w:hyperlink w:anchor="_Toc000104" w:history="1">
        <w:r>
          <w:t xml:space="preserve">4 Steps up to closure</w:t>
        </w:r>
        <w:r>
          <w:t xml:space="preserve">	</w:t>
        </w:r>
        <w:r>
          <w:t xml:space="preserve">7</w:t>
        </w:r>
      </w:hyperlink>
    </w:p>
    <w:p>
      <w:pPr>
        <w:pStyle w:val="toc1"/>
      </w:pPr>
      <w:hyperlink w:anchor="_Toc000105" w:history="1">
        <w:r>
          <w:t xml:space="preserve">5 Who signs what</w:t>
        </w:r>
        <w:r>
          <w:t xml:space="preserve">	</w:t>
        </w:r>
        <w:r>
          <w:t xml:space="preserve">8</w:t>
        </w:r>
      </w:hyperlink>
    </w:p>
    <w:p>
      <w:pPr>
        <w:pStyle w:val="toc1"/>
      </w:pPr>
      <w:hyperlink w:anchor="_Toc000106" w:history="1">
        <w:r>
          <w:t xml:space="preserve">6 Change control after sign-off</w:t>
        </w:r>
        <w:r>
          <w:t xml:space="preserve">	</w:t>
        </w:r>
        <w:r>
          <w:t xml:space="preserve">10</w:t>
        </w:r>
      </w:hyperlink>
      <w:r>
        <w:fldChar w:fldCharType="end"/>
      </w:r>
    </w:p>
    <w:p>
      <w:pPr>
        <w:pStyle w:val="Heading1"/>
        <w:pageBreakBefore/>
        <w:pBdr>
          <w:bottom w:val="single" w:sz="4" w:space="4" w:color="99C1E7"/>
        </w:pBdr>
      </w:pPr>
      <w:bookmarkStart w:id="101" w:name="_Toc000101"/>
      <w:r>
        <w:rPr/>
        <w:t>1 What this pack is for</w:t>
      </w:r>
      <w:bookmarkEnd w:id="101"/>
    </w:p>
    <w:p>
      <w:r>
        <w:rPr/>
        <w:t>This pack shows the proposed BRD-5 Accounting, Disbursement and ACSL of BIBS, screen by screen, so that Comptrollership (the GL team of FRBS, Disbursement and ACSL), Marketing and Human Resources can confirm what they will get and sign it off: the journals, the chart of accounts and the rates, the month-end and year-end closing, the bank reconciliation, the report pack, the account schedules, the service fee and the BIR outputs; the payees, the payment requests and the disbursement vouchers with their entries and instruments, the end of day, the account funding, the bank accounts and checks; the Marketing refund, cash-advance and check-cancellation requests; the insurer statements of account, the GL-SL reconciliation, the ACSL cases and the correction entries. The two volumes of the FRS of version 1.0 are combined into one FRS. Signing freezes the content, the screens and the navigation of the set; a later change goes through the Change Management Register with its mandays. The screenshots use fictitious seed data only.</w:t>
      </w:r>
    </w:p>
    <w:p>
      <w:r>
        <w:rPr>
          <w:b/>
        </w:rPr>
        <w:t>What changed in v2.1.</w:t>
      </w:r>
      <w:r>
        <w:rPr/>
        <w:t xml:space="preserve"> BDOI issued the BRD-5 pack again on 8 October 2026 with the minutes of the walkthrough of the Workshop Addendum with IT on 4 May 2026 in front of the unchanged BRD. This version applies them: the CPC2 incentive and its report follow the incentive tag stored on the booked transaction; the early-incentive service invoice is issued per remittance batch with one line per qualified transaction, and BDOI is asked to confirm the granularity and the trigger (CLR-DS-17); every BRD page cited moves by one page. The FRS now ends with a user-story view of every BRD requirement and a storyboard index of the walkthrough frames. Chapter 21 lists the new points for confirmation, CLR-DS-16 to CLR-DS-18.</w:t>
      </w:r>
    </w:p>
    <w:p>
      <w:pPr>
        <w:pStyle w:val="Heading1"/>
        <w:pBdr>
          <w:bottom w:val="single" w:sz="4" w:space="4" w:color="99C1E7"/>
        </w:pBdr>
      </w:pPr>
      <w:bookmarkStart w:id="102" w:name="_Toc000102"/>
      <w:r>
        <w:rPr/>
        <w:t>2 The pack at a glance</w:t>
      </w:r>
      <w:bookmarkEnd w:id="102"/>
    </w:p>
    <w:p>
      <w:r>
        <w:rPr/>
        <w:t>The files are numbered so that they sort in reading order in the folder BRD-05_Accounting_Disbursement_ACSL of Drop 1.</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00_BIBS_StartHere_BRD-05_Accounting_Disbursement_ACSL_v2.1.docx</w:t>
            </w:r>
          </w:p>
        </w:tc>
        <w:tc>
          <w:tcPr>
            <w:tcW w:type="dxa" w:w="3626"/>
            <w:tcMar>
              <w:top w:w="50" w:type="dxa"/>
              <w:bottom w:w="50" w:type="dxa"/>
              <w:left w:w="90" w:type="dxa"/>
              <w:right w:w="90" w:type="dxa"/>
            </w:tcMar>
          </w:tcPr>
          <w:p>
            <w:pPr>
              <w:pStyle w:val="BDOITable"/>
            </w:pPr>
            <w:r>
              <w:rPr>
                <w:sz w:val="15"/>
              </w:rPr>
              <w:t>Start Here: the map of the pack, who reads what, who signs what, the steps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01_BIBS_GuideDeck_BRD-05_Accounting_Disbursement_ACSL_v2.1.pptx</w:t>
            </w:r>
          </w:p>
        </w:tc>
        <w:tc>
          <w:tcPr>
            <w:tcW w:type="dxa" w:w="3626"/>
            <w:tcMar>
              <w:top w:w="50" w:type="dxa"/>
              <w:bottom w:w="50" w:type="dxa"/>
              <w:left w:w="90" w:type="dxa"/>
              <w:right w:w="90" w:type="dxa"/>
            </w:tcMar>
            <w:shd w:val="clear" w:color="auto" w:fill="E5F5FF"/>
          </w:tcPr>
          <w:p>
            <w:pPr>
              <w:pStyle w:val="BDOITable"/>
            </w:pPr>
            <w:r>
              <w:rPr>
                <w:sz w:val="15"/>
              </w:rPr>
              <w:t>Sign-off Pack Guide: purpose, approach, the module at a glance, caveats and impacts on other modules, entry and exit criteria, change control</w:t>
            </w:r>
          </w:p>
        </w:tc>
        <w:tc>
          <w:tcPr>
            <w:tcW w:type="dxa" w:w="1926"/>
            <w:tcMar>
              <w:top w:w="50" w:type="dxa"/>
              <w:bottom w:w="50" w:type="dxa"/>
              <w:left w:w="90" w:type="dxa"/>
              <w:right w:w="90" w:type="dxa"/>
            </w:tcMar>
            <w:shd w:val="clear" w:color="auto" w:fill="E5F5FF"/>
          </w:tcPr>
          <w:p>
            <w:pPr>
              <w:pStyle w:val="BDOITable"/>
            </w:pPr>
            <w:r>
              <w:rPr>
                <w:sz w:val="15"/>
              </w:rPr>
              <w:t>Head of Comptrollership, the product owners of FRBS, Disbursement, ACSL and Marketing;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02_BIBS_FRS_BRD-05_Accounting_Disbursement_ACSL_v2.1.docx</w:t>
            </w:r>
          </w:p>
        </w:tc>
        <w:tc>
          <w:tcPr>
            <w:tcW w:type="dxa" w:w="3626"/>
            <w:tcMar>
              <w:top w:w="50" w:type="dxa"/>
              <w:bottom w:w="50" w:type="dxa"/>
              <w:left w:w="90" w:type="dxa"/>
              <w:right w:w="90" w:type="dxa"/>
            </w:tcMar>
          </w:tcPr>
          <w:p>
            <w:pPr>
              <w:pStyle w:val="BDOITable"/>
            </w:pPr>
            <w:r>
              <w:rPr>
                <w:sz w:val="15"/>
              </w:rPr>
              <w:t>Functional Requirements Specification v2.1: requirements of the two former volumes in one document, re-based on the BRD with the minutes of 4-May-2026, with a user-story view and a storyboard index, navigation, 51 screen specifications with screenshots, five walkthroughs, messages, notifications, documents, upload templates, cross-BRD contract</w:t>
            </w:r>
          </w:p>
        </w:tc>
        <w:tc>
          <w:tcPr>
            <w:tcW w:type="dxa" w:w="1926"/>
            <w:tcMar>
              <w:top w:w="50" w:type="dxa"/>
              <w:bottom w:w="50" w:type="dxa"/>
              <w:left w:w="90" w:type="dxa"/>
              <w:right w:w="90" w:type="dxa"/>
            </w:tcMar>
          </w:tcPr>
          <w:p>
            <w:pPr>
              <w:pStyle w:val="BDOITable"/>
            </w:pPr>
            <w:r>
              <w:rPr>
                <w:sz w:val="15"/>
              </w:rPr>
              <w:t>The GL team, Disbursement, ACSL and the Marketing requesters for their sections; Operations and BDOI IT for their chapters</w:t>
            </w:r>
          </w:p>
        </w:tc>
        <w:tc>
          <w:tcPr>
            <w:tcW w:type="dxa" w:w="1473"/>
            <w:tcMar>
              <w:top w:w="50" w:type="dxa"/>
              <w:bottom w:w="50" w:type="dxa"/>
              <w:left w:w="90" w:type="dxa"/>
              <w:right w:w="90" w:type="dxa"/>
            </w:tcMar>
          </w:tcPr>
          <w:p>
            <w:pPr>
              <w:pStyle w:val="BDOITable"/>
            </w:pPr>
            <w:r>
              <w:rPr>
                <w:sz w:val="15"/>
              </w:rPr>
              <w:t>During the review, with the SIT walkthroughs</w:t>
            </w:r>
          </w:p>
        </w:tc>
      </w:tr>
      <w:tr>
        <w:tc>
          <w:tcPr>
            <w:tcW w:type="dxa" w:w="2946"/>
            <w:tcMar>
              <w:top w:w="50" w:type="dxa"/>
              <w:bottom w:w="50" w:type="dxa"/>
              <w:left w:w="90" w:type="dxa"/>
              <w:right w:w="90" w:type="dxa"/>
            </w:tcMar>
            <w:shd w:val="clear" w:color="auto" w:fill="E5F5FF"/>
          </w:tcPr>
          <w:p>
            <w:pPr>
              <w:pStyle w:val="BDOITable"/>
            </w:pPr>
            <w:r>
              <w:rPr>
                <w:sz w:val="15"/>
              </w:rPr>
              <w:t>03_BIBS_Signoff_BRD-05_Accounting_Disbursement_ACSL_v2.1.xlsx</w:t>
            </w:r>
          </w:p>
        </w:tc>
        <w:tc>
          <w:tcPr>
            <w:tcW w:type="dxa" w:w="3626"/>
            <w:tcMar>
              <w:top w:w="50" w:type="dxa"/>
              <w:bottom w:w="50" w:type="dxa"/>
              <w:left w:w="90" w:type="dxa"/>
              <w:right w:w="90" w:type="dxa"/>
            </w:tcMar>
            <w:shd w:val="clear" w:color="auto" w:fill="E5F5FF"/>
          </w:tcPr>
          <w:p>
            <w:pPr>
              <w:pStyle w:val="BDOITable"/>
            </w:pPr>
            <w:r>
              <w:rPr>
                <w:sz w:val="15"/>
              </w:rPr>
              <w:t>Sign-off workbook: one row per screen, field, rule and message with the BU review columns;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approvers sign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04_BIBS_TestPlan_BRD-05_Accounting_Disbursement_ACSL_v2.1.xlsx</w:t>
            </w:r>
          </w:p>
        </w:tc>
        <w:tc>
          <w:tcPr>
            <w:tcW w:type="dxa" w:w="3626"/>
            <w:tcMar>
              <w:top w:w="50" w:type="dxa"/>
              <w:bottom w:w="50" w:type="dxa"/>
              <w:left w:w="90" w:type="dxa"/>
              <w:right w:w="90" w:type="dxa"/>
            </w:tcMar>
          </w:tcPr>
          <w:p>
            <w:pPr>
              <w:pStyle w:val="BDOITable"/>
            </w:pPr>
            <w:r>
              <w:rPr>
                <w:sz w:val="15"/>
              </w:rPr>
              <w:t>Test plan workbook: the test cases of both former volumes traced to the FRs and to the screens, including one screen case and one message case per screen</w:t>
            </w:r>
          </w:p>
        </w:tc>
        <w:tc>
          <w:tcPr>
            <w:tcW w:type="dxa" w:w="1926"/>
            <w:tcMar>
              <w:top w:w="50" w:type="dxa"/>
              <w:bottom w:w="50" w:type="dxa"/>
              <w:left w:w="90" w:type="dxa"/>
              <w:right w:w="90" w:type="dxa"/>
            </w:tcMar>
          </w:tcPr>
          <w:p>
            <w:pPr>
              <w:pStyle w:val="BDOITable"/>
            </w:pPr>
            <w:r>
              <w:rPr>
                <w:sz w:val="15"/>
              </w:rPr>
              <w:t>Business users who will run UAT; BDOI IT</w:t>
            </w:r>
          </w:p>
        </w:tc>
        <w:tc>
          <w:tcPr>
            <w:tcW w:type="dxa" w:w="1473"/>
            <w:tcMar>
              <w:top w:w="50" w:type="dxa"/>
              <w:bottom w:w="50" w:type="dxa"/>
              <w:left w:w="90" w:type="dxa"/>
              <w:right w:w="90" w:type="dxa"/>
            </w:tcMar>
          </w:tcPr>
          <w:p>
            <w:pPr>
              <w:pStyle w:val="BDOITable"/>
            </w:pPr>
            <w:r>
              <w:rPr>
                <w:sz w:val="15"/>
              </w:rPr>
              <w:t>After the screens; used again in SIT and UAT</w:t>
            </w:r>
          </w:p>
        </w:tc>
      </w:tr>
      <w:tr>
        <w:tc>
          <w:tcPr>
            <w:tcW w:type="dxa" w:w="2946"/>
            <w:tcMar>
              <w:top w:w="50" w:type="dxa"/>
              <w:bottom w:w="50" w:type="dxa"/>
              <w:left w:w="90" w:type="dxa"/>
              <w:right w:w="90" w:type="dxa"/>
            </w:tcMar>
            <w:shd w:val="clear" w:color="auto" w:fill="E5F5FF"/>
          </w:tcPr>
          <w:p>
            <w:pPr>
              <w:pStyle w:val="BDOITable"/>
            </w:pPr>
            <w:r>
              <w:rPr>
                <w:sz w:val="15"/>
              </w:rPr>
              <w:t>05_BIBS_TestPlan_BRD-05_Accounting_Disbursement_ACSL_Summary_v2.1.docx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Product owners,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r>
        <w:tc>
          <w:tcPr>
            <w:tcW w:type="dxa" w:w="2946"/>
            <w:tcMar>
              <w:top w:w="50" w:type="dxa"/>
              <w:bottom w:w="50" w:type="dxa"/>
              <w:left w:w="90" w:type="dxa"/>
              <w:right w:w="90" w:type="dxa"/>
            </w:tcMar>
          </w:tcPr>
          <w:p>
            <w:pPr>
              <w:pStyle w:val="BDOITable"/>
            </w:pPr>
            <w:r>
              <w:rPr>
                <w:sz w:val="15"/>
              </w:rPr>
              <w:t>07_BIBS_UXDeck_BRD-05_Accounting_Disbursement_ACSL_v2.1.pptx</w:t>
            </w:r>
          </w:p>
        </w:tc>
        <w:tc>
          <w:tcPr>
            <w:tcW w:type="dxa" w:w="3626"/>
            <w:tcMar>
              <w:top w:w="50" w:type="dxa"/>
              <w:bottom w:w="50" w:type="dxa"/>
              <w:left w:w="90" w:type="dxa"/>
              <w:right w:w="90" w:type="dxa"/>
            </w:tcMar>
          </w:tcPr>
          <w:p>
            <w:pPr>
              <w:pStyle w:val="BDOITable"/>
            </w:pPr>
            <w:r>
              <w:rPr>
                <w:sz w:val="15"/>
              </w:rPr>
              <w:t>UX Screen Deck for the BDOI UX Design team: design foundation, navigation and personas, every walkthrough step by step and every screen with all its states</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From the issue, in parallel with the review; re-issued with each version of the set</w:t>
            </w:r>
          </w:p>
        </w:tc>
      </w:tr>
      <w:tr>
        <w:tc>
          <w:tcPr>
            <w:tcW w:type="dxa" w:w="2946"/>
            <w:tcMar>
              <w:top w:w="50" w:type="dxa"/>
              <w:bottom w:w="50" w:type="dxa"/>
              <w:left w:w="90" w:type="dxa"/>
              <w:right w:w="90" w:type="dxa"/>
            </w:tcMar>
            <w:shd w:val="clear" w:color="auto" w:fill="E5F5FF"/>
          </w:tcPr>
          <w:p>
            <w:pPr>
              <w:pStyle w:val="BDOITable"/>
            </w:pPr>
            <w:r>
              <w:rPr>
                <w:sz w:val="15"/>
              </w:rPr>
              <w:t>08_BIBS_UXScreens_BRD-05_Accounting_Disbursement_ACSL_v2.1.xlsx</w:t>
            </w:r>
          </w:p>
        </w:tc>
        <w:tc>
          <w:tcPr>
            <w:tcW w:type="dxa" w:w="3626"/>
            <w:tcMar>
              <w:top w:w="50" w:type="dxa"/>
              <w:bottom w:w="50" w:type="dxa"/>
              <w:left w:w="90" w:type="dxa"/>
              <w:right w:w="90" w:type="dxa"/>
            </w:tcMar>
            <w:shd w:val="clear" w:color="auto" w:fill="E5F5FF"/>
          </w:tcPr>
          <w:p>
            <w:pPr>
              <w:pStyle w:val="BDOITable"/>
            </w:pPr>
            <w:r>
              <w:rPr>
                <w:sz w:val="15"/>
              </w:rPr>
              <w:t>UX screen register: one row per screen image with the screen, personas, walkthrough and step, state, FRS section and requirements, UXD status and comments, and the Changed in this issue flag</w:t>
            </w:r>
          </w:p>
        </w:tc>
        <w:tc>
          <w:tcPr>
            <w:tcW w:type="dxa" w:w="1926"/>
            <w:tcMar>
              <w:top w:w="50" w:type="dxa"/>
              <w:bottom w:w="50" w:type="dxa"/>
              <w:left w:w="90" w:type="dxa"/>
              <w:right w:w="90" w:type="dxa"/>
            </w:tcMar>
            <w:shd w:val="clear" w:color="auto" w:fill="E5F5FF"/>
          </w:tcPr>
          <w:p>
            <w:pPr>
              <w:pStyle w:val="BDOITable"/>
            </w:pPr>
            <w:r>
              <w:rPr>
                <w:sz w:val="15"/>
              </w:rPr>
              <w:t>BDOI UX Design team</w:t>
            </w:r>
          </w:p>
        </w:tc>
        <w:tc>
          <w:tcPr>
            <w:tcW w:type="dxa" w:w="1473"/>
            <w:tcMar>
              <w:top w:w="50" w:type="dxa"/>
              <w:bottom w:w="50" w:type="dxa"/>
              <w:left w:w="90" w:type="dxa"/>
              <w:right w:w="90" w:type="dxa"/>
            </w:tcMar>
            <w:shd w:val="clear" w:color="auto" w:fill="E5F5FF"/>
          </w:tcPr>
          <w:p>
            <w:pPr>
              <w:pStyle w:val="BDOITable"/>
            </w:pPr>
            <w:r>
              <w:rPr>
                <w:sz w:val="15"/>
              </w:rPr>
              <w:t>Kept by the UX Design team; the changed rows are flagged at each issue</w:t>
            </w:r>
          </w:p>
        </w:tc>
      </w:tr>
      <w:tr>
        <w:tc>
          <w:tcPr>
            <w:tcW w:type="dxa" w:w="2946"/>
            <w:tcMar>
              <w:top w:w="50" w:type="dxa"/>
              <w:bottom w:w="50" w:type="dxa"/>
              <w:left w:w="90" w:type="dxa"/>
              <w:right w:w="90" w:type="dxa"/>
            </w:tcMar>
          </w:tcPr>
          <w:p>
            <w:pPr>
              <w:pStyle w:val="BDOITable"/>
            </w:pPr>
            <w:r>
              <w:rPr>
                <w:sz w:val="15"/>
              </w:rPr>
              <w:t>09_BIBS_UXScreens_BRD-05_Accounting_Disbursement_ACSL_v2.1.zip</w:t>
            </w:r>
          </w:p>
        </w:tc>
        <w:tc>
          <w:tcPr>
            <w:tcW w:type="dxa" w:w="3626"/>
            <w:tcMar>
              <w:top w:w="50" w:type="dxa"/>
              <w:bottom w:w="50" w:type="dxa"/>
              <w:left w:w="90" w:type="dxa"/>
              <w:right w:w="90" w:type="dxa"/>
            </w:tcMar>
          </w:tcPr>
          <w:p>
            <w:pPr>
              <w:pStyle w:val="BDOITable"/>
            </w:pPr>
            <w:r>
              <w:rPr>
                <w:sz w:val="15"/>
              </w:rPr>
              <w:t>Image package: every screen image at twice the screen resolution (PNG), the component crops and the register as CSV</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Imported into the design tool at each issue</w:t>
            </w:r>
          </w:p>
        </w:tc>
      </w:tr>
    </w:tbl>
    <w:p>
      <w:pPr>
        <w:pStyle w:val="BDOISpacer"/>
      </w:pPr>
    </w:p>
    <w:p>
      <w:pPr>
        <w:pStyle w:val="Heading1"/>
        <w:pBdr>
          <w:bottom w:val="single" w:sz="4" w:space="4" w:color="99C1E7"/>
        </w:pBdr>
      </w:pPr>
      <w:bookmarkStart w:id="103" w:name="_Toc000103"/>
      <w:r>
        <w:rPr/>
        <w:t>3 Where to start</w:t>
      </w:r>
      <w:bookmarkEnd w:id="103"/>
    </w:p>
    <w:p>
      <w:pPr>
        <w:pStyle w:val="Caption"/>
        <w:keepNext/>
        <w:spacing w:after="60"/>
      </w:pPr>
      <w:r>
        <w:rPr>
          <w:b/>
          <w:i w:val="0"/>
        </w:rPr>
        <w:t xml:space="preserve">Table 2: </w:t>
      </w:r>
      <w:r>
        <w:rPr/>
        <w:t>Reading order per role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Role</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6"/>
              </w:rPr>
              <w:t>Where to start</w:t>
            </w:r>
          </w:p>
        </w:tc>
      </w:tr>
      <w:tr>
        <w:tc>
          <w:tcPr>
            <w:tcW w:type="dxa" w:w="2380"/>
            <w:tcMar>
              <w:top w:w="50" w:type="dxa"/>
              <w:bottom w:w="50" w:type="dxa"/>
              <w:left w:w="90" w:type="dxa"/>
              <w:right w:w="90" w:type="dxa"/>
            </w:tcMar>
          </w:tcPr>
          <w:p>
            <w:pPr>
              <w:pStyle w:val="BDOITable"/>
            </w:pPr>
            <w:r>
              <w:rPr>
                <w:b/>
                <w:sz w:val="16"/>
              </w:rPr>
              <w:t>Approvers (Head of Comptrollership; product owners of FRBS and ACSL, Disbursement, Comptrollership and Operations, Marketing)</w:t>
            </w:r>
          </w:p>
        </w:tc>
        <w:tc>
          <w:tcPr>
            <w:tcW w:type="dxa" w:w="7592"/>
            <w:tcMar>
              <w:top w:w="50" w:type="dxa"/>
              <w:bottom w:w="50" w:type="dxa"/>
              <w:left w:w="90" w:type="dxa"/>
              <w:right w:w="90" w:type="dxa"/>
            </w:tcMar>
          </w:tcPr>
          <w:p>
            <w:pPr>
              <w:pStyle w:val="BDOITable"/>
            </w:pPr>
            <w:r>
              <w:rPr>
                <w:sz w:val="16"/>
              </w:rPr>
              <w:t>00 Start Here; 01 Guide deck; FRS chapters 1-3 (context and personas), 14 (walkthroughs), 20 (sign-off) and 21 (proposed rules for confirmation); workbook Sign-off certificate</w:t>
            </w:r>
          </w:p>
        </w:tc>
      </w:tr>
      <w:tr>
        <w:tc>
          <w:tcPr>
            <w:tcW w:type="dxa" w:w="2380"/>
            <w:tcMar>
              <w:top w:w="50" w:type="dxa"/>
              <w:bottom w:w="50" w:type="dxa"/>
              <w:left w:w="90" w:type="dxa"/>
              <w:right w:w="90" w:type="dxa"/>
            </w:tcMar>
            <w:shd w:val="clear" w:color="auto" w:fill="E5F5FF"/>
          </w:tcPr>
          <w:p>
            <w:pPr>
              <w:pStyle w:val="BDOITable"/>
            </w:pPr>
            <w:r>
              <w:rPr>
                <w:b/>
                <w:sz w:val="16"/>
              </w:rPr>
              <w:t>GL team (GL Officers, GL Team Lead, GL Section Head)</w:t>
            </w:r>
          </w:p>
        </w:tc>
        <w:tc>
          <w:tcPr>
            <w:tcW w:type="dxa" w:w="7592"/>
            <w:tcMar>
              <w:top w:w="50" w:type="dxa"/>
              <w:bottom w:w="50" w:type="dxa"/>
              <w:left w:w="90" w:type="dxa"/>
              <w:right w:w="90" w:type="dxa"/>
            </w:tcMar>
            <w:shd w:val="clear" w:color="auto" w:fill="E5F5FF"/>
          </w:tcPr>
          <w:p>
            <w:pPr>
              <w:pStyle w:val="BDOITable"/>
            </w:pPr>
            <w:r>
              <w:rPr>
                <w:sz w:val="16"/>
              </w:rPr>
              <w:t>FRS sections 4.1 to 4.10; the screens SCR-AC-01 to 24 of chapter 13; walkthroughs A and D; messages in chapter 15; configuration in chapter 9</w:t>
            </w:r>
          </w:p>
        </w:tc>
      </w:tr>
      <w:tr>
        <w:tc>
          <w:tcPr>
            <w:tcW w:type="dxa" w:w="2380"/>
            <w:tcMar>
              <w:top w:w="50" w:type="dxa"/>
              <w:bottom w:w="50" w:type="dxa"/>
              <w:left w:w="90" w:type="dxa"/>
              <w:right w:w="90" w:type="dxa"/>
            </w:tcMar>
          </w:tcPr>
          <w:p>
            <w:pPr>
              <w:pStyle w:val="BDOITable"/>
            </w:pPr>
            <w:r>
              <w:rPr>
                <w:b/>
                <w:sz w:val="16"/>
              </w:rPr>
              <w:t>Disbursement (Processors, Team Leaders, Approvers)</w:t>
            </w:r>
          </w:p>
        </w:tc>
        <w:tc>
          <w:tcPr>
            <w:tcW w:type="dxa" w:w="7592"/>
            <w:tcMar>
              <w:top w:w="50" w:type="dxa"/>
              <w:bottom w:w="50" w:type="dxa"/>
              <w:left w:w="90" w:type="dxa"/>
              <w:right w:w="90" w:type="dxa"/>
            </w:tcMar>
          </w:tcPr>
          <w:p>
            <w:pPr>
              <w:pStyle w:val="BDOITable"/>
            </w:pPr>
            <w:r>
              <w:rPr>
                <w:sz w:val="16"/>
              </w:rPr>
              <w:t>FRS section 4.11; the screens SCR-AC-25 to 38; walkthroughs B and E; the documents DO-01 to DO-03 and DO-05 in chapter 17; the upload templates in chapter 18</w:t>
            </w:r>
          </w:p>
        </w:tc>
      </w:tr>
      <w:tr>
        <w:tc>
          <w:tcPr>
            <w:tcW w:type="dxa" w:w="2380"/>
            <w:tcMar>
              <w:top w:w="50" w:type="dxa"/>
              <w:bottom w:w="50" w:type="dxa"/>
              <w:left w:w="90" w:type="dxa"/>
              <w:right w:w="90" w:type="dxa"/>
            </w:tcMar>
            <w:shd w:val="clear" w:color="auto" w:fill="E5F5FF"/>
          </w:tcPr>
          <w:p>
            <w:pPr>
              <w:pStyle w:val="BDOITable"/>
            </w:pPr>
            <w:r>
              <w:rPr>
                <w:b/>
                <w:sz w:val="16"/>
              </w:rPr>
              <w:t>Marketing (Processors, Reviewers, Approvers) and Human Resources</w:t>
            </w:r>
          </w:p>
        </w:tc>
        <w:tc>
          <w:tcPr>
            <w:tcW w:type="dxa" w:w="7592"/>
            <w:tcMar>
              <w:top w:w="50" w:type="dxa"/>
              <w:bottom w:w="50" w:type="dxa"/>
              <w:left w:w="90" w:type="dxa"/>
              <w:right w:w="90" w:type="dxa"/>
            </w:tcMar>
            <w:shd w:val="clear" w:color="auto" w:fill="E5F5FF"/>
          </w:tcPr>
          <w:p>
            <w:pPr>
              <w:pStyle w:val="BDOITable"/>
            </w:pPr>
            <w:r>
              <w:rPr>
                <w:sz w:val="16"/>
              </w:rPr>
              <w:t>FRS section 4.12; the screens SCR-AC-39 to 44; walkthrough B (steps 1 to 4 and 8) and E; the Refund Request Form DO-04</w:t>
            </w:r>
          </w:p>
        </w:tc>
      </w:tr>
      <w:tr>
        <w:tc>
          <w:tcPr>
            <w:tcW w:type="dxa" w:w="2380"/>
            <w:tcMar>
              <w:top w:w="50" w:type="dxa"/>
              <w:bottom w:w="50" w:type="dxa"/>
              <w:left w:w="90" w:type="dxa"/>
              <w:right w:w="90" w:type="dxa"/>
            </w:tcMar>
          </w:tcPr>
          <w:p>
            <w:pPr>
              <w:pStyle w:val="BDOITable"/>
            </w:pPr>
            <w:r>
              <w:rPr>
                <w:b/>
                <w:sz w:val="16"/>
              </w:rPr>
              <w:t>ACSL (Processors, Team Leader, Head)</w:t>
            </w:r>
          </w:p>
        </w:tc>
        <w:tc>
          <w:tcPr>
            <w:tcW w:type="dxa" w:w="7592"/>
            <w:tcMar>
              <w:top w:w="50" w:type="dxa"/>
              <w:bottom w:w="50" w:type="dxa"/>
              <w:left w:w="90" w:type="dxa"/>
              <w:right w:w="90" w:type="dxa"/>
            </w:tcMar>
          </w:tcPr>
          <w:p>
            <w:pPr>
              <w:pStyle w:val="BDOITable"/>
            </w:pPr>
            <w:r>
              <w:rPr>
                <w:sz w:val="16"/>
              </w:rPr>
              <w:t>FRS section 4.13; the screens SCR-AC-45 to 51; walkthrough C; the reconciliation report DO-06</w:t>
            </w:r>
          </w:p>
        </w:tc>
      </w:tr>
      <w:tr>
        <w:tc>
          <w:tcPr>
            <w:tcW w:type="dxa" w:w="2380"/>
            <w:tcMar>
              <w:top w:w="50" w:type="dxa"/>
              <w:bottom w:w="50" w:type="dxa"/>
              <w:left w:w="90" w:type="dxa"/>
              <w:right w:w="90" w:type="dxa"/>
            </w:tcMar>
            <w:shd w:val="clear" w:color="auto" w:fill="E5F5FF"/>
          </w:tcPr>
          <w:p>
            <w:pPr>
              <w:pStyle w:val="BDOITable"/>
            </w:pPr>
            <w:r>
              <w:rPr>
                <w:b/>
                <w:sz w:val="16"/>
              </w:rPr>
              <w:t>Operations (Cashiering and Remittance, BRD-2)</w:t>
            </w:r>
          </w:p>
        </w:tc>
        <w:tc>
          <w:tcPr>
            <w:tcW w:type="dxa" w:w="7592"/>
            <w:tcMar>
              <w:top w:w="50" w:type="dxa"/>
              <w:bottom w:w="50" w:type="dxa"/>
              <w:left w:w="90" w:type="dxa"/>
              <w:right w:w="90" w:type="dxa"/>
            </w:tcMar>
            <w:shd w:val="clear" w:color="auto" w:fill="E5F5FF"/>
          </w:tcPr>
          <w:p>
            <w:pPr>
              <w:pStyle w:val="BDOITable"/>
            </w:pPr>
            <w:r>
              <w:rPr>
                <w:sz w:val="16"/>
              </w:rPr>
              <w:t>The hand-offs of chapter 19 (remittance payments, refund validations, payment reversals, remittance deductions); walkthrough B; FRS sections 4.11 and 4.13</w:t>
            </w:r>
          </w:p>
        </w:tc>
      </w:tr>
      <w:tr>
        <w:tc>
          <w:tcPr>
            <w:tcW w:type="dxa" w:w="2380"/>
            <w:tcMar>
              <w:top w:w="50" w:type="dxa"/>
              <w:bottom w:w="50" w:type="dxa"/>
              <w:left w:w="90" w:type="dxa"/>
              <w:right w:w="90" w:type="dxa"/>
            </w:tcMar>
          </w:tcPr>
          <w:p>
            <w:pPr>
              <w:pStyle w:val="BDOITable"/>
            </w:pPr>
            <w:r>
              <w:rPr>
                <w:b/>
                <w:sz w:val="16"/>
              </w:rPr>
              <w:t>Business and System Administrators</w:t>
            </w:r>
          </w:p>
        </w:tc>
        <w:tc>
          <w:tcPr>
            <w:tcW w:type="dxa" w:w="7592"/>
            <w:tcMar>
              <w:top w:w="50" w:type="dxa"/>
              <w:bottom w:w="50" w:type="dxa"/>
              <w:left w:w="90" w:type="dxa"/>
              <w:right w:w="90" w:type="dxa"/>
            </w:tcMar>
          </w:tcPr>
          <w:p>
            <w:pPr>
              <w:pStyle w:val="BDOITable"/>
            </w:pPr>
            <w:r>
              <w:rPr>
                <w:sz w:val="16"/>
              </w:rPr>
              <w:t>FRS section 4.10 (administration) and configuration in chapter 9; the lists of values and access screens of the BRD-1 and BRD-11 sets; Menu by persona in chapter 12</w:t>
            </w:r>
          </w:p>
        </w:tc>
      </w:tr>
      <w:tr>
        <w:tc>
          <w:tcPr>
            <w:tcW w:type="dxa" w:w="2380"/>
            <w:tcMar>
              <w:top w:w="50" w:type="dxa"/>
              <w:bottom w:w="50" w:type="dxa"/>
              <w:left w:w="90" w:type="dxa"/>
              <w:right w:w="90" w:type="dxa"/>
            </w:tcMar>
            <w:shd w:val="clear" w:color="auto" w:fill="E5F5FF"/>
          </w:tcPr>
          <w:p>
            <w:pPr>
              <w:pStyle w:val="BDOITable"/>
            </w:pPr>
            <w:r>
              <w:rPr>
                <w:b/>
                <w:sz w:val="16"/>
              </w:rPr>
              <w:t>BDOI IT</w:t>
            </w:r>
          </w:p>
        </w:tc>
        <w:tc>
          <w:tcPr>
            <w:tcW w:type="dxa" w:w="7592"/>
            <w:tcMar>
              <w:top w:w="50" w:type="dxa"/>
              <w:bottom w:w="50" w:type="dxa"/>
              <w:left w:w="90" w:type="dxa"/>
              <w:right w:w="90" w:type="dxa"/>
            </w:tcMar>
            <w:shd w:val="clear" w:color="auto" w:fill="E5F5FF"/>
          </w:tcPr>
          <w:p>
            <w:pPr>
              <w:pStyle w:val="BDOITable"/>
            </w:pPr>
            <w:r>
              <w:rPr>
                <w:sz w:val="16"/>
              </w:rPr>
              <w:t>Interfaces and integration (chapter 7), non-functional requirements (chapter 8), configuration and jobs (chapter 9), cross-BRD contract (chapter 19), the bank files of chapter 17; the Technical Specification, reviewed by BDOI IT</w:t>
            </w:r>
          </w:p>
        </w:tc>
      </w:tr>
      <w:tr>
        <w:tc>
          <w:tcPr>
            <w:tcW w:type="dxa" w:w="2380"/>
            <w:tcMar>
              <w:top w:w="50" w:type="dxa"/>
              <w:bottom w:w="50" w:type="dxa"/>
              <w:left w:w="90" w:type="dxa"/>
              <w:right w:w="90" w:type="dxa"/>
            </w:tcMar>
          </w:tcPr>
          <w:p>
            <w:pPr>
              <w:pStyle w:val="BDOITable"/>
            </w:pPr>
            <w:r>
              <w:rPr>
                <w:b/>
                <w:sz w:val="16"/>
              </w:rPr>
              <w:t>BDOI UX Design team</w:t>
            </w:r>
          </w:p>
        </w:tc>
        <w:tc>
          <w:tcPr>
            <w:tcW w:type="dxa" w:w="7592"/>
            <w:tcMar>
              <w:top w:w="50" w:type="dxa"/>
              <w:bottom w:w="50" w:type="dxa"/>
              <w:left w:w="90" w:type="dxa"/>
              <w:right w:w="90" w:type="dxa"/>
            </w:tcMar>
          </w:tcPr>
          <w:p>
            <w:pPr>
              <w:pStyle w:val="BDOITable"/>
            </w:pPr>
            <w:r>
              <w:rPr>
                <w:sz w:val="16"/>
              </w:rPr>
              <w:t>07 UX Screen Deck: design foundation and navigation first, then the personas, walkthroughs and screens of the design work; 08 UX screen register (filter Changed in this issue at each new issue); 09 image package in the design tool</w:t>
            </w:r>
          </w:p>
        </w:tc>
      </w:tr>
      <w:tr>
        <w:tc>
          <w:tcPr>
            <w:tcW w:type="dxa" w:w="2380"/>
            <w:tcMar>
              <w:top w:w="50" w:type="dxa"/>
              <w:bottom w:w="50" w:type="dxa"/>
              <w:left w:w="90" w:type="dxa"/>
              <w:right w:w="90" w:type="dxa"/>
            </w:tcMar>
            <w:shd w:val="clear" w:color="auto" w:fill="E5F5FF"/>
          </w:tcPr>
          <w:p>
            <w:pPr>
              <w:pStyle w:val="BDOITable"/>
            </w:pPr>
            <w:r>
              <w:rPr>
                <w:b/>
                <w:sz w:val="16"/>
              </w:rPr>
              <w:t>iorta TechNXT project team</w:t>
            </w:r>
          </w:p>
        </w:tc>
        <w:tc>
          <w:tcPr>
            <w:tcW w:type="dxa" w:w="7592"/>
            <w:tcMar>
              <w:top w:w="50" w:type="dxa"/>
              <w:bottom w:w="50" w:type="dxa"/>
              <w:left w:w="90" w:type="dxa"/>
              <w:right w:w="90" w:type="dxa"/>
            </w:tcMar>
            <w:shd w:val="clear" w:color="auto" w:fill="E5F5FF"/>
          </w:tcPr>
          <w:p>
            <w:pPr>
              <w:pStyle w:val="BDOITable"/>
            </w:pPr>
            <w:r>
              <w:rPr>
                <w:sz w:val="16"/>
              </w:rPr>
              <w:t>All documents; keeps the comments log, the meeting minutes and the version history of the workbook, answers every comment and keeps the traceability to SIT and UAT</w:t>
            </w:r>
          </w:p>
        </w:tc>
      </w:tr>
    </w:tbl>
    <w:p>
      <w:pPr>
        <w:pStyle w:val="BDOISpacer"/>
      </w:pPr>
    </w:p>
    <w:p>
      <w:r>
        <w:rPr/>
        <w:t>SIT users of the seed data for the review: glofficer (GL Officer), gltl (GL Team Lead), glhead (GL Section Head), accountant (Accountant), fmanager (Comptrollership administrator), disb (Disbursement Processor), disbtl and disbtl2 (Disbursement Team Leaders), disbappr and disbappr2 (Disbursement Approvers), mktao (Marketing Processor), mktrev (Marketing Reviewer), mktappr (Marketing Approver), hrappr (Human Resources), acsl (ACSL Processor), acsltl (ACSL Team Leader), acslhead (ACSL Head), comptrol (Comptrollership), badmin (Business Administrator), admin (System Administrator) and auditor. The passwords are sent separately to the named reviewers.</w:t>
      </w:r>
    </w:p>
    <w:p>
      <w:pPr>
        <w:pStyle w:val="Heading1"/>
        <w:pBdr>
          <w:bottom w:val="single" w:sz="4" w:space="4" w:color="99C1E7"/>
        </w:pBdr>
      </w:pPr>
      <w:bookmarkStart w:id="104" w:name="_Toc000104"/>
      <w:r>
        <w:rPr/>
        <w:t>4 Steps up to closure</w:t>
      </w:r>
      <w:bookmarkEnd w:id="104"/>
    </w:p>
    <w:p>
      <w:pPr>
        <w:pStyle w:val="Caption"/>
        <w:keepNext/>
        <w:spacing w:after="60"/>
      </w:pPr>
      <w:r>
        <w:rPr>
          <w:b/>
          <w:i w:val="0"/>
        </w:rPr>
        <w:t xml:space="preserve">Table 3: </w:t>
      </w:r>
      <w:r>
        <w:rPr/>
        <w:t>From issue to closure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699"/>
        <w:gridCol w:w="2946"/>
        <w:gridCol w:w="2946"/>
        <w:gridCol w:w="1926"/>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Who (R, A, C, I)</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Output</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When / duration</w:t>
            </w:r>
          </w:p>
        </w:tc>
      </w:tr>
      <w:tr>
        <w:tc>
          <w:tcPr>
            <w:tcW w:type="dxa" w:w="453"/>
            <w:tcMar>
              <w:top w:w="50" w:type="dxa"/>
              <w:bottom w:w="50" w:type="dxa"/>
              <w:left w:w="90" w:type="dxa"/>
              <w:right w:w="90" w:type="dxa"/>
            </w:tcMar>
          </w:tcPr>
          <w:p>
            <w:pPr>
              <w:pStyle w:val="BDOITable"/>
            </w:pPr>
            <w:r>
              <w:rPr>
                <w:sz w:val="15"/>
              </w:rPr>
              <w:t>1</w:t>
            </w:r>
          </w:p>
        </w:tc>
        <w:tc>
          <w:tcPr>
            <w:tcW w:type="dxa" w:w="1700"/>
            <w:tcMar>
              <w:top w:w="50" w:type="dxa"/>
              <w:bottom w:w="50" w:type="dxa"/>
              <w:left w:w="90" w:type="dxa"/>
              <w:right w:w="90" w:type="dxa"/>
            </w:tcMar>
          </w:tcPr>
          <w:p>
            <w:pPr>
              <w:pStyle w:val="BDOITable"/>
            </w:pPr>
            <w:r>
              <w:rPr>
                <w:sz w:val="15"/>
              </w:rPr>
              <w:t>Pack issued</w:t>
            </w:r>
          </w:p>
        </w:tc>
        <w:tc>
          <w:tcPr>
            <w:tcW w:type="dxa" w:w="2946"/>
            <w:tcMar>
              <w:top w:w="50" w:type="dxa"/>
              <w:bottom w:w="50" w:type="dxa"/>
              <w:left w:w="90" w:type="dxa"/>
              <w:right w:w="90" w:type="dxa"/>
            </w:tcMar>
          </w:tcPr>
          <w:p>
            <w:pPr>
              <w:pStyle w:val="BDOITable"/>
            </w:pPr>
            <w:r>
              <w:rPr>
                <w:sz w:val="15"/>
              </w:rPr>
              <w:t>R: iorta TechNXT Project Manager; A: iorta TechNXT delivery lead; I: all reviewers</w:t>
            </w:r>
          </w:p>
        </w:tc>
        <w:tc>
          <w:tcPr>
            <w:tcW w:type="dxa" w:w="2946"/>
            <w:tcMar>
              <w:top w:w="50" w:type="dxa"/>
              <w:bottom w:w="50" w:type="dxa"/>
              <w:left w:w="90" w:type="dxa"/>
              <w:right w:w="90" w:type="dxa"/>
            </w:tcMar>
          </w:tcPr>
          <w:p>
            <w:pPr>
              <w:pStyle w:val="BDOITable"/>
            </w:pPr>
            <w:r>
              <w:rPr>
                <w:sz w:val="15"/>
              </w:rPr>
              <w:t>Release set v2.1 in the BRD-05 folder; invitations to the sessions</w:t>
            </w:r>
          </w:p>
        </w:tc>
        <w:tc>
          <w:tcPr>
            <w:tcW w:type="dxa" w:w="1926"/>
            <w:tcMar>
              <w:top w:w="50" w:type="dxa"/>
              <w:bottom w:w="50" w:type="dxa"/>
              <w:left w:w="90" w:type="dxa"/>
              <w:right w:w="90" w:type="dxa"/>
            </w:tcMar>
          </w:tcPr>
          <w:p>
            <w:pPr>
              <w:pStyle w:val="BDOITable"/>
            </w:pPr>
            <w:r>
              <w:rPr>
                <w:sz w:val="15"/>
              </w:rPr>
              <w:t>Day 0 (Thu 8-Oct-2026); sessions scheduled after the BRD-4 Collections walkthroughs</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700"/>
            <w:tcMar>
              <w:top w:w="50" w:type="dxa"/>
              <w:bottom w:w="50" w:type="dxa"/>
              <w:left w:w="90" w:type="dxa"/>
              <w:right w:w="90" w:type="dxa"/>
            </w:tcMar>
            <w:shd w:val="clear" w:color="auto" w:fill="E5F5FF"/>
          </w:tcPr>
          <w:p>
            <w:pPr>
              <w:pStyle w:val="BDOITable"/>
            </w:pPr>
            <w:r>
              <w:rPr>
                <w:sz w:val="15"/>
              </w:rPr>
              <w:t>Kick-off and screen walkthrough on SIT</w:t>
            </w:r>
          </w:p>
        </w:tc>
        <w:tc>
          <w:tcPr>
            <w:tcW w:type="dxa" w:w="2946"/>
            <w:tcMar>
              <w:top w:w="50" w:type="dxa"/>
              <w:bottom w:w="50" w:type="dxa"/>
              <w:left w:w="90" w:type="dxa"/>
              <w:right w:w="90" w:type="dxa"/>
            </w:tcMar>
            <w:shd w:val="clear" w:color="auto" w:fill="E5F5FF"/>
          </w:tcPr>
          <w:p>
            <w:pPr>
              <w:pStyle w:val="BDOITable"/>
            </w:pPr>
            <w:r>
              <w:rPr>
                <w:sz w:val="15"/>
              </w:rPr>
              <w:t>R: iorta TechNXT Business Analysis; A: Head of Comptrollership; C: product owners of FRBS, ACSL, Disbursement and Marketing; I: Operations, BDOI IT</w:t>
            </w:r>
          </w:p>
        </w:tc>
        <w:tc>
          <w:tcPr>
            <w:tcW w:type="dxa" w:w="2946"/>
            <w:tcMar>
              <w:top w:w="50" w:type="dxa"/>
              <w:bottom w:w="50" w:type="dxa"/>
              <w:left w:w="90" w:type="dxa"/>
              <w:right w:w="90" w:type="dxa"/>
            </w:tcMar>
            <w:shd w:val="clear" w:color="auto" w:fill="E5F5FF"/>
          </w:tcPr>
          <w:p>
            <w:pPr>
              <w:pStyle w:val="BDOITable"/>
            </w:pPr>
            <w:r>
              <w:rPr>
                <w:sz w:val="15"/>
              </w:rPr>
              <w:t>Screens shown live (general ledger and closing, reports and service fee, Disbursement, the Marketing requests, ACSL); first questions logged in the comments log; minutes</w:t>
            </w:r>
          </w:p>
        </w:tc>
        <w:tc>
          <w:tcPr>
            <w:tcW w:type="dxa" w:w="1926"/>
            <w:tcMar>
              <w:top w:w="50" w:type="dxa"/>
              <w:bottom w:w="50" w:type="dxa"/>
              <w:left w:w="90" w:type="dxa"/>
              <w:right w:w="90" w:type="dxa"/>
            </w:tcMar>
            <w:shd w:val="clear" w:color="auto" w:fill="E5F5FF"/>
          </w:tcPr>
          <w:p>
            <w:pPr>
              <w:pStyle w:val="BDOITable"/>
            </w:pPr>
            <w:r>
              <w:rPr>
                <w:sz w:val="15"/>
              </w:rPr>
              <w:t>5 sessions, 25-Nov to 1-Dec-2026</w:t>
            </w:r>
          </w:p>
        </w:tc>
      </w:tr>
      <w:tr>
        <w:tc>
          <w:tcPr>
            <w:tcW w:type="dxa" w:w="453"/>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Review with the workbook</w:t>
            </w:r>
          </w:p>
        </w:tc>
        <w:tc>
          <w:tcPr>
            <w:tcW w:type="dxa" w:w="2946"/>
            <w:tcMar>
              <w:top w:w="50" w:type="dxa"/>
              <w:bottom w:w="50" w:type="dxa"/>
              <w:left w:w="90" w:type="dxa"/>
              <w:right w:w="90" w:type="dxa"/>
            </w:tcMar>
          </w:tcPr>
          <w:p>
            <w:pPr>
              <w:pStyle w:val="BDOITable"/>
            </w:pPr>
            <w:r>
              <w:rPr>
                <w:sz w:val="15"/>
              </w:rPr>
              <w:t>R: GL team, Disbursement, ACSL and Marketing reviewers; A: the product owners; C: iorta TechNXT (questions)</w:t>
            </w:r>
          </w:p>
        </w:tc>
        <w:tc>
          <w:tcPr>
            <w:tcW w:type="dxa" w:w="2946"/>
            <w:tcMar>
              <w:top w:w="50" w:type="dxa"/>
              <w:bottom w:w="50" w:type="dxa"/>
              <w:left w:w="90" w:type="dxa"/>
              <w:right w:w="90" w:type="dxa"/>
            </w:tcMar>
          </w:tcPr>
          <w:p>
            <w:pPr>
              <w:pStyle w:val="BDOITable"/>
            </w:pPr>
            <w:r>
              <w:rPr>
                <w:sz w:val="15"/>
              </w:rPr>
              <w:t>Every row marked Accept, Change requested or Comment; comments log entries</w:t>
            </w:r>
          </w:p>
        </w:tc>
        <w:tc>
          <w:tcPr>
            <w:tcW w:type="dxa" w:w="1926"/>
            <w:tcMar>
              <w:top w:w="50" w:type="dxa"/>
              <w:bottom w:w="50" w:type="dxa"/>
              <w:left w:w="90" w:type="dxa"/>
              <w:right w:w="90" w:type="dxa"/>
            </w:tcMar>
          </w:tcPr>
          <w:p>
            <w:pPr>
              <w:pStyle w:val="BDOITable"/>
            </w:pPr>
            <w:r>
              <w:rPr>
                <w:sz w:val="15"/>
              </w:rPr>
              <w:t>10 working days after the walkthroughs, until Mon 14-Dec-2026</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Comments consolidated and a Q&amp;A session</w:t>
            </w:r>
          </w:p>
        </w:tc>
        <w:tc>
          <w:tcPr>
            <w:tcW w:type="dxa" w:w="2946"/>
            <w:tcMar>
              <w:top w:w="50" w:type="dxa"/>
              <w:bottom w:w="50" w:type="dxa"/>
              <w:left w:w="90" w:type="dxa"/>
              <w:right w:w="90" w:type="dxa"/>
            </w:tcMar>
            <w:shd w:val="clear" w:color="auto" w:fill="E5F5FF"/>
          </w:tcPr>
          <w:p>
            <w:pPr>
              <w:pStyle w:val="BDOITable"/>
            </w:pPr>
            <w:r>
              <w:rPr>
                <w:sz w:val="15"/>
              </w:rPr>
              <w:t>R: iorta TechNXT Project Manager and Business Analysis; A: Head of Comptrollership; C: reviewers</w:t>
            </w:r>
          </w:p>
        </w:tc>
        <w:tc>
          <w:tcPr>
            <w:tcW w:type="dxa" w:w="2946"/>
            <w:tcMar>
              <w:top w:w="50" w:type="dxa"/>
              <w:bottom w:w="50" w:type="dxa"/>
              <w:left w:w="90" w:type="dxa"/>
              <w:right w:w="90" w:type="dxa"/>
            </w:tcMar>
            <w:shd w:val="clear" w:color="auto" w:fill="E5F5FF"/>
          </w:tcPr>
          <w:p>
            <w:pPr>
              <w:pStyle w:val="BDOITable"/>
            </w:pPr>
            <w:r>
              <w:rPr>
                <w:sz w:val="15"/>
              </w:rPr>
              <w:t>One consolidated comments log, each item typed (clarification, correction, change request) and answered; Q&amp;A minutes</w:t>
            </w:r>
          </w:p>
        </w:tc>
        <w:tc>
          <w:tcPr>
            <w:tcW w:type="dxa" w:w="1926"/>
            <w:tcMar>
              <w:top w:w="50" w:type="dxa"/>
              <w:bottom w:w="50" w:type="dxa"/>
              <w:left w:w="90" w:type="dxa"/>
              <w:right w:w="90" w:type="dxa"/>
            </w:tcMar>
            <w:shd w:val="clear" w:color="auto" w:fill="E5F5FF"/>
          </w:tcPr>
          <w:p>
            <w:pPr>
              <w:pStyle w:val="BDOITable"/>
            </w:pPr>
            <w:r>
              <w:rPr>
                <w:sz w:val="15"/>
              </w:rPr>
              <w:t>2 working days, Q&amp;A on Wed 16-Dec-2026</w:t>
            </w:r>
          </w:p>
        </w:tc>
      </w:tr>
      <w:tr>
        <w:tc>
          <w:tcPr>
            <w:tcW w:type="dxa" w:w="453"/>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One revision cycle (v2.2)</w:t>
            </w:r>
          </w:p>
        </w:tc>
        <w:tc>
          <w:tcPr>
            <w:tcW w:type="dxa" w:w="2946"/>
            <w:tcMar>
              <w:top w:w="50" w:type="dxa"/>
              <w:bottom w:w="50" w:type="dxa"/>
              <w:left w:w="90" w:type="dxa"/>
              <w:right w:w="90" w:type="dxa"/>
            </w:tcMar>
          </w:tcPr>
          <w:p>
            <w:pPr>
              <w:pStyle w:val="BDOITable"/>
            </w:pPr>
            <w:r>
              <w:rPr>
                <w:sz w:val="15"/>
              </w:rPr>
              <w:t>R: iorta TechNXT Business Analysis; A: iorta TechNXT delivery lead; C: reviewers who raised the items</w:t>
            </w:r>
          </w:p>
        </w:tc>
        <w:tc>
          <w:tcPr>
            <w:tcW w:type="dxa" w:w="2946"/>
            <w:tcMar>
              <w:top w:w="50" w:type="dxa"/>
              <w:bottom w:w="50" w:type="dxa"/>
              <w:left w:w="90" w:type="dxa"/>
              <w:right w:w="90" w:type="dxa"/>
            </w:tcMar>
          </w:tcPr>
          <w:p>
            <w:pPr>
              <w:pStyle w:val="BDOITable"/>
            </w:pPr>
            <w:r>
              <w:rPr>
                <w:sz w:val="15"/>
              </w:rPr>
              <w:t>Release set v2.2 with the changed rows marked; change requests raised for the rest</w:t>
            </w:r>
          </w:p>
        </w:tc>
        <w:tc>
          <w:tcPr>
            <w:tcW w:type="dxa" w:w="1926"/>
            <w:tcMar>
              <w:top w:w="50" w:type="dxa"/>
              <w:bottom w:w="50" w:type="dxa"/>
              <w:left w:w="90" w:type="dxa"/>
              <w:right w:w="90" w:type="dxa"/>
            </w:tcMar>
          </w:tcPr>
          <w:p>
            <w:pPr>
              <w:pStyle w:val="BDOITable"/>
            </w:pPr>
            <w:r>
              <w:rPr>
                <w:sz w:val="15"/>
              </w:rPr>
              <w:t>2 working days, v2.2 on Fri 18-Dec-2026; check by the reviewers until Tue 22-Dec-2026</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Sign-off meeting and signature</w:t>
            </w:r>
          </w:p>
        </w:tc>
        <w:tc>
          <w:tcPr>
            <w:tcW w:type="dxa" w:w="2946"/>
            <w:tcMar>
              <w:top w:w="50" w:type="dxa"/>
              <w:bottom w:w="50" w:type="dxa"/>
              <w:left w:w="90" w:type="dxa"/>
              <w:right w:w="90" w:type="dxa"/>
            </w:tcMar>
            <w:shd w:val="clear" w:color="auto" w:fill="E5F5FF"/>
          </w:tcPr>
          <w:p>
            <w:pPr>
              <w:pStyle w:val="BDOITable"/>
            </w:pPr>
            <w:r>
              <w:rPr>
                <w:sz w:val="15"/>
              </w:rPr>
              <w:t>R: iorta TechNXT Project Manager; A: Head of Comptrollership; C: the product owners, BDOI IT, Business Project Services</w:t>
            </w:r>
          </w:p>
        </w:tc>
        <w:tc>
          <w:tcPr>
            <w:tcW w:type="dxa" w:w="2946"/>
            <w:tcMar>
              <w:top w:w="50" w:type="dxa"/>
              <w:bottom w:w="50" w:type="dxa"/>
              <w:left w:w="90" w:type="dxa"/>
              <w:right w:w="90" w:type="dxa"/>
            </w:tcMar>
            <w:shd w:val="clear" w:color="auto" w:fill="E5F5FF"/>
          </w:tcPr>
          <w:p>
            <w:pPr>
              <w:pStyle w:val="BDOITable"/>
            </w:pPr>
            <w:r>
              <w:rPr>
                <w:sz w:val="15"/>
              </w:rPr>
              <w:t>Signed sign-off certificate; minutes; open items accepted as assumptions or change requests</w:t>
            </w:r>
          </w:p>
        </w:tc>
        <w:tc>
          <w:tcPr>
            <w:tcW w:type="dxa" w:w="1926"/>
            <w:tcMar>
              <w:top w:w="50" w:type="dxa"/>
              <w:bottom w:w="50" w:type="dxa"/>
              <w:left w:w="90" w:type="dxa"/>
              <w:right w:w="90" w:type="dxa"/>
            </w:tcMar>
            <w:shd w:val="clear" w:color="auto" w:fill="E5F5FF"/>
          </w:tcPr>
          <w:p>
            <w:pPr>
              <w:pStyle w:val="BDOITable"/>
            </w:pPr>
            <w:r>
              <w:rPr>
                <w:sz w:val="15"/>
              </w:rPr>
              <w:t>Wed 23-Dec-2026</w:t>
            </w:r>
          </w:p>
        </w:tc>
      </w:tr>
      <w:tr>
        <w:tc>
          <w:tcPr>
            <w:tcW w:type="dxa" w:w="453"/>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Content freeze</w:t>
            </w:r>
          </w:p>
        </w:tc>
        <w:tc>
          <w:tcPr>
            <w:tcW w:type="dxa" w:w="2946"/>
            <w:tcMar>
              <w:top w:w="50" w:type="dxa"/>
              <w:bottom w:w="50" w:type="dxa"/>
              <w:left w:w="90" w:type="dxa"/>
              <w:right w:w="90" w:type="dxa"/>
            </w:tcMar>
          </w:tcPr>
          <w:p>
            <w:pPr>
              <w:pStyle w:val="BDOITable"/>
            </w:pPr>
            <w:r>
              <w:rPr>
                <w:sz w:val="15"/>
              </w:rPr>
              <w:t>R: iorta TechNXT delivery lead; A: Head of Comptrollership; I: BDOI IT, other BRD owners</w:t>
            </w:r>
          </w:p>
        </w:tc>
        <w:tc>
          <w:tcPr>
            <w:tcW w:type="dxa" w:w="2946"/>
            <w:tcMar>
              <w:top w:w="50" w:type="dxa"/>
              <w:bottom w:w="50" w:type="dxa"/>
              <w:left w:w="90" w:type="dxa"/>
              <w:right w:w="90" w:type="dxa"/>
            </w:tcMar>
          </w:tcPr>
          <w:p>
            <w:pPr>
              <w:pStyle w:val="BDOITable"/>
            </w:pPr>
            <w:r>
              <w:rPr>
                <w:sz w:val="15"/>
              </w:rPr>
              <w:t>Content frozen as signed; approved deltas scheduled in the Change Management Register</w:t>
            </w:r>
          </w:p>
        </w:tc>
        <w:tc>
          <w:tcPr>
            <w:tcW w:type="dxa" w:w="1926"/>
            <w:tcMar>
              <w:top w:w="50" w:type="dxa"/>
              <w:bottom w:w="50" w:type="dxa"/>
              <w:left w:w="90" w:type="dxa"/>
              <w:right w:w="90" w:type="dxa"/>
            </w:tcMar>
          </w:tcPr>
          <w:p>
            <w:pPr>
              <w:pStyle w:val="BDOITable"/>
            </w:pPr>
            <w:r>
              <w:rPr>
                <w:sz w:val="15"/>
              </w:rPr>
              <w:t>From Mon 28-Dec-2026</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Traceability into SIT and UAT</w:t>
            </w:r>
          </w:p>
        </w:tc>
        <w:tc>
          <w:tcPr>
            <w:tcW w:type="dxa" w:w="2946"/>
            <w:tcMar>
              <w:top w:w="50" w:type="dxa"/>
              <w:bottom w:w="50" w:type="dxa"/>
              <w:left w:w="90" w:type="dxa"/>
              <w:right w:w="90" w:type="dxa"/>
            </w:tcMar>
            <w:shd w:val="clear" w:color="auto" w:fill="E5F5FF"/>
          </w:tcPr>
          <w:p>
            <w:pPr>
              <w:pStyle w:val="BDOITable"/>
            </w:pPr>
            <w:r>
              <w:rPr>
                <w:sz w:val="15"/>
              </w:rPr>
              <w:t>R: iorta TechNXT test lead; A: Head of Comptrollership; C: business users</w:t>
            </w:r>
          </w:p>
        </w:tc>
        <w:tc>
          <w:tcPr>
            <w:tcW w:type="dxa" w:w="2946"/>
            <w:tcMar>
              <w:top w:w="50" w:type="dxa"/>
              <w:bottom w:w="50" w:type="dxa"/>
              <w:left w:w="90" w:type="dxa"/>
              <w:right w:w="90" w:type="dxa"/>
            </w:tcMar>
            <w:shd w:val="clear" w:color="auto" w:fill="E5F5FF"/>
          </w:tcPr>
          <w:p>
            <w:pPr>
              <w:pStyle w:val="BDOITable"/>
            </w:pPr>
            <w:r>
              <w:rPr>
                <w:sz w:val="15"/>
              </w:rPr>
              <w:t>SIT and UAT runs traced to the signed screens, rules and messages; results against each row</w:t>
            </w:r>
          </w:p>
        </w:tc>
        <w:tc>
          <w:tcPr>
            <w:tcW w:type="dxa" w:w="1926"/>
            <w:tcMar>
              <w:top w:w="50" w:type="dxa"/>
              <w:bottom w:w="50" w:type="dxa"/>
              <w:left w:w="90" w:type="dxa"/>
              <w:right w:w="90" w:type="dxa"/>
            </w:tcMar>
            <w:shd w:val="clear" w:color="auto" w:fill="E5F5FF"/>
          </w:tcPr>
          <w:p>
            <w:pPr>
              <w:pStyle w:val="BDOITable"/>
            </w:pPr>
            <w:r>
              <w:rPr>
                <w:sz w:val="15"/>
              </w:rPr>
              <w:t>SIT Jan - Jul 2027; UAT Aug - Dec 2027</w:t>
            </w:r>
          </w:p>
        </w:tc>
      </w:tr>
    </w:tbl>
    <w:p>
      <w:pPr>
        <w:pStyle w:val="BDOISpacer"/>
      </w:pPr>
    </w:p>
    <w:p>
      <w:r>
        <w:rPr>
          <w:b/>
        </w:rPr>
        <w:t>How to review.</w:t>
      </w:r>
      <w:r>
        <w:rPr/>
        <w:t xml:space="preserve"> Open the FRS chapters of your unit or the same screens on SIT. In the sign-off workbook, set BU review to Accept, Change requested or Comment on each row you review (sheets Screen standards, Screen catalogue, Field register, Business rules, Messages), write the change in BU comment, and add your name and the date. Questions go to the Comments log sheet. One workbook per unit is enough. Chapter 21 of the FRS lists the proposed rules and clarifications on which BDOI is asked to decide.</w:t>
      </w:r>
    </w:p>
    <w:p>
      <w:pPr>
        <w:pStyle w:val="Caption"/>
        <w:keepNext/>
        <w:spacing w:after="60"/>
      </w:pPr>
      <w:r>
        <w:rPr>
          <w:b/>
          <w:i w:val="0"/>
        </w:rPr>
        <w:t xml:space="preserve">Table 4: </w:t>
      </w:r>
      <w:r>
        <w:rPr/>
        <w:t>SIT walkthrough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1359"/>
        <w:gridCol w:w="4079"/>
        <w:gridCol w:w="249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Time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Session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Units</w:t>
            </w:r>
          </w:p>
        </w:tc>
      </w:tr>
      <w:tr>
        <w:trPr>
          <w:cantSplit w:val="true"/>
        </w:trPr>
        <w:tc>
          <w:tcPr>
            <w:tcW w:type="dxa" w:w="2040"/>
            <w:tcMar>
              <w:top w:w="50" w:type="dxa"/>
              <w:bottom w:w="50" w:type="dxa"/>
              <w:left w:w="90" w:type="dxa"/>
              <w:right w:w="90" w:type="dxa"/>
            </w:tcMar>
          </w:tcPr>
          <w:p>
            <w:pPr>
              <w:pStyle w:val="BDOITable"/>
            </w:pPr>
            <w:r>
              <w:rPr>
                <w:sz w:val="18"/>
              </w:rPr>
              <w:t>Wed 25-Nov-2026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Kick-off; the journals, the chart of accounts and the rates, the manual accrual from entry to posting (walkthrough A, walkthrough E step 1)</w:t>
            </w:r>
          </w:p>
        </w:tc>
        <w:tc>
          <w:tcPr>
            <w:tcW w:type="dxa" w:w="2493"/>
            <w:tcMar>
              <w:top w:w="50" w:type="dxa"/>
              <w:bottom w:w="50" w:type="dxa"/>
              <w:left w:w="90" w:type="dxa"/>
              <w:right w:w="90" w:type="dxa"/>
            </w:tcMar>
          </w:tcPr>
          <w:p>
            <w:pPr>
              <w:pStyle w:val="BDOITable"/>
            </w:pPr>
            <w:r>
              <w:rPr>
                <w:sz w:val="18"/>
              </w:rPr>
              <w:t>GL team, Comptrollership</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Thu 26-Nov-2026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Month end: the revaluation rate and the revaluation, the GL close and the broking books, the year-end close, the bank reconciliation; the report pack, the account schedules, the service fee and the BIR outputs (walkthrough D)</w:t>
            </w:r>
          </w:p>
        </w:tc>
        <w:tc>
          <w:tcPr>
            <w:tcW w:type="dxa" w:w="2493"/>
            <w:tcMar>
              <w:top w:w="50" w:type="dxa"/>
              <w:bottom w:w="50" w:type="dxa"/>
              <w:left w:w="90" w:type="dxa"/>
              <w:right w:w="90" w:type="dxa"/>
            </w:tcMar>
            <w:shd w:val="clear" w:color="auto" w:fill="E5F5FF"/>
          </w:tcPr>
          <w:p>
            <w:pPr>
              <w:pStyle w:val="BDOITable"/>
            </w:pPr>
            <w:r>
              <w:rPr>
                <w:sz w:val="18"/>
              </w:rPr>
              <w:t>GL team, Comptrollership, BDOI IT</w:t>
            </w:r>
          </w:p>
        </w:tc>
      </w:tr>
      <w:tr>
        <w:trPr>
          <w:cantSplit w:val="true"/>
        </w:trPr>
        <w:tc>
          <w:tcPr>
            <w:tcW w:type="dxa" w:w="2040"/>
            <w:tcMar>
              <w:top w:w="50" w:type="dxa"/>
              <w:bottom w:w="50" w:type="dxa"/>
              <w:left w:w="90" w:type="dxa"/>
              <w:right w:w="90" w:type="dxa"/>
            </w:tcMar>
          </w:tcPr>
          <w:p>
            <w:pPr>
              <w:pStyle w:val="BDOITable"/>
            </w:pPr>
            <w:r>
              <w:rPr>
                <w:sz w:val="18"/>
              </w:rPr>
              <w:t>Fri 27-Nov-2026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Disbursement: payees, the workbench, the voucher with its entry and instrument, the end of day, the fundings, the bank accounts and checks, the uploads and the reports (walkthrough B steps 5 to 7, walkthrough E step 4)</w:t>
            </w:r>
          </w:p>
        </w:tc>
        <w:tc>
          <w:tcPr>
            <w:tcW w:type="dxa" w:w="2493"/>
            <w:tcMar>
              <w:top w:w="50" w:type="dxa"/>
              <w:bottom w:w="50" w:type="dxa"/>
              <w:left w:w="90" w:type="dxa"/>
              <w:right w:w="90" w:type="dxa"/>
            </w:tcMar>
          </w:tcPr>
          <w:p>
            <w:pPr>
              <w:pStyle w:val="BDOITable"/>
            </w:pPr>
            <w:r>
              <w:rPr>
                <w:sz w:val="18"/>
              </w:rPr>
              <w:t>Disbursement, Operations (Remittance, Cashiering), BDOI IT</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Mon 30-Nov-2026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The Marketing refund, cash-advance and check-cancellation requests (walkthrough B steps 1 to 4 and 8, walkthrough E step 2)</w:t>
            </w:r>
          </w:p>
        </w:tc>
        <w:tc>
          <w:tcPr>
            <w:tcW w:type="dxa" w:w="2493"/>
            <w:tcMar>
              <w:top w:w="50" w:type="dxa"/>
              <w:bottom w:w="50" w:type="dxa"/>
              <w:left w:w="90" w:type="dxa"/>
              <w:right w:w="90" w:type="dxa"/>
            </w:tcMar>
            <w:shd w:val="clear" w:color="auto" w:fill="E5F5FF"/>
          </w:tcPr>
          <w:p>
            <w:pPr>
              <w:pStyle w:val="BDOITable"/>
            </w:pPr>
            <w:r>
              <w:rPr>
                <w:sz w:val="18"/>
              </w:rPr>
              <w:t>Marketing, Human Resources, Disbursement</w:t>
            </w:r>
          </w:p>
        </w:tc>
      </w:tr>
      <w:tr>
        <w:trPr>
          <w:cantSplit w:val="true"/>
        </w:trPr>
        <w:tc>
          <w:tcPr>
            <w:tcW w:type="dxa" w:w="2040"/>
            <w:tcMar>
              <w:top w:w="50" w:type="dxa"/>
              <w:bottom w:w="50" w:type="dxa"/>
              <w:left w:w="90" w:type="dxa"/>
              <w:right w:w="90" w:type="dxa"/>
            </w:tcMar>
          </w:tcPr>
          <w:p>
            <w:pPr>
              <w:pStyle w:val="BDOITable"/>
            </w:pPr>
            <w:r>
              <w:rPr>
                <w:sz w:val="18"/>
              </w:rPr>
              <w:t>Tue 1-Dec-2026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ACSL: the insurer statements of account, the GL-SL reconciliation, the cases and the correction entries; the remittance deductions with Operations (walkthrough C, walkthrough E step 3)</w:t>
            </w:r>
          </w:p>
        </w:tc>
        <w:tc>
          <w:tcPr>
            <w:tcW w:type="dxa" w:w="2493"/>
            <w:tcMar>
              <w:top w:w="50" w:type="dxa"/>
              <w:bottom w:w="50" w:type="dxa"/>
              <w:left w:w="90" w:type="dxa"/>
              <w:right w:w="90" w:type="dxa"/>
            </w:tcMar>
          </w:tcPr>
          <w:p>
            <w:pPr>
              <w:pStyle w:val="BDOITable"/>
            </w:pPr>
            <w:r>
              <w:rPr>
                <w:sz w:val="18"/>
              </w:rPr>
              <w:t>ACSL, Operations (Remittance)</w:t>
            </w:r>
          </w:p>
        </w:tc>
      </w:tr>
    </w:tbl>
    <w:p>
      <w:pPr>
        <w:pStyle w:val="BDOISpacer"/>
      </w:pPr>
    </w:p>
    <w:p>
      <w:pPr>
        <w:pStyle w:val="Heading1"/>
        <w:pBdr>
          <w:bottom w:val="single" w:sz="4" w:space="4" w:color="99C1E7"/>
        </w:pBdr>
      </w:pPr>
      <w:bookmarkStart w:id="105" w:name="_Toc000105"/>
      <w:r>
        <w:rPr/>
        <w:t>5 Who signs what</w:t>
      </w:r>
      <w:bookmarkEnd w:id="105"/>
    </w:p>
    <w:p>
      <w:r>
        <w:rPr/>
        <w:t>The set holds business content only: the screens and fields, the columns of the lists, files and templates that the user sees or fills in, the validations, business rules, messages, notifications, documents, walkthroughs and files. The business users sign that content. Technical content (the interfaces between systems, data storage, security set-up) is not part of the set: it is in the Technical Specification, a separate document reviewed by BDOI IT. The roles are those of the approval sheets of the BRD-5 documents: iorta TechNXT and the Business Analysts of Business Project Services prepare the set, Marketing Business Services and System Support provide the input, the Program Manager of Business Project Services, the ACSL product owners, BDOI IT and MBS review it, and the product owners of Disbursement, FRBS and ACSL, Comptrollership and Operations, Marketing, the Head of Institutional Banking and the Head of Comptrollership approve it.</w:t>
      </w:r>
    </w:p>
    <w:p>
      <w:pPr>
        <w:pStyle w:val="Caption"/>
        <w:keepNext/>
        <w:spacing w:after="60"/>
      </w:pPr>
      <w:r>
        <w:rPr>
          <w:b/>
          <w:i w:val="0"/>
        </w:rPr>
        <w:t xml:space="preserve">Table 5: </w:t>
      </w:r>
      <w:r>
        <w:rPr/>
        <w:t>Who signs what: responsibility per part of the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1359"/>
        <w:gridCol w:w="1813"/>
        <w:gridCol w:w="1699"/>
        <w:gridCol w:w="215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Part of the set</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Prepares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5"/>
              </w:rPr>
              <w:t>Provides input</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Reviews</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Approves</w:t>
            </w:r>
          </w:p>
        </w:tc>
      </w:tr>
      <w:tr>
        <w:tc>
          <w:tcPr>
            <w:tcW w:type="dxa" w:w="2946"/>
            <w:tcMar>
              <w:top w:w="50" w:type="dxa"/>
              <w:bottom w:w="50" w:type="dxa"/>
              <w:left w:w="90" w:type="dxa"/>
              <w:right w:w="90" w:type="dxa"/>
            </w:tcMar>
          </w:tcPr>
          <w:p>
            <w:pPr>
              <w:pStyle w:val="BDOITable"/>
            </w:pPr>
            <w:r>
              <w:rPr>
                <w:b/>
                <w:sz w:val="15"/>
              </w:rPr>
              <w:t>General ledger, closing, bank reconciliation and report screens (FRS sections 4.1-4.10, screens SCR-AC-01 to 24)</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BA (BPS)</w:t>
            </w:r>
          </w:p>
        </w:tc>
        <w:tc>
          <w:tcPr>
            <w:tcW w:type="dxa" w:w="1700"/>
            <w:tcMar>
              <w:top w:w="50" w:type="dxa"/>
              <w:bottom w:w="50" w:type="dxa"/>
              <w:left w:w="90" w:type="dxa"/>
              <w:right w:w="90" w:type="dxa"/>
            </w:tcMar>
          </w:tcPr>
          <w:p>
            <w:pPr>
              <w:pStyle w:val="BDOITable"/>
            </w:pPr>
            <w:r>
              <w:rPr>
                <w:sz w:val="15"/>
              </w:rPr>
              <w:t>Program Manager (BPS), ACSL product owners</w:t>
            </w:r>
          </w:p>
        </w:tc>
        <w:tc>
          <w:tcPr>
            <w:tcW w:type="dxa" w:w="2153"/>
            <w:tcMar>
              <w:top w:w="50" w:type="dxa"/>
              <w:bottom w:w="50" w:type="dxa"/>
              <w:left w:w="90" w:type="dxa"/>
              <w:right w:w="90" w:type="dxa"/>
            </w:tcMar>
          </w:tcPr>
          <w:p>
            <w:pPr>
              <w:pStyle w:val="BDOITable"/>
            </w:pPr>
            <w:r>
              <w:rPr>
                <w:sz w:val="15"/>
              </w:rPr>
              <w:t>FRBS and ACSL PO, Head - Comptrollership</w:t>
            </w:r>
          </w:p>
        </w:tc>
      </w:tr>
      <w:tr>
        <w:tc>
          <w:tcPr>
            <w:tcW w:type="dxa" w:w="2946"/>
            <w:tcMar>
              <w:top w:w="50" w:type="dxa"/>
              <w:bottom w:w="50" w:type="dxa"/>
              <w:left w:w="90" w:type="dxa"/>
              <w:right w:w="90" w:type="dxa"/>
            </w:tcMar>
            <w:shd w:val="clear" w:color="auto" w:fill="E5F5FF"/>
          </w:tcPr>
          <w:p>
            <w:pPr>
              <w:pStyle w:val="BDOITable"/>
            </w:pPr>
            <w:r>
              <w:rPr>
                <w:b/>
                <w:sz w:val="15"/>
              </w:rPr>
              <w:t>Disbursement screens, fields, documents and bank files (FRS section 4.11, screens SCR-AC-25 to 38)</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BA (BPS)</w:t>
            </w:r>
          </w:p>
        </w:tc>
        <w:tc>
          <w:tcPr>
            <w:tcW w:type="dxa" w:w="1700"/>
            <w:tcMar>
              <w:top w:w="50" w:type="dxa"/>
              <w:bottom w:w="50" w:type="dxa"/>
              <w:left w:w="90" w:type="dxa"/>
              <w:right w:w="90" w:type="dxa"/>
            </w:tcMar>
            <w:shd w:val="clear" w:color="auto" w:fill="E5F5FF"/>
          </w:tcPr>
          <w:p>
            <w:pPr>
              <w:pStyle w:val="BDOITable"/>
            </w:pPr>
            <w:r>
              <w:rPr>
                <w:sz w:val="15"/>
              </w:rPr>
              <w:t>Program Manager (BPS), BDOI IT</w:t>
            </w:r>
          </w:p>
        </w:tc>
        <w:tc>
          <w:tcPr>
            <w:tcW w:type="dxa" w:w="2153"/>
            <w:tcMar>
              <w:top w:w="50" w:type="dxa"/>
              <w:bottom w:w="50" w:type="dxa"/>
              <w:left w:w="90" w:type="dxa"/>
              <w:right w:w="90" w:type="dxa"/>
            </w:tcMar>
            <w:shd w:val="clear" w:color="auto" w:fill="E5F5FF"/>
          </w:tcPr>
          <w:p>
            <w:pPr>
              <w:pStyle w:val="BDOITable"/>
            </w:pPr>
            <w:r>
              <w:rPr>
                <w:sz w:val="15"/>
              </w:rPr>
              <w:t>Disbursement PO, Head - Comptrollership</w:t>
            </w:r>
          </w:p>
        </w:tc>
      </w:tr>
      <w:tr>
        <w:tc>
          <w:tcPr>
            <w:tcW w:type="dxa" w:w="2946"/>
            <w:tcMar>
              <w:top w:w="50" w:type="dxa"/>
              <w:bottom w:w="50" w:type="dxa"/>
              <w:left w:w="90" w:type="dxa"/>
              <w:right w:w="90" w:type="dxa"/>
            </w:tcMar>
          </w:tcPr>
          <w:p>
            <w:pPr>
              <w:pStyle w:val="BDOITable"/>
            </w:pPr>
            <w:r>
              <w:rPr>
                <w:b/>
                <w:sz w:val="15"/>
              </w:rPr>
              <w:t>Marketing refund and cash-advance requests (FRS section 4.12, screens SCR-AC-39 to 44)</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MBS input</w:t>
            </w:r>
          </w:p>
        </w:tc>
        <w:tc>
          <w:tcPr>
            <w:tcW w:type="dxa" w:w="1700"/>
            <w:tcMar>
              <w:top w:w="50" w:type="dxa"/>
              <w:bottom w:w="50" w:type="dxa"/>
              <w:left w:w="90" w:type="dxa"/>
              <w:right w:w="90" w:type="dxa"/>
            </w:tcMar>
          </w:tcPr>
          <w:p>
            <w:pPr>
              <w:pStyle w:val="BDOITable"/>
            </w:pPr>
            <w:r>
              <w:rPr>
                <w:sz w:val="15"/>
              </w:rPr>
              <w:t>Program Manager (BPS), MBS review</w:t>
            </w:r>
          </w:p>
        </w:tc>
        <w:tc>
          <w:tcPr>
            <w:tcW w:type="dxa" w:w="2153"/>
            <w:tcMar>
              <w:top w:w="50" w:type="dxa"/>
              <w:bottom w:w="50" w:type="dxa"/>
              <w:left w:w="90" w:type="dxa"/>
              <w:right w:w="90" w:type="dxa"/>
            </w:tcMar>
          </w:tcPr>
          <w:p>
            <w:pPr>
              <w:pStyle w:val="BDOITable"/>
            </w:pPr>
            <w:r>
              <w:rPr>
                <w:sz w:val="15"/>
              </w:rPr>
              <w:t>Product Owner (Marketing), Marketing head</w:t>
            </w:r>
          </w:p>
        </w:tc>
      </w:tr>
      <w:tr>
        <w:tc>
          <w:tcPr>
            <w:tcW w:type="dxa" w:w="2946"/>
            <w:tcMar>
              <w:top w:w="50" w:type="dxa"/>
              <w:bottom w:w="50" w:type="dxa"/>
              <w:left w:w="90" w:type="dxa"/>
              <w:right w:w="90" w:type="dxa"/>
            </w:tcMar>
            <w:shd w:val="clear" w:color="auto" w:fill="E5F5FF"/>
          </w:tcPr>
          <w:p>
            <w:pPr>
              <w:pStyle w:val="BDOITable"/>
            </w:pPr>
            <w:r>
              <w:rPr>
                <w:b/>
                <w:sz w:val="15"/>
              </w:rPr>
              <w:t>ACSL screens, reconciliations, cases and corrections (FRS section 4.13, screens SCR-AC-45 to 51)</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BA (BPS)</w:t>
            </w:r>
          </w:p>
        </w:tc>
        <w:tc>
          <w:tcPr>
            <w:tcW w:type="dxa" w:w="1700"/>
            <w:tcMar>
              <w:top w:w="50" w:type="dxa"/>
              <w:bottom w:w="50" w:type="dxa"/>
              <w:left w:w="90" w:type="dxa"/>
              <w:right w:w="90" w:type="dxa"/>
            </w:tcMar>
            <w:shd w:val="clear" w:color="auto" w:fill="E5F5FF"/>
          </w:tcPr>
          <w:p>
            <w:pPr>
              <w:pStyle w:val="BDOITable"/>
            </w:pPr>
            <w:r>
              <w:rPr>
                <w:sz w:val="15"/>
              </w:rPr>
              <w:t>Program Manager (BPS), ACSL product owners</w:t>
            </w:r>
          </w:p>
        </w:tc>
        <w:tc>
          <w:tcPr>
            <w:tcW w:type="dxa" w:w="2153"/>
            <w:tcMar>
              <w:top w:w="50" w:type="dxa"/>
              <w:bottom w:w="50" w:type="dxa"/>
              <w:left w:w="90" w:type="dxa"/>
              <w:right w:w="90" w:type="dxa"/>
            </w:tcMar>
            <w:shd w:val="clear" w:color="auto" w:fill="E5F5FF"/>
          </w:tcPr>
          <w:p>
            <w:pPr>
              <w:pStyle w:val="BDOITable"/>
            </w:pPr>
            <w:r>
              <w:rPr>
                <w:sz w:val="15"/>
              </w:rPr>
              <w:t>FRBS and ACSL PO, Head - Comptrollership</w:t>
            </w:r>
          </w:p>
        </w:tc>
      </w:tr>
      <w:tr>
        <w:tc>
          <w:tcPr>
            <w:tcW w:type="dxa" w:w="2946"/>
            <w:tcMar>
              <w:top w:w="50" w:type="dxa"/>
              <w:bottom w:w="50" w:type="dxa"/>
              <w:left w:w="90" w:type="dxa"/>
              <w:right w:w="90" w:type="dxa"/>
            </w:tcMar>
          </w:tcPr>
          <w:p>
            <w:pPr>
              <w:pStyle w:val="BDOITable"/>
            </w:pPr>
            <w:r>
              <w:rPr>
                <w:b/>
                <w:sz w:val="15"/>
              </w:rPr>
              <w:t>Business rules, validations and the accounting entries</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BA (BPS), MBS input</w:t>
            </w:r>
          </w:p>
        </w:tc>
        <w:tc>
          <w:tcPr>
            <w:tcW w:type="dxa" w:w="1700"/>
            <w:tcMar>
              <w:top w:w="50" w:type="dxa"/>
              <w:bottom w:w="50" w:type="dxa"/>
              <w:left w:w="90" w:type="dxa"/>
              <w:right w:w="90" w:type="dxa"/>
            </w:tcMar>
          </w:tcPr>
          <w:p>
            <w:pPr>
              <w:pStyle w:val="BDOITable"/>
            </w:pPr>
            <w:r>
              <w:rPr>
                <w:sz w:val="15"/>
              </w:rPr>
              <w:t>Program Manager (BPS), ACSL product owners</w:t>
            </w:r>
          </w:p>
        </w:tc>
        <w:tc>
          <w:tcPr>
            <w:tcW w:type="dxa" w:w="2153"/>
            <w:tcMar>
              <w:top w:w="50" w:type="dxa"/>
              <w:bottom w:w="50" w:type="dxa"/>
              <w:left w:w="90" w:type="dxa"/>
              <w:right w:w="90" w:type="dxa"/>
            </w:tcMar>
          </w:tcPr>
          <w:p>
            <w:pPr>
              <w:pStyle w:val="BDOITable"/>
            </w:pPr>
            <w:r>
              <w:rPr>
                <w:sz w:val="15"/>
              </w:rPr>
              <w:t>Head - Comptrollership, FRBS and ACSL PO, Disbursement PO</w:t>
            </w:r>
          </w:p>
        </w:tc>
      </w:tr>
      <w:tr>
        <w:tc>
          <w:tcPr>
            <w:tcW w:type="dxa" w:w="2946"/>
            <w:tcMar>
              <w:top w:w="50" w:type="dxa"/>
              <w:bottom w:w="50" w:type="dxa"/>
              <w:left w:w="90" w:type="dxa"/>
              <w:right w:w="90" w:type="dxa"/>
            </w:tcMar>
            <w:shd w:val="clear" w:color="auto" w:fill="E5F5FF"/>
          </w:tcPr>
          <w:p>
            <w:pPr>
              <w:pStyle w:val="BDOITable"/>
            </w:pPr>
            <w:r>
              <w:rPr>
                <w:b/>
                <w:sz w:val="15"/>
              </w:rPr>
              <w:t>Messages and notifications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MBS input</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Head - Comptrollership</w:t>
            </w:r>
          </w:p>
        </w:tc>
      </w:tr>
      <w:tr>
        <w:tc>
          <w:tcPr>
            <w:tcW w:type="dxa" w:w="2946"/>
            <w:tcMar>
              <w:top w:w="50" w:type="dxa"/>
              <w:bottom w:w="50" w:type="dxa"/>
              <w:left w:w="90" w:type="dxa"/>
              <w:right w:w="90" w:type="dxa"/>
            </w:tcMar>
          </w:tcPr>
          <w:p>
            <w:pPr>
              <w:pStyle w:val="BDOITable"/>
            </w:pPr>
            <w:r>
              <w:rPr>
                <w:b/>
                <w:sz w:val="15"/>
              </w:rPr>
              <w:t>Hand-offs with Operations (remittance payments, refund validations, payment reversals, remittance deductions)</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BA (BPS)</w:t>
            </w:r>
          </w:p>
        </w:tc>
        <w:tc>
          <w:tcPr>
            <w:tcW w:type="dxa" w:w="1700"/>
            <w:tcMar>
              <w:top w:w="50" w:type="dxa"/>
              <w:bottom w:w="50" w:type="dxa"/>
              <w:left w:w="90" w:type="dxa"/>
              <w:right w:w="90" w:type="dxa"/>
            </w:tcMar>
          </w:tcPr>
          <w:p>
            <w:pPr>
              <w:pStyle w:val="BDOITable"/>
            </w:pPr>
            <w:r>
              <w:rPr>
                <w:sz w:val="15"/>
              </w:rPr>
              <w:t>Program Manager (BPS), ACSL product owners</w:t>
            </w:r>
          </w:p>
        </w:tc>
        <w:tc>
          <w:tcPr>
            <w:tcW w:type="dxa" w:w="2153"/>
            <w:tcMar>
              <w:top w:w="50" w:type="dxa"/>
              <w:bottom w:w="50" w:type="dxa"/>
              <w:left w:w="90" w:type="dxa"/>
              <w:right w:w="90" w:type="dxa"/>
            </w:tcMar>
          </w:tcPr>
          <w:p>
            <w:pPr>
              <w:pStyle w:val="BDOITable"/>
            </w:pPr>
            <w:r>
              <w:rPr>
                <w:sz w:val="15"/>
              </w:rPr>
              <w:t>Comptrollership and Operations PO, Head - Comptrollership</w:t>
            </w:r>
          </w:p>
        </w:tc>
      </w:tr>
      <w:tr>
        <w:tc>
          <w:tcPr>
            <w:tcW w:type="dxa" w:w="2946"/>
            <w:tcMar>
              <w:top w:w="50" w:type="dxa"/>
              <w:bottom w:w="50" w:type="dxa"/>
              <w:left w:w="90" w:type="dxa"/>
              <w:right w:w="90" w:type="dxa"/>
            </w:tcMar>
            <w:shd w:val="clear" w:color="auto" w:fill="E5F5FF"/>
          </w:tcPr>
          <w:p>
            <w:pPr>
              <w:pStyle w:val="BDOITable"/>
            </w:pPr>
            <w:r>
              <w:rPr>
                <w:b/>
                <w:sz w:val="15"/>
              </w:rPr>
              <w:t>Walkthroughs (end-to-end, screen by screen)</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MBS input</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Head - Comptrollership</w:t>
            </w:r>
          </w:p>
        </w:tc>
      </w:tr>
      <w:tr>
        <w:tc>
          <w:tcPr>
            <w:tcW w:type="dxa" w:w="2946"/>
            <w:tcMar>
              <w:top w:w="50" w:type="dxa"/>
              <w:bottom w:w="50" w:type="dxa"/>
              <w:left w:w="90" w:type="dxa"/>
              <w:right w:w="90" w:type="dxa"/>
            </w:tcMar>
          </w:tcPr>
          <w:p>
            <w:pPr>
              <w:pStyle w:val="BDOITable"/>
            </w:pPr>
            <w:r>
              <w:rPr>
                <w:b/>
                <w:sz w:val="15"/>
              </w:rPr>
              <w:t>Proposed business rules and clarifications for confirmation</w:t>
            </w:r>
          </w:p>
        </w:tc>
        <w:tc>
          <w:tcPr>
            <w:tcW w:type="dxa" w:w="1360"/>
            <w:tcMar>
              <w:top w:w="50" w:type="dxa"/>
              <w:bottom w:w="50" w:type="dxa"/>
              <w:left w:w="90" w:type="dxa"/>
              <w:right w:w="90" w:type="dxa"/>
            </w:tcMar>
          </w:tcPr>
          <w:p>
            <w:pPr>
              <w:pStyle w:val="BDOITable"/>
            </w:pPr>
            <w:r>
              <w:rPr>
                <w:sz w:val="15"/>
              </w:rPr>
              <w:t>iorta TechNXT, BA (BPS)</w:t>
            </w:r>
          </w:p>
        </w:tc>
        <w:tc>
          <w:tcPr>
            <w:tcW w:type="dxa" w:w="1813"/>
            <w:tcMar>
              <w:top w:w="50" w:type="dxa"/>
              <w:bottom w:w="50" w:type="dxa"/>
              <w:left w:w="90" w:type="dxa"/>
              <w:right w:w="90" w:type="dxa"/>
            </w:tcMar>
          </w:tcPr>
          <w:p>
            <w:pPr>
              <w:pStyle w:val="BDOITable"/>
            </w:pPr>
            <w:r>
              <w:rPr>
                <w:sz w:val="15"/>
              </w:rPr>
              <w:t>MBS input</w:t>
            </w:r>
          </w:p>
        </w:tc>
        <w:tc>
          <w:tcPr>
            <w:tcW w:type="dxa" w:w="1700"/>
            <w:tcMar>
              <w:top w:w="50" w:type="dxa"/>
              <w:bottom w:w="50" w:type="dxa"/>
              <w:left w:w="90" w:type="dxa"/>
              <w:right w:w="90" w:type="dxa"/>
            </w:tcMar>
          </w:tcPr>
          <w:p>
            <w:pPr>
              <w:pStyle w:val="BDOITable"/>
            </w:pPr>
            <w:r>
              <w:rPr>
                <w:sz w:val="15"/>
              </w:rPr>
              <w:t>Program Manager (BPS), ACSL product owners</w:t>
            </w:r>
          </w:p>
        </w:tc>
        <w:tc>
          <w:tcPr>
            <w:tcW w:type="dxa" w:w="2153"/>
            <w:tcMar>
              <w:top w:w="50" w:type="dxa"/>
              <w:bottom w:w="50" w:type="dxa"/>
              <w:left w:w="90" w:type="dxa"/>
              <w:right w:w="90" w:type="dxa"/>
            </w:tcMar>
          </w:tcPr>
          <w:p>
            <w:pPr>
              <w:pStyle w:val="BDOITable"/>
            </w:pPr>
            <w:r>
              <w:rPr>
                <w:sz w:val="15"/>
              </w:rPr>
              <w:t>Head - Comptrollership, FRBS and ACSL PO, Disbursement PO, Product Owner (Marketing)</w:t>
            </w:r>
          </w:p>
        </w:tc>
      </w:tr>
      <w:tr>
        <w:tc>
          <w:tcPr>
            <w:tcW w:type="dxa" w:w="2946"/>
            <w:tcMar>
              <w:top w:w="50" w:type="dxa"/>
              <w:bottom w:w="50" w:type="dxa"/>
              <w:left w:w="90" w:type="dxa"/>
              <w:right w:w="90" w:type="dxa"/>
            </w:tcMar>
            <w:shd w:val="clear" w:color="auto" w:fill="E5F5FF"/>
          </w:tcPr>
          <w:p>
            <w:pPr>
              <w:pStyle w:val="BDOITable"/>
            </w:pPr>
            <w:r>
              <w:rPr>
                <w:b/>
                <w:sz w:val="15"/>
              </w:rPr>
              <w:t>Scheduled runs and files, bank files and forms, user access and menus by persona</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MBS input</w:t>
            </w:r>
          </w:p>
        </w:tc>
        <w:tc>
          <w:tcPr>
            <w:tcW w:type="dxa" w:w="1700"/>
            <w:tcMar>
              <w:top w:w="50" w:type="dxa"/>
              <w:bottom w:w="50" w:type="dxa"/>
              <w:left w:w="90" w:type="dxa"/>
              <w:right w:w="90" w:type="dxa"/>
            </w:tcMar>
            <w:shd w:val="clear" w:color="auto" w:fill="E5F5FF"/>
          </w:tcPr>
          <w:p>
            <w:pPr>
              <w:pStyle w:val="BDOITable"/>
            </w:pPr>
            <w:r>
              <w:rPr>
                <w:sz w:val="15"/>
              </w:rPr>
              <w:t>BDOI IT, Program Manager (BPS)</w:t>
            </w:r>
          </w:p>
        </w:tc>
        <w:tc>
          <w:tcPr>
            <w:tcW w:type="dxa" w:w="2153"/>
            <w:tcMar>
              <w:top w:w="50" w:type="dxa"/>
              <w:bottom w:w="50" w:type="dxa"/>
              <w:left w:w="90" w:type="dxa"/>
              <w:right w:w="90" w:type="dxa"/>
            </w:tcMar>
            <w:shd w:val="clear" w:color="auto" w:fill="E5F5FF"/>
          </w:tcPr>
          <w:p>
            <w:pPr>
              <w:pStyle w:val="BDOITable"/>
            </w:pPr>
            <w:r>
              <w:rPr>
                <w:sz w:val="15"/>
              </w:rPr>
              <w:t>Head - Comptrollership</w:t>
            </w:r>
          </w:p>
        </w:tc>
      </w:tr>
      <w:tr>
        <w:tc>
          <w:tcPr>
            <w:tcW w:type="dxa" w:w="2946"/>
            <w:tcMar>
              <w:top w:w="50" w:type="dxa"/>
              <w:bottom w:w="50" w:type="dxa"/>
              <w:left w:w="90" w:type="dxa"/>
              <w:right w:w="90" w:type="dxa"/>
            </w:tcMar>
          </w:tcPr>
          <w:p>
            <w:pPr>
              <w:pStyle w:val="BDOITable"/>
            </w:pPr>
            <w:r>
              <w:rPr>
                <w:b/>
                <w:sz w:val="15"/>
              </w:rPr>
              <w:t>Test plan (04 workbook, 05 summary)</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MBS input</w:t>
            </w:r>
          </w:p>
        </w:tc>
        <w:tc>
          <w:tcPr>
            <w:tcW w:type="dxa" w:w="1700"/>
            <w:tcMar>
              <w:top w:w="50" w:type="dxa"/>
              <w:bottom w:w="50" w:type="dxa"/>
              <w:left w:w="90" w:type="dxa"/>
              <w:right w:w="90" w:type="dxa"/>
            </w:tcMar>
          </w:tcPr>
          <w:p>
            <w:pPr>
              <w:pStyle w:val="BDOITable"/>
            </w:pPr>
            <w:r>
              <w:rPr>
                <w:sz w:val="15"/>
              </w:rPr>
              <w:t>Program Manager (BPS), BDOI IT</w:t>
            </w:r>
          </w:p>
        </w:tc>
        <w:tc>
          <w:tcPr>
            <w:tcW w:type="dxa" w:w="2153"/>
            <w:tcMar>
              <w:top w:w="50" w:type="dxa"/>
              <w:bottom w:w="50" w:type="dxa"/>
              <w:left w:w="90" w:type="dxa"/>
              <w:right w:w="90" w:type="dxa"/>
            </w:tcMar>
          </w:tcPr>
          <w:p>
            <w:pPr>
              <w:pStyle w:val="BDOITable"/>
            </w:pPr>
            <w:r>
              <w:rPr>
                <w:sz w:val="15"/>
              </w:rPr>
              <w:t>Head - Comptrollership</w:t>
            </w:r>
          </w:p>
        </w:tc>
      </w:tr>
      <w:tr>
        <w:tc>
          <w:tcPr>
            <w:tcW w:type="dxa" w:w="2946"/>
            <w:tcMar>
              <w:top w:w="50" w:type="dxa"/>
              <w:bottom w:w="50" w:type="dxa"/>
              <w:left w:w="90" w:type="dxa"/>
              <w:right w:w="90" w:type="dxa"/>
            </w:tcMar>
            <w:shd w:val="clear" w:color="auto" w:fill="E5F5FF"/>
          </w:tcPr>
          <w:p>
            <w:pPr>
              <w:pStyle w:val="BDOITable"/>
            </w:pPr>
            <w:r>
              <w:rPr>
                <w:b/>
                <w:sz w:val="15"/>
              </w:rPr>
              <w:t>UX screen deck, UX screen register and image package (07 to 09, for the BDOI UX Design team; the screens as specified in this set)</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MBS input</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Head - Comptrollership</w:t>
            </w:r>
          </w:p>
        </w:tc>
      </w:tr>
      <w:tr>
        <w:tc>
          <w:tcPr>
            <w:tcW w:type="dxa" w:w="2946"/>
            <w:tcMar>
              <w:top w:w="50" w:type="dxa"/>
              <w:bottom w:w="50" w:type="dxa"/>
              <w:left w:w="90" w:type="dxa"/>
              <w:right w:w="90" w:type="dxa"/>
            </w:tcMar>
          </w:tcPr>
          <w:p>
            <w:pPr>
              <w:pStyle w:val="BDOITable"/>
            </w:pPr>
            <w:r>
              <w:rPr>
                <w:b/>
                <w:sz w:val="15"/>
              </w:rPr>
              <w:t>Technical Specification (separate document, not part of the business sign-off)</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BDOI IT</w:t>
            </w:r>
          </w:p>
        </w:tc>
        <w:tc>
          <w:tcPr>
            <w:tcW w:type="dxa" w:w="1700"/>
            <w:tcMar>
              <w:top w:w="50" w:type="dxa"/>
              <w:bottom w:w="50" w:type="dxa"/>
              <w:left w:w="90" w:type="dxa"/>
              <w:right w:w="90" w:type="dxa"/>
            </w:tcMar>
          </w:tcPr>
          <w:p>
            <w:pPr>
              <w:pStyle w:val="BDOITable"/>
            </w:pPr>
            <w:r>
              <w:rPr>
                <w:sz w:val="15"/>
              </w:rPr>
              <w:t>BDOI IT</w:t>
            </w:r>
          </w:p>
        </w:tc>
        <w:tc>
          <w:tcPr>
            <w:tcW w:type="dxa" w:w="2153"/>
            <w:tcMar>
              <w:top w:w="50" w:type="dxa"/>
              <w:bottom w:w="50" w:type="dxa"/>
              <w:left w:w="90" w:type="dxa"/>
              <w:right w:w="90" w:type="dxa"/>
            </w:tcMar>
          </w:tcPr>
          <w:p>
            <w:pPr>
              <w:pStyle w:val="BDOITable"/>
            </w:pPr>
            <w:r>
              <w:rPr>
                <w:sz w:val="15"/>
              </w:rPr>
              <w:t>BDOI IT</w:t>
            </w:r>
          </w:p>
        </w:tc>
      </w:tr>
    </w:tbl>
    <w:p>
      <w:pPr>
        <w:pStyle w:val="BDOISpacer"/>
      </w:pPr>
    </w:p>
    <w:p>
      <w:pPr>
        <w:pStyle w:val="Caption"/>
        <w:keepNext/>
        <w:spacing w:after="60"/>
      </w:pPr>
      <w:r>
        <w:rPr>
          <w:b/>
          <w:i w:val="0"/>
        </w:rPr>
        <w:t xml:space="preserve">Table 6: </w:t>
      </w:r>
      <w:r>
        <w:rPr/>
        <w:t>Signatories and what each confirms (BRD-5 approval sheets: main BRD p.141-142 (Prepared, Input Provided, Reviewed, Approved by), Addendum 1 p.39-40 and the Workshop Addendum p.15-16)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6"/>
        <w:gridCol w:w="2833"/>
        <w:gridCol w:w="3853"/>
        <w:gridCol w:w="2039"/>
      </w:tblGrid>
      <w:tr>
        <w:trPr>
          <w:tblHeader w:val="true"/>
          <w:cantSplit w:val="true"/>
        </w:trPr>
        <w:tc>
          <w:tcPr>
            <w:tcW w:type="dxa" w:w="1246"/>
            <w:shd w:val="clear" w:color="auto" w:fill="004EA8"/>
            <w:tcMar>
              <w:top w:w="50" w:type="dxa"/>
              <w:bottom w:w="50" w:type="dxa"/>
              <w:left w:w="90" w:type="dxa"/>
              <w:right w:w="90" w:type="dxa"/>
            </w:tcMar>
            <w:vAlign w:val="center"/>
          </w:tcPr>
          <w:p>
            <w:pPr>
              <w:pStyle w:val="BDOITableHeader"/>
            </w:pPr>
            <w:r>
              <w:rPr>
                <w:b/>
                <w:color w:val="FFFFFF"/>
                <w:sz w:val="15"/>
              </w:rPr>
              <w:t>Capacity</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5"/>
              </w:rPr>
              <w:t>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5"/>
              </w:rPr>
              <w:t>Confirms by signing</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On the BRD approval sheet</w:t>
            </w:r>
          </w:p>
        </w:tc>
      </w:tr>
      <w:tr>
        <w:tc>
          <w:tcPr>
            <w:tcW w:type="dxa" w:w="1246"/>
            <w:tcMar>
              <w:top w:w="50" w:type="dxa"/>
              <w:bottom w:w="50" w:type="dxa"/>
              <w:left w:w="90" w:type="dxa"/>
              <w:right w:w="90" w:type="dxa"/>
            </w:tcMar>
          </w:tcPr>
          <w:p>
            <w:pPr>
              <w:pStyle w:val="BDOITable"/>
            </w:pPr>
            <w:r>
              <w:rPr>
                <w:sz w:val="15"/>
              </w:rPr>
              <w:t>Prepared by</w:t>
            </w:r>
          </w:p>
        </w:tc>
        <w:tc>
          <w:tcPr>
            <w:tcW w:type="dxa" w:w="2833"/>
            <w:tcMar>
              <w:top w:w="50" w:type="dxa"/>
              <w:bottom w:w="50" w:type="dxa"/>
              <w:left w:w="90" w:type="dxa"/>
              <w:right w:w="90" w:type="dxa"/>
            </w:tcMar>
          </w:tcPr>
          <w:p>
            <w:pPr>
              <w:pStyle w:val="BDOITable"/>
            </w:pPr>
            <w:r>
              <w:rPr>
                <w:sz w:val="15"/>
              </w:rPr>
              <w:t>iorta TechNXT project team: Project Manager, Business Analysis, test lead (iorta TechNXT)</w:t>
            </w:r>
          </w:p>
        </w:tc>
        <w:tc>
          <w:tcPr>
            <w:tcW w:type="dxa" w:w="3853"/>
            <w:tcMar>
              <w:top w:w="50" w:type="dxa"/>
              <w:bottom w:w="50" w:type="dxa"/>
              <w:left w:w="90" w:type="dxa"/>
              <w:right w:w="90" w:type="dxa"/>
            </w:tcMar>
          </w:tcPr>
          <w:p>
            <w:pPr>
              <w:pStyle w:val="BDOITable"/>
            </w:pPr>
            <w:r>
              <w:rPr>
                <w:sz w:val="15"/>
              </w:rPr>
              <w:t>The set is complete and consistent as issued, traced to the BRD and to the screens; every comment is answered in the comments log</w:t>
            </w:r>
          </w:p>
        </w:tc>
        <w:tc>
          <w:tcPr>
            <w:tcW w:type="dxa" w:w="2040"/>
            <w:tcMar>
              <w:top w:w="50" w:type="dxa"/>
              <w:bottom w:w="50" w:type="dxa"/>
              <w:left w:w="90" w:type="dxa"/>
              <w:right w:w="90" w:type="dxa"/>
            </w:tcMar>
          </w:tcPr>
          <w:p>
            <w:pPr>
              <w:pStyle w:val="BDOITable"/>
            </w:pPr>
            <w:r>
              <w:rPr>
                <w:sz w:val="15"/>
              </w:rPr>
              <w:t>Added for this set (author of the FRS set)</w:t>
            </w:r>
          </w:p>
        </w:tc>
      </w:tr>
      <w:tr>
        <w:tc>
          <w:tcPr>
            <w:tcW w:type="dxa" w:w="1246"/>
            <w:tcMar>
              <w:top w:w="50" w:type="dxa"/>
              <w:bottom w:w="50" w:type="dxa"/>
              <w:left w:w="90" w:type="dxa"/>
              <w:right w:w="90" w:type="dxa"/>
            </w:tcMar>
            <w:shd w:val="clear" w:color="auto" w:fill="E5F5FF"/>
          </w:tcPr>
          <w:p>
            <w:pPr>
              <w:pStyle w:val="BDOITable"/>
            </w:pPr>
            <w:r>
              <w:rPr>
                <w:sz w:val="15"/>
              </w:rPr>
              <w:t>Prepared by</w:t>
            </w:r>
          </w:p>
        </w:tc>
        <w:tc>
          <w:tcPr>
            <w:tcW w:type="dxa" w:w="2833"/>
            <w:tcMar>
              <w:top w:w="50" w:type="dxa"/>
              <w:bottom w:w="50" w:type="dxa"/>
              <w:left w:w="90" w:type="dxa"/>
              <w:right w:w="90" w:type="dxa"/>
            </w:tcMar>
            <w:shd w:val="clear" w:color="auto" w:fill="E5F5FF"/>
          </w:tcPr>
          <w:p>
            <w:pPr>
              <w:pStyle w:val="BDOITable"/>
            </w:pPr>
            <w:r>
              <w:rPr>
                <w:sz w:val="15"/>
              </w:rPr>
              <w:t>Business Analysts, Enterprise Services Group - Business Project Services (BPS) (Roda Lyn D. Gallardo; Zean C. Ibay and Jane Tagle for the Workshop Addendum) (BDO Unibank ESG)</w:t>
            </w:r>
          </w:p>
        </w:tc>
        <w:tc>
          <w:tcPr>
            <w:tcW w:type="dxa" w:w="3853"/>
            <w:tcMar>
              <w:top w:w="50" w:type="dxa"/>
              <w:bottom w:w="50" w:type="dxa"/>
              <w:left w:w="90" w:type="dxa"/>
              <w:right w:w="90" w:type="dxa"/>
            </w:tcMar>
            <w:shd w:val="clear" w:color="auto" w:fill="E5F5FF"/>
          </w:tcPr>
          <w:p>
            <w:pPr>
              <w:pStyle w:val="BDOITable"/>
            </w:pPr>
            <w:r>
              <w:rPr>
                <w:sz w:val="15"/>
              </w:rPr>
              <w:t>The set states the BRD requirements as written; every departure is listed in the proposed rules and clarifications</w:t>
            </w:r>
          </w:p>
        </w:tc>
        <w:tc>
          <w:tcPr>
            <w:tcW w:type="dxa" w:w="2040"/>
            <w:tcMar>
              <w:top w:w="50" w:type="dxa"/>
              <w:bottom w:w="50" w:type="dxa"/>
              <w:left w:w="90" w:type="dxa"/>
              <w:right w:w="90" w:type="dxa"/>
            </w:tcMar>
            <w:shd w:val="clear" w:color="auto" w:fill="E5F5FF"/>
          </w:tcPr>
          <w:p>
            <w:pPr>
              <w:pStyle w:val="BDOITable"/>
            </w:pPr>
            <w:r>
              <w:rPr>
                <w:sz w:val="15"/>
              </w:rPr>
              <w:t>Prepared by (p.141, p.39, p.15)</w:t>
            </w:r>
          </w:p>
        </w:tc>
      </w:tr>
      <w:tr>
        <w:tc>
          <w:tcPr>
            <w:tcW w:type="dxa" w:w="1246"/>
            <w:tcMar>
              <w:top w:w="50" w:type="dxa"/>
              <w:bottom w:w="50" w:type="dxa"/>
              <w:left w:w="90" w:type="dxa"/>
              <w:right w:w="90" w:type="dxa"/>
            </w:tcMar>
          </w:tcPr>
          <w:p>
            <w:pPr>
              <w:pStyle w:val="BDOITable"/>
            </w:pPr>
            <w:r>
              <w:rPr>
                <w:sz w:val="15"/>
              </w:rPr>
              <w:t>Input provided by</w:t>
            </w:r>
          </w:p>
        </w:tc>
        <w:tc>
          <w:tcPr>
            <w:tcW w:type="dxa" w:w="2833"/>
            <w:tcMar>
              <w:top w:w="50" w:type="dxa"/>
              <w:bottom w:w="50" w:type="dxa"/>
              <w:left w:w="90" w:type="dxa"/>
              <w:right w:w="90" w:type="dxa"/>
            </w:tcMar>
          </w:tcPr>
          <w:p>
            <w:pPr>
              <w:pStyle w:val="BDOITable"/>
            </w:pPr>
            <w:r>
              <w:rPr>
                <w:sz w:val="15"/>
              </w:rPr>
              <w:t>Marketing Business Services and System Support (MBS Team) (Ma. Fides Rivera; Ruby Evangelista and Darryl Castillo for the Workshop Addendum) (BDOI)</w:t>
            </w:r>
          </w:p>
        </w:tc>
        <w:tc>
          <w:tcPr>
            <w:tcW w:type="dxa" w:w="3853"/>
            <w:tcMar>
              <w:top w:w="50" w:type="dxa"/>
              <w:bottom w:w="50" w:type="dxa"/>
              <w:left w:w="90" w:type="dxa"/>
              <w:right w:w="90" w:type="dxa"/>
            </w:tcMar>
          </w:tcPr>
          <w:p>
            <w:pPr>
              <w:pStyle w:val="BDOITable"/>
            </w:pPr>
            <w:r>
              <w:rPr>
                <w:sz w:val="15"/>
              </w:rPr>
              <w:t>The non-functional requirements and the Marketing refund and cash-advance request screens, fields, rules and messages match the business input</w:t>
            </w:r>
          </w:p>
        </w:tc>
        <w:tc>
          <w:tcPr>
            <w:tcW w:type="dxa" w:w="2040"/>
            <w:tcMar>
              <w:top w:w="50" w:type="dxa"/>
              <w:bottom w:w="50" w:type="dxa"/>
              <w:left w:w="90" w:type="dxa"/>
              <w:right w:w="90" w:type="dxa"/>
            </w:tcMar>
          </w:tcPr>
          <w:p>
            <w:pPr>
              <w:pStyle w:val="BDOITable"/>
            </w:pPr>
            <w:r>
              <w:rPr>
                <w:sz w:val="15"/>
              </w:rPr>
              <w:t>Input Provided by (p.141, p.39, p.15)</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Program Manager, Enterprise Services Group - Business Project Services (BPS) (Dan Ace R. Cauton) (BDO Unibank ESG)</w:t>
            </w:r>
          </w:p>
        </w:tc>
        <w:tc>
          <w:tcPr>
            <w:tcW w:type="dxa" w:w="3853"/>
            <w:tcMar>
              <w:top w:w="50" w:type="dxa"/>
              <w:bottom w:w="50" w:type="dxa"/>
              <w:left w:w="90" w:type="dxa"/>
              <w:right w:w="90" w:type="dxa"/>
            </w:tcMar>
            <w:shd w:val="clear" w:color="auto" w:fill="E5F5FF"/>
          </w:tcPr>
          <w:p>
            <w:pPr>
              <w:pStyle w:val="BDOITable"/>
            </w:pPr>
            <w:r>
              <w:rPr>
                <w:sz w:val="15"/>
              </w:rPr>
              <w:t>Traceability of every BRD requirement to the set and completeness of the set</w:t>
            </w:r>
          </w:p>
        </w:tc>
        <w:tc>
          <w:tcPr>
            <w:tcW w:type="dxa" w:w="2040"/>
            <w:tcMar>
              <w:top w:w="50" w:type="dxa"/>
              <w:bottom w:w="50" w:type="dxa"/>
              <w:left w:w="90" w:type="dxa"/>
              <w:right w:w="90" w:type="dxa"/>
            </w:tcMar>
            <w:shd w:val="clear" w:color="auto" w:fill="E5F5FF"/>
          </w:tcPr>
          <w:p>
            <w:pPr>
              <w:pStyle w:val="BDOITable"/>
            </w:pPr>
            <w:r>
              <w:rPr>
                <w:sz w:val="15"/>
              </w:rPr>
              <w:t>Reviewed by (p.141, p.39, p.16)</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Product Owners - Comptrollership - ACSL (Freddie A. Atanque, Jennifer T. Lugtu) (BDOI)</w:t>
            </w:r>
          </w:p>
        </w:tc>
        <w:tc>
          <w:tcPr>
            <w:tcW w:type="dxa" w:w="3853"/>
            <w:tcMar>
              <w:top w:w="50" w:type="dxa"/>
              <w:bottom w:w="50" w:type="dxa"/>
              <w:left w:w="90" w:type="dxa"/>
              <w:right w:w="90" w:type="dxa"/>
            </w:tcMar>
          </w:tcPr>
          <w:p>
            <w:pPr>
              <w:pStyle w:val="BDOITable"/>
            </w:pPr>
            <w:r>
              <w:rPr>
                <w:sz w:val="15"/>
              </w:rPr>
              <w:t>The ACSL screens, the reconciliations, cases, corrections and remittance deductions, and the accounting entries they post</w:t>
            </w:r>
          </w:p>
        </w:tc>
        <w:tc>
          <w:tcPr>
            <w:tcW w:type="dxa" w:w="2040"/>
            <w:tcMar>
              <w:top w:w="50" w:type="dxa"/>
              <w:bottom w:w="50" w:type="dxa"/>
              <w:left w:w="90" w:type="dxa"/>
              <w:right w:w="90" w:type="dxa"/>
            </w:tcMar>
          </w:tcPr>
          <w:p>
            <w:pPr>
              <w:pStyle w:val="BDOITable"/>
            </w:pPr>
            <w:r>
              <w:rPr>
                <w:sz w:val="15"/>
              </w:rPr>
              <w:t>Reviewed by (p.141, p.40); Input Provided by (p.15)</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BDOI Information Technology Group (Carmela A. Morfe, Yonille D. Guy, Abegail R. Panghulan, Nelda R. Ranchez) (BDOI)</w:t>
            </w:r>
          </w:p>
        </w:tc>
        <w:tc>
          <w:tcPr>
            <w:tcW w:type="dxa" w:w="3853"/>
            <w:tcMar>
              <w:top w:w="50" w:type="dxa"/>
              <w:bottom w:w="50" w:type="dxa"/>
              <w:left w:w="90" w:type="dxa"/>
              <w:right w:w="90" w:type="dxa"/>
            </w:tcMar>
            <w:shd w:val="clear" w:color="auto" w:fill="E5F5FF"/>
          </w:tcPr>
          <w:p>
            <w:pPr>
              <w:pStyle w:val="BDOITable"/>
            </w:pPr>
            <w:r>
              <w:rPr>
                <w:sz w:val="15"/>
              </w:rPr>
              <w:t>Scheduled runs and files, the bank files and forms, user access and menus, the hand-offs inside BIBS and the Technical Specification (a separate document); not the business screens</w:t>
            </w:r>
          </w:p>
        </w:tc>
        <w:tc>
          <w:tcPr>
            <w:tcW w:type="dxa" w:w="2040"/>
            <w:tcMar>
              <w:top w:w="50" w:type="dxa"/>
              <w:bottom w:w="50" w:type="dxa"/>
              <w:left w:w="90" w:type="dxa"/>
              <w:right w:w="90" w:type="dxa"/>
            </w:tcMar>
            <w:shd w:val="clear" w:color="auto" w:fill="E5F5FF"/>
          </w:tcPr>
          <w:p>
            <w:pPr>
              <w:pStyle w:val="BDOITable"/>
            </w:pPr>
            <w:r>
              <w:rPr>
                <w:sz w:val="15"/>
              </w:rPr>
              <w:t>Reviewed by (p.39)</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Marketing Business Services and System Support (Rhommel Mark Galler) (BDOI)</w:t>
            </w:r>
          </w:p>
        </w:tc>
        <w:tc>
          <w:tcPr>
            <w:tcW w:type="dxa" w:w="3853"/>
            <w:tcMar>
              <w:top w:w="50" w:type="dxa"/>
              <w:bottom w:w="50" w:type="dxa"/>
              <w:left w:w="90" w:type="dxa"/>
              <w:right w:w="90" w:type="dxa"/>
            </w:tcMar>
          </w:tcPr>
          <w:p>
            <w:pPr>
              <w:pStyle w:val="BDOITable"/>
            </w:pPr>
            <w:r>
              <w:rPr>
                <w:sz w:val="15"/>
              </w:rPr>
              <w:t>The Workshop Addendum functions for Marketing: the cost centres of the payments and the incentives</w:t>
            </w:r>
          </w:p>
        </w:tc>
        <w:tc>
          <w:tcPr>
            <w:tcW w:type="dxa" w:w="2040"/>
            <w:tcMar>
              <w:top w:w="50" w:type="dxa"/>
              <w:bottom w:w="50" w:type="dxa"/>
              <w:left w:w="90" w:type="dxa"/>
              <w:right w:w="90" w:type="dxa"/>
            </w:tcMar>
          </w:tcPr>
          <w:p>
            <w:pPr>
              <w:pStyle w:val="BDOITable"/>
            </w:pPr>
            <w:r>
              <w:rPr>
                <w:sz w:val="15"/>
              </w:rPr>
              <w:t>Reviewed by (p.16)</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Product Owner - Comptrollership - Disbursement (Rodrigo R. Dela Cruz) (BDOI)</w:t>
            </w:r>
          </w:p>
        </w:tc>
        <w:tc>
          <w:tcPr>
            <w:tcW w:type="dxa" w:w="3853"/>
            <w:tcMar>
              <w:top w:w="50" w:type="dxa"/>
              <w:bottom w:w="50" w:type="dxa"/>
              <w:left w:w="90" w:type="dxa"/>
              <w:right w:w="90" w:type="dxa"/>
            </w:tcMar>
            <w:shd w:val="clear" w:color="auto" w:fill="E5F5FF"/>
          </w:tcPr>
          <w:p>
            <w:pPr>
              <w:pStyle w:val="BDOITable"/>
            </w:pPr>
            <w:r>
              <w:rPr>
                <w:sz w:val="15"/>
              </w:rPr>
              <w:t>The Disbursement screens, fields, rules, messages, documents and bank files</w:t>
            </w:r>
          </w:p>
        </w:tc>
        <w:tc>
          <w:tcPr>
            <w:tcW w:type="dxa" w:w="2040"/>
            <w:tcMar>
              <w:top w:w="50" w:type="dxa"/>
              <w:bottom w:w="50" w:type="dxa"/>
              <w:left w:w="90" w:type="dxa"/>
              <w:right w:w="90" w:type="dxa"/>
            </w:tcMar>
            <w:shd w:val="clear" w:color="auto" w:fill="E5F5FF"/>
          </w:tcPr>
          <w:p>
            <w:pPr>
              <w:pStyle w:val="BDOITable"/>
            </w:pPr>
            <w:r>
              <w:rPr>
                <w:sz w:val="15"/>
              </w:rPr>
              <w:t>Approved by (p.141, p.40); Input Provided by (p.15)</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Product Owner - Comptrollership - FRBS and ACSL (Iris S. Marquez) (BDOI)</w:t>
            </w:r>
          </w:p>
        </w:tc>
        <w:tc>
          <w:tcPr>
            <w:tcW w:type="dxa" w:w="3853"/>
            <w:tcMar>
              <w:top w:w="50" w:type="dxa"/>
              <w:bottom w:w="50" w:type="dxa"/>
              <w:left w:w="90" w:type="dxa"/>
              <w:right w:w="90" w:type="dxa"/>
            </w:tcMar>
          </w:tcPr>
          <w:p>
            <w:pPr>
              <w:pStyle w:val="BDOITable"/>
            </w:pPr>
            <w:r>
              <w:rPr>
                <w:sz w:val="15"/>
              </w:rPr>
              <w:t>The general ledger, closing, bank reconciliation, report pack, service fee and ACSL screens, rules and messages</w:t>
            </w:r>
          </w:p>
        </w:tc>
        <w:tc>
          <w:tcPr>
            <w:tcW w:type="dxa" w:w="2040"/>
            <w:tcMar>
              <w:top w:w="50" w:type="dxa"/>
              <w:bottom w:w="50" w:type="dxa"/>
              <w:left w:w="90" w:type="dxa"/>
              <w:right w:w="90" w:type="dxa"/>
            </w:tcMar>
          </w:tcPr>
          <w:p>
            <w:pPr>
              <w:pStyle w:val="BDOITable"/>
            </w:pPr>
            <w:r>
              <w:rPr>
                <w:sz w:val="15"/>
              </w:rPr>
              <w:t>Approved by (p.141, p.40); Input Provided by (p.15)</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Product Owner - Comptrollership and Operations (Perjelyn Joy R. Gutierrez) (BDOI)</w:t>
            </w:r>
          </w:p>
        </w:tc>
        <w:tc>
          <w:tcPr>
            <w:tcW w:type="dxa" w:w="3853"/>
            <w:tcMar>
              <w:top w:w="50" w:type="dxa"/>
              <w:bottom w:w="50" w:type="dxa"/>
              <w:left w:w="90" w:type="dxa"/>
              <w:right w:w="90" w:type="dxa"/>
            </w:tcMar>
            <w:shd w:val="clear" w:color="auto" w:fill="E5F5FF"/>
          </w:tcPr>
          <w:p>
            <w:pPr>
              <w:pStyle w:val="BDOITable"/>
            </w:pPr>
            <w:r>
              <w:rPr>
                <w:sz w:val="15"/>
              </w:rPr>
              <w:t>The hand-offs with Operations: remittance payments, refund validations, payment reversals, remittance deductions and the regularisation of cancelled vouchers</w:t>
            </w:r>
          </w:p>
        </w:tc>
        <w:tc>
          <w:tcPr>
            <w:tcW w:type="dxa" w:w="2040"/>
            <w:tcMar>
              <w:top w:w="50" w:type="dxa"/>
              <w:bottom w:w="50" w:type="dxa"/>
              <w:left w:w="90" w:type="dxa"/>
              <w:right w:w="90" w:type="dxa"/>
            </w:tcMar>
            <w:shd w:val="clear" w:color="auto" w:fill="E5F5FF"/>
          </w:tcPr>
          <w:p>
            <w:pPr>
              <w:pStyle w:val="BDOITable"/>
            </w:pPr>
            <w:r>
              <w:rPr>
                <w:sz w:val="15"/>
              </w:rPr>
              <w:t>Approved by (p.142)</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Product Owner - Marketing, Processing and Collections, AVP (Shellah Marie C. Miranda) (BDOI)</w:t>
            </w:r>
          </w:p>
        </w:tc>
        <w:tc>
          <w:tcPr>
            <w:tcW w:type="dxa" w:w="3853"/>
            <w:tcMar>
              <w:top w:w="50" w:type="dxa"/>
              <w:bottom w:w="50" w:type="dxa"/>
              <w:left w:w="90" w:type="dxa"/>
              <w:right w:w="90" w:type="dxa"/>
            </w:tcMar>
          </w:tcPr>
          <w:p>
            <w:pPr>
              <w:pStyle w:val="BDOITable"/>
            </w:pPr>
            <w:r>
              <w:rPr>
                <w:sz w:val="15"/>
              </w:rPr>
              <w:t>The Marketing refund, cash-advance and check-cancellation requests</w:t>
            </w:r>
          </w:p>
        </w:tc>
        <w:tc>
          <w:tcPr>
            <w:tcW w:type="dxa" w:w="2040"/>
            <w:tcMar>
              <w:top w:w="50" w:type="dxa"/>
              <w:bottom w:w="50" w:type="dxa"/>
              <w:left w:w="90" w:type="dxa"/>
              <w:right w:w="90" w:type="dxa"/>
            </w:tcMar>
          </w:tcPr>
          <w:p>
            <w:pPr>
              <w:pStyle w:val="BDOITable"/>
            </w:pPr>
            <w:r>
              <w:rPr>
                <w:sz w:val="15"/>
              </w:rPr>
              <w:t>Approved by (p.142, p.40, p.16)</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Head - Comptrollership, VP (Ronald Allan E. De Leon) (BDOI)</w:t>
            </w:r>
          </w:p>
        </w:tc>
        <w:tc>
          <w:tcPr>
            <w:tcW w:type="dxa" w:w="3853"/>
            <w:tcMar>
              <w:top w:w="50" w:type="dxa"/>
              <w:bottom w:w="50" w:type="dxa"/>
              <w:left w:w="90" w:type="dxa"/>
              <w:right w:w="90" w:type="dxa"/>
            </w:tcMar>
            <w:shd w:val="clear" w:color="auto" w:fill="E5F5FF"/>
          </w:tcPr>
          <w:p>
            <w:pPr>
              <w:pStyle w:val="BDOITable"/>
            </w:pPr>
            <w:r>
              <w:rPr>
                <w:sz w:val="15"/>
              </w:rPr>
              <w:t>Owns the set for Comptrollership and approves all of its contents</w:t>
            </w:r>
          </w:p>
        </w:tc>
        <w:tc>
          <w:tcPr>
            <w:tcW w:type="dxa" w:w="2040"/>
            <w:tcMar>
              <w:top w:w="50" w:type="dxa"/>
              <w:bottom w:w="50" w:type="dxa"/>
              <w:left w:w="90" w:type="dxa"/>
              <w:right w:w="90" w:type="dxa"/>
            </w:tcMar>
            <w:shd w:val="clear" w:color="auto" w:fill="E5F5FF"/>
          </w:tcPr>
          <w:p>
            <w:pPr>
              <w:pStyle w:val="BDOITable"/>
            </w:pPr>
            <w:r>
              <w:rPr>
                <w:sz w:val="15"/>
              </w:rPr>
              <w:t>Approved by (p.142, p.40, p.16)</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Head - Institutional Banking, SM and BDO Accounts, FVP (Roderick L. Lim; Head - Retail Marketing on the Workshop Addendum) (BDOI)</w:t>
            </w:r>
          </w:p>
        </w:tc>
        <w:tc>
          <w:tcPr>
            <w:tcW w:type="dxa" w:w="3853"/>
            <w:tcMar>
              <w:top w:w="50" w:type="dxa"/>
              <w:bottom w:w="50" w:type="dxa"/>
              <w:left w:w="90" w:type="dxa"/>
              <w:right w:w="90" w:type="dxa"/>
            </w:tcMar>
          </w:tcPr>
          <w:p>
            <w:pPr>
              <w:pStyle w:val="BDOITable"/>
            </w:pPr>
            <w:r>
              <w:rPr>
                <w:sz w:val="15"/>
              </w:rPr>
              <w:t>The Marketing requests and the service fee of the referrers</w:t>
            </w:r>
          </w:p>
        </w:tc>
        <w:tc>
          <w:tcPr>
            <w:tcW w:type="dxa" w:w="2040"/>
            <w:tcMar>
              <w:top w:w="50" w:type="dxa"/>
              <w:bottom w:w="50" w:type="dxa"/>
              <w:left w:w="90" w:type="dxa"/>
              <w:right w:w="90" w:type="dxa"/>
            </w:tcMar>
          </w:tcPr>
          <w:p>
            <w:pPr>
              <w:pStyle w:val="BDOITable"/>
            </w:pPr>
            <w:r>
              <w:rPr>
                <w:sz w:val="15"/>
              </w:rPr>
              <w:t>Approved by (p.142, p.40, p.16)</w:t>
            </w:r>
          </w:p>
        </w:tc>
      </w:tr>
    </w:tbl>
    <w:p>
      <w:pPr>
        <w:pStyle w:val="BDOISpacer"/>
      </w:pPr>
    </w:p>
    <w:p>
      <w:r>
        <w:rPr/>
        <w:t>The signatories sign the Sign-off certificate sheet of the sign-off workbook in the same order: prepared by, input provided by, reviewed by, approved by.</w:t>
      </w:r>
    </w:p>
    <w:p>
      <w:pPr>
        <w:pStyle w:val="Heading1"/>
        <w:pBdr>
          <w:bottom w:val="single" w:sz="4" w:space="4" w:color="99C1E7"/>
        </w:pBdr>
      </w:pPr>
      <w:bookmarkStart w:id="106" w:name="_Toc000106"/>
      <w:r>
        <w:rPr/>
        <w:t>6 Change control after sign-off</w:t>
      </w:r>
      <w:bookmarkEnd w:id="106"/>
    </w:p>
    <w:p>
      <w:r>
        <w:rPr/>
        <w:t>Signing freezes the screens, fields, navigation, actions, business rules, messages, notifications, documents and files, the upload templates and the cross-BRD contract of Accounting, Disbursement, the Marketing requests and ACSL as specified. Configuration values marked "default" (accounting and cost-centre rules, rates, parameters, check series, list entries, report and schedule layouts, form and file layouts, service-fee rates) are not frozen. A change to anything frozen is raised in the Change Management Register with the screen, field, rule or message concerned, assessed with its mandays and its effect on the other BRDs (Disbursement pays the requests of Operations and Marketing and reports back, and ACSL corrects the postings of every module), approved by the owners of every BRD it touches, and delivered as a new version of the set; only the affected pages are signed again.</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Start Here BRD-5 Accounting, Disbursement and ACSL</w:t>
    </w:r>
    <w:r>
      <w:rPr>
        <w:color w:val="656565"/>
        <w:sz w:val="16"/>
      </w:rPr>
      <w:t xml:space="preserve">   Start Here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BIBS StartHere BRD-05 Accounting Disbursement ACSL v2.1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