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QUICK-REFERENCE GUIDE</w:t>
      </w:r>
    </w:p>
    <w:p>
      <w:pPr>
        <w:spacing w:after="80" w:line="240" w:lineRule="auto"/>
      </w:pPr>
      <w:r>
        <w:rPr>
          <w:b/>
          <w:color w:val="004EA8"/>
          <w:sz w:val="56"/>
        </w:rPr>
        <w:t>Quick-Reference Guide: Marketing Account Officer</w:t>
      </w:r>
    </w:p>
    <w:p>
      <w:pPr>
        <w:spacing w:after="40"/>
      </w:pPr>
      <w:r>
        <w:rPr>
          <w:color w:val="2E2E2E"/>
          <w:sz w:val="28"/>
        </w:rPr>
        <w:t>What you do in BIBS, your main tasks step by step, tips and where to get help</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BIBS-QRG-AO</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change and training lead</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FRS walkthroughs and functional requirements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Key users of the Marketing Account Officer persona</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 against the screens in UAT</w:t>
            </w:r>
          </w:p>
        </w:tc>
      </w:tr>
      <w:tr>
        <w:trPr>
          <w:cantSplit w:val="true"/>
        </w:trPr>
        <w:tc>
          <w:tcPr>
            <w:tcW w:type="dxa" w:w="2606"/>
            <w:tcMar>
              <w:top w:w="50" w:type="dxa"/>
              <w:bottom w:w="50" w:type="dxa"/>
              <w:left w:w="90" w:type="dxa"/>
              <w:right w:w="90" w:type="dxa"/>
            </w:tcMar>
          </w:tcPr>
          <w:p>
            <w:pPr>
              <w:pStyle w:val="BDOITable"/>
            </w:pPr>
            <w:r>
              <w:rPr>
                <w:sz w:val="18"/>
              </w:rPr>
              <w:t>BDOI trainers</w:t>
            </w:r>
          </w:p>
        </w:tc>
        <w:tc>
          <w:tcPr>
            <w:tcW w:type="dxa" w:w="2266"/>
            <w:tcMar>
              <w:top w:w="50" w:type="dxa"/>
              <w:bottom w:w="50" w:type="dxa"/>
              <w:left w:w="90" w:type="dxa"/>
              <w:right w:w="90" w:type="dxa"/>
            </w:tcMar>
          </w:tcPr>
          <w:p>
            <w:pPr>
              <w:pStyle w:val="BDOITable"/>
            </w:pPr>
            <w:r>
              <w:rPr>
                <w:sz w:val="18"/>
              </w:rPr>
              <w:t>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End-user training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1 Your role in BIBS</w:t>
        </w:r>
        <w:r>
          <w:t xml:space="preserve">	</w:t>
        </w:r>
        <w:r>
          <w:t xml:space="preserve">4</w:t>
        </w:r>
      </w:hyperlink>
    </w:p>
    <w:p>
      <w:pPr>
        <w:pStyle w:val="toc2"/>
      </w:pPr>
      <w:hyperlink w:anchor="_Toc000102" w:history="1">
        <w:r>
          <w:t xml:space="preserve">1.1 Your menus</w:t>
        </w:r>
        <w:r>
          <w:t xml:space="preserve">	</w:t>
        </w:r>
        <w:r>
          <w:t xml:space="preserve">4</w:t>
        </w:r>
      </w:hyperlink>
    </w:p>
    <w:p>
      <w:pPr>
        <w:pStyle w:val="toc1"/>
      </w:pPr>
      <w:hyperlink w:anchor="_Toc000103" w:history="1">
        <w:r>
          <w:t xml:space="preserve">2 Your main tasks</w:t>
        </w:r>
        <w:r>
          <w:t xml:space="preserve">	</w:t>
        </w:r>
        <w:r>
          <w:t xml:space="preserve">4</w:t>
        </w:r>
      </w:hyperlink>
    </w:p>
    <w:p>
      <w:pPr>
        <w:pStyle w:val="toc2"/>
      </w:pPr>
      <w:hyperlink w:anchor="_Toc000104" w:history="1">
        <w:r>
          <w:t xml:space="preserve">2.1 Onboard a client and complete the KYC</w:t>
        </w:r>
        <w:r>
          <w:t xml:space="preserve">	</w:t>
        </w:r>
        <w:r>
          <w:t xml:space="preserve">4</w:t>
        </w:r>
      </w:hyperlink>
    </w:p>
    <w:p>
      <w:pPr>
        <w:pStyle w:val="toc2"/>
      </w:pPr>
      <w:hyperlink w:anchor="_Toc000105" w:history="1">
        <w:r>
          <w:t xml:space="preserve">2.2 Quote a package product and submit the account to Processing</w:t>
        </w:r>
        <w:r>
          <w:t xml:space="preserve">	</w:t>
        </w:r>
        <w:r>
          <w:t xml:space="preserve">5</w:t>
        </w:r>
      </w:hyperlink>
    </w:p>
    <w:p>
      <w:pPr>
        <w:pStyle w:val="toc2"/>
      </w:pPr>
      <w:hyperlink w:anchor="_Toc000106" w:history="1">
        <w:r>
          <w:t xml:space="preserve">2.3 Place a non-package risk through a proposal request (PRF)</w:t>
        </w:r>
        <w:r>
          <w:t xml:space="preserve">	</w:t>
        </w:r>
        <w:r>
          <w:t xml:space="preserve">5</w:t>
        </w:r>
      </w:hyperlink>
    </w:p>
    <w:p>
      <w:pPr>
        <w:pStyle w:val="toc2"/>
      </w:pPr>
      <w:hyperlink w:anchor="_Toc000107" w:history="1">
        <w:r>
          <w:t xml:space="preserve">2.4 Correct a record returned to you</w:t>
        </w:r>
        <w:r>
          <w:t xml:space="preserve">	</w:t>
        </w:r>
        <w:r>
          <w:t xml:space="preserve">5</w:t>
        </w:r>
      </w:hyperlink>
    </w:p>
    <w:p>
      <w:pPr>
        <w:pStyle w:val="toc2"/>
      </w:pPr>
      <w:hyperlink w:anchor="_Toc000108" w:history="1">
        <w:r>
          <w:t xml:space="preserve">2.5 Request a new package and quote it</w:t>
        </w:r>
        <w:r>
          <w:t xml:space="preserve">	</w:t>
        </w:r>
        <w:r>
          <w:t xml:space="preserve">5</w:t>
        </w:r>
      </w:hyperlink>
    </w:p>
    <w:p>
      <w:pPr>
        <w:pStyle w:val="toc2"/>
      </w:pPr>
      <w:hyperlink w:anchor="_Toc000109" w:history="1">
        <w:r>
          <w:t xml:space="preserve">2.6 Give the disposition of an expiring account</w:t>
        </w:r>
        <w:r>
          <w:t xml:space="preserve">	</w:t>
        </w:r>
        <w:r>
          <w:t xml:space="preserve">6</w:t>
        </w:r>
      </w:hyperlink>
    </w:p>
    <w:p>
      <w:pPr>
        <w:pStyle w:val="toc2"/>
      </w:pPr>
      <w:hyperlink w:anchor="_Toc000110" w:history="1">
        <w:r>
          <w:t xml:space="preserve">2.7 Raise a client refund request</w:t>
        </w:r>
        <w:r>
          <w:t xml:space="preserve">	</w:t>
        </w:r>
        <w:r>
          <w:t xml:space="preserve">6</w:t>
        </w:r>
      </w:hyperlink>
    </w:p>
    <w:p>
      <w:pPr>
        <w:pStyle w:val="toc1"/>
      </w:pPr>
      <w:hyperlink w:anchor="_Toc000111" w:history="1">
        <w:r>
          <w:t xml:space="preserve">3 Tips</w:t>
        </w:r>
        <w:r>
          <w:t xml:space="preserve">	</w:t>
        </w:r>
        <w:r>
          <w:t xml:space="preserve">6</w:t>
        </w:r>
      </w:hyperlink>
    </w:p>
    <w:p>
      <w:pPr>
        <w:pStyle w:val="toc1"/>
      </w:pPr>
      <w:hyperlink w:anchor="_Toc000112" w:history="1">
        <w:r>
          <w:t xml:space="preserve">4 Where to get help</w:t>
        </w:r>
        <w:r>
          <w:t xml:space="preserve">	</w:t>
        </w:r>
        <w:r>
          <w:t xml:space="preserve">6</w:t>
        </w:r>
      </w:hyperlink>
      <w:r>
        <w:fldChar w:fldCharType="end"/>
      </w:r>
    </w:p>
    <w:p>
      <w:pPr>
        <w:pStyle w:val="Heading1"/>
        <w:pageBreakBefore/>
        <w:pBdr>
          <w:bottom w:val="single" w:sz="4" w:space="4" w:color="99C1E7"/>
        </w:pBdr>
      </w:pPr>
      <w:bookmarkStart w:id="101" w:name="_Toc000101"/>
      <w:r>
        <w:rPr/>
        <w:t>1 Your role in BIBS</w:t>
      </w:r>
      <w:bookmarkEnd w:id="101"/>
    </w:p>
    <w:p>
      <w:r>
        <w:rPr/>
        <w:t>You own the client relationship. In BIBS you onboard clients with their KYC, quote package products, raise proposal requests (PRF) for risks no package covers, send quotations and proposals to the client, record the client's acceptance, create and submit the accounts to Processing, request new packages, give the disposition of your expiring accounts and raise refund requests for your clients.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Persona</w:t>
            </w:r>
          </w:p>
        </w:tc>
        <w:tc>
          <w:tcPr>
            <w:tcW w:type="dxa" w:w="7704"/>
            <w:tcMar>
              <w:top w:w="50" w:type="dxa"/>
              <w:bottom w:w="50" w:type="dxa"/>
              <w:left w:w="90" w:type="dxa"/>
              <w:right w:w="90" w:type="dxa"/>
            </w:tcMar>
          </w:tcPr>
          <w:p>
            <w:pPr>
              <w:pStyle w:val="BDOITable"/>
              <w:keepNext/>
            </w:pPr>
            <w:r>
              <w:rPr>
                <w:sz w:val="18"/>
              </w:rPr>
              <w:t>Marketing Account Officer</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BRDs</w:t>
            </w:r>
          </w:p>
        </w:tc>
        <w:tc>
          <w:tcPr>
            <w:tcW w:type="dxa" w:w="7704"/>
            <w:tcMar>
              <w:top w:w="50" w:type="dxa"/>
              <w:bottom w:w="50" w:type="dxa"/>
              <w:left w:w="90" w:type="dxa"/>
              <w:right w:w="90" w:type="dxa"/>
            </w:tcMar>
          </w:tcPr>
          <w:p>
            <w:pPr>
              <w:pStyle w:val="BDOITable"/>
              <w:keepNext/>
            </w:pPr>
            <w:r>
              <w:rPr>
                <w:sz w:val="18"/>
              </w:rPr>
              <w:t>BRD-01 New Business, BRD-03 Product Maintenance, BRD-04 Collections, BRD-05 Accounting (refund requests), BRD-06 Renewal</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Home page</w:t>
            </w:r>
          </w:p>
        </w:tc>
        <w:tc>
          <w:tcPr>
            <w:tcW w:type="dxa" w:w="7704"/>
            <w:tcMar>
              <w:top w:w="50" w:type="dxa"/>
              <w:bottom w:w="50" w:type="dxa"/>
              <w:left w:w="90" w:type="dxa"/>
              <w:right w:w="90" w:type="dxa"/>
            </w:tcMar>
          </w:tcPr>
          <w:p>
            <w:pPr>
              <w:pStyle w:val="BDOITable"/>
              <w:keepNext/>
            </w:pPr>
            <w:r>
              <w:rPr>
                <w:sz w:val="18"/>
              </w:rPr>
              <w:t>NB Dashboard and My Work: pipeline, expiring accounts, records returned to you</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Sign-in</w:t>
            </w:r>
          </w:p>
        </w:tc>
        <w:tc>
          <w:tcPr>
            <w:tcW w:type="dxa" w:w="7704"/>
            <w:tcMar>
              <w:top w:w="50" w:type="dxa"/>
              <w:bottom w:w="50" w:type="dxa"/>
              <w:left w:w="90" w:type="dxa"/>
              <w:right w:w="90" w:type="dxa"/>
            </w:tcMar>
          </w:tcPr>
          <w:p>
            <w:pPr>
              <w:pStyle w:val="BDOITable"/>
              <w:keepNext/>
            </w:pPr>
            <w:r>
              <w:rPr>
                <w:sz w:val="18"/>
              </w:rPr>
              <w:t>BDO single sign-on (EIAM); MFA as set by Information Security</w:t>
            </w:r>
          </w:p>
        </w:tc>
      </w:tr>
    </w:tbl>
    <w:p>
      <w:pPr>
        <w:pStyle w:val="BDOISpacer"/>
      </w:pPr>
    </w:p>
    <w:p>
      <w:pPr>
        <w:pStyle w:val="Heading2"/>
      </w:pPr>
      <w:bookmarkStart w:id="102" w:name="_Toc000102"/>
      <w:r>
        <w:rPr/>
        <w:t>1.1 Your menus</w:t>
      </w:r>
      <w:bookmarkEnd w:id="102"/>
    </w:p>
    <w:p>
      <w:r>
        <w:rPr/>
        <w:t>The sidebar shows only the screens your roles allow. Your main menus:</w:t>
      </w:r>
    </w:p>
    <w:p>
      <w:pPr>
        <w:tabs>
          <w:tab w:pos="312" w:val="left"/>
        </w:tabs>
        <w:spacing w:after="40"/>
        <w:ind w:left="312" w:hanging="283"/>
      </w:pPr>
      <w:r>
        <w:rPr>
          <w:color w:val="004EA8"/>
        </w:rPr>
        <w:t>•</w:t>
        <w:tab/>
      </w:r>
      <w:r>
        <w:rPr/>
        <w:t>Client &amp; Policy &gt; Clients: Clients, New Client, KYC Reviews Due</w:t>
      </w:r>
    </w:p>
    <w:p>
      <w:pPr>
        <w:tabs>
          <w:tab w:pos="312" w:val="left"/>
        </w:tabs>
        <w:spacing w:after="40"/>
        <w:ind w:left="312" w:hanging="283"/>
      </w:pPr>
      <w:r>
        <w:rPr>
          <w:color w:val="004EA8"/>
        </w:rPr>
        <w:t>•</w:t>
        <w:tab/>
      </w:r>
      <w:r>
        <w:rPr/>
        <w:t>Client &amp; Policy &gt; Quotation / Proposal: Quotations, New Quotation, Quotation Requests</w:t>
      </w:r>
    </w:p>
    <w:p>
      <w:pPr>
        <w:tabs>
          <w:tab w:pos="312" w:val="left"/>
        </w:tabs>
        <w:spacing w:after="40"/>
        <w:ind w:left="312" w:hanging="283"/>
      </w:pPr>
      <w:r>
        <w:rPr>
          <w:color w:val="004EA8"/>
        </w:rPr>
        <w:t>•</w:t>
        <w:tab/>
      </w:r>
      <w:r>
        <w:rPr/>
        <w:t>Client &amp; Policy &gt; Accounts &amp; Placement: Accounts, New Account</w:t>
      </w:r>
    </w:p>
    <w:p>
      <w:pPr>
        <w:tabs>
          <w:tab w:pos="312" w:val="left"/>
        </w:tabs>
        <w:spacing w:after="40"/>
        <w:ind w:left="312" w:hanging="283"/>
      </w:pPr>
      <w:r>
        <w:rPr>
          <w:color w:val="004EA8"/>
        </w:rPr>
        <w:t>•</w:t>
        <w:tab/>
      </w:r>
      <w:r>
        <w:rPr/>
        <w:t>Client &amp; Policy &gt; Non-Package Management: Proposal Requests, New Proposal Request</w:t>
      </w:r>
    </w:p>
    <w:p>
      <w:pPr>
        <w:tabs>
          <w:tab w:pos="312" w:val="left"/>
        </w:tabs>
        <w:spacing w:after="40"/>
        <w:ind w:left="312" w:hanging="283"/>
      </w:pPr>
      <w:r>
        <w:rPr>
          <w:color w:val="004EA8"/>
        </w:rPr>
        <w:t>•</w:t>
        <w:tab/>
      </w:r>
      <w:r>
        <w:rPr/>
        <w:t>Client &amp; Policy &gt; Renewal: Renewal Home, Expiry List, My Dispositions, Transfers, Letters</w:t>
      </w:r>
    </w:p>
    <w:p>
      <w:pPr>
        <w:tabs>
          <w:tab w:pos="312" w:val="left"/>
        </w:tabs>
        <w:spacing w:after="40"/>
        <w:ind w:left="312" w:hanging="283"/>
      </w:pPr>
      <w:r>
        <w:rPr>
          <w:color w:val="004EA8"/>
        </w:rPr>
        <w:t>•</w:t>
        <w:tab/>
      </w:r>
      <w:r>
        <w:rPr/>
        <w:t>Client &amp; Policy &gt; Product Maintenance: Package Requests, Premium Calculator</w:t>
      </w:r>
    </w:p>
    <w:p>
      <w:pPr>
        <w:tabs>
          <w:tab w:pos="312" w:val="left"/>
        </w:tabs>
        <w:spacing w:after="40"/>
        <w:ind w:left="312" w:hanging="283"/>
      </w:pPr>
      <w:r>
        <w:rPr>
          <w:color w:val="004EA8"/>
        </w:rPr>
        <w:t>•</w:t>
        <w:tab/>
      </w:r>
      <w:r>
        <w:rPr/>
        <w:t>Finance &gt; Collections: PR Worklist (your accounts); Finance &gt; Refund &amp; Cash Advance Requests: New Refund Request</w:t>
      </w:r>
    </w:p>
    <w:p>
      <w:pPr>
        <w:tabs>
          <w:tab w:pos="312" w:val="left"/>
        </w:tabs>
        <w:spacing w:after="120"/>
        <w:ind w:left="312" w:hanging="283"/>
      </w:pPr>
      <w:r>
        <w:rPr>
          <w:color w:val="004EA8"/>
        </w:rPr>
        <w:t>•</w:t>
        <w:tab/>
      </w:r>
      <w:r>
        <w:rPr/>
        <w:t>Reports &gt; Report Centre; Help &gt; Help Center, My Profile</w:t>
      </w:r>
    </w:p>
    <w:p>
      <w:pPr>
        <w:pStyle w:val="Heading1"/>
        <w:pBdr>
          <w:bottom w:val="single" w:sz="4" w:space="4" w:color="99C1E7"/>
        </w:pBdr>
      </w:pPr>
      <w:bookmarkStart w:id="103" w:name="_Toc000103"/>
      <w:r>
        <w:rPr/>
        <w:t>2 Your main tasks</w:t>
      </w:r>
      <w:bookmarkEnd w:id="103"/>
    </w:p>
    <w:p>
      <w:r>
        <w:rPr/>
        <w:t>Each task lists the steps in order, the screen (ID and name of the screen specification) and the step of the FRS walkthrough or the functional requirement it follows. The FRS walkthroughs show every step with its screenshot.</w:t>
      </w:r>
    </w:p>
    <w:p>
      <w:pPr>
        <w:pStyle w:val="Heading2"/>
      </w:pPr>
      <w:bookmarkStart w:id="104" w:name="_Toc000104"/>
      <w:r>
        <w:rPr/>
        <w:t>2.1 Onboard a client and complete the KYC</w:t>
      </w:r>
      <w:bookmarkEnd w:id="104"/>
    </w:p>
    <w:p>
      <w:r>
        <w:rPr/>
        <w:t>Reference: FRS BRD-01, walkthrough WT-A steps 1-4.</w:t>
      </w:r>
    </w:p>
    <w:p>
      <w:pPr>
        <w:pStyle w:val="Caption"/>
        <w:keepNext/>
        <w:spacing w:after="60"/>
      </w:pPr>
      <w:r>
        <w:rPr>
          <w:b/>
          <w:i w:val="0"/>
        </w:rPr>
        <w:t xml:space="preserve">Table 1: </w:t>
      </w:r>
      <w:r>
        <w:rPr/>
        <w:t>Onboard a client and complete the KYC</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Clients &gt; New Client, enter the identity, contact, address and segment, and click Save as prospect. BIBS shows the prospect code PR-yyyy-nnnnnn.</w:t>
            </w:r>
          </w:p>
        </w:tc>
        <w:tc>
          <w:tcPr>
            <w:tcW w:type="dxa" w:w="2523"/>
            <w:tcMar>
              <w:top w:w="50" w:type="dxa"/>
              <w:bottom w:w="50" w:type="dxa"/>
              <w:left w:w="90" w:type="dxa"/>
              <w:right w:w="90" w:type="dxa"/>
            </w:tcMar>
          </w:tcPr>
          <w:p>
            <w:pPr>
              <w:pStyle w:val="BDOITable"/>
            </w:pPr>
            <w:r>
              <w:rPr>
                <w:sz w:val="17"/>
              </w:rPr>
              <w:t>SCR-NB-02 New Client</w:t>
            </w:r>
          </w:p>
        </w:tc>
        <w:tc>
          <w:tcPr>
            <w:tcW w:type="dxa" w:w="1322"/>
            <w:tcMar>
              <w:top w:w="50" w:type="dxa"/>
              <w:bottom w:w="50" w:type="dxa"/>
              <w:left w:w="90" w:type="dxa"/>
              <w:right w:w="90" w:type="dxa"/>
            </w:tcMar>
          </w:tcPr>
          <w:p>
            <w:pPr>
              <w:pStyle w:val="BDOITable"/>
            </w:pPr>
            <w:r>
              <w:rPr>
                <w:sz w:val="17"/>
              </w:rPr>
              <w:t>WT-A.1</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Open the client, upload the KYC form and a valid ID on the KYC &amp; Documents tab and click Submit KYC. The workflow panel moves to KYC for verification.</w:t>
            </w:r>
          </w:p>
        </w:tc>
        <w:tc>
          <w:tcPr>
            <w:tcW w:type="dxa" w:w="2523"/>
            <w:tcMar>
              <w:top w:w="50" w:type="dxa"/>
              <w:bottom w:w="50" w:type="dxa"/>
              <w:left w:w="90" w:type="dxa"/>
              <w:right w:w="90" w:type="dxa"/>
            </w:tcMar>
            <w:shd w:val="clear" w:color="auto" w:fill="E5F5FF"/>
          </w:tcPr>
          <w:p>
            <w:pPr>
              <w:pStyle w:val="BDOITable"/>
            </w:pPr>
            <w:r>
              <w:rPr>
                <w:sz w:val="17"/>
              </w:rPr>
              <w:t>SCR-NB-03 Client record</w:t>
            </w:r>
          </w:p>
        </w:tc>
        <w:tc>
          <w:tcPr>
            <w:tcW w:type="dxa" w:w="1322"/>
            <w:tcMar>
              <w:top w:w="50" w:type="dxa"/>
              <w:bottom w:w="50" w:type="dxa"/>
              <w:left w:w="90" w:type="dxa"/>
              <w:right w:w="90" w:type="dxa"/>
            </w:tcMar>
            <w:shd w:val="clear" w:color="auto" w:fill="E5F5FF"/>
          </w:tcPr>
          <w:p>
            <w:pPr>
              <w:pStyle w:val="BDOITable"/>
            </w:pPr>
            <w:r>
              <w:rPr>
                <w:sz w:val="17"/>
              </w:rPr>
              <w:t>WT-A.2</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When your Team Lead has verified the KYC, click Confirm client. The client code CL-yyyy-nnnnnn appears in the header.</w:t>
            </w:r>
          </w:p>
        </w:tc>
        <w:tc>
          <w:tcPr>
            <w:tcW w:type="dxa" w:w="2523"/>
            <w:tcMar>
              <w:top w:w="50" w:type="dxa"/>
              <w:bottom w:w="50" w:type="dxa"/>
              <w:left w:w="90" w:type="dxa"/>
              <w:right w:w="90" w:type="dxa"/>
            </w:tcMar>
          </w:tcPr>
          <w:p>
            <w:pPr>
              <w:pStyle w:val="BDOITable"/>
            </w:pPr>
            <w:r>
              <w:rPr>
                <w:sz w:val="17"/>
              </w:rPr>
              <w:t>SCR-NB-03 Client record</w:t>
            </w:r>
          </w:p>
        </w:tc>
        <w:tc>
          <w:tcPr>
            <w:tcW w:type="dxa" w:w="1322"/>
            <w:tcMar>
              <w:top w:w="50" w:type="dxa"/>
              <w:bottom w:w="50" w:type="dxa"/>
              <w:left w:w="90" w:type="dxa"/>
              <w:right w:w="90" w:type="dxa"/>
            </w:tcMar>
          </w:tcPr>
          <w:p>
            <w:pPr>
              <w:pStyle w:val="BDOITable"/>
            </w:pPr>
            <w:r>
              <w:rPr>
                <w:sz w:val="17"/>
              </w:rPr>
              <w:t>WT-A.4</w:t>
            </w:r>
          </w:p>
        </w:tc>
      </w:tr>
    </w:tbl>
    <w:p>
      <w:pPr>
        <w:pStyle w:val="BDOISpacer"/>
      </w:pPr>
    </w:p>
    <w:p>
      <w:pPr>
        <w:pStyle w:val="Heading2"/>
      </w:pPr>
      <w:bookmarkStart w:id="105" w:name="_Toc000105"/>
      <w:r>
        <w:rPr/>
        <w:t>2.2 Quote a package product and submit the account to Processing</w:t>
      </w:r>
      <w:bookmarkEnd w:id="105"/>
    </w:p>
    <w:p>
      <w:r>
        <w:rPr/>
        <w:t>Reference: FRS BRD-01, walkthrough WT-A steps 5-9.</w:t>
      </w:r>
    </w:p>
    <w:p>
      <w:pPr>
        <w:pStyle w:val="Caption"/>
        <w:keepNext/>
        <w:spacing w:after="60"/>
      </w:pPr>
      <w:r>
        <w:rPr>
          <w:b/>
          <w:i w:val="0"/>
        </w:rPr>
        <w:t xml:space="preserve">Table 2: </w:t>
      </w:r>
      <w:r>
        <w:rPr/>
        <w:t>Quote a package product and submit the account to Processing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Click Generate Quotation, check the market segment taken from the client, choose the product, the insurer and its branch, add the location with its sum insured, review the live premium and click Submit for Review.</w:t>
            </w:r>
          </w:p>
        </w:tc>
        <w:tc>
          <w:tcPr>
            <w:tcW w:type="dxa" w:w="2523"/>
            <w:tcMar>
              <w:top w:w="50" w:type="dxa"/>
              <w:bottom w:w="50" w:type="dxa"/>
              <w:left w:w="90" w:type="dxa"/>
              <w:right w:w="90" w:type="dxa"/>
            </w:tcMar>
          </w:tcPr>
          <w:p>
            <w:pPr>
              <w:pStyle w:val="BDOITable"/>
            </w:pPr>
            <w:r>
              <w:rPr>
                <w:sz w:val="17"/>
              </w:rPr>
              <w:t>SCR-NB-06 New Quotation</w:t>
            </w:r>
          </w:p>
        </w:tc>
        <w:tc>
          <w:tcPr>
            <w:tcW w:type="dxa" w:w="1322"/>
            <w:tcMar>
              <w:top w:w="50" w:type="dxa"/>
              <w:bottom w:w="50" w:type="dxa"/>
              <w:left w:w="90" w:type="dxa"/>
              <w:right w:w="90" w:type="dxa"/>
            </w:tcMar>
          </w:tcPr>
          <w:p>
            <w:pPr>
              <w:pStyle w:val="BDOITable"/>
            </w:pPr>
            <w:r>
              <w:rPr>
                <w:sz w:val="17"/>
              </w:rPr>
              <w:t>WT-A.5</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After the approval, click Send via Email, keep the proposed e-mail and click Send. The E-mails tab lists the quotation e-mail and the password e-mail.</w:t>
            </w:r>
          </w:p>
        </w:tc>
        <w:tc>
          <w:tcPr>
            <w:tcW w:type="dxa" w:w="2523"/>
            <w:tcMar>
              <w:top w:w="50" w:type="dxa"/>
              <w:bottom w:w="50" w:type="dxa"/>
              <w:left w:w="90" w:type="dxa"/>
              <w:right w:w="90" w:type="dxa"/>
            </w:tcMar>
            <w:shd w:val="clear" w:color="auto" w:fill="E5F5FF"/>
          </w:tcPr>
          <w:p>
            <w:pPr>
              <w:pStyle w:val="BDOITable"/>
            </w:pPr>
            <w:r>
              <w:rPr>
                <w:sz w:val="17"/>
              </w:rPr>
              <w:t>SCR-NB-07 Quotation record</w:t>
            </w:r>
          </w:p>
        </w:tc>
        <w:tc>
          <w:tcPr>
            <w:tcW w:type="dxa" w:w="1322"/>
            <w:tcMar>
              <w:top w:w="50" w:type="dxa"/>
              <w:bottom w:w="50" w:type="dxa"/>
              <w:left w:w="90" w:type="dxa"/>
              <w:right w:w="90" w:type="dxa"/>
            </w:tcMar>
            <w:shd w:val="clear" w:color="auto" w:fill="E5F5FF"/>
          </w:tcPr>
          <w:p>
            <w:pPr>
              <w:pStyle w:val="BDOITable"/>
            </w:pPr>
            <w:r>
              <w:rPr>
                <w:sz w:val="17"/>
              </w:rPr>
              <w:t>WT-A.7</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Click Record acceptance, upload the client's reply, click Record Acceptance, then Create accounts. The Control card lists the account ARN.</w:t>
            </w:r>
          </w:p>
        </w:tc>
        <w:tc>
          <w:tcPr>
            <w:tcW w:type="dxa" w:w="2523"/>
            <w:tcMar>
              <w:top w:w="50" w:type="dxa"/>
              <w:bottom w:w="50" w:type="dxa"/>
              <w:left w:w="90" w:type="dxa"/>
              <w:right w:w="90" w:type="dxa"/>
            </w:tcMar>
          </w:tcPr>
          <w:p>
            <w:pPr>
              <w:pStyle w:val="BDOITable"/>
            </w:pPr>
            <w:r>
              <w:rPr>
                <w:sz w:val="17"/>
              </w:rPr>
              <w:t>SCR-NB-07 Quotation record</w:t>
            </w:r>
          </w:p>
        </w:tc>
        <w:tc>
          <w:tcPr>
            <w:tcW w:type="dxa" w:w="1322"/>
            <w:tcMar>
              <w:top w:w="50" w:type="dxa"/>
              <w:bottom w:w="50" w:type="dxa"/>
              <w:left w:w="90" w:type="dxa"/>
              <w:right w:w="90" w:type="dxa"/>
            </w:tcMar>
          </w:tcPr>
          <w:p>
            <w:pPr>
              <w:pStyle w:val="BDOITable"/>
            </w:pPr>
            <w:r>
              <w:rPr>
                <w:sz w:val="17"/>
              </w:rPr>
              <w:t>WT-A.8</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5647"/>
            <w:tcMar>
              <w:top w:w="50" w:type="dxa"/>
              <w:bottom w:w="50" w:type="dxa"/>
              <w:left w:w="90" w:type="dxa"/>
              <w:right w:w="90" w:type="dxa"/>
            </w:tcMar>
            <w:shd w:val="clear" w:color="auto" w:fill="E5F5FF"/>
          </w:tcPr>
          <w:p>
            <w:pPr>
              <w:pStyle w:val="BDOITable"/>
            </w:pPr>
            <w:r>
              <w:rPr>
                <w:sz w:val="17"/>
              </w:rPr>
              <w:t>Open the draft account, complete the mortgagee bank and PN number, review the completeness check and click Submit to Processing.</w:t>
            </w:r>
          </w:p>
        </w:tc>
        <w:tc>
          <w:tcPr>
            <w:tcW w:type="dxa" w:w="2523"/>
            <w:tcMar>
              <w:top w:w="50" w:type="dxa"/>
              <w:bottom w:w="50" w:type="dxa"/>
              <w:left w:w="90" w:type="dxa"/>
              <w:right w:w="90" w:type="dxa"/>
            </w:tcMar>
            <w:shd w:val="clear" w:color="auto" w:fill="E5F5FF"/>
          </w:tcPr>
          <w:p>
            <w:pPr>
              <w:pStyle w:val="BDOITable"/>
            </w:pPr>
            <w:r>
              <w:rPr>
                <w:sz w:val="17"/>
              </w:rPr>
              <w:t>SCR-NB-14 Edit Account</w:t>
            </w:r>
          </w:p>
        </w:tc>
        <w:tc>
          <w:tcPr>
            <w:tcW w:type="dxa" w:w="1322"/>
            <w:tcMar>
              <w:top w:w="50" w:type="dxa"/>
              <w:bottom w:w="50" w:type="dxa"/>
              <w:left w:w="90" w:type="dxa"/>
              <w:right w:w="90" w:type="dxa"/>
            </w:tcMar>
            <w:shd w:val="clear" w:color="auto" w:fill="E5F5FF"/>
          </w:tcPr>
          <w:p>
            <w:pPr>
              <w:pStyle w:val="BDOITable"/>
            </w:pPr>
            <w:r>
              <w:rPr>
                <w:sz w:val="17"/>
              </w:rPr>
              <w:t>WT-A.9</w:t>
            </w:r>
          </w:p>
        </w:tc>
      </w:tr>
    </w:tbl>
    <w:p>
      <w:pPr>
        <w:pStyle w:val="BDOISpacer"/>
      </w:pPr>
    </w:p>
    <w:p>
      <w:pPr>
        <w:pStyle w:val="Heading2"/>
      </w:pPr>
      <w:bookmarkStart w:id="106" w:name="_Toc000106"/>
      <w:r>
        <w:rPr/>
        <w:t>2.3 Place a non-package risk through a proposal request (PRF)</w:t>
      </w:r>
      <w:bookmarkEnd w:id="106"/>
    </w:p>
    <w:p>
      <w:r>
        <w:rPr/>
        <w:t>Reference: FRS BRD-01, walkthrough WT-B steps 1, 8 and 9.</w:t>
      </w:r>
    </w:p>
    <w:p>
      <w:pPr>
        <w:pStyle w:val="Caption"/>
        <w:keepNext/>
        <w:spacing w:after="60"/>
      </w:pPr>
      <w:r>
        <w:rPr>
          <w:b/>
          <w:i w:val="0"/>
        </w:rPr>
        <w:t xml:space="preserve">Table 3: </w:t>
      </w:r>
      <w:r>
        <w:rPr/>
        <w:t>Place a non-package risk through a proposal request (PRF)</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New Proposal Request, choose the client and the product, describe the risk, add the item, tick the insurers, attach the mandatory documents and click Submit for Approval.</w:t>
            </w:r>
          </w:p>
        </w:tc>
        <w:tc>
          <w:tcPr>
            <w:tcW w:type="dxa" w:w="2523"/>
            <w:tcMar>
              <w:top w:w="50" w:type="dxa"/>
              <w:bottom w:w="50" w:type="dxa"/>
              <w:left w:w="90" w:type="dxa"/>
              <w:right w:w="90" w:type="dxa"/>
            </w:tcMar>
          </w:tcPr>
          <w:p>
            <w:pPr>
              <w:pStyle w:val="BDOITable"/>
            </w:pPr>
            <w:r>
              <w:rPr>
                <w:sz w:val="17"/>
              </w:rPr>
              <w:t>SCR-NB-10 New Proposal Request</w:t>
            </w:r>
          </w:p>
        </w:tc>
        <w:tc>
          <w:tcPr>
            <w:tcW w:type="dxa" w:w="1322"/>
            <w:tcMar>
              <w:top w:w="50" w:type="dxa"/>
              <w:bottom w:w="50" w:type="dxa"/>
              <w:left w:w="90" w:type="dxa"/>
              <w:right w:w="90" w:type="dxa"/>
            </w:tcMar>
          </w:tcPr>
          <w:p>
            <w:pPr>
              <w:pStyle w:val="BDOITable"/>
            </w:pPr>
            <w:r>
              <w:rPr>
                <w:sz w:val="17"/>
              </w:rPr>
              <w:t>WT-B.1</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When TSU has released the proposal slip, click Send via Email to send the proposal slip and the comparative table to the client.</w:t>
            </w:r>
          </w:p>
        </w:tc>
        <w:tc>
          <w:tcPr>
            <w:tcW w:type="dxa" w:w="2523"/>
            <w:tcMar>
              <w:top w:w="50" w:type="dxa"/>
              <w:bottom w:w="50" w:type="dxa"/>
              <w:left w:w="90" w:type="dxa"/>
              <w:right w:w="90" w:type="dxa"/>
            </w:tcMar>
            <w:shd w:val="clear" w:color="auto" w:fill="E5F5FF"/>
          </w:tcPr>
          <w:p>
            <w:pPr>
              <w:pStyle w:val="BDOITable"/>
            </w:pPr>
            <w:r>
              <w:rPr>
                <w:sz w:val="17"/>
              </w:rPr>
              <w:t>SCR-NB-11 Proposal Request record</w:t>
            </w:r>
          </w:p>
        </w:tc>
        <w:tc>
          <w:tcPr>
            <w:tcW w:type="dxa" w:w="1322"/>
            <w:tcMar>
              <w:top w:w="50" w:type="dxa"/>
              <w:bottom w:w="50" w:type="dxa"/>
              <w:left w:w="90" w:type="dxa"/>
              <w:right w:w="90" w:type="dxa"/>
            </w:tcMar>
            <w:shd w:val="clear" w:color="auto" w:fill="E5F5FF"/>
          </w:tcPr>
          <w:p>
            <w:pPr>
              <w:pStyle w:val="BDOITable"/>
            </w:pPr>
            <w:r>
              <w:rPr>
                <w:sz w:val="17"/>
              </w:rPr>
              <w:t>WT-B.8</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Record the client's acceptance and click Create accounts. The account is created in draft under the PRF's ARN.</w:t>
            </w:r>
          </w:p>
        </w:tc>
        <w:tc>
          <w:tcPr>
            <w:tcW w:type="dxa" w:w="2523"/>
            <w:tcMar>
              <w:top w:w="50" w:type="dxa"/>
              <w:bottom w:w="50" w:type="dxa"/>
              <w:left w:w="90" w:type="dxa"/>
              <w:right w:w="90" w:type="dxa"/>
            </w:tcMar>
          </w:tcPr>
          <w:p>
            <w:pPr>
              <w:pStyle w:val="BDOITable"/>
            </w:pPr>
            <w:r>
              <w:rPr>
                <w:sz w:val="17"/>
              </w:rPr>
              <w:t>SCR-NB-11 Proposal Request record</w:t>
            </w:r>
          </w:p>
        </w:tc>
        <w:tc>
          <w:tcPr>
            <w:tcW w:type="dxa" w:w="1322"/>
            <w:tcMar>
              <w:top w:w="50" w:type="dxa"/>
              <w:bottom w:w="50" w:type="dxa"/>
              <w:left w:w="90" w:type="dxa"/>
              <w:right w:w="90" w:type="dxa"/>
            </w:tcMar>
          </w:tcPr>
          <w:p>
            <w:pPr>
              <w:pStyle w:val="BDOITable"/>
            </w:pPr>
            <w:r>
              <w:rPr>
                <w:sz w:val="17"/>
              </w:rPr>
              <w:t>WT-B.9</w:t>
            </w:r>
          </w:p>
        </w:tc>
      </w:tr>
    </w:tbl>
    <w:p>
      <w:pPr>
        <w:pStyle w:val="BDOISpacer"/>
      </w:pPr>
    </w:p>
    <w:p>
      <w:pPr>
        <w:pStyle w:val="Heading2"/>
      </w:pPr>
      <w:bookmarkStart w:id="107" w:name="_Toc000107"/>
      <w:r>
        <w:rPr/>
        <w:t>2.4 Correct a record returned to you</w:t>
      </w:r>
      <w:bookmarkEnd w:id="107"/>
    </w:p>
    <w:p>
      <w:r>
        <w:rPr/>
        <w:t>Reference: FRS BRD-01, walkthrough WT-C step 7.</w:t>
      </w:r>
    </w:p>
    <w:p>
      <w:pPr>
        <w:pStyle w:val="Caption"/>
        <w:keepNext/>
        <w:spacing w:after="60"/>
      </w:pPr>
      <w:r>
        <w:rPr>
          <w:b/>
          <w:i w:val="0"/>
        </w:rPr>
        <w:t xml:space="preserve">Table 4: </w:t>
      </w:r>
      <w:r>
        <w:rPr/>
        <w:t>Correct a record returned to you</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Accounts, tab Returned to Me, open the account, attach the missing document and click Resubmit to Processing.</w:t>
            </w:r>
          </w:p>
        </w:tc>
        <w:tc>
          <w:tcPr>
            <w:tcW w:type="dxa" w:w="2523"/>
            <w:tcMar>
              <w:top w:w="50" w:type="dxa"/>
              <w:bottom w:w="50" w:type="dxa"/>
              <w:left w:w="90" w:type="dxa"/>
              <w:right w:w="90" w:type="dxa"/>
            </w:tcMar>
          </w:tcPr>
          <w:p>
            <w:pPr>
              <w:pStyle w:val="BDOITable"/>
            </w:pPr>
            <w:r>
              <w:rPr>
                <w:sz w:val="17"/>
              </w:rPr>
              <w:t>SCR-NB-13 Accounts</w:t>
            </w:r>
          </w:p>
        </w:tc>
        <w:tc>
          <w:tcPr>
            <w:tcW w:type="dxa" w:w="1322"/>
            <w:tcMar>
              <w:top w:w="50" w:type="dxa"/>
              <w:bottom w:w="50" w:type="dxa"/>
              <w:left w:w="90" w:type="dxa"/>
              <w:right w:w="90" w:type="dxa"/>
            </w:tcMar>
          </w:tcPr>
          <w:p>
            <w:pPr>
              <w:pStyle w:val="BDOITable"/>
            </w:pPr>
            <w:r>
              <w:rPr>
                <w:sz w:val="17"/>
              </w:rPr>
              <w:t>WT-C.7</w:t>
            </w:r>
          </w:p>
        </w:tc>
      </w:tr>
    </w:tbl>
    <w:p>
      <w:pPr>
        <w:pStyle w:val="BDOISpacer"/>
      </w:pPr>
    </w:p>
    <w:p>
      <w:pPr>
        <w:pStyle w:val="Heading2"/>
      </w:pPr>
      <w:bookmarkStart w:id="108" w:name="_Toc000108"/>
      <w:r>
        <w:rPr/>
        <w:t>2.5 Request a new package and quote it</w:t>
      </w:r>
      <w:bookmarkEnd w:id="108"/>
    </w:p>
    <w:p>
      <w:r>
        <w:rPr/>
        <w:t>Reference: FRS BRD-03, walkthrough WT-A.</w:t>
      </w:r>
    </w:p>
    <w:p>
      <w:pPr>
        <w:pStyle w:val="Caption"/>
        <w:keepNext/>
        <w:spacing w:after="60"/>
      </w:pPr>
      <w:r>
        <w:rPr>
          <w:b/>
          <w:i w:val="0"/>
        </w:rPr>
        <w:t xml:space="preserve">Table 5: </w:t>
      </w:r>
      <w:r>
        <w:rPr/>
        <w:t>Request a new package and quote 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Package Requests &gt; New Package Request, choose the request type and programme, enter the name, line and cover type, attach the documents and click Submit for Approval.</w:t>
            </w:r>
          </w:p>
        </w:tc>
        <w:tc>
          <w:tcPr>
            <w:tcW w:type="dxa" w:w="2523"/>
            <w:tcMar>
              <w:top w:w="50" w:type="dxa"/>
              <w:bottom w:w="50" w:type="dxa"/>
              <w:left w:w="90" w:type="dxa"/>
              <w:right w:w="90" w:type="dxa"/>
            </w:tcMar>
          </w:tcPr>
          <w:p>
            <w:pPr>
              <w:pStyle w:val="BDOITable"/>
            </w:pPr>
            <w:r>
              <w:rPr>
                <w:sz w:val="17"/>
              </w:rPr>
              <w:t>SCR-PM-03 New Package Request</w:t>
            </w:r>
          </w:p>
        </w:tc>
        <w:tc>
          <w:tcPr>
            <w:tcW w:type="dxa" w:w="1322"/>
            <w:tcMar>
              <w:top w:w="50" w:type="dxa"/>
              <w:bottom w:w="50" w:type="dxa"/>
              <w:left w:w="90" w:type="dxa"/>
              <w:right w:w="90" w:type="dxa"/>
            </w:tcMar>
          </w:tcPr>
          <w:p>
            <w:pPr>
              <w:pStyle w:val="BDOITable"/>
            </w:pPr>
            <w:r>
              <w:rPr>
                <w:sz w:val="17"/>
              </w:rPr>
              <w:t>BRD-03 WT-A.3</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After the release, open Premium Calculator, choose the package and the insurer, enter the values and click Calculate.</w:t>
            </w:r>
          </w:p>
        </w:tc>
        <w:tc>
          <w:tcPr>
            <w:tcW w:type="dxa" w:w="2523"/>
            <w:tcMar>
              <w:top w:w="50" w:type="dxa"/>
              <w:bottom w:w="50" w:type="dxa"/>
              <w:left w:w="90" w:type="dxa"/>
              <w:right w:w="90" w:type="dxa"/>
            </w:tcMar>
            <w:shd w:val="clear" w:color="auto" w:fill="E5F5FF"/>
          </w:tcPr>
          <w:p>
            <w:pPr>
              <w:pStyle w:val="BDOITable"/>
            </w:pPr>
            <w:r>
              <w:rPr>
                <w:sz w:val="17"/>
              </w:rPr>
              <w:t>SCR-PM-21 Premium Calculator</w:t>
            </w:r>
          </w:p>
        </w:tc>
        <w:tc>
          <w:tcPr>
            <w:tcW w:type="dxa" w:w="1322"/>
            <w:tcMar>
              <w:top w:w="50" w:type="dxa"/>
              <w:bottom w:w="50" w:type="dxa"/>
              <w:left w:w="90" w:type="dxa"/>
              <w:right w:w="90" w:type="dxa"/>
            </w:tcMar>
            <w:shd w:val="clear" w:color="auto" w:fill="E5F5FF"/>
          </w:tcPr>
          <w:p>
            <w:pPr>
              <w:pStyle w:val="BDOITable"/>
            </w:pPr>
            <w:r>
              <w:rPr>
                <w:sz w:val="17"/>
              </w:rPr>
              <w:t>BRD-03 WT-A.21</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On a quotation of the package, click Request Rate Exception with the reason when the client needs a rate outside the scheme; open the quotation again after the approval.</w:t>
            </w:r>
          </w:p>
        </w:tc>
        <w:tc>
          <w:tcPr>
            <w:tcW w:type="dxa" w:w="2523"/>
            <w:tcMar>
              <w:top w:w="50" w:type="dxa"/>
              <w:bottom w:w="50" w:type="dxa"/>
              <w:left w:w="90" w:type="dxa"/>
              <w:right w:w="90" w:type="dxa"/>
            </w:tcMar>
          </w:tcPr>
          <w:p>
            <w:pPr>
              <w:pStyle w:val="BDOITable"/>
            </w:pPr>
            <w:r>
              <w:rPr>
                <w:sz w:val="17"/>
              </w:rPr>
              <w:t>SCR-PM-22 Quotation: package rate scheme and rate exception</w:t>
            </w:r>
          </w:p>
        </w:tc>
        <w:tc>
          <w:tcPr>
            <w:tcW w:type="dxa" w:w="1322"/>
            <w:tcMar>
              <w:top w:w="50" w:type="dxa"/>
              <w:bottom w:w="50" w:type="dxa"/>
              <w:left w:w="90" w:type="dxa"/>
              <w:right w:w="90" w:type="dxa"/>
            </w:tcMar>
          </w:tcPr>
          <w:p>
            <w:pPr>
              <w:pStyle w:val="BDOITable"/>
            </w:pPr>
            <w:r>
              <w:rPr>
                <w:sz w:val="17"/>
              </w:rPr>
              <w:t>BRD-03 WT-A.22, A.24</w:t>
            </w:r>
          </w:p>
        </w:tc>
      </w:tr>
    </w:tbl>
    <w:p>
      <w:pPr>
        <w:pStyle w:val="BDOISpacer"/>
      </w:pPr>
    </w:p>
    <w:p>
      <w:pPr>
        <w:pStyle w:val="Heading2"/>
      </w:pPr>
      <w:bookmarkStart w:id="109" w:name="_Toc000109"/>
      <w:r>
        <w:rPr/>
        <w:t>2.6 Give the disposition of an expiring account</w:t>
      </w:r>
      <w:bookmarkEnd w:id="109"/>
    </w:p>
    <w:p>
      <w:r>
        <w:rPr/>
        <w:t>Reference: FRS BRD-06, FR-RN-040, FR-RN-043, FR-RN-044.</w:t>
      </w:r>
    </w:p>
    <w:p>
      <w:pPr>
        <w:pStyle w:val="Caption"/>
        <w:keepNext/>
        <w:spacing w:after="60"/>
      </w:pPr>
      <w:r>
        <w:rPr>
          <w:b/>
          <w:i w:val="0"/>
        </w:rPr>
        <w:t xml:space="preserve">Table 6: </w:t>
      </w:r>
      <w:r>
        <w:rPr/>
        <w:t>Give the disposition of an expiring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My Dispositions; use the quick filters Returned to me, Due in 30 days or NRNS.</w:t>
            </w:r>
          </w:p>
        </w:tc>
        <w:tc>
          <w:tcPr>
            <w:tcW w:type="dxa" w:w="2523"/>
            <w:tcMar>
              <w:top w:w="50" w:type="dxa"/>
              <w:bottom w:w="50" w:type="dxa"/>
              <w:left w:w="90" w:type="dxa"/>
              <w:right w:w="90" w:type="dxa"/>
            </w:tcMar>
          </w:tcPr>
          <w:p>
            <w:pPr>
              <w:pStyle w:val="BDOITable"/>
            </w:pPr>
            <w:r>
              <w:rPr>
                <w:sz w:val="17"/>
              </w:rPr>
              <w:t>My Dispositions</w:t>
            </w:r>
          </w:p>
        </w:tc>
        <w:tc>
          <w:tcPr>
            <w:tcW w:type="dxa" w:w="1322"/>
            <w:tcMar>
              <w:top w:w="50" w:type="dxa"/>
              <w:bottom w:w="50" w:type="dxa"/>
              <w:left w:w="90" w:type="dxa"/>
              <w:right w:w="90" w:type="dxa"/>
            </w:tcMar>
          </w:tcPr>
          <w:p>
            <w:pPr>
              <w:pStyle w:val="BDOITable"/>
            </w:pPr>
            <w:r>
              <w:rPr>
                <w:sz w:val="17"/>
              </w:rPr>
              <w:t>FR-RN-040</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Open the account and its Disposition panel; select the disposition and, for Not for Renewal, the reason.</w:t>
            </w:r>
          </w:p>
        </w:tc>
        <w:tc>
          <w:tcPr>
            <w:tcW w:type="dxa" w:w="2523"/>
            <w:tcMar>
              <w:top w:w="50" w:type="dxa"/>
              <w:bottom w:w="50" w:type="dxa"/>
              <w:left w:w="90" w:type="dxa"/>
              <w:right w:w="90" w:type="dxa"/>
            </w:tcMar>
            <w:shd w:val="clear" w:color="auto" w:fill="E5F5FF"/>
          </w:tcPr>
          <w:p>
            <w:pPr>
              <w:pStyle w:val="BDOITable"/>
            </w:pPr>
            <w:r>
              <w:rPr>
                <w:sz w:val="17"/>
              </w:rPr>
              <w:t>Renewal record page</w:t>
            </w:r>
          </w:p>
        </w:tc>
        <w:tc>
          <w:tcPr>
            <w:tcW w:type="dxa" w:w="1322"/>
            <w:tcMar>
              <w:top w:w="50" w:type="dxa"/>
              <w:bottom w:w="50" w:type="dxa"/>
              <w:left w:w="90" w:type="dxa"/>
              <w:right w:w="90" w:type="dxa"/>
            </w:tcMar>
            <w:shd w:val="clear" w:color="auto" w:fill="E5F5FF"/>
          </w:tcPr>
          <w:p>
            <w:pPr>
              <w:pStyle w:val="BDOITable"/>
            </w:pPr>
            <w:r>
              <w:rPr>
                <w:sz w:val="17"/>
              </w:rPr>
              <w:t>FR-RN-043</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Complete the mandatory details and the remarks and click Save, then Push. The account goes to your Team Lead for review.</w:t>
            </w:r>
          </w:p>
        </w:tc>
        <w:tc>
          <w:tcPr>
            <w:tcW w:type="dxa" w:w="2523"/>
            <w:tcMar>
              <w:top w:w="50" w:type="dxa"/>
              <w:bottom w:w="50" w:type="dxa"/>
              <w:left w:w="90" w:type="dxa"/>
              <w:right w:w="90" w:type="dxa"/>
            </w:tcMar>
          </w:tcPr>
          <w:p>
            <w:pPr>
              <w:pStyle w:val="BDOITable"/>
            </w:pPr>
            <w:r>
              <w:rPr>
                <w:sz w:val="17"/>
              </w:rPr>
              <w:t>Renewal record page</w:t>
            </w:r>
          </w:p>
        </w:tc>
        <w:tc>
          <w:tcPr>
            <w:tcW w:type="dxa" w:w="1322"/>
            <w:tcMar>
              <w:top w:w="50" w:type="dxa"/>
              <w:bottom w:w="50" w:type="dxa"/>
              <w:left w:w="90" w:type="dxa"/>
              <w:right w:w="90" w:type="dxa"/>
            </w:tcMar>
          </w:tcPr>
          <w:p>
            <w:pPr>
              <w:pStyle w:val="BDOITable"/>
            </w:pPr>
            <w:r>
              <w:rPr>
                <w:sz w:val="17"/>
              </w:rPr>
              <w:t>FR-RN-043, FR-RN-044</w:t>
            </w:r>
          </w:p>
        </w:tc>
      </w:tr>
    </w:tbl>
    <w:p>
      <w:pPr>
        <w:pStyle w:val="BDOISpacer"/>
      </w:pPr>
    </w:p>
    <w:p>
      <w:pPr>
        <w:pStyle w:val="Heading2"/>
      </w:pPr>
      <w:bookmarkStart w:id="110" w:name="_Toc000110"/>
      <w:r>
        <w:rPr/>
        <w:t>2.7 Raise a client refund request</w:t>
      </w:r>
      <w:bookmarkEnd w:id="110"/>
    </w:p>
    <w:p>
      <w:r>
        <w:rPr/>
        <w:t>Reference: FRS BRD-05, walkthrough WT-B steps 1-2 and 8.</w:t>
      </w:r>
    </w:p>
    <w:p>
      <w:pPr>
        <w:pStyle w:val="Caption"/>
        <w:keepNext/>
        <w:spacing w:after="60"/>
      </w:pPr>
      <w:r>
        <w:rPr>
          <w:b/>
          <w:i w:val="0"/>
        </w:rPr>
        <w:t xml:space="preserve">Table 7: </w:t>
      </w:r>
      <w:r>
        <w:rPr/>
        <w:t>Raise a client refund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Fill in New Refund Request (segment, reference, purpose, credit to the client's account) with the account to refund and click Submit for Review.</w:t>
            </w:r>
          </w:p>
        </w:tc>
        <w:tc>
          <w:tcPr>
            <w:tcW w:type="dxa" w:w="2523"/>
            <w:tcMar>
              <w:top w:w="50" w:type="dxa"/>
              <w:bottom w:w="50" w:type="dxa"/>
              <w:left w:w="90" w:type="dxa"/>
              <w:right w:w="90" w:type="dxa"/>
            </w:tcMar>
          </w:tcPr>
          <w:p>
            <w:pPr>
              <w:pStyle w:val="BDOITable"/>
            </w:pPr>
            <w:r>
              <w:rPr>
                <w:sz w:val="17"/>
              </w:rPr>
              <w:t>SCR-AC-40 New Refund Request; SCR-AC-43 Request</w:t>
            </w:r>
          </w:p>
        </w:tc>
        <w:tc>
          <w:tcPr>
            <w:tcW w:type="dxa" w:w="1322"/>
            <w:tcMar>
              <w:top w:w="50" w:type="dxa"/>
              <w:bottom w:w="50" w:type="dxa"/>
              <w:left w:w="90" w:type="dxa"/>
              <w:right w:w="90" w:type="dxa"/>
            </w:tcMar>
          </w:tcPr>
          <w:p>
            <w:pPr>
              <w:pStyle w:val="BDOITable"/>
            </w:pPr>
            <w:r>
              <w:rPr>
                <w:sz w:val="17"/>
              </w:rPr>
              <w:t>WT-B.1, B.2</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Follow the payment on the Disbursement tab of the request.</w:t>
            </w:r>
          </w:p>
        </w:tc>
        <w:tc>
          <w:tcPr>
            <w:tcW w:type="dxa" w:w="2523"/>
            <w:tcMar>
              <w:top w:w="50" w:type="dxa"/>
              <w:bottom w:w="50" w:type="dxa"/>
              <w:left w:w="90" w:type="dxa"/>
              <w:right w:w="90" w:type="dxa"/>
            </w:tcMar>
            <w:shd w:val="clear" w:color="auto" w:fill="E5F5FF"/>
          </w:tcPr>
          <w:p>
            <w:pPr>
              <w:pStyle w:val="BDOITable"/>
            </w:pPr>
            <w:r>
              <w:rPr>
                <w:sz w:val="17"/>
              </w:rPr>
              <w:t>SCR-AC-43 Request</w:t>
            </w:r>
          </w:p>
        </w:tc>
        <w:tc>
          <w:tcPr>
            <w:tcW w:type="dxa" w:w="1322"/>
            <w:tcMar>
              <w:top w:w="50" w:type="dxa"/>
              <w:bottom w:w="50" w:type="dxa"/>
              <w:left w:w="90" w:type="dxa"/>
              <w:right w:w="90" w:type="dxa"/>
            </w:tcMar>
            <w:shd w:val="clear" w:color="auto" w:fill="E5F5FF"/>
          </w:tcPr>
          <w:p>
            <w:pPr>
              <w:pStyle w:val="BDOITable"/>
            </w:pPr>
            <w:r>
              <w:rPr>
                <w:sz w:val="17"/>
              </w:rPr>
              <w:t>WT-B.8</w:t>
            </w:r>
          </w:p>
        </w:tc>
      </w:tr>
    </w:tbl>
    <w:p>
      <w:pPr>
        <w:pStyle w:val="BDOISpacer"/>
      </w:pPr>
    </w:p>
    <w:p>
      <w:pPr>
        <w:pStyle w:val="Heading1"/>
        <w:pBdr>
          <w:bottom w:val="single" w:sz="4" w:space="4" w:color="99C1E7"/>
        </w:pBdr>
      </w:pPr>
      <w:bookmarkStart w:id="111" w:name="_Toc000111"/>
      <w:r>
        <w:rPr/>
        <w:t>3 Tips</w:t>
      </w:r>
      <w:bookmarkEnd w:id="111"/>
    </w:p>
    <w:p>
      <w:pPr>
        <w:tabs>
          <w:tab w:pos="312" w:val="left"/>
        </w:tabs>
        <w:spacing w:after="40"/>
        <w:ind w:left="312" w:hanging="283"/>
      </w:pPr>
      <w:r>
        <w:rPr>
          <w:color w:val="004EA8"/>
        </w:rPr>
        <w:t>•</w:t>
        <w:tab/>
      </w:r>
      <w:r>
        <w:rPr/>
        <w:t>Submit KYC is refused without the mandatory documents: "Upload the mandatory KYC documents before you submit the KYC: &lt;documents&gt;" (BRD-01 WT-C.1).</w:t>
      </w:r>
    </w:p>
    <w:p>
      <w:pPr>
        <w:tabs>
          <w:tab w:pos="312" w:val="left"/>
        </w:tabs>
        <w:spacing w:after="40"/>
        <w:ind w:left="312" w:hanging="283"/>
      </w:pPr>
      <w:r>
        <w:rPr>
          <w:color w:val="004EA8"/>
        </w:rPr>
        <w:t>•</w:t>
        <w:tab/>
      </w:r>
      <w:r>
        <w:rPr/>
        <w:t>A quotation is approved by someone other than its maker (BRD-01 WT-C.3).</w:t>
      </w:r>
    </w:p>
    <w:p>
      <w:pPr>
        <w:tabs>
          <w:tab w:pos="312" w:val="left"/>
        </w:tabs>
        <w:spacing w:after="40"/>
        <w:ind w:left="312" w:hanging="283"/>
      </w:pPr>
      <w:r>
        <w:rPr>
          <w:color w:val="004EA8"/>
        </w:rPr>
        <w:t>•</w:t>
        <w:tab/>
      </w:r>
      <w:r>
        <w:rPr/>
        <w:t>Processing cannot validate an account whose client is not confirmed; confirm the client first (BRD-01 WT-C.5).</w:t>
      </w:r>
    </w:p>
    <w:p>
      <w:pPr>
        <w:tabs>
          <w:tab w:pos="312" w:val="left"/>
        </w:tabs>
        <w:spacing w:after="40"/>
        <w:ind w:left="312" w:hanging="283"/>
      </w:pPr>
      <w:r>
        <w:rPr>
          <w:color w:val="004EA8"/>
        </w:rPr>
        <w:t>•</w:t>
        <w:tab/>
      </w:r>
      <w:r>
        <w:rPr/>
        <w:t>The completeness check of the account lists what is missing before you submit.</w:t>
      </w:r>
    </w:p>
    <w:p>
      <w:pPr>
        <w:tabs>
          <w:tab w:pos="312" w:val="left"/>
        </w:tabs>
        <w:spacing w:after="120"/>
        <w:ind w:left="312" w:hanging="283"/>
      </w:pPr>
      <w:r>
        <w:rPr>
          <w:color w:val="004EA8"/>
        </w:rPr>
        <w:t>•</w:t>
        <w:tab/>
      </w:r>
      <w:r>
        <w:rPr/>
        <w:t>A renewal account can be re-assigned until its Renewal Advice is generated.</w:t>
      </w:r>
    </w:p>
    <w:p>
      <w:pPr>
        <w:pStyle w:val="Heading1"/>
        <w:pBdr>
          <w:bottom w:val="single" w:sz="4" w:space="4" w:color="99C1E7"/>
        </w:pBdr>
      </w:pPr>
      <w:bookmarkStart w:id="112" w:name="_Toc000112"/>
      <w:r>
        <w:rPr/>
        <w:t>4 Where to get help</w:t>
      </w:r>
      <w:bookmarkEnd w:id="112"/>
    </w:p>
    <w:p>
      <w:pPr>
        <w:tabs>
          <w:tab w:pos="312" w:val="left"/>
        </w:tabs>
        <w:spacing w:after="40"/>
        <w:ind w:left="312" w:hanging="283"/>
      </w:pPr>
      <w:r>
        <w:rPr>
          <w:color w:val="004EA8"/>
        </w:rPr>
        <w:t>•</w:t>
        <w:tab/>
      </w:r>
      <w:r>
        <w:rPr/>
        <w:t>Help Center (sidebar, Help &gt; Help Center): the help of every screen you may open, with How it works and Controls; search by word.</w:t>
      </w:r>
    </w:p>
    <w:p>
      <w:pPr>
        <w:tabs>
          <w:tab w:pos="312" w:val="left"/>
        </w:tabs>
        <w:spacing w:after="40"/>
        <w:ind w:left="312" w:hanging="283"/>
      </w:pPr>
      <w:r>
        <w:rPr>
          <w:color w:val="004EA8"/>
        </w:rPr>
        <w:t>•</w:t>
        <w:tab/>
      </w:r>
      <w:r>
        <w:rPr/>
        <w:t>Info icons on field labels: the format and rule of the field; the short format hint under a field gives dates as dd-MMM-yyyy and the file limits.</w:t>
      </w:r>
    </w:p>
    <w:p>
      <w:pPr>
        <w:tabs>
          <w:tab w:pos="312" w:val="left"/>
        </w:tabs>
        <w:spacing w:after="40"/>
        <w:ind w:left="312" w:hanging="283"/>
      </w:pPr>
      <w:r>
        <w:rPr>
          <w:color w:val="004EA8"/>
        </w:rPr>
        <w:t>•</w:t>
        <w:tab/>
      </w:r>
      <w:r>
        <w:rPr/>
        <w:t>Messages: a refused action shows the message on the screen in plain words; the message tells what to correct (the tips above list the frequent ones).</w:t>
      </w:r>
    </w:p>
    <w:p>
      <w:pPr>
        <w:tabs>
          <w:tab w:pos="312" w:val="left"/>
        </w:tabs>
        <w:spacing w:after="40"/>
        <w:ind w:left="312" w:hanging="283"/>
      </w:pPr>
      <w:r>
        <w:rPr>
          <w:color w:val="004EA8"/>
        </w:rPr>
        <w:t>•</w:t>
        <w:tab/>
      </w:r>
      <w:r>
        <w:rPr/>
        <w:t>My Work and My Approvals: every record waiting for you, with the action to take; notices in the bell icon link to the record.</w:t>
      </w:r>
    </w:p>
    <w:p>
      <w:pPr>
        <w:tabs>
          <w:tab w:pos="312" w:val="left"/>
        </w:tabs>
        <w:spacing w:after="40"/>
        <w:ind w:left="312" w:hanging="283"/>
      </w:pPr>
      <w:r>
        <w:rPr>
          <w:color w:val="004EA8"/>
        </w:rPr>
        <w:t>•</w:t>
        <w:tab/>
      </w:r>
      <w:r>
        <w:rPr/>
        <w:t>Key user of your unit: first point of contact for how-to questions and for a second pair of eyes.</w:t>
      </w:r>
    </w:p>
    <w:p>
      <w:pPr>
        <w:tabs>
          <w:tab w:pos="312" w:val="left"/>
        </w:tabs>
        <w:spacing w:after="120"/>
        <w:ind w:left="312" w:hanging="283"/>
      </w:pPr>
      <w:r>
        <w:rPr>
          <w:color w:val="004EA8"/>
        </w:rPr>
        <w:t>•</w:t>
        <w:tab/>
      </w:r>
      <w:r>
        <w:rPr/>
        <w:t>Service desk (BDOI IT): access problems, errors and anything the key user cannot solve; give the record number, the screen ID and the time.</w:t>
      </w:r>
    </w:p>
    <w:p>
      <w:r>
        <w:rPr/>
        <w:t>Report a problem with: the record number, the screen ID or name, what you did, the message shown word for word and the time.</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QRG Marketing Account Officer</w:t>
    </w:r>
    <w:r>
      <w:rPr>
        <w:color w:val="656565"/>
        <w:sz w:val="16"/>
      </w:rPr>
      <w:t xml:space="preserve">   Quick-Reference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Adoption BRD-00 QRG Account Officer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