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QUICK-REFERENCE GUIDE</w:t>
      </w:r>
    </w:p>
    <w:p>
      <w:pPr>
        <w:spacing w:after="80" w:line="240" w:lineRule="auto"/>
      </w:pPr>
      <w:r>
        <w:rPr>
          <w:b/>
          <w:color w:val="004EA8"/>
          <w:sz w:val="56"/>
        </w:rPr>
        <w:t>Quick-Reference Guide: Accountant and FRBS Officer</w:t>
      </w:r>
    </w:p>
    <w:p>
      <w:pPr>
        <w:spacing w:after="40"/>
      </w:pPr>
      <w:r>
        <w:rPr>
          <w:color w:val="2E2E2E"/>
          <w:sz w:val="28"/>
        </w:rPr>
        <w:t>What you do in BIBS, your main tasks step by step, tips and where to get help</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BIBS-QRG-FRBS</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08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change and training lead</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FRS walkthroughs and functional requirements</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Key users of the Accountant and FRBS Officer persona</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Check against the screens in UAT</w:t>
            </w:r>
          </w:p>
        </w:tc>
      </w:tr>
      <w:tr>
        <w:trPr>
          <w:cantSplit w:val="true"/>
        </w:trPr>
        <w:tc>
          <w:tcPr>
            <w:tcW w:type="dxa" w:w="2606"/>
            <w:tcMar>
              <w:top w:w="50" w:type="dxa"/>
              <w:bottom w:w="50" w:type="dxa"/>
              <w:left w:w="90" w:type="dxa"/>
              <w:right w:w="90" w:type="dxa"/>
            </w:tcMar>
          </w:tcPr>
          <w:p>
            <w:pPr>
              <w:pStyle w:val="BDOITable"/>
            </w:pPr>
            <w:r>
              <w:rPr>
                <w:sz w:val="18"/>
              </w:rPr>
              <w:t>BDOI trainers</w:t>
            </w:r>
          </w:p>
        </w:tc>
        <w:tc>
          <w:tcPr>
            <w:tcW w:type="dxa" w:w="2266"/>
            <w:tcMar>
              <w:top w:w="50" w:type="dxa"/>
              <w:bottom w:w="50" w:type="dxa"/>
              <w:left w:w="90" w:type="dxa"/>
              <w:right w:w="90" w:type="dxa"/>
            </w:tcMar>
          </w:tcPr>
          <w:p>
            <w:pPr>
              <w:pStyle w:val="BDOITable"/>
            </w:pPr>
            <w:r>
              <w:rPr>
                <w:sz w:val="18"/>
              </w:rPr>
              <w:t>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End-user training</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1 Your role in BIBS</w:t>
        </w:r>
        <w:r>
          <w:t xml:space="preserve">	</w:t>
        </w:r>
        <w:r>
          <w:t xml:space="preserve">4</w:t>
        </w:r>
      </w:hyperlink>
    </w:p>
    <w:p>
      <w:pPr>
        <w:pStyle w:val="toc2"/>
      </w:pPr>
      <w:hyperlink w:anchor="_Toc000102" w:history="1">
        <w:r>
          <w:t xml:space="preserve">1.1 Your menus</w:t>
        </w:r>
        <w:r>
          <w:t xml:space="preserve">	</w:t>
        </w:r>
        <w:r>
          <w:t xml:space="preserve">4</w:t>
        </w:r>
      </w:hyperlink>
    </w:p>
    <w:p>
      <w:pPr>
        <w:pStyle w:val="toc1"/>
      </w:pPr>
      <w:hyperlink w:anchor="_Toc000103" w:history="1">
        <w:r>
          <w:t xml:space="preserve">2 Your main tasks</w:t>
        </w:r>
        <w:r>
          <w:t xml:space="preserve">	</w:t>
        </w:r>
        <w:r>
          <w:t xml:space="preserve">4</w:t>
        </w:r>
      </w:hyperlink>
    </w:p>
    <w:p>
      <w:pPr>
        <w:pStyle w:val="toc2"/>
      </w:pPr>
      <w:hyperlink w:anchor="_Toc000104" w:history="1">
        <w:r>
          <w:t xml:space="preserve">2.1 Enter and post a manual accrual</w:t>
        </w:r>
        <w:r>
          <w:t xml:space="preserve">	</w:t>
        </w:r>
        <w:r>
          <w:t xml:space="preserve">4</w:t>
        </w:r>
      </w:hyperlink>
    </w:p>
    <w:p>
      <w:pPr>
        <w:pStyle w:val="toc2"/>
      </w:pPr>
      <w:hyperlink w:anchor="_Toc000105" w:history="1">
        <w:r>
          <w:t xml:space="preserve">2.2 Close the month</w:t>
        </w:r>
        <w:r>
          <w:t xml:space="preserve">	</w:t>
        </w:r>
        <w:r>
          <w:t xml:space="preserve">4</w:t>
        </w:r>
      </w:hyperlink>
    </w:p>
    <w:p>
      <w:pPr>
        <w:pStyle w:val="toc2"/>
      </w:pPr>
      <w:hyperlink w:anchor="_Toc000106" w:history="1">
        <w:r>
          <w:t xml:space="preserve">2.3 Reconcile a bank account</w:t>
        </w:r>
        <w:r>
          <w:t xml:space="preserve">	</w:t>
        </w:r>
        <w:r>
          <w:t xml:space="preserve">5</w:t>
        </w:r>
      </w:hyperlink>
    </w:p>
    <w:p>
      <w:pPr>
        <w:pStyle w:val="toc2"/>
      </w:pPr>
      <w:hyperlink w:anchor="_Toc000107" w:history="1">
        <w:r>
          <w:t xml:space="preserve">2.4 Reconcile an insurer's statement and correct a posting (ACSL)</w:t>
        </w:r>
        <w:r>
          <w:t xml:space="preserve">	</w:t>
        </w:r>
        <w:r>
          <w:t xml:space="preserve">5</w:t>
        </w:r>
      </w:hyperlink>
    </w:p>
    <w:p>
      <w:pPr>
        <w:pStyle w:val="toc1"/>
      </w:pPr>
      <w:hyperlink w:anchor="_Toc000108" w:history="1">
        <w:r>
          <w:t xml:space="preserve">3 Tips</w:t>
        </w:r>
        <w:r>
          <w:t xml:space="preserve">	</w:t>
        </w:r>
        <w:r>
          <w:t xml:space="preserve">5</w:t>
        </w:r>
      </w:hyperlink>
    </w:p>
    <w:p>
      <w:pPr>
        <w:pStyle w:val="toc1"/>
      </w:pPr>
      <w:hyperlink w:anchor="_Toc000109" w:history="1">
        <w:r>
          <w:t xml:space="preserve">4 Where to get help</w:t>
        </w:r>
        <w:r>
          <w:t xml:space="preserve">	</w:t>
        </w:r>
        <w:r>
          <w:t xml:space="preserve">5</w:t>
        </w:r>
      </w:hyperlink>
      <w:r>
        <w:fldChar w:fldCharType="end"/>
      </w:r>
    </w:p>
    <w:p>
      <w:pPr>
        <w:pStyle w:val="Heading1"/>
        <w:pageBreakBefore/>
        <w:pBdr>
          <w:bottom w:val="single" w:sz="4" w:space="4" w:color="99C1E7"/>
        </w:pBdr>
      </w:pPr>
      <w:bookmarkStart w:id="101" w:name="_Toc000101"/>
      <w:r>
        <w:rPr/>
        <w:t>1 Your role in BIBS</w:t>
      </w:r>
      <w:bookmarkEnd w:id="101"/>
    </w:p>
    <w:p>
      <w:r>
        <w:rPr/>
        <w:t>You keep the books of BDOI. In BIBS you enter and post journals under maker-checker, inquire on accounts, run the month-end revaluation and GL close, compute the service fee, reconcile the bank accounts and, in ACSL, reconcile the insurers' statements of account and correct wrong postings.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8"/>
        <w:gridCol w:w="7705"/>
      </w:tblGrid>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Persona</w:t>
            </w:r>
          </w:p>
        </w:tc>
        <w:tc>
          <w:tcPr>
            <w:tcW w:type="dxa" w:w="7704"/>
            <w:tcMar>
              <w:top w:w="50" w:type="dxa"/>
              <w:bottom w:w="50" w:type="dxa"/>
              <w:left w:w="90" w:type="dxa"/>
              <w:right w:w="90" w:type="dxa"/>
            </w:tcMar>
          </w:tcPr>
          <w:p>
            <w:pPr>
              <w:pStyle w:val="BDOITable"/>
              <w:keepNext/>
            </w:pPr>
            <w:r>
              <w:rPr>
                <w:sz w:val="18"/>
              </w:rPr>
              <w:t>Accountant and FRBS Officer</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BRDs</w:t>
            </w:r>
          </w:p>
        </w:tc>
        <w:tc>
          <w:tcPr>
            <w:tcW w:type="dxa" w:w="7704"/>
            <w:tcMar>
              <w:top w:w="50" w:type="dxa"/>
              <w:bottom w:w="50" w:type="dxa"/>
              <w:left w:w="90" w:type="dxa"/>
              <w:right w:w="90" w:type="dxa"/>
            </w:tcMar>
          </w:tcPr>
          <w:p>
            <w:pPr>
              <w:pStyle w:val="BDOITable"/>
              <w:keepNext/>
            </w:pPr>
            <w:r>
              <w:rPr>
                <w:sz w:val="18"/>
              </w:rPr>
              <w:t>BRD-05 Accounting (FRBS, ACSL, bank reconciliation)</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Home page</w:t>
            </w:r>
          </w:p>
        </w:tc>
        <w:tc>
          <w:tcPr>
            <w:tcW w:type="dxa" w:w="7704"/>
            <w:tcMar>
              <w:top w:w="50" w:type="dxa"/>
              <w:bottom w:w="50" w:type="dxa"/>
              <w:left w:w="90" w:type="dxa"/>
              <w:right w:w="90" w:type="dxa"/>
            </w:tcMar>
          </w:tcPr>
          <w:p>
            <w:pPr>
              <w:pStyle w:val="BDOITable"/>
              <w:keepNext/>
            </w:pPr>
            <w:r>
              <w:rPr>
                <w:sz w:val="18"/>
              </w:rPr>
              <w:t>Finance dashboard; Journals and reconciliations to act on</w:t>
            </w:r>
          </w:p>
        </w:tc>
      </w:tr>
      <w:tr>
        <w:trPr>
          <w:cantSplit w:val="true"/>
          <w:cantSplit w:val="true"/>
        </w:trPr>
        <w:tc>
          <w:tcPr>
            <w:tcW w:type="dxa" w:w="2268"/>
            <w:tcMar>
              <w:top w:w="50" w:type="dxa"/>
              <w:bottom w:w="50" w:type="dxa"/>
              <w:left w:w="90" w:type="dxa"/>
              <w:right w:w="90" w:type="dxa"/>
            </w:tcMar>
            <w:shd w:val="clear" w:color="auto" w:fill="E5F5FF"/>
          </w:tcPr>
          <w:p>
            <w:pPr>
              <w:pStyle w:val="BDOITable"/>
              <w:keepNext/>
            </w:pPr>
            <w:r>
              <w:rPr>
                <w:b/>
                <w:color w:val="004EA8"/>
                <w:sz w:val="18"/>
              </w:rPr>
              <w:t>Sign-in</w:t>
            </w:r>
          </w:p>
        </w:tc>
        <w:tc>
          <w:tcPr>
            <w:tcW w:type="dxa" w:w="7704"/>
            <w:tcMar>
              <w:top w:w="50" w:type="dxa"/>
              <w:bottom w:w="50" w:type="dxa"/>
              <w:left w:w="90" w:type="dxa"/>
              <w:right w:w="90" w:type="dxa"/>
            </w:tcMar>
          </w:tcPr>
          <w:p>
            <w:pPr>
              <w:pStyle w:val="BDOITable"/>
              <w:keepNext/>
            </w:pPr>
            <w:r>
              <w:rPr>
                <w:sz w:val="18"/>
              </w:rPr>
              <w:t>BDO single sign-on (EIAM); MFA as set by Information Security</w:t>
            </w:r>
          </w:p>
        </w:tc>
      </w:tr>
    </w:tbl>
    <w:p>
      <w:pPr>
        <w:pStyle w:val="BDOISpacer"/>
      </w:pPr>
    </w:p>
    <w:p>
      <w:pPr>
        <w:pStyle w:val="Heading2"/>
      </w:pPr>
      <w:bookmarkStart w:id="102" w:name="_Toc000102"/>
      <w:r>
        <w:rPr/>
        <w:t>1.1 Your menus</w:t>
      </w:r>
      <w:bookmarkEnd w:id="102"/>
    </w:p>
    <w:p>
      <w:r>
        <w:rPr/>
        <w:t>The sidebar shows only the screens your roles allow. Your main menus:</w:t>
      </w:r>
    </w:p>
    <w:p>
      <w:pPr>
        <w:tabs>
          <w:tab w:pos="312" w:val="left"/>
        </w:tabs>
        <w:spacing w:after="40"/>
        <w:ind w:left="312" w:hanging="283"/>
      </w:pPr>
      <w:r>
        <w:rPr>
          <w:color w:val="004EA8"/>
        </w:rPr>
        <w:t>•</w:t>
        <w:tab/>
      </w:r>
      <w:r>
        <w:rPr/>
        <w:t>Finance &gt; General Ledger: Journals, New Journal, Recurring Journals, Journal Upload, Account Inquiry, Party Statement, Chart of Accounts, Financial Periods</w:t>
      </w:r>
    </w:p>
    <w:p>
      <w:pPr>
        <w:tabs>
          <w:tab w:pos="312" w:val="left"/>
        </w:tabs>
        <w:spacing w:after="40"/>
        <w:ind w:left="312" w:hanging="283"/>
      </w:pPr>
      <w:r>
        <w:rPr>
          <w:color w:val="004EA8"/>
        </w:rPr>
        <w:t>•</w:t>
        <w:tab/>
      </w:r>
      <w:r>
        <w:rPr/>
        <w:t>Finance &gt; Receivables &amp; Banking: Bank Statements, Bank Reconciliation</w:t>
      </w:r>
    </w:p>
    <w:p>
      <w:pPr>
        <w:tabs>
          <w:tab w:pos="312" w:val="left"/>
        </w:tabs>
        <w:spacing w:after="40"/>
        <w:ind w:left="312" w:hanging="283"/>
      </w:pPr>
      <w:r>
        <w:rPr>
          <w:color w:val="004EA8"/>
        </w:rPr>
        <w:t>•</w:t>
        <w:tab/>
      </w:r>
      <w:r>
        <w:rPr/>
        <w:t>Finance &gt; Accounting Reports: Report Pack, Account Schedules, Service Fee Runs, Service Fee Rates</w:t>
      </w:r>
    </w:p>
    <w:p>
      <w:pPr>
        <w:tabs>
          <w:tab w:pos="312" w:val="left"/>
        </w:tabs>
        <w:spacing w:after="40"/>
        <w:ind w:left="312" w:hanging="283"/>
      </w:pPr>
      <w:r>
        <w:rPr>
          <w:color w:val="004EA8"/>
        </w:rPr>
        <w:t>•</w:t>
        <w:tab/>
      </w:r>
      <w:r>
        <w:rPr/>
        <w:t>Finance &gt; ACSL: ACSL Cases, Correction Entries, Insurer SOA Reconciliation, GL-SL Reconciliation</w:t>
      </w:r>
    </w:p>
    <w:p>
      <w:pPr>
        <w:tabs>
          <w:tab w:pos="312" w:val="left"/>
        </w:tabs>
        <w:spacing w:after="120"/>
        <w:ind w:left="312" w:hanging="283"/>
      </w:pPr>
      <w:r>
        <w:rPr>
          <w:color w:val="004EA8"/>
        </w:rPr>
        <w:t>•</w:t>
        <w:tab/>
      </w:r>
      <w:r>
        <w:rPr/>
        <w:t>Reports &gt; Report Centre</w:t>
      </w:r>
    </w:p>
    <w:p>
      <w:pPr>
        <w:pStyle w:val="Heading1"/>
        <w:pBdr>
          <w:bottom w:val="single" w:sz="4" w:space="4" w:color="99C1E7"/>
        </w:pBdr>
      </w:pPr>
      <w:bookmarkStart w:id="103" w:name="_Toc000103"/>
      <w:r>
        <w:rPr/>
        <w:t>2 Your main tasks</w:t>
      </w:r>
      <w:bookmarkEnd w:id="103"/>
    </w:p>
    <w:p>
      <w:r>
        <w:rPr/>
        <w:t>Each task lists the steps in order, the screen (ID and name of the screen specification) and the step of the FRS walkthrough or the functional requirement it follows. The FRS walkthroughs show every step with its screenshot.</w:t>
      </w:r>
    </w:p>
    <w:p>
      <w:pPr>
        <w:pStyle w:val="Heading2"/>
      </w:pPr>
      <w:bookmarkStart w:id="104" w:name="_Toc000104"/>
      <w:r>
        <w:rPr/>
        <w:t>2.1 Enter and post a manual accrual</w:t>
      </w:r>
      <w:bookmarkEnd w:id="104"/>
    </w:p>
    <w:p>
      <w:r>
        <w:rPr/>
        <w:t>Reference: FRS BRD-05, walkthrough WT-A.</w:t>
      </w:r>
    </w:p>
    <w:p>
      <w:pPr>
        <w:pStyle w:val="Caption"/>
        <w:keepNext/>
        <w:spacing w:after="60"/>
      </w:pPr>
      <w:r>
        <w:rPr>
          <w:b/>
          <w:i w:val="0"/>
        </w:rPr>
        <w:t xml:space="preserve">Table 1: </w:t>
      </w:r>
      <w:r>
        <w:rPr/>
        <w:t>Enter and post a manual accrual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Enter the accrual on New Journal: value date, Reverse on the first day of next month, the debit with its cost centre and the credit; save and submit.</w:t>
            </w:r>
          </w:p>
        </w:tc>
        <w:tc>
          <w:tcPr>
            <w:tcW w:type="dxa" w:w="2523"/>
            <w:tcMar>
              <w:top w:w="50" w:type="dxa"/>
              <w:bottom w:w="50" w:type="dxa"/>
              <w:left w:w="90" w:type="dxa"/>
              <w:right w:w="90" w:type="dxa"/>
            </w:tcMar>
          </w:tcPr>
          <w:p>
            <w:pPr>
              <w:pStyle w:val="BDOITable"/>
            </w:pPr>
            <w:r>
              <w:rPr>
                <w:sz w:val="17"/>
              </w:rPr>
              <w:t>SCR-AC-02 New Journal</w:t>
            </w:r>
          </w:p>
        </w:tc>
        <w:tc>
          <w:tcPr>
            <w:tcW w:type="dxa" w:w="1322"/>
            <w:tcMar>
              <w:top w:w="50" w:type="dxa"/>
              <w:bottom w:w="50" w:type="dxa"/>
              <w:left w:w="90" w:type="dxa"/>
              <w:right w:w="90" w:type="dxa"/>
            </w:tcMar>
          </w:tcPr>
          <w:p>
            <w:pPr>
              <w:pStyle w:val="BDOITable"/>
            </w:pPr>
            <w:r>
              <w:rPr>
                <w:sz w:val="17"/>
              </w:rPr>
              <w:t>WT-A.1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Team Lead: select the voucher on Journals, click Assign and choose the GL Section Head.</w:t>
            </w:r>
          </w:p>
        </w:tc>
        <w:tc>
          <w:tcPr>
            <w:tcW w:type="dxa" w:w="2523"/>
            <w:tcMar>
              <w:top w:w="50" w:type="dxa"/>
              <w:bottom w:w="50" w:type="dxa"/>
              <w:left w:w="90" w:type="dxa"/>
              <w:right w:w="90" w:type="dxa"/>
            </w:tcMar>
            <w:shd w:val="clear" w:color="auto" w:fill="E5F5FF"/>
          </w:tcPr>
          <w:p>
            <w:pPr>
              <w:pStyle w:val="BDOITable"/>
            </w:pPr>
            <w:r>
              <w:rPr>
                <w:sz w:val="17"/>
              </w:rPr>
              <w:t>SCR-AC-01 Journals</w:t>
            </w:r>
          </w:p>
        </w:tc>
        <w:tc>
          <w:tcPr>
            <w:tcW w:type="dxa" w:w="1322"/>
            <w:tcMar>
              <w:top w:w="50" w:type="dxa"/>
              <w:bottom w:w="50" w:type="dxa"/>
              <w:left w:w="90" w:type="dxa"/>
              <w:right w:w="90" w:type="dxa"/>
            </w:tcMar>
            <w:shd w:val="clear" w:color="auto" w:fill="E5F5FF"/>
          </w:tcPr>
          <w:p>
            <w:pPr>
              <w:pStyle w:val="BDOITable"/>
            </w:pPr>
            <w:r>
              <w:rPr>
                <w:sz w:val="17"/>
              </w:rPr>
              <w:t>WT-A.2</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Section Head: choose Assigned to me, select the voucher, click Post Selected and confirm.</w:t>
            </w:r>
          </w:p>
        </w:tc>
        <w:tc>
          <w:tcPr>
            <w:tcW w:type="dxa" w:w="2523"/>
            <w:tcMar>
              <w:top w:w="50" w:type="dxa"/>
              <w:bottom w:w="50" w:type="dxa"/>
              <w:left w:w="90" w:type="dxa"/>
              <w:right w:w="90" w:type="dxa"/>
            </w:tcMar>
          </w:tcPr>
          <w:p>
            <w:pPr>
              <w:pStyle w:val="BDOITable"/>
            </w:pPr>
            <w:r>
              <w:rPr>
                <w:sz w:val="17"/>
              </w:rPr>
              <w:t>SCR-AC-01 Journals</w:t>
            </w:r>
          </w:p>
        </w:tc>
        <w:tc>
          <w:tcPr>
            <w:tcW w:type="dxa" w:w="1322"/>
            <w:tcMar>
              <w:top w:w="50" w:type="dxa"/>
              <w:bottom w:w="50" w:type="dxa"/>
              <w:left w:w="90" w:type="dxa"/>
              <w:right w:w="90" w:type="dxa"/>
            </w:tcMar>
          </w:tcPr>
          <w:p>
            <w:pPr>
              <w:pStyle w:val="BDOITable"/>
            </w:pPr>
            <w:r>
              <w:rPr>
                <w:sz w:val="17"/>
              </w:rPr>
              <w:t>WT-A.3</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647"/>
            <w:tcMar>
              <w:top w:w="50" w:type="dxa"/>
              <w:bottom w:w="50" w:type="dxa"/>
              <w:left w:w="90" w:type="dxa"/>
              <w:right w:w="90" w:type="dxa"/>
            </w:tcMar>
            <w:shd w:val="clear" w:color="auto" w:fill="E5F5FF"/>
          </w:tcPr>
          <w:p>
            <w:pPr>
              <w:pStyle w:val="BDOITable"/>
            </w:pPr>
            <w:r>
              <w:rPr>
                <w:sz w:val="17"/>
              </w:rPr>
              <w:t>Check the posting on the journal and on Account Inquiry for the month.</w:t>
            </w:r>
          </w:p>
        </w:tc>
        <w:tc>
          <w:tcPr>
            <w:tcW w:type="dxa" w:w="2523"/>
            <w:tcMar>
              <w:top w:w="50" w:type="dxa"/>
              <w:bottom w:w="50" w:type="dxa"/>
              <w:left w:w="90" w:type="dxa"/>
              <w:right w:w="90" w:type="dxa"/>
            </w:tcMar>
            <w:shd w:val="clear" w:color="auto" w:fill="E5F5FF"/>
          </w:tcPr>
          <w:p>
            <w:pPr>
              <w:pStyle w:val="BDOITable"/>
            </w:pPr>
            <w:r>
              <w:rPr>
                <w:sz w:val="17"/>
              </w:rPr>
              <w:t>SCR-AC-03 Journal; SCR-AC-04 Account Inquiry</w:t>
            </w:r>
          </w:p>
        </w:tc>
        <w:tc>
          <w:tcPr>
            <w:tcW w:type="dxa" w:w="1322"/>
            <w:tcMar>
              <w:top w:w="50" w:type="dxa"/>
              <w:bottom w:w="50" w:type="dxa"/>
              <w:left w:w="90" w:type="dxa"/>
              <w:right w:w="90" w:type="dxa"/>
            </w:tcMar>
            <w:shd w:val="clear" w:color="auto" w:fill="E5F5FF"/>
          </w:tcPr>
          <w:p>
            <w:pPr>
              <w:pStyle w:val="BDOITable"/>
            </w:pPr>
            <w:r>
              <w:rPr>
                <w:sz w:val="17"/>
              </w:rPr>
              <w:t>WT-A.4, A.5</w:t>
            </w:r>
          </w:p>
        </w:tc>
      </w:tr>
    </w:tbl>
    <w:p>
      <w:pPr>
        <w:pStyle w:val="BDOISpacer"/>
      </w:pPr>
    </w:p>
    <w:p>
      <w:pPr>
        <w:pStyle w:val="Heading2"/>
      </w:pPr>
      <w:bookmarkStart w:id="105" w:name="_Toc000105"/>
      <w:r>
        <w:rPr/>
        <w:t>2.2 Close the month</w:t>
      </w:r>
      <w:bookmarkEnd w:id="105"/>
    </w:p>
    <w:p>
      <w:r>
        <w:rPr/>
        <w:t>Reference: FRS BRD-05, walkthrough WT-D.</w:t>
      </w:r>
    </w:p>
    <w:p>
      <w:pPr>
        <w:pStyle w:val="Caption"/>
        <w:keepNext/>
        <w:spacing w:after="60"/>
      </w:pPr>
      <w:r>
        <w:rPr>
          <w:b/>
          <w:i w:val="0"/>
        </w:rPr>
        <w:t xml:space="preserve">Table 2: </w:t>
      </w:r>
      <w:r>
        <w:rPr/>
        <w:t>Close the month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Enter the month-end rate of each currency on Monthly revaluation rates and click Save Rate.</w:t>
            </w:r>
          </w:p>
        </w:tc>
        <w:tc>
          <w:tcPr>
            <w:tcW w:type="dxa" w:w="2523"/>
            <w:tcMar>
              <w:top w:w="50" w:type="dxa"/>
              <w:bottom w:w="50" w:type="dxa"/>
              <w:left w:w="90" w:type="dxa"/>
              <w:right w:w="90" w:type="dxa"/>
            </w:tcMar>
          </w:tcPr>
          <w:p>
            <w:pPr>
              <w:pStyle w:val="BDOITable"/>
            </w:pPr>
            <w:r>
              <w:rPr>
                <w:sz w:val="17"/>
              </w:rPr>
              <w:t>SCR-AC-08 Currencies &amp; Rates</w:t>
            </w:r>
          </w:p>
        </w:tc>
        <w:tc>
          <w:tcPr>
            <w:tcW w:type="dxa" w:w="1322"/>
            <w:tcMar>
              <w:top w:w="50" w:type="dxa"/>
              <w:bottom w:w="50" w:type="dxa"/>
              <w:left w:w="90" w:type="dxa"/>
              <w:right w:w="90" w:type="dxa"/>
            </w:tcMar>
          </w:tcPr>
          <w:p>
            <w:pPr>
              <w:pStyle w:val="BDOITable"/>
            </w:pPr>
            <w:r>
              <w:rPr>
                <w:sz w:val="17"/>
              </w:rPr>
              <w:t>WT-D.1</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Choose the month, check the preview and click Post revaluation.</w:t>
            </w:r>
          </w:p>
        </w:tc>
        <w:tc>
          <w:tcPr>
            <w:tcW w:type="dxa" w:w="2523"/>
            <w:tcMar>
              <w:top w:w="50" w:type="dxa"/>
              <w:bottom w:w="50" w:type="dxa"/>
              <w:left w:w="90" w:type="dxa"/>
              <w:right w:w="90" w:type="dxa"/>
            </w:tcMar>
            <w:shd w:val="clear" w:color="auto" w:fill="E5F5FF"/>
          </w:tcPr>
          <w:p>
            <w:pPr>
              <w:pStyle w:val="BDOITable"/>
            </w:pPr>
            <w:r>
              <w:rPr>
                <w:sz w:val="17"/>
              </w:rPr>
              <w:t>SCR-AC-13 FX Revaluation</w:t>
            </w:r>
          </w:p>
        </w:tc>
        <w:tc>
          <w:tcPr>
            <w:tcW w:type="dxa" w:w="1322"/>
            <w:tcMar>
              <w:top w:w="50" w:type="dxa"/>
              <w:bottom w:w="50" w:type="dxa"/>
              <w:left w:w="90" w:type="dxa"/>
              <w:right w:w="90" w:type="dxa"/>
            </w:tcMar>
            <w:shd w:val="clear" w:color="auto" w:fill="E5F5FF"/>
          </w:tcPr>
          <w:p>
            <w:pPr>
              <w:pStyle w:val="BDOITable"/>
            </w:pPr>
            <w:r>
              <w:rPr>
                <w:sz w:val="17"/>
              </w:rPr>
              <w:t>WT-D.2</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Schedule Close for the month at the proposed date and time; open Broking Books Cut-Off.</w:t>
            </w:r>
          </w:p>
        </w:tc>
        <w:tc>
          <w:tcPr>
            <w:tcW w:type="dxa" w:w="2523"/>
            <w:tcMar>
              <w:top w:w="50" w:type="dxa"/>
              <w:bottom w:w="50" w:type="dxa"/>
              <w:left w:w="90" w:type="dxa"/>
              <w:right w:w="90" w:type="dxa"/>
            </w:tcMar>
          </w:tcPr>
          <w:p>
            <w:pPr>
              <w:pStyle w:val="BDOITable"/>
            </w:pPr>
            <w:r>
              <w:rPr>
                <w:sz w:val="17"/>
              </w:rPr>
              <w:t>SCR-AC-11 GL Close &amp; Cut-Off</w:t>
            </w:r>
          </w:p>
        </w:tc>
        <w:tc>
          <w:tcPr>
            <w:tcW w:type="dxa" w:w="1322"/>
            <w:tcMar>
              <w:top w:w="50" w:type="dxa"/>
              <w:bottom w:w="50" w:type="dxa"/>
              <w:left w:w="90" w:type="dxa"/>
              <w:right w:w="90" w:type="dxa"/>
            </w:tcMar>
          </w:tcPr>
          <w:p>
            <w:pPr>
              <w:pStyle w:val="BDOITable"/>
            </w:pPr>
            <w:r>
              <w:rPr>
                <w:sz w:val="17"/>
              </w:rPr>
              <w:t>WT-D.3, D.4</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4</w:t>
            </w:r>
          </w:p>
        </w:tc>
        <w:tc>
          <w:tcPr>
            <w:tcW w:type="dxa" w:w="5647"/>
            <w:tcMar>
              <w:top w:w="50" w:type="dxa"/>
              <w:bottom w:w="50" w:type="dxa"/>
              <w:left w:w="90" w:type="dxa"/>
              <w:right w:w="90" w:type="dxa"/>
            </w:tcMar>
            <w:shd w:val="clear" w:color="auto" w:fill="E5F5FF"/>
          </w:tcPr>
          <w:p>
            <w:pPr>
              <w:pStyle w:val="BDOITable"/>
            </w:pPr>
            <w:r>
              <w:rPr>
                <w:sz w:val="17"/>
              </w:rPr>
              <w:t>Open the service-fee run of the month and tag a line Released with the date the recipient was credited.</w:t>
            </w:r>
          </w:p>
        </w:tc>
        <w:tc>
          <w:tcPr>
            <w:tcW w:type="dxa" w:w="2523"/>
            <w:tcMar>
              <w:top w:w="50" w:type="dxa"/>
              <w:bottom w:w="50" w:type="dxa"/>
              <w:left w:w="90" w:type="dxa"/>
              <w:right w:w="90" w:type="dxa"/>
            </w:tcMar>
            <w:shd w:val="clear" w:color="auto" w:fill="E5F5FF"/>
          </w:tcPr>
          <w:p>
            <w:pPr>
              <w:pStyle w:val="BDOITable"/>
            </w:pPr>
            <w:r>
              <w:rPr>
                <w:sz w:val="17"/>
              </w:rPr>
              <w:t>SCR-AC-22 Service Fee Run</w:t>
            </w:r>
          </w:p>
        </w:tc>
        <w:tc>
          <w:tcPr>
            <w:tcW w:type="dxa" w:w="1322"/>
            <w:tcMar>
              <w:top w:w="50" w:type="dxa"/>
              <w:bottom w:w="50" w:type="dxa"/>
              <w:left w:w="90" w:type="dxa"/>
              <w:right w:w="90" w:type="dxa"/>
            </w:tcMar>
            <w:shd w:val="clear" w:color="auto" w:fill="E5F5FF"/>
          </w:tcPr>
          <w:p>
            <w:pPr>
              <w:pStyle w:val="BDOITable"/>
            </w:pPr>
            <w:r>
              <w:rPr>
                <w:sz w:val="17"/>
              </w:rPr>
              <w:t>WT-D.5</w:t>
            </w:r>
          </w:p>
        </w:tc>
      </w:tr>
    </w:tbl>
    <w:p>
      <w:pPr>
        <w:pStyle w:val="BDOISpacer"/>
      </w:pPr>
    </w:p>
    <w:p>
      <w:pPr>
        <w:pStyle w:val="Heading2"/>
      </w:pPr>
      <w:bookmarkStart w:id="106" w:name="_Toc000106"/>
      <w:r>
        <w:rPr/>
        <w:t>2.3 Reconcile a bank account</w:t>
      </w:r>
      <w:bookmarkEnd w:id="106"/>
    </w:p>
    <w:p>
      <w:r>
        <w:rPr/>
        <w:t>Reference: FRS BRD-05, FR-AC-050, FR-AC-051.</w:t>
      </w:r>
    </w:p>
    <w:p>
      <w:pPr>
        <w:pStyle w:val="Caption"/>
        <w:keepNext/>
        <w:spacing w:after="60"/>
      </w:pPr>
      <w:r>
        <w:rPr>
          <w:b/>
          <w:i w:val="0"/>
        </w:rPr>
        <w:t xml:space="preserve">Table 3: </w:t>
      </w:r>
      <w:r>
        <w:rPr/>
        <w:t>Reconcile a bank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Open Bank Statements and upload the statement file of the bank account; BIBS imports the lines and matches them.</w:t>
            </w:r>
          </w:p>
        </w:tc>
        <w:tc>
          <w:tcPr>
            <w:tcW w:type="dxa" w:w="2523"/>
            <w:tcMar>
              <w:top w:w="50" w:type="dxa"/>
              <w:bottom w:w="50" w:type="dxa"/>
              <w:left w:w="90" w:type="dxa"/>
              <w:right w:w="90" w:type="dxa"/>
            </w:tcMar>
          </w:tcPr>
          <w:p>
            <w:pPr>
              <w:pStyle w:val="BDOITable"/>
            </w:pPr>
            <w:r>
              <w:rPr>
                <w:sz w:val="17"/>
              </w:rPr>
              <w:t>SCR-AC-15 Bank Statements</w:t>
            </w:r>
          </w:p>
        </w:tc>
        <w:tc>
          <w:tcPr>
            <w:tcW w:type="dxa" w:w="1322"/>
            <w:tcMar>
              <w:top w:w="50" w:type="dxa"/>
              <w:bottom w:w="50" w:type="dxa"/>
              <w:left w:w="90" w:type="dxa"/>
              <w:right w:w="90" w:type="dxa"/>
            </w:tcMar>
          </w:tcPr>
          <w:p>
            <w:pPr>
              <w:pStyle w:val="BDOITable"/>
            </w:pPr>
            <w:r>
              <w:rPr>
                <w:sz w:val="17"/>
              </w:rPr>
              <w:t>FR-AC-050</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Review the reconciliation, adjust the matches and finalise.</w:t>
            </w:r>
          </w:p>
        </w:tc>
        <w:tc>
          <w:tcPr>
            <w:tcW w:type="dxa" w:w="2523"/>
            <w:tcMar>
              <w:top w:w="50" w:type="dxa"/>
              <w:bottom w:w="50" w:type="dxa"/>
              <w:left w:w="90" w:type="dxa"/>
              <w:right w:w="90" w:type="dxa"/>
            </w:tcMar>
            <w:shd w:val="clear" w:color="auto" w:fill="E5F5FF"/>
          </w:tcPr>
          <w:p>
            <w:pPr>
              <w:pStyle w:val="BDOITable"/>
            </w:pPr>
            <w:r>
              <w:rPr>
                <w:sz w:val="17"/>
              </w:rPr>
              <w:t>SCR-AC-16 Bank Reconciliation</w:t>
            </w:r>
          </w:p>
        </w:tc>
        <w:tc>
          <w:tcPr>
            <w:tcW w:type="dxa" w:w="1322"/>
            <w:tcMar>
              <w:top w:w="50" w:type="dxa"/>
              <w:bottom w:w="50" w:type="dxa"/>
              <w:left w:w="90" w:type="dxa"/>
              <w:right w:w="90" w:type="dxa"/>
            </w:tcMar>
            <w:shd w:val="clear" w:color="auto" w:fill="E5F5FF"/>
          </w:tcPr>
          <w:p>
            <w:pPr>
              <w:pStyle w:val="BDOITable"/>
            </w:pPr>
            <w:r>
              <w:rPr>
                <w:sz w:val="17"/>
              </w:rPr>
              <w:t>FR-AC-050</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Run the unmatched reports for the bank account and date.</w:t>
            </w:r>
          </w:p>
        </w:tc>
        <w:tc>
          <w:tcPr>
            <w:tcW w:type="dxa" w:w="2523"/>
            <w:tcMar>
              <w:top w:w="50" w:type="dxa"/>
              <w:bottom w:w="50" w:type="dxa"/>
              <w:left w:w="90" w:type="dxa"/>
              <w:right w:w="90" w:type="dxa"/>
            </w:tcMar>
          </w:tcPr>
          <w:p>
            <w:pPr>
              <w:pStyle w:val="BDOITable"/>
            </w:pPr>
            <w:r>
              <w:rPr>
                <w:sz w:val="17"/>
              </w:rPr>
              <w:t>SCR-AC-17 Report Centre</w:t>
            </w:r>
          </w:p>
        </w:tc>
        <w:tc>
          <w:tcPr>
            <w:tcW w:type="dxa" w:w="1322"/>
            <w:tcMar>
              <w:top w:w="50" w:type="dxa"/>
              <w:bottom w:w="50" w:type="dxa"/>
              <w:left w:w="90" w:type="dxa"/>
              <w:right w:w="90" w:type="dxa"/>
            </w:tcMar>
          </w:tcPr>
          <w:p>
            <w:pPr>
              <w:pStyle w:val="BDOITable"/>
            </w:pPr>
            <w:r>
              <w:rPr>
                <w:sz w:val="17"/>
              </w:rPr>
              <w:t>FR-AC-051</w:t>
            </w:r>
          </w:p>
        </w:tc>
      </w:tr>
    </w:tbl>
    <w:p>
      <w:pPr>
        <w:pStyle w:val="BDOISpacer"/>
      </w:pPr>
    </w:p>
    <w:p>
      <w:pPr>
        <w:pStyle w:val="Heading2"/>
      </w:pPr>
      <w:bookmarkStart w:id="107" w:name="_Toc000107"/>
      <w:r>
        <w:rPr/>
        <w:t>2.4 Reconcile an insurer's statement and correct a posting (ACSL)</w:t>
      </w:r>
      <w:bookmarkEnd w:id="107"/>
    </w:p>
    <w:p>
      <w:r>
        <w:rPr/>
        <w:t>Reference: FRS BRD-05, walkthrough WT-C.</w:t>
      </w:r>
    </w:p>
    <w:p>
      <w:pPr>
        <w:pStyle w:val="Caption"/>
        <w:keepNext/>
        <w:spacing w:after="60"/>
      </w:pPr>
      <w:r>
        <w:rPr>
          <w:b/>
          <w:i w:val="0"/>
        </w:rPr>
        <w:t xml:space="preserve">Table 4: </w:t>
      </w:r>
      <w:r>
        <w:rPr/>
        <w:t>Reconcile an insurer's statement and correct a posting (ACSL)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80"/>
        <w:gridCol w:w="5647"/>
        <w:gridCol w:w="2523"/>
        <w:gridCol w:w="1321"/>
      </w:tblGrid>
      <w:tr>
        <w:trPr>
          <w:tblHeader w:val="true"/>
          <w:cantSplit w:val="true"/>
        </w:trPr>
        <w:tc>
          <w:tcPr>
            <w:tcW w:type="dxa" w:w="481"/>
            <w:shd w:val="clear" w:color="auto" w:fill="004EA8"/>
            <w:tcMar>
              <w:top w:w="50" w:type="dxa"/>
              <w:bottom w:w="50" w:type="dxa"/>
              <w:left w:w="90" w:type="dxa"/>
              <w:right w:w="90" w:type="dxa"/>
            </w:tcMar>
            <w:vAlign w:val="center"/>
          </w:tcPr>
          <w:p>
            <w:pPr>
              <w:pStyle w:val="BDOITableHeader"/>
            </w:pPr>
            <w:r>
              <w:rPr>
                <w:b/>
                <w:color w:val="FFFFFF"/>
                <w:sz w:val="17"/>
              </w:rPr>
              <w:t>No.</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7"/>
              </w:rPr>
              <w:t>What you do</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7"/>
              </w:rPr>
              <w:t>Screen</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7"/>
              </w:rPr>
              <w:t>Ref.</w:t>
            </w:r>
          </w:p>
        </w:tc>
      </w:tr>
      <w:tr>
        <w:trPr>
          <w:cantSplit w:val="true"/>
        </w:trPr>
        <w:tc>
          <w:tcPr>
            <w:tcW w:type="dxa" w:w="481"/>
            <w:tcMar>
              <w:top w:w="50" w:type="dxa"/>
              <w:bottom w:w="50" w:type="dxa"/>
              <w:left w:w="90" w:type="dxa"/>
              <w:right w:w="90" w:type="dxa"/>
            </w:tcMar>
          </w:tcPr>
          <w:p>
            <w:pPr>
              <w:pStyle w:val="BDOITable"/>
            </w:pPr>
            <w:r>
              <w:rPr>
                <w:sz w:val="17"/>
              </w:rPr>
              <w:t>1</w:t>
            </w:r>
          </w:p>
        </w:tc>
        <w:tc>
          <w:tcPr>
            <w:tcW w:type="dxa" w:w="5647"/>
            <w:tcMar>
              <w:top w:w="50" w:type="dxa"/>
              <w:bottom w:w="50" w:type="dxa"/>
              <w:left w:w="90" w:type="dxa"/>
              <w:right w:w="90" w:type="dxa"/>
            </w:tcMar>
          </w:tcPr>
          <w:p>
            <w:pPr>
              <w:pStyle w:val="BDOITable"/>
            </w:pPr>
            <w:r>
              <w:rPr>
                <w:sz w:val="17"/>
              </w:rPr>
              <w:t>Click Upload SOA, choose the insurer, the period and the file, and click Upload and Reconcile; open the upload.</w:t>
            </w:r>
          </w:p>
        </w:tc>
        <w:tc>
          <w:tcPr>
            <w:tcW w:type="dxa" w:w="2523"/>
            <w:tcMar>
              <w:top w:w="50" w:type="dxa"/>
              <w:bottom w:w="50" w:type="dxa"/>
              <w:left w:w="90" w:type="dxa"/>
              <w:right w:w="90" w:type="dxa"/>
            </w:tcMar>
          </w:tcPr>
          <w:p>
            <w:pPr>
              <w:pStyle w:val="BDOITable"/>
            </w:pPr>
            <w:r>
              <w:rPr>
                <w:sz w:val="17"/>
              </w:rPr>
              <w:t>SCR-AC-49 Insurer SOA Reconciliation; SCR-AC-50 Insurer SOA</w:t>
            </w:r>
          </w:p>
        </w:tc>
        <w:tc>
          <w:tcPr>
            <w:tcW w:type="dxa" w:w="1322"/>
            <w:tcMar>
              <w:top w:w="50" w:type="dxa"/>
              <w:bottom w:w="50" w:type="dxa"/>
              <w:left w:w="90" w:type="dxa"/>
              <w:right w:w="90" w:type="dxa"/>
            </w:tcMar>
          </w:tcPr>
          <w:p>
            <w:pPr>
              <w:pStyle w:val="BDOITable"/>
            </w:pPr>
            <w:r>
              <w:rPr>
                <w:sz w:val="17"/>
              </w:rPr>
              <w:t>WT-C.1, C.2</w:t>
            </w:r>
          </w:p>
        </w:tc>
      </w:tr>
      <w:tr>
        <w:trPr>
          <w:cantSplit w:val="true"/>
        </w:trPr>
        <w:tc>
          <w:tcPr>
            <w:tcW w:type="dxa" w:w="481"/>
            <w:tcMar>
              <w:top w:w="50" w:type="dxa"/>
              <w:bottom w:w="50" w:type="dxa"/>
              <w:left w:w="90" w:type="dxa"/>
              <w:right w:w="90" w:type="dxa"/>
            </w:tcMar>
            <w:shd w:val="clear" w:color="auto" w:fill="E5F5FF"/>
          </w:tcPr>
          <w:p>
            <w:pPr>
              <w:pStyle w:val="BDOITable"/>
            </w:pPr>
            <w:r>
              <w:rPr>
                <w:sz w:val="17"/>
              </w:rPr>
              <w:t>2</w:t>
            </w:r>
          </w:p>
        </w:tc>
        <w:tc>
          <w:tcPr>
            <w:tcW w:type="dxa" w:w="5647"/>
            <w:tcMar>
              <w:top w:w="50" w:type="dxa"/>
              <w:bottom w:w="50" w:type="dxa"/>
              <w:left w:w="90" w:type="dxa"/>
              <w:right w:w="90" w:type="dxa"/>
            </w:tcMar>
            <w:shd w:val="clear" w:color="auto" w:fill="E5F5FF"/>
          </w:tcPr>
          <w:p>
            <w:pPr>
              <w:pStyle w:val="BDOITable"/>
            </w:pPr>
            <w:r>
              <w:rPr>
                <w:sz w:val="17"/>
              </w:rPr>
              <w:t>Team Lead: open a case for the variance and assign it.</w:t>
            </w:r>
          </w:p>
        </w:tc>
        <w:tc>
          <w:tcPr>
            <w:tcW w:type="dxa" w:w="2523"/>
            <w:tcMar>
              <w:top w:w="50" w:type="dxa"/>
              <w:bottom w:w="50" w:type="dxa"/>
              <w:left w:w="90" w:type="dxa"/>
              <w:right w:w="90" w:type="dxa"/>
            </w:tcMar>
            <w:shd w:val="clear" w:color="auto" w:fill="E5F5FF"/>
          </w:tcPr>
          <w:p>
            <w:pPr>
              <w:pStyle w:val="BDOITable"/>
            </w:pPr>
            <w:r>
              <w:rPr>
                <w:sz w:val="17"/>
              </w:rPr>
              <w:t>SCR-AC-45 ACSL Cases; SCR-AC-46 ACSL Case</w:t>
            </w:r>
          </w:p>
        </w:tc>
        <w:tc>
          <w:tcPr>
            <w:tcW w:type="dxa" w:w="1322"/>
            <w:tcMar>
              <w:top w:w="50" w:type="dxa"/>
              <w:bottom w:w="50" w:type="dxa"/>
              <w:left w:w="90" w:type="dxa"/>
              <w:right w:w="90" w:type="dxa"/>
            </w:tcMar>
            <w:shd w:val="clear" w:color="auto" w:fill="E5F5FF"/>
          </w:tcPr>
          <w:p>
            <w:pPr>
              <w:pStyle w:val="BDOITable"/>
            </w:pPr>
            <w:r>
              <w:rPr>
                <w:sz w:val="17"/>
              </w:rPr>
              <w:t>WT-C.3, C.4</w:t>
            </w:r>
          </w:p>
        </w:tc>
      </w:tr>
      <w:tr>
        <w:trPr>
          <w:cantSplit w:val="true"/>
        </w:trPr>
        <w:tc>
          <w:tcPr>
            <w:tcW w:type="dxa" w:w="481"/>
            <w:tcMar>
              <w:top w:w="50" w:type="dxa"/>
              <w:bottom w:w="50" w:type="dxa"/>
              <w:left w:w="90" w:type="dxa"/>
              <w:right w:w="90" w:type="dxa"/>
            </w:tcMar>
          </w:tcPr>
          <w:p>
            <w:pPr>
              <w:pStyle w:val="BDOITable"/>
            </w:pPr>
            <w:r>
              <w:rPr>
                <w:sz w:val="17"/>
              </w:rPr>
              <w:t>3</w:t>
            </w:r>
          </w:p>
        </w:tc>
        <w:tc>
          <w:tcPr>
            <w:tcW w:type="dxa" w:w="5647"/>
            <w:tcMar>
              <w:top w:w="50" w:type="dxa"/>
              <w:bottom w:w="50" w:type="dxa"/>
              <w:left w:w="90" w:type="dxa"/>
              <w:right w:w="90" w:type="dxa"/>
            </w:tcMar>
          </w:tcPr>
          <w:p>
            <w:pPr>
              <w:pStyle w:val="BDOITable"/>
            </w:pPr>
            <w:r>
              <w:rPr>
                <w:sz w:val="17"/>
              </w:rPr>
              <w:t>Click Start Investigation, record the findings and click Raise Correction; correct the wrong line and submit for review, endorsement and approval.</w:t>
            </w:r>
          </w:p>
        </w:tc>
        <w:tc>
          <w:tcPr>
            <w:tcW w:type="dxa" w:w="2523"/>
            <w:tcMar>
              <w:top w:w="50" w:type="dxa"/>
              <w:bottom w:w="50" w:type="dxa"/>
              <w:left w:w="90" w:type="dxa"/>
              <w:right w:w="90" w:type="dxa"/>
            </w:tcMar>
          </w:tcPr>
          <w:p>
            <w:pPr>
              <w:pStyle w:val="BDOITable"/>
            </w:pPr>
            <w:r>
              <w:rPr>
                <w:sz w:val="17"/>
              </w:rPr>
              <w:t>SCR-AC-46; SCR-AC-48 Correction Entry</w:t>
            </w:r>
          </w:p>
        </w:tc>
        <w:tc>
          <w:tcPr>
            <w:tcW w:type="dxa" w:w="1322"/>
            <w:tcMar>
              <w:top w:w="50" w:type="dxa"/>
              <w:bottom w:w="50" w:type="dxa"/>
              <w:left w:w="90" w:type="dxa"/>
              <w:right w:w="90" w:type="dxa"/>
            </w:tcMar>
          </w:tcPr>
          <w:p>
            <w:pPr>
              <w:pStyle w:val="BDOITable"/>
            </w:pPr>
            <w:r>
              <w:rPr>
                <w:sz w:val="17"/>
              </w:rPr>
              <w:t>WT-C.5-C.9</w:t>
            </w:r>
          </w:p>
        </w:tc>
      </w:tr>
    </w:tbl>
    <w:p>
      <w:pPr>
        <w:pStyle w:val="BDOISpacer"/>
      </w:pPr>
    </w:p>
    <w:p>
      <w:pPr>
        <w:pStyle w:val="Heading1"/>
        <w:pBdr>
          <w:bottom w:val="single" w:sz="4" w:space="4" w:color="99C1E7"/>
        </w:pBdr>
      </w:pPr>
      <w:bookmarkStart w:id="108" w:name="_Toc000108"/>
      <w:r>
        <w:rPr/>
        <w:t>3 Tips</w:t>
      </w:r>
      <w:bookmarkEnd w:id="108"/>
    </w:p>
    <w:p>
      <w:pPr>
        <w:tabs>
          <w:tab w:pos="312" w:val="left"/>
        </w:tabs>
        <w:spacing w:after="40"/>
        <w:ind w:left="312" w:hanging="283"/>
      </w:pPr>
      <w:r>
        <w:rPr>
          <w:color w:val="004EA8"/>
        </w:rPr>
        <w:t>•</w:t>
        <w:tab/>
      </w:r>
      <w:r>
        <w:rPr/>
        <w:t>A voucher whose debit and credit differ is refused (WT-E.1).</w:t>
      </w:r>
    </w:p>
    <w:p>
      <w:pPr>
        <w:tabs>
          <w:tab w:pos="312" w:val="left"/>
        </w:tabs>
        <w:spacing w:after="40"/>
        <w:ind w:left="312" w:hanging="283"/>
      </w:pPr>
      <w:r>
        <w:rPr>
          <w:color w:val="004EA8"/>
        </w:rPr>
        <w:t>•</w:t>
        <w:tab/>
      </w:r>
      <w:r>
        <w:rPr/>
        <w:t>The same insurer statement uploaded again is refused (WT-E.3).</w:t>
      </w:r>
    </w:p>
    <w:p>
      <w:pPr>
        <w:tabs>
          <w:tab w:pos="312" w:val="left"/>
        </w:tabs>
        <w:spacing w:after="120"/>
        <w:ind w:left="312" w:hanging="283"/>
      </w:pPr>
      <w:r>
        <w:rPr>
          <w:color w:val="004EA8"/>
        </w:rPr>
        <w:t>•</w:t>
        <w:tab/>
      </w:r>
      <w:r>
        <w:rPr/>
        <w:t>Posting is done by a user other than the preparer.</w:t>
      </w:r>
    </w:p>
    <w:p>
      <w:pPr>
        <w:pStyle w:val="Heading1"/>
        <w:pBdr>
          <w:bottom w:val="single" w:sz="4" w:space="4" w:color="99C1E7"/>
        </w:pBdr>
      </w:pPr>
      <w:bookmarkStart w:id="109" w:name="_Toc000109"/>
      <w:r>
        <w:rPr/>
        <w:t>4 Where to get help</w:t>
      </w:r>
      <w:bookmarkEnd w:id="109"/>
    </w:p>
    <w:p>
      <w:pPr>
        <w:tabs>
          <w:tab w:pos="312" w:val="left"/>
        </w:tabs>
        <w:spacing w:after="40"/>
        <w:ind w:left="312" w:hanging="283"/>
      </w:pPr>
      <w:r>
        <w:rPr>
          <w:color w:val="004EA8"/>
        </w:rPr>
        <w:t>•</w:t>
        <w:tab/>
      </w:r>
      <w:r>
        <w:rPr/>
        <w:t>Help Center (sidebar, Help &gt; Help Center): the help of every screen you may open, with How it works and Controls; search by word.</w:t>
      </w:r>
    </w:p>
    <w:p>
      <w:pPr>
        <w:tabs>
          <w:tab w:pos="312" w:val="left"/>
        </w:tabs>
        <w:spacing w:after="40"/>
        <w:ind w:left="312" w:hanging="283"/>
      </w:pPr>
      <w:r>
        <w:rPr>
          <w:color w:val="004EA8"/>
        </w:rPr>
        <w:t>•</w:t>
        <w:tab/>
      </w:r>
      <w:r>
        <w:rPr/>
        <w:t>Info icons on field labels: the format and rule of the field; the short format hint under a field gives dates as dd-MMM-yyyy and the file limits.</w:t>
      </w:r>
    </w:p>
    <w:p>
      <w:pPr>
        <w:tabs>
          <w:tab w:pos="312" w:val="left"/>
        </w:tabs>
        <w:spacing w:after="40"/>
        <w:ind w:left="312" w:hanging="283"/>
      </w:pPr>
      <w:r>
        <w:rPr>
          <w:color w:val="004EA8"/>
        </w:rPr>
        <w:t>•</w:t>
        <w:tab/>
      </w:r>
      <w:r>
        <w:rPr/>
        <w:t>Messages: a refused action shows the message on the screen in plain words; the message tells what to correct (the tips above list the frequent ones).</w:t>
      </w:r>
    </w:p>
    <w:p>
      <w:pPr>
        <w:tabs>
          <w:tab w:pos="312" w:val="left"/>
        </w:tabs>
        <w:spacing w:after="40"/>
        <w:ind w:left="312" w:hanging="283"/>
      </w:pPr>
      <w:r>
        <w:rPr>
          <w:color w:val="004EA8"/>
        </w:rPr>
        <w:t>•</w:t>
        <w:tab/>
      </w:r>
      <w:r>
        <w:rPr/>
        <w:t>My Work and My Approvals: every record waiting for you, with the action to take; notices in the bell icon link to the record.</w:t>
      </w:r>
    </w:p>
    <w:p>
      <w:pPr>
        <w:tabs>
          <w:tab w:pos="312" w:val="left"/>
        </w:tabs>
        <w:spacing w:after="40"/>
        <w:ind w:left="312" w:hanging="283"/>
      </w:pPr>
      <w:r>
        <w:rPr>
          <w:color w:val="004EA8"/>
        </w:rPr>
        <w:t>•</w:t>
        <w:tab/>
      </w:r>
      <w:r>
        <w:rPr/>
        <w:t>Key user of your unit: first point of contact for how-to questions and for a second pair of eyes.</w:t>
      </w:r>
    </w:p>
    <w:p>
      <w:pPr>
        <w:tabs>
          <w:tab w:pos="312" w:val="left"/>
        </w:tabs>
        <w:spacing w:after="120"/>
        <w:ind w:left="312" w:hanging="283"/>
      </w:pPr>
      <w:r>
        <w:rPr>
          <w:color w:val="004EA8"/>
        </w:rPr>
        <w:t>•</w:t>
        <w:tab/>
      </w:r>
      <w:r>
        <w:rPr/>
        <w:t>Service desk (BDOI IT): access problems, errors and anything the key user cannot solve; give the record number, the screen ID and the time.</w:t>
      </w:r>
    </w:p>
    <w:p>
      <w:r>
        <w:rPr/>
        <w:t>Report a problem with: the record number, the screen ID or name, what you did, the message shown word for word and the time.</w:t>
      </w: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QRG Accountant and FRBS Officer</w:t>
    </w:r>
    <w:r>
      <w:rPr>
        <w:color w:val="656565"/>
        <w:sz w:val="16"/>
      </w:rPr>
      <w:t xml:space="preserve">   Quick-Reference Guide</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Adoption BRD-00 QRG Accountant FRBS v1.0</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