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Business Administrator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BIBS-QRG-BADM</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Business Administrator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2.1 Authorise a clause and add an insurer commission rate</w:t>
        </w:r>
        <w:r>
          <w:t xml:space="preserve">	</w:t>
        </w:r>
        <w:r>
          <w:t xml:space="preserve">4</w:t>
        </w:r>
      </w:hyperlink>
    </w:p>
    <w:p>
      <w:pPr>
        <w:pStyle w:val="toc2"/>
      </w:pPr>
      <w:hyperlink w:anchor="_Toc000105" w:history="1">
        <w:r>
          <w:t xml:space="preserve">2.2 Request a new group profile</w:t>
        </w:r>
        <w:r>
          <w:t xml:space="preserve">	</w:t>
        </w:r>
        <w:r>
          <w:t xml:space="preserve">4</w:t>
        </w:r>
      </w:hyperlink>
    </w:p>
    <w:p>
      <w:pPr>
        <w:pStyle w:val="toc2"/>
      </w:pPr>
      <w:hyperlink w:anchor="_Toc000106" w:history="1">
        <w:r>
          <w:t xml:space="preserve">2.3 Maintain lists of values, templates and renewal rules</w:t>
        </w:r>
        <w:r>
          <w:t xml:space="preserve">	</w:t>
        </w:r>
        <w:r>
          <w:t xml:space="preserve">5</w:t>
        </w:r>
      </w:hyperlink>
    </w:p>
    <w:p>
      <w:pPr>
        <w:pStyle w:val="toc1"/>
      </w:pPr>
      <w:hyperlink w:anchor="_Toc000107" w:history="1">
        <w:r>
          <w:t xml:space="preserve">3 Tips</w:t>
        </w:r>
        <w:r>
          <w:t xml:space="preserve">	</w:t>
        </w:r>
        <w:r>
          <w:t xml:space="preserve">5</w:t>
        </w:r>
      </w:hyperlink>
    </w:p>
    <w:p>
      <w:pPr>
        <w:pStyle w:val="toc1"/>
      </w:pPr>
      <w:hyperlink w:anchor="_Toc000108" w:history="1">
        <w:r>
          <w:t xml:space="preserve">4 Where to get help</w:t>
        </w:r>
        <w:r>
          <w:t xml:space="preserve">	</w:t>
        </w:r>
        <w:r>
          <w:t xml:space="preserve">5</w:t>
        </w:r>
      </w:hyperlink>
      <w:r>
        <w:fldChar w:fldCharType="end"/>
      </w:r>
    </w:p>
    <w:p>
      <w:pPr>
        <w:pStyle w:val="Heading1"/>
        <w:pageBreakBefore/>
        <w:pBdr>
          <w:bottom w:val="single" w:sz="4" w:space="4" w:color="99C1E7"/>
        </w:pBdr>
      </w:pPr>
      <w:bookmarkStart w:id="101" w:name="_Toc000101"/>
      <w:r>
        <w:rPr/>
        <w:t>1 Your role in BIBS</w:t>
      </w:r>
      <w:bookmarkEnd w:id="101"/>
    </w:p>
    <w:p>
      <w:r>
        <w:rPr/>
        <w:t>You maintain the business set-up of BIBS: lists of values, document templates, renewal rules, escalation rules, clauses and insurer commission rates, and you raise group-profile requests for the roles of the business units. Every change you make is authorised by a second user before it takes effect.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BRD-03 Product Maintenance, BRD-04 Collections, BRD-06 Renewal, BRD-11 User Access Maintenance</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My Approvals and My Work: set-up changes waiting for authorisation</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Setup &amp; Administration &gt; Broking Setup: Lists of Values, Data Retention, Document Templates, Outbound Messages</w:t>
      </w:r>
    </w:p>
    <w:p>
      <w:pPr>
        <w:tabs>
          <w:tab w:pos="312" w:val="left"/>
        </w:tabs>
        <w:spacing w:after="40"/>
        <w:ind w:left="312" w:hanging="283"/>
      </w:pPr>
      <w:r>
        <w:rPr>
          <w:color w:val="004EA8"/>
        </w:rPr>
        <w:t>•</w:t>
        <w:tab/>
      </w:r>
      <w:r>
        <w:rPr/>
        <w:t>Setup &amp; Administration &gt; User Access: Access Requests, Group Profile Requests, Bulk Request, User Access Matrix, Separation of Duties, User Access Reports</w:t>
      </w:r>
    </w:p>
    <w:p>
      <w:pPr>
        <w:tabs>
          <w:tab w:pos="312" w:val="left"/>
        </w:tabs>
        <w:spacing w:after="40"/>
        <w:ind w:left="312" w:hanging="283"/>
      </w:pPr>
      <w:r>
        <w:rPr>
          <w:color w:val="004EA8"/>
        </w:rPr>
        <w:t>•</w:t>
        <w:tab/>
      </w:r>
      <w:r>
        <w:rPr/>
        <w:t>Client &amp; Policy &gt; Product Maintenance: Coverages &amp; Clauses, Insurers, Rates &amp; Taxes, Sales Organisation, Validation Queue</w:t>
      </w:r>
    </w:p>
    <w:p>
      <w:pPr>
        <w:tabs>
          <w:tab w:pos="312" w:val="left"/>
        </w:tabs>
        <w:spacing w:after="120"/>
        <w:ind w:left="312" w:hanging="283"/>
      </w:pPr>
      <w:r>
        <w:rPr>
          <w:color w:val="004EA8"/>
        </w:rPr>
        <w:t>•</w:t>
        <w:tab/>
      </w:r>
      <w:r>
        <w:rPr/>
        <w:t>Client &amp; Policy &gt; Renewal: Renewal Setup; Finance &gt; Collections: Escalation Rules, Collections Setup</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2.1 Authorise a clause and add an insurer commission rate</w:t>
      </w:r>
      <w:bookmarkEnd w:id="104"/>
    </w:p>
    <w:p>
      <w:r>
        <w:rPr/>
        <w:t>Reference: FRS BRD-03, walkthrough WT-A steps 2, 18 and 19.</w:t>
      </w:r>
    </w:p>
    <w:p>
      <w:pPr>
        <w:pStyle w:val="Caption"/>
        <w:keepNext/>
        <w:spacing w:after="60"/>
      </w:pPr>
      <w:r>
        <w:rPr>
          <w:b/>
          <w:i w:val="0"/>
        </w:rPr>
        <w:t xml:space="preserve">Table 1: </w:t>
      </w:r>
      <w:r>
        <w:rPr/>
        <w:t>Authorise a clause and add an insurer commission rate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Clause Library and click Authorize on the clause entered by MBS.</w:t>
            </w:r>
          </w:p>
        </w:tc>
        <w:tc>
          <w:tcPr>
            <w:tcW w:type="dxa" w:w="2523"/>
            <w:tcMar>
              <w:top w:w="50" w:type="dxa"/>
              <w:bottom w:w="50" w:type="dxa"/>
              <w:left w:w="90" w:type="dxa"/>
              <w:right w:w="90" w:type="dxa"/>
            </w:tcMar>
          </w:tcPr>
          <w:p>
            <w:pPr>
              <w:pStyle w:val="BDOITable"/>
            </w:pPr>
            <w:r>
              <w:rPr>
                <w:sz w:val="17"/>
              </w:rPr>
              <w:t>SCR-PM-15 Coverages &amp; Clauses</w:t>
            </w:r>
          </w:p>
        </w:tc>
        <w:tc>
          <w:tcPr>
            <w:tcW w:type="dxa" w:w="1322"/>
            <w:tcMar>
              <w:top w:w="50" w:type="dxa"/>
              <w:bottom w:w="50" w:type="dxa"/>
              <w:left w:w="90" w:type="dxa"/>
              <w:right w:w="90" w:type="dxa"/>
            </w:tcMar>
          </w:tcPr>
          <w:p>
            <w:pPr>
              <w:pStyle w:val="BDOITable"/>
            </w:pPr>
            <w:r>
              <w:rPr>
                <w:sz w:val="17"/>
              </w:rPr>
              <w:t>BRD-03 WT-A.2</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Insurers and the insurer, click Add rate, choose the package and the rate from the effective date and click Save for Authorization; the New Business Approver authorises it.</w:t>
            </w:r>
          </w:p>
        </w:tc>
        <w:tc>
          <w:tcPr>
            <w:tcW w:type="dxa" w:w="2523"/>
            <w:tcMar>
              <w:top w:w="50" w:type="dxa"/>
              <w:bottom w:w="50" w:type="dxa"/>
              <w:left w:w="90" w:type="dxa"/>
              <w:right w:w="90" w:type="dxa"/>
            </w:tcMar>
            <w:shd w:val="clear" w:color="auto" w:fill="E5F5FF"/>
          </w:tcPr>
          <w:p>
            <w:pPr>
              <w:pStyle w:val="BDOITable"/>
            </w:pPr>
            <w:r>
              <w:rPr>
                <w:sz w:val="17"/>
              </w:rPr>
              <w:t>SCR-PM-18 Insurer record</w:t>
            </w:r>
          </w:p>
        </w:tc>
        <w:tc>
          <w:tcPr>
            <w:tcW w:type="dxa" w:w="1322"/>
            <w:tcMar>
              <w:top w:w="50" w:type="dxa"/>
              <w:bottom w:w="50" w:type="dxa"/>
              <w:left w:w="90" w:type="dxa"/>
              <w:right w:w="90" w:type="dxa"/>
            </w:tcMar>
            <w:shd w:val="clear" w:color="auto" w:fill="E5F5FF"/>
          </w:tcPr>
          <w:p>
            <w:pPr>
              <w:pStyle w:val="BDOITable"/>
            </w:pPr>
            <w:r>
              <w:rPr>
                <w:sz w:val="17"/>
              </w:rPr>
              <w:t>BRD-03 WT-A.18, A.19</w:t>
            </w:r>
          </w:p>
        </w:tc>
      </w:tr>
    </w:tbl>
    <w:p>
      <w:pPr>
        <w:pStyle w:val="BDOISpacer"/>
      </w:pPr>
    </w:p>
    <w:p>
      <w:pPr>
        <w:pStyle w:val="Heading2"/>
      </w:pPr>
      <w:bookmarkStart w:id="105" w:name="_Toc000105"/>
      <w:r>
        <w:rPr/>
        <w:t>2.2 Request a new group profile</w:t>
      </w:r>
      <w:bookmarkEnd w:id="105"/>
    </w:p>
    <w:p>
      <w:r>
        <w:rPr/>
        <w:t>Reference: FRS BRD-11, walkthrough WT-B step 4.</w:t>
      </w:r>
    </w:p>
    <w:p>
      <w:pPr>
        <w:pStyle w:val="Caption"/>
        <w:keepNext/>
        <w:spacing w:after="60"/>
      </w:pPr>
      <w:r>
        <w:rPr>
          <w:b/>
          <w:i w:val="0"/>
        </w:rPr>
        <w:t xml:space="preserve">Table 2: </w:t>
      </w:r>
      <w:r>
        <w:rPr/>
        <w:t>Request a new group profile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Group Profile Requests &gt; New Group Profile Request, enter the code, the name and description, keep the level, tick the permissions and submit; the approvers approve in order and the System Administrator implements it.</w:t>
            </w:r>
          </w:p>
        </w:tc>
        <w:tc>
          <w:tcPr>
            <w:tcW w:type="dxa" w:w="2523"/>
            <w:tcMar>
              <w:top w:w="50" w:type="dxa"/>
              <w:bottom w:w="50" w:type="dxa"/>
              <w:left w:w="90" w:type="dxa"/>
              <w:right w:w="90" w:type="dxa"/>
            </w:tcMar>
          </w:tcPr>
          <w:p>
            <w:pPr>
              <w:pStyle w:val="BDOITable"/>
            </w:pPr>
            <w:r>
              <w:rPr>
                <w:sz w:val="17"/>
              </w:rPr>
              <w:t>SCR-UA-12 New Group Profile Request</w:t>
            </w:r>
          </w:p>
        </w:tc>
        <w:tc>
          <w:tcPr>
            <w:tcW w:type="dxa" w:w="1322"/>
            <w:tcMar>
              <w:top w:w="50" w:type="dxa"/>
              <w:bottom w:w="50" w:type="dxa"/>
              <w:left w:w="90" w:type="dxa"/>
              <w:right w:w="90" w:type="dxa"/>
            </w:tcMar>
          </w:tcPr>
          <w:p>
            <w:pPr>
              <w:pStyle w:val="BDOITable"/>
            </w:pPr>
            <w:r>
              <w:rPr>
                <w:sz w:val="17"/>
              </w:rPr>
              <w:t>BRD-11 WT-B.4</w:t>
            </w:r>
          </w:p>
        </w:tc>
      </w:tr>
    </w:tbl>
    <w:p>
      <w:pPr>
        <w:pStyle w:val="BDOISpacer"/>
      </w:pPr>
    </w:p>
    <w:p>
      <w:pPr>
        <w:pStyle w:val="Heading2"/>
      </w:pPr>
      <w:bookmarkStart w:id="106" w:name="_Toc000106"/>
      <w:r>
        <w:rPr/>
        <w:t>2.3 Maintain lists of values, templates and renewal rules</w:t>
      </w:r>
      <w:bookmarkEnd w:id="106"/>
    </w:p>
    <w:p>
      <w:r>
        <w:rPr/>
        <w:t>Reference: FRS BRD-06, FR-RN-110, FR-RN-111, FR-RN-112.</w:t>
      </w:r>
    </w:p>
    <w:p>
      <w:pPr>
        <w:pStyle w:val="Caption"/>
        <w:keepNext/>
        <w:spacing w:after="60"/>
      </w:pPr>
      <w:r>
        <w:rPr>
          <w:b/>
          <w:i w:val="0"/>
        </w:rPr>
        <w:t xml:space="preserve">Table 3: </w:t>
      </w:r>
      <w:r>
        <w:rPr/>
        <w:t>Maintain lists of values, templates and renewal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list, add or edit a value with its effective dates and save; a checker authorises it.</w:t>
            </w:r>
          </w:p>
        </w:tc>
        <w:tc>
          <w:tcPr>
            <w:tcW w:type="dxa" w:w="2523"/>
            <w:tcMar>
              <w:top w:w="50" w:type="dxa"/>
              <w:bottom w:w="50" w:type="dxa"/>
              <w:left w:w="90" w:type="dxa"/>
              <w:right w:w="90" w:type="dxa"/>
            </w:tcMar>
          </w:tcPr>
          <w:p>
            <w:pPr>
              <w:pStyle w:val="BDOITable"/>
            </w:pPr>
            <w:r>
              <w:rPr>
                <w:sz w:val="17"/>
              </w:rPr>
              <w:t>Lists of Values (Broking Setup)</w:t>
            </w:r>
          </w:p>
        </w:tc>
        <w:tc>
          <w:tcPr>
            <w:tcW w:type="dxa" w:w="1322"/>
            <w:tcMar>
              <w:top w:w="50" w:type="dxa"/>
              <w:bottom w:w="50" w:type="dxa"/>
              <w:left w:w="90" w:type="dxa"/>
              <w:right w:w="90" w:type="dxa"/>
            </w:tcMar>
          </w:tcPr>
          <w:p>
            <w:pPr>
              <w:pStyle w:val="BDOITable"/>
            </w:pPr>
            <w:r>
              <w:rPr>
                <w:sz w:val="17"/>
              </w:rPr>
              <w:t>FR-RN-110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Update the Renewal Advice and letter templates on Document Templates.</w:t>
            </w:r>
          </w:p>
        </w:tc>
        <w:tc>
          <w:tcPr>
            <w:tcW w:type="dxa" w:w="2523"/>
            <w:tcMar>
              <w:top w:w="50" w:type="dxa"/>
              <w:bottom w:w="50" w:type="dxa"/>
              <w:left w:w="90" w:type="dxa"/>
              <w:right w:w="90" w:type="dxa"/>
            </w:tcMar>
            <w:shd w:val="clear" w:color="auto" w:fill="E5F5FF"/>
          </w:tcPr>
          <w:p>
            <w:pPr>
              <w:pStyle w:val="BDOITable"/>
            </w:pPr>
            <w:r>
              <w:rPr>
                <w:sz w:val="17"/>
              </w:rPr>
              <w:t>Document Templates</w:t>
            </w:r>
          </w:p>
        </w:tc>
        <w:tc>
          <w:tcPr>
            <w:tcW w:type="dxa" w:w="1322"/>
            <w:tcMar>
              <w:top w:w="50" w:type="dxa"/>
              <w:bottom w:w="50" w:type="dxa"/>
              <w:left w:w="90" w:type="dxa"/>
              <w:right w:w="90" w:type="dxa"/>
            </w:tcMar>
            <w:shd w:val="clear" w:color="auto" w:fill="E5F5FF"/>
          </w:tcPr>
          <w:p>
            <w:pPr>
              <w:pStyle w:val="BDOITable"/>
            </w:pPr>
            <w:r>
              <w:rPr>
                <w:sz w:val="17"/>
              </w:rPr>
              <w:t>FR-RN-111</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Draft a new version of a rule set or matrix on Renewal Setup and submit it; a checker compares it with the active version and activates it.</w:t>
            </w:r>
          </w:p>
        </w:tc>
        <w:tc>
          <w:tcPr>
            <w:tcW w:type="dxa" w:w="2523"/>
            <w:tcMar>
              <w:top w:w="50" w:type="dxa"/>
              <w:bottom w:w="50" w:type="dxa"/>
              <w:left w:w="90" w:type="dxa"/>
              <w:right w:w="90" w:type="dxa"/>
            </w:tcMar>
          </w:tcPr>
          <w:p>
            <w:pPr>
              <w:pStyle w:val="BDOITable"/>
            </w:pPr>
            <w:r>
              <w:rPr>
                <w:sz w:val="17"/>
              </w:rPr>
              <w:t>Renewal Setup</w:t>
            </w:r>
          </w:p>
        </w:tc>
        <w:tc>
          <w:tcPr>
            <w:tcW w:type="dxa" w:w="1322"/>
            <w:tcMar>
              <w:top w:w="50" w:type="dxa"/>
              <w:bottom w:w="50" w:type="dxa"/>
              <w:left w:w="90" w:type="dxa"/>
              <w:right w:w="90" w:type="dxa"/>
            </w:tcMar>
          </w:tcPr>
          <w:p>
            <w:pPr>
              <w:pStyle w:val="BDOITable"/>
            </w:pPr>
            <w:r>
              <w:rPr>
                <w:sz w:val="17"/>
              </w:rPr>
              <w:t>FR-RN-112</w:t>
            </w:r>
          </w:p>
        </w:tc>
      </w:tr>
    </w:tbl>
    <w:p>
      <w:pPr>
        <w:pStyle w:val="BDOISpacer"/>
      </w:pPr>
    </w:p>
    <w:p>
      <w:pPr>
        <w:pStyle w:val="Heading1"/>
        <w:pBdr>
          <w:bottom w:val="single" w:sz="4" w:space="4" w:color="99C1E7"/>
        </w:pBdr>
      </w:pPr>
      <w:bookmarkStart w:id="107" w:name="_Toc000107"/>
      <w:r>
        <w:rPr/>
        <w:t>3 Tips</w:t>
      </w:r>
      <w:bookmarkEnd w:id="107"/>
    </w:p>
    <w:p>
      <w:pPr>
        <w:tabs>
          <w:tab w:pos="312" w:val="left"/>
        </w:tabs>
        <w:spacing w:after="40"/>
        <w:ind w:left="312" w:hanging="283"/>
      </w:pPr>
      <w:r>
        <w:rPr>
          <w:color w:val="004EA8"/>
        </w:rPr>
        <w:t>•</w:t>
        <w:tab/>
      </w:r>
      <w:r>
        <w:rPr/>
        <w:t>Values are end-dated, never deleted; disposition codes are fixed and only their labels change.</w:t>
      </w:r>
    </w:p>
    <w:p>
      <w:pPr>
        <w:tabs>
          <w:tab w:pos="312" w:val="left"/>
        </w:tabs>
        <w:spacing w:after="120"/>
        <w:ind w:left="312" w:hanging="283"/>
      </w:pPr>
      <w:r>
        <w:rPr>
          <w:color w:val="004EA8"/>
        </w:rPr>
        <w:t>•</w:t>
        <w:tab/>
      </w:r>
      <w:r>
        <w:rPr/>
        <w:t>Insurer-side permissions (underwriting, insurer claims, reinsurance, reserves) are not offered to BDOI group profiles (BRD-11 WT-D.5).</w:t>
      </w:r>
    </w:p>
    <w:p>
      <w:pPr>
        <w:pStyle w:val="Heading1"/>
        <w:pBdr>
          <w:bottom w:val="single" w:sz="4" w:space="4" w:color="99C1E7"/>
        </w:pBdr>
      </w:pPr>
      <w:bookmarkStart w:id="108" w:name="_Toc000108"/>
      <w:r>
        <w:rPr/>
        <w:t>4 Where to get help</w:t>
      </w:r>
      <w:bookmarkEnd w:id="108"/>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Business Administrator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Business Administrator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