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QUICK-REFERENCE GUIDE</w:t>
      </w:r>
    </w:p>
    <w:p>
      <w:pPr>
        <w:spacing w:after="80" w:line="240" w:lineRule="auto"/>
      </w:pPr>
      <w:r>
        <w:rPr>
          <w:b/>
          <w:color w:val="004EA8"/>
          <w:sz w:val="56"/>
        </w:rPr>
        <w:t>Quick-Reference Guide: Processing Officer</w:t>
      </w:r>
    </w:p>
    <w:p>
      <w:pPr>
        <w:spacing w:after="40"/>
      </w:pPr>
      <w:r>
        <w:rPr>
          <w:color w:val="2E2E2E"/>
          <w:sz w:val="28"/>
        </w:rPr>
        <w:t>What you do in BIBS, your main tasks step by step, tips and where to get help</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BIBS-QRG-PROC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change and training lead</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from the FRS walkthroughs and functional requirements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Key users of the Processing Officer persona</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Check against the screens in UAT</w:t>
            </w:r>
          </w:p>
        </w:tc>
      </w:tr>
      <w:tr>
        <w:trPr>
          <w:cantSplit w:val="true"/>
        </w:trPr>
        <w:tc>
          <w:tcPr>
            <w:tcW w:type="dxa" w:w="2606"/>
            <w:tcMar>
              <w:top w:w="50" w:type="dxa"/>
              <w:bottom w:w="50" w:type="dxa"/>
              <w:left w:w="90" w:type="dxa"/>
              <w:right w:w="90" w:type="dxa"/>
            </w:tcMar>
          </w:tcPr>
          <w:p>
            <w:pPr>
              <w:pStyle w:val="BDOITable"/>
            </w:pPr>
            <w:r>
              <w:rPr>
                <w:sz w:val="18"/>
              </w:rPr>
              <w:t>BDOI trainers</w:t>
            </w:r>
          </w:p>
        </w:tc>
        <w:tc>
          <w:tcPr>
            <w:tcW w:type="dxa" w:w="2266"/>
            <w:tcMar>
              <w:top w:w="50" w:type="dxa"/>
              <w:bottom w:w="50" w:type="dxa"/>
              <w:left w:w="90" w:type="dxa"/>
              <w:right w:w="90" w:type="dxa"/>
            </w:tcMar>
          </w:tcPr>
          <w:p>
            <w:pPr>
              <w:pStyle w:val="BDOITable"/>
            </w:pPr>
            <w:r>
              <w:rPr>
                <w:sz w:val="18"/>
              </w:rPr>
              <w:t>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End-user training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1 Your role in BIBS</w:t>
        </w:r>
        <w:r>
          <w:t xml:space="preserve">	</w:t>
        </w:r>
        <w:r>
          <w:t xml:space="preserve">4</w:t>
        </w:r>
      </w:hyperlink>
    </w:p>
    <w:p>
      <w:pPr>
        <w:pStyle w:val="toc2"/>
      </w:pPr>
      <w:hyperlink w:anchor="_Toc000102" w:history="1">
        <w:r>
          <w:t xml:space="preserve">1.1 Your menus</w:t>
        </w:r>
        <w:r>
          <w:t xml:space="preserve">	</w:t>
        </w:r>
        <w:r>
          <w:t xml:space="preserve">4</w:t>
        </w:r>
      </w:hyperlink>
    </w:p>
    <w:p>
      <w:pPr>
        <w:pStyle w:val="toc1"/>
      </w:pPr>
      <w:hyperlink w:anchor="_Toc000103" w:history="1">
        <w:r>
          <w:t xml:space="preserve">2 Your main tasks</w:t>
        </w:r>
        <w:r>
          <w:t xml:space="preserve">	</w:t>
        </w:r>
        <w:r>
          <w:t xml:space="preserve">4</w:t>
        </w:r>
      </w:hyperlink>
    </w:p>
    <w:p>
      <w:pPr>
        <w:pStyle w:val="toc2"/>
      </w:pPr>
      <w:hyperlink w:anchor="_Toc000104" w:history="1">
        <w:r>
          <w:t xml:space="preserve">2.1 Validate an account or return it to Marketing</w:t>
        </w:r>
        <w:r>
          <w:t xml:space="preserve">	</w:t>
        </w:r>
        <w:r>
          <w:t xml:space="preserve">4</w:t>
        </w:r>
      </w:hyperlink>
    </w:p>
    <w:p>
      <w:pPr>
        <w:pStyle w:val="toc2"/>
      </w:pPr>
      <w:hyperlink w:anchor="_Toc000105" w:history="1">
        <w:r>
          <w:t xml:space="preserve">2.2 Pass the payment gate (CLPC accounts)</w:t>
        </w:r>
        <w:r>
          <w:t xml:space="preserve">	</w:t>
        </w:r>
        <w:r>
          <w:t xml:space="preserve">4</w:t>
        </w:r>
      </w:hyperlink>
    </w:p>
    <w:p>
      <w:pPr>
        <w:pStyle w:val="toc2"/>
      </w:pPr>
      <w:hyperlink w:anchor="_Toc000106" w:history="1">
        <w:r>
          <w:t xml:space="preserve">2.3 Place the account and confirm the policy</w:t>
        </w:r>
        <w:r>
          <w:t xml:space="preserve">	</w:t>
        </w:r>
        <w:r>
          <w:t xml:space="preserve">5</w:t>
        </w:r>
      </w:hyperlink>
    </w:p>
    <w:p>
      <w:pPr>
        <w:pStyle w:val="toc2"/>
      </w:pPr>
      <w:hyperlink w:anchor="_Toc000107" w:history="1">
        <w:r>
          <w:t xml:space="preserve">2.4 Book the account</w:t>
        </w:r>
        <w:r>
          <w:t xml:space="preserve">	</w:t>
        </w:r>
        <w:r>
          <w:t xml:space="preserve">5</w:t>
        </w:r>
      </w:hyperlink>
    </w:p>
    <w:p>
      <w:pPr>
        <w:pStyle w:val="toc2"/>
      </w:pPr>
      <w:hyperlink w:anchor="_Toc000108" w:history="1">
        <w:r>
          <w:t xml:space="preserve">2.5 Handle an insurer return</w:t>
        </w:r>
        <w:r>
          <w:t xml:space="preserve">	</w:t>
        </w:r>
        <w:r>
          <w:t xml:space="preserve">5</w:t>
        </w:r>
      </w:hyperlink>
    </w:p>
    <w:p>
      <w:pPr>
        <w:pStyle w:val="toc1"/>
      </w:pPr>
      <w:hyperlink w:anchor="_Toc000109" w:history="1">
        <w:r>
          <w:t xml:space="preserve">3 Tips</w:t>
        </w:r>
        <w:r>
          <w:t xml:space="preserve">	</w:t>
        </w:r>
        <w:r>
          <w:t xml:space="preserve">5</w:t>
        </w:r>
      </w:hyperlink>
    </w:p>
    <w:p>
      <w:pPr>
        <w:pStyle w:val="toc1"/>
      </w:pPr>
      <w:hyperlink w:anchor="_Toc000110" w:history="1">
        <w:r>
          <w:t xml:space="preserve">4 Where to get help</w:t>
        </w:r>
        <w:r>
          <w:t xml:space="preserve">	</w:t>
        </w:r>
        <w:r>
          <w:t xml:space="preserve">6</w:t>
        </w:r>
      </w:hyperlink>
      <w:r>
        <w:fldChar w:fldCharType="end"/>
      </w:r>
    </w:p>
    <w:p>
      <w:pPr>
        <w:pStyle w:val="Heading1"/>
        <w:pageBreakBefore/>
        <w:pBdr>
          <w:bottom w:val="single" w:sz="4" w:space="4" w:color="99C1E7"/>
        </w:pBdr>
      </w:pPr>
      <w:bookmarkStart w:id="101" w:name="_Toc000101"/>
      <w:r>
        <w:rPr/>
        <w:t>1 Your role in BIBS</w:t>
      </w:r>
      <w:bookmarkEnd w:id="101"/>
    </w:p>
    <w:p>
      <w:r>
        <w:rPr/>
        <w:t>You turn an accepted quotation into a booked policy. In BIBS you validate the accounts submitted by Marketing, check the payment gate, place the account with the insurer, receive and confirm the e-policy, issue the Insurance Advice and book the account, which creates the invoice, the journal and the open items for Operations and Accounting.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Persona</w:t>
            </w:r>
          </w:p>
        </w:tc>
        <w:tc>
          <w:tcPr>
            <w:tcW w:type="dxa" w:w="7704"/>
            <w:tcMar>
              <w:top w:w="50" w:type="dxa"/>
              <w:bottom w:w="50" w:type="dxa"/>
              <w:left w:w="90" w:type="dxa"/>
              <w:right w:w="90" w:type="dxa"/>
            </w:tcMar>
          </w:tcPr>
          <w:p>
            <w:pPr>
              <w:pStyle w:val="BDOITable"/>
              <w:keepNext/>
            </w:pPr>
            <w:r>
              <w:rPr>
                <w:sz w:val="18"/>
              </w:rPr>
              <w:t>Processing Officer</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BRDs</w:t>
            </w:r>
          </w:p>
        </w:tc>
        <w:tc>
          <w:tcPr>
            <w:tcW w:type="dxa" w:w="7704"/>
            <w:tcMar>
              <w:top w:w="50" w:type="dxa"/>
              <w:bottom w:w="50" w:type="dxa"/>
              <w:left w:w="90" w:type="dxa"/>
              <w:right w:w="90" w:type="dxa"/>
            </w:tcMar>
          </w:tcPr>
          <w:p>
            <w:pPr>
              <w:pStyle w:val="BDOITable"/>
              <w:keepNext/>
            </w:pPr>
            <w:r>
              <w:rPr>
                <w:sz w:val="18"/>
              </w:rPr>
              <w:t>BRD-01 New Business, BRD-12 Submitted Policies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Home page</w:t>
            </w:r>
          </w:p>
        </w:tc>
        <w:tc>
          <w:tcPr>
            <w:tcW w:type="dxa" w:w="7704"/>
            <w:tcMar>
              <w:top w:w="50" w:type="dxa"/>
              <w:bottom w:w="50" w:type="dxa"/>
              <w:left w:w="90" w:type="dxa"/>
              <w:right w:w="90" w:type="dxa"/>
            </w:tcMar>
          </w:tcPr>
          <w:p>
            <w:pPr>
              <w:pStyle w:val="BDOITable"/>
              <w:keepNext/>
            </w:pPr>
            <w:r>
              <w:rPr>
                <w:sz w:val="18"/>
              </w:rPr>
              <w:t>My Work: placement and booking queues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Sign-in</w:t>
            </w:r>
          </w:p>
        </w:tc>
        <w:tc>
          <w:tcPr>
            <w:tcW w:type="dxa" w:w="7704"/>
            <w:tcMar>
              <w:top w:w="50" w:type="dxa"/>
              <w:bottom w:w="50" w:type="dxa"/>
              <w:left w:w="90" w:type="dxa"/>
              <w:right w:w="90" w:type="dxa"/>
            </w:tcMar>
          </w:tcPr>
          <w:p>
            <w:pPr>
              <w:pStyle w:val="BDOITable"/>
              <w:keepNext/>
            </w:pPr>
            <w:r>
              <w:rPr>
                <w:sz w:val="18"/>
              </w:rPr>
              <w:t>BDO single sign-on (EIAM); MFA as set by Information Security</w:t>
            </w:r>
          </w:p>
        </w:tc>
      </w:tr>
    </w:tbl>
    <w:p>
      <w:pPr>
        <w:pStyle w:val="BDOISpacer"/>
      </w:pPr>
    </w:p>
    <w:p>
      <w:pPr>
        <w:pStyle w:val="Heading2"/>
      </w:pPr>
      <w:bookmarkStart w:id="102" w:name="_Toc000102"/>
      <w:r>
        <w:rPr/>
        <w:t>1.1 Your menus</w:t>
      </w:r>
      <w:bookmarkEnd w:id="102"/>
    </w:p>
    <w:p>
      <w:r>
        <w:rPr/>
        <w:t>The sidebar shows only the screens your roles allow. Your main menus:</w:t>
      </w:r>
    </w:p>
    <w:p>
      <w:pPr>
        <w:tabs>
          <w:tab w:pos="312" w:val="left"/>
        </w:tabs>
        <w:spacing w:after="40"/>
        <w:ind w:left="312" w:hanging="283"/>
      </w:pPr>
      <w:r>
        <w:rPr>
          <w:color w:val="004EA8"/>
        </w:rPr>
        <w:t>•</w:t>
        <w:tab/>
      </w:r>
      <w:r>
        <w:rPr/>
        <w:t>Client &amp; Policy &gt; Accounts &amp; Placement: Accounts</w:t>
      </w:r>
    </w:p>
    <w:p>
      <w:pPr>
        <w:tabs>
          <w:tab w:pos="312" w:val="left"/>
        </w:tabs>
        <w:spacing w:after="40"/>
        <w:ind w:left="312" w:hanging="283"/>
      </w:pPr>
      <w:r>
        <w:rPr>
          <w:color w:val="004EA8"/>
        </w:rPr>
        <w:t>•</w:t>
        <w:tab/>
      </w:r>
      <w:r>
        <w:rPr/>
        <w:t>Client &amp; Policy &gt; Placement &amp; Booking: Placement Workbench, Placement Slips, CLPC Billing</w:t>
      </w:r>
    </w:p>
    <w:p>
      <w:pPr>
        <w:tabs>
          <w:tab w:pos="312" w:val="left"/>
        </w:tabs>
        <w:spacing w:after="40"/>
        <w:ind w:left="312" w:hanging="283"/>
      </w:pPr>
      <w:r>
        <w:rPr>
          <w:color w:val="004EA8"/>
        </w:rPr>
        <w:t>•</w:t>
        <w:tab/>
      </w:r>
      <w:r>
        <w:rPr/>
        <w:t>Client &amp; Policy &gt; Policy Issuance: Issuance Workbench, E-policy Upload, Insurance Advice, E-policy Dispatch</w:t>
      </w:r>
    </w:p>
    <w:p>
      <w:pPr>
        <w:tabs>
          <w:tab w:pos="312" w:val="left"/>
        </w:tabs>
        <w:spacing w:after="40"/>
        <w:ind w:left="312" w:hanging="283"/>
      </w:pPr>
      <w:r>
        <w:rPr>
          <w:color w:val="004EA8"/>
        </w:rPr>
        <w:t>•</w:t>
        <w:tab/>
      </w:r>
      <w:r>
        <w:rPr/>
        <w:t>Client &amp; Policy &gt; Booking: Booking Workbench, Endorsements, Service Invoices, Batch Runs</w:t>
      </w:r>
    </w:p>
    <w:p>
      <w:pPr>
        <w:tabs>
          <w:tab w:pos="312" w:val="left"/>
        </w:tabs>
        <w:spacing w:after="120"/>
        <w:ind w:left="312" w:hanging="283"/>
      </w:pPr>
      <w:r>
        <w:rPr>
          <w:color w:val="004EA8"/>
        </w:rPr>
        <w:t>•</w:t>
        <w:tab/>
      </w:r>
      <w:r>
        <w:rPr/>
        <w:t>Client &amp; Policy &gt; Submitted Policies; Bulk Processing &gt; Bulk Uploads</w:t>
      </w:r>
    </w:p>
    <w:p>
      <w:pPr>
        <w:pStyle w:val="Heading1"/>
        <w:pBdr>
          <w:bottom w:val="single" w:sz="4" w:space="4" w:color="99C1E7"/>
        </w:pBdr>
      </w:pPr>
      <w:bookmarkStart w:id="103" w:name="_Toc000103"/>
      <w:r>
        <w:rPr/>
        <w:t>2 Your main tasks</w:t>
      </w:r>
      <w:bookmarkEnd w:id="103"/>
    </w:p>
    <w:p>
      <w:r>
        <w:rPr/>
        <w:t>Each task lists the steps in order, the screen (ID and name of the screen specification) and the step of the FRS walkthrough or the functional requirement it follows. The FRS walkthroughs show every step with its screenshot.</w:t>
      </w:r>
    </w:p>
    <w:p>
      <w:pPr>
        <w:pStyle w:val="Heading2"/>
      </w:pPr>
      <w:bookmarkStart w:id="104" w:name="_Toc000104"/>
      <w:r>
        <w:rPr/>
        <w:t>2.1 Validate an account or return it to Marketing</w:t>
      </w:r>
      <w:bookmarkEnd w:id="104"/>
    </w:p>
    <w:p>
      <w:r>
        <w:rPr/>
        <w:t>Reference: FRS BRD-01, walkthroughs WT-A step 10 and WT-C steps 5-6.</w:t>
      </w:r>
    </w:p>
    <w:p>
      <w:pPr>
        <w:pStyle w:val="Caption"/>
        <w:keepNext/>
        <w:spacing w:after="60"/>
      </w:pPr>
      <w:r>
        <w:rPr>
          <w:b/>
          <w:i w:val="0"/>
        </w:rPr>
        <w:t xml:space="preserve">Table 1: </w:t>
      </w:r>
      <w:r>
        <w:rPr/>
        <w:t>Validate an account or return it to Marketing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the account from My Work and click Validate. It moves to Awaiting payment or Ready for placement.</w:t>
            </w:r>
          </w:p>
        </w:tc>
        <w:tc>
          <w:tcPr>
            <w:tcW w:type="dxa" w:w="2523"/>
            <w:tcMar>
              <w:top w:w="50" w:type="dxa"/>
              <w:bottom w:w="50" w:type="dxa"/>
              <w:left w:w="90" w:type="dxa"/>
              <w:right w:w="90" w:type="dxa"/>
            </w:tcMar>
          </w:tcPr>
          <w:p>
            <w:pPr>
              <w:pStyle w:val="BDOITable"/>
            </w:pPr>
            <w:r>
              <w:rPr>
                <w:sz w:val="17"/>
              </w:rPr>
              <w:t>SCR-NB-15 Account record</w:t>
            </w:r>
          </w:p>
        </w:tc>
        <w:tc>
          <w:tcPr>
            <w:tcW w:type="dxa" w:w="1322"/>
            <w:tcMar>
              <w:top w:w="50" w:type="dxa"/>
              <w:bottom w:w="50" w:type="dxa"/>
              <w:left w:w="90" w:type="dxa"/>
              <w:right w:w="90" w:type="dxa"/>
            </w:tcMar>
          </w:tcPr>
          <w:p>
            <w:pPr>
              <w:pStyle w:val="BDOITable"/>
            </w:pPr>
            <w:r>
              <w:rPr>
                <w:sz w:val="17"/>
              </w:rPr>
              <w:t>WT-A.10</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If documents are missing, click Return To Marketing with the reason.</w:t>
            </w:r>
          </w:p>
        </w:tc>
        <w:tc>
          <w:tcPr>
            <w:tcW w:type="dxa" w:w="2523"/>
            <w:tcMar>
              <w:top w:w="50" w:type="dxa"/>
              <w:bottom w:w="50" w:type="dxa"/>
              <w:left w:w="90" w:type="dxa"/>
              <w:right w:w="90" w:type="dxa"/>
            </w:tcMar>
            <w:shd w:val="clear" w:color="auto" w:fill="E5F5FF"/>
          </w:tcPr>
          <w:p>
            <w:pPr>
              <w:pStyle w:val="BDOITable"/>
            </w:pPr>
            <w:r>
              <w:rPr>
                <w:sz w:val="17"/>
              </w:rPr>
              <w:t>SCR-NB-15 Account record</w:t>
            </w:r>
          </w:p>
        </w:tc>
        <w:tc>
          <w:tcPr>
            <w:tcW w:type="dxa" w:w="1322"/>
            <w:tcMar>
              <w:top w:w="50" w:type="dxa"/>
              <w:bottom w:w="50" w:type="dxa"/>
              <w:left w:w="90" w:type="dxa"/>
              <w:right w:w="90" w:type="dxa"/>
            </w:tcMar>
            <w:shd w:val="clear" w:color="auto" w:fill="E5F5FF"/>
          </w:tcPr>
          <w:p>
            <w:pPr>
              <w:pStyle w:val="BDOITable"/>
            </w:pPr>
            <w:r>
              <w:rPr>
                <w:sz w:val="17"/>
              </w:rPr>
              <w:t>WT-C.6</w:t>
            </w:r>
          </w:p>
        </w:tc>
      </w:tr>
    </w:tbl>
    <w:p>
      <w:pPr>
        <w:pStyle w:val="BDOISpacer"/>
      </w:pPr>
    </w:p>
    <w:p>
      <w:pPr>
        <w:pStyle w:val="Heading2"/>
      </w:pPr>
      <w:bookmarkStart w:id="105" w:name="_Toc000105"/>
      <w:r>
        <w:rPr/>
        <w:t>2.2 Pass the payment gate (CLPC accounts)</w:t>
      </w:r>
      <w:bookmarkEnd w:id="105"/>
    </w:p>
    <w:p>
      <w:r>
        <w:rPr/>
        <w:t>Reference: FRS BRD-01, walkthrough WT-A step 11.</w:t>
      </w:r>
    </w:p>
    <w:p>
      <w:pPr>
        <w:pStyle w:val="Caption"/>
        <w:keepNext/>
        <w:spacing w:after="60"/>
      </w:pPr>
      <w:r>
        <w:rPr>
          <w:b/>
          <w:i w:val="0"/>
        </w:rPr>
        <w:t xml:space="preserve">Table 2: </w:t>
      </w:r>
      <w:r>
        <w:rPr/>
        <w:t>Pass the payment gate (CLPC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Bill the account on CLPC Billing and download the file.</w:t>
            </w:r>
          </w:p>
        </w:tc>
        <w:tc>
          <w:tcPr>
            <w:tcW w:type="dxa" w:w="2523"/>
            <w:tcMar>
              <w:top w:w="50" w:type="dxa"/>
              <w:bottom w:w="50" w:type="dxa"/>
              <w:left w:w="90" w:type="dxa"/>
              <w:right w:w="90" w:type="dxa"/>
            </w:tcMar>
          </w:tcPr>
          <w:p>
            <w:pPr>
              <w:pStyle w:val="BDOITable"/>
            </w:pPr>
            <w:r>
              <w:rPr>
                <w:sz w:val="17"/>
              </w:rPr>
              <w:t>SCR-NB-21 CLPC Billing</w:t>
            </w:r>
          </w:p>
        </w:tc>
        <w:tc>
          <w:tcPr>
            <w:tcW w:type="dxa" w:w="1322"/>
            <w:tcMar>
              <w:top w:w="50" w:type="dxa"/>
              <w:bottom w:w="50" w:type="dxa"/>
              <w:left w:w="90" w:type="dxa"/>
              <w:right w:w="90" w:type="dxa"/>
            </w:tcMar>
          </w:tcPr>
          <w:p>
            <w:pPr>
              <w:pStyle w:val="BDOITable"/>
            </w:pPr>
            <w:r>
              <w:rPr>
                <w:sz w:val="17"/>
              </w:rPr>
              <w:t>WT-A.11</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Upload CLPC's payment report and confirm the matches. Confirm Matches opens the payment gate.</w:t>
            </w:r>
          </w:p>
        </w:tc>
        <w:tc>
          <w:tcPr>
            <w:tcW w:type="dxa" w:w="2523"/>
            <w:tcMar>
              <w:top w:w="50" w:type="dxa"/>
              <w:bottom w:w="50" w:type="dxa"/>
              <w:left w:w="90" w:type="dxa"/>
              <w:right w:w="90" w:type="dxa"/>
            </w:tcMar>
            <w:shd w:val="clear" w:color="auto" w:fill="E5F5FF"/>
          </w:tcPr>
          <w:p>
            <w:pPr>
              <w:pStyle w:val="BDOITable"/>
            </w:pPr>
            <w:r>
              <w:rPr>
                <w:sz w:val="17"/>
              </w:rPr>
              <w:t>SCR-NB-22 Payment Report</w:t>
            </w:r>
          </w:p>
        </w:tc>
        <w:tc>
          <w:tcPr>
            <w:tcW w:type="dxa" w:w="1322"/>
            <w:tcMar>
              <w:top w:w="50" w:type="dxa"/>
              <w:bottom w:w="50" w:type="dxa"/>
              <w:left w:w="90" w:type="dxa"/>
              <w:right w:w="90" w:type="dxa"/>
            </w:tcMar>
            <w:shd w:val="clear" w:color="auto" w:fill="E5F5FF"/>
          </w:tcPr>
          <w:p>
            <w:pPr>
              <w:pStyle w:val="BDOITable"/>
            </w:pPr>
            <w:r>
              <w:rPr>
                <w:sz w:val="17"/>
              </w:rPr>
              <w:t>WT-A.11</w:t>
            </w:r>
          </w:p>
        </w:tc>
      </w:tr>
    </w:tbl>
    <w:p>
      <w:pPr>
        <w:pStyle w:val="BDOISpacer"/>
      </w:pPr>
    </w:p>
    <w:p>
      <w:pPr>
        <w:pStyle w:val="Heading2"/>
      </w:pPr>
      <w:bookmarkStart w:id="106" w:name="_Toc000106"/>
      <w:r>
        <w:rPr/>
        <w:t>2.3 Place the account and confirm the policy</w:t>
      </w:r>
      <w:bookmarkEnd w:id="106"/>
    </w:p>
    <w:p>
      <w:r>
        <w:rPr/>
        <w:t>Reference: FRS BRD-01, walkthrough WT-A steps 12-14.</w:t>
      </w:r>
    </w:p>
    <w:p>
      <w:pPr>
        <w:pStyle w:val="Caption"/>
        <w:keepNext/>
        <w:spacing w:after="60"/>
      </w:pPr>
      <w:r>
        <w:rPr>
          <w:b/>
          <w:i w:val="0"/>
        </w:rPr>
        <w:t xml:space="preserve">Table 3: </w:t>
      </w:r>
      <w:r>
        <w:rPr/>
        <w:t>Place the account and confirm the policy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Select the account on the Placement Workbench, click For Placement, then Generate Slips, then Send Slips.</w:t>
            </w:r>
          </w:p>
        </w:tc>
        <w:tc>
          <w:tcPr>
            <w:tcW w:type="dxa" w:w="2523"/>
            <w:tcMar>
              <w:top w:w="50" w:type="dxa"/>
              <w:bottom w:w="50" w:type="dxa"/>
              <w:left w:w="90" w:type="dxa"/>
              <w:right w:w="90" w:type="dxa"/>
            </w:tcMar>
          </w:tcPr>
          <w:p>
            <w:pPr>
              <w:pStyle w:val="BDOITable"/>
            </w:pPr>
            <w:r>
              <w:rPr>
                <w:sz w:val="17"/>
              </w:rPr>
              <w:t>SCR-NB-18 Placement Workbench</w:t>
            </w:r>
          </w:p>
        </w:tc>
        <w:tc>
          <w:tcPr>
            <w:tcW w:type="dxa" w:w="1322"/>
            <w:tcMar>
              <w:top w:w="50" w:type="dxa"/>
              <w:bottom w:w="50" w:type="dxa"/>
              <w:left w:w="90" w:type="dxa"/>
              <w:right w:w="90" w:type="dxa"/>
            </w:tcMar>
          </w:tcPr>
          <w:p>
            <w:pPr>
              <w:pStyle w:val="BDOITable"/>
            </w:pPr>
            <w:r>
              <w:rPr>
                <w:sz w:val="17"/>
              </w:rPr>
              <w:t>WT-A.12</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Upload the insurer's e-policy PDF with the ARN. The Extraction Review opens.</w:t>
            </w:r>
          </w:p>
        </w:tc>
        <w:tc>
          <w:tcPr>
            <w:tcW w:type="dxa" w:w="2523"/>
            <w:tcMar>
              <w:top w:w="50" w:type="dxa"/>
              <w:bottom w:w="50" w:type="dxa"/>
              <w:left w:w="90" w:type="dxa"/>
              <w:right w:w="90" w:type="dxa"/>
            </w:tcMar>
            <w:shd w:val="clear" w:color="auto" w:fill="E5F5FF"/>
          </w:tcPr>
          <w:p>
            <w:pPr>
              <w:pStyle w:val="BDOITable"/>
            </w:pPr>
            <w:r>
              <w:rPr>
                <w:sz w:val="17"/>
              </w:rPr>
              <w:t>SCR-NB-24 E-policy Upload</w:t>
            </w:r>
          </w:p>
        </w:tc>
        <w:tc>
          <w:tcPr>
            <w:tcW w:type="dxa" w:w="1322"/>
            <w:tcMar>
              <w:top w:w="50" w:type="dxa"/>
              <w:bottom w:w="50" w:type="dxa"/>
              <w:left w:w="90" w:type="dxa"/>
              <w:right w:w="90" w:type="dxa"/>
            </w:tcMar>
            <w:shd w:val="clear" w:color="auto" w:fill="E5F5FF"/>
          </w:tcPr>
          <w:p>
            <w:pPr>
              <w:pStyle w:val="BDOITable"/>
            </w:pPr>
            <w:r>
              <w:rPr>
                <w:sz w:val="17"/>
              </w:rPr>
              <w:t>WT-A.13</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Check the extracted policy number against the account and click Confirm Policy. The Insurance Advice is generated.</w:t>
            </w:r>
          </w:p>
        </w:tc>
        <w:tc>
          <w:tcPr>
            <w:tcW w:type="dxa" w:w="2523"/>
            <w:tcMar>
              <w:top w:w="50" w:type="dxa"/>
              <w:bottom w:w="50" w:type="dxa"/>
              <w:left w:w="90" w:type="dxa"/>
              <w:right w:w="90" w:type="dxa"/>
            </w:tcMar>
          </w:tcPr>
          <w:p>
            <w:pPr>
              <w:pStyle w:val="BDOITable"/>
            </w:pPr>
            <w:r>
              <w:rPr>
                <w:sz w:val="17"/>
              </w:rPr>
              <w:t>SCR-NB-25 Extraction Review</w:t>
            </w:r>
          </w:p>
        </w:tc>
        <w:tc>
          <w:tcPr>
            <w:tcW w:type="dxa" w:w="1322"/>
            <w:tcMar>
              <w:top w:w="50" w:type="dxa"/>
              <w:bottom w:w="50" w:type="dxa"/>
              <w:left w:w="90" w:type="dxa"/>
              <w:right w:w="90" w:type="dxa"/>
            </w:tcMar>
          </w:tcPr>
          <w:p>
            <w:pPr>
              <w:pStyle w:val="BDOITable"/>
            </w:pPr>
            <w:r>
              <w:rPr>
                <w:sz w:val="17"/>
              </w:rPr>
              <w:t>WT-A.14</w:t>
            </w:r>
          </w:p>
        </w:tc>
      </w:tr>
    </w:tbl>
    <w:p>
      <w:pPr>
        <w:pStyle w:val="BDOISpacer"/>
      </w:pPr>
    </w:p>
    <w:p>
      <w:pPr>
        <w:pStyle w:val="Heading2"/>
      </w:pPr>
      <w:bookmarkStart w:id="107" w:name="_Toc000107"/>
      <w:r>
        <w:rPr/>
        <w:t>2.4 Book the account</w:t>
      </w:r>
      <w:bookmarkEnd w:id="107"/>
    </w:p>
    <w:p>
      <w:r>
        <w:rPr/>
        <w:t>Reference: FRS BRD-01, walkthrough WT-A steps 16-17.</w:t>
      </w:r>
    </w:p>
    <w:p>
      <w:pPr>
        <w:pStyle w:val="Caption"/>
        <w:keepNext/>
        <w:spacing w:after="60"/>
      </w:pPr>
      <w:r>
        <w:rPr>
          <w:b/>
          <w:i w:val="0"/>
        </w:rPr>
        <w:t xml:space="preserve">Table 4: </w:t>
      </w:r>
      <w:r>
        <w:rPr/>
        <w:t>Book the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the account from Ready to Book, check the invoice and the journal preview and click Book Account.</w:t>
            </w:r>
          </w:p>
        </w:tc>
        <w:tc>
          <w:tcPr>
            <w:tcW w:type="dxa" w:w="2523"/>
            <w:tcMar>
              <w:top w:w="50" w:type="dxa"/>
              <w:bottom w:w="50" w:type="dxa"/>
              <w:left w:w="90" w:type="dxa"/>
              <w:right w:w="90" w:type="dxa"/>
            </w:tcMar>
          </w:tcPr>
          <w:p>
            <w:pPr>
              <w:pStyle w:val="BDOITable"/>
            </w:pPr>
            <w:r>
              <w:rPr>
                <w:sz w:val="17"/>
              </w:rPr>
              <w:t>SCR-NB-29 Pre-booking Confirmation</w:t>
            </w:r>
          </w:p>
        </w:tc>
        <w:tc>
          <w:tcPr>
            <w:tcW w:type="dxa" w:w="1322"/>
            <w:tcMar>
              <w:top w:w="50" w:type="dxa"/>
              <w:bottom w:w="50" w:type="dxa"/>
              <w:left w:w="90" w:type="dxa"/>
              <w:right w:w="90" w:type="dxa"/>
            </w:tcMar>
          </w:tcPr>
          <w:p>
            <w:pPr>
              <w:pStyle w:val="BDOITable"/>
            </w:pPr>
            <w:r>
              <w:rPr>
                <w:sz w:val="17"/>
              </w:rPr>
              <w:t>WT-A.16</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Review the Journal and Open Items tabs of the booked invoice.</w:t>
            </w:r>
          </w:p>
        </w:tc>
        <w:tc>
          <w:tcPr>
            <w:tcW w:type="dxa" w:w="2523"/>
            <w:tcMar>
              <w:top w:w="50" w:type="dxa"/>
              <w:bottom w:w="50" w:type="dxa"/>
              <w:left w:w="90" w:type="dxa"/>
              <w:right w:w="90" w:type="dxa"/>
            </w:tcMar>
            <w:shd w:val="clear" w:color="auto" w:fill="E5F5FF"/>
          </w:tcPr>
          <w:p>
            <w:pPr>
              <w:pStyle w:val="BDOITable"/>
            </w:pPr>
            <w:r>
              <w:rPr>
                <w:sz w:val="17"/>
              </w:rPr>
              <w:t>SCR-NB-30 Booked Invoice</w:t>
            </w:r>
          </w:p>
        </w:tc>
        <w:tc>
          <w:tcPr>
            <w:tcW w:type="dxa" w:w="1322"/>
            <w:tcMar>
              <w:top w:w="50" w:type="dxa"/>
              <w:bottom w:w="50" w:type="dxa"/>
              <w:left w:w="90" w:type="dxa"/>
              <w:right w:w="90" w:type="dxa"/>
            </w:tcMar>
            <w:shd w:val="clear" w:color="auto" w:fill="E5F5FF"/>
          </w:tcPr>
          <w:p>
            <w:pPr>
              <w:pStyle w:val="BDOITable"/>
            </w:pPr>
            <w:r>
              <w:rPr>
                <w:sz w:val="17"/>
              </w:rPr>
              <w:t>WT-A.17</w:t>
            </w:r>
          </w:p>
        </w:tc>
      </w:tr>
    </w:tbl>
    <w:p>
      <w:pPr>
        <w:pStyle w:val="BDOISpacer"/>
      </w:pPr>
    </w:p>
    <w:p>
      <w:pPr>
        <w:pStyle w:val="Heading2"/>
      </w:pPr>
      <w:bookmarkStart w:id="108" w:name="_Toc000108"/>
      <w:r>
        <w:rPr/>
        <w:t>2.5 Handle an insurer return</w:t>
      </w:r>
      <w:bookmarkEnd w:id="108"/>
    </w:p>
    <w:p>
      <w:r>
        <w:rPr/>
        <w:t>Reference: FRS BRD-01, walkthrough WT-C steps 8-9.</w:t>
      </w:r>
    </w:p>
    <w:p>
      <w:pPr>
        <w:pStyle w:val="Caption"/>
        <w:keepNext/>
        <w:spacing w:after="60"/>
      </w:pPr>
      <w:r>
        <w:rPr>
          <w:b/>
          <w:i w:val="0"/>
        </w:rPr>
        <w:t xml:space="preserve">Table 5: </w:t>
      </w:r>
      <w:r>
        <w:rPr/>
        <w:t>Handle an insurer return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Record the insurer return on the placed account with the reason.</w:t>
            </w:r>
          </w:p>
        </w:tc>
        <w:tc>
          <w:tcPr>
            <w:tcW w:type="dxa" w:w="2523"/>
            <w:tcMar>
              <w:top w:w="50" w:type="dxa"/>
              <w:bottom w:w="50" w:type="dxa"/>
              <w:left w:w="90" w:type="dxa"/>
              <w:right w:w="90" w:type="dxa"/>
            </w:tcMar>
          </w:tcPr>
          <w:p>
            <w:pPr>
              <w:pStyle w:val="BDOITable"/>
            </w:pPr>
            <w:r>
              <w:rPr>
                <w:sz w:val="17"/>
              </w:rPr>
              <w:t>SCR-NB-19 Account Placement</w:t>
            </w:r>
          </w:p>
        </w:tc>
        <w:tc>
          <w:tcPr>
            <w:tcW w:type="dxa" w:w="1322"/>
            <w:tcMar>
              <w:top w:w="50" w:type="dxa"/>
              <w:bottom w:w="50" w:type="dxa"/>
              <w:left w:w="90" w:type="dxa"/>
              <w:right w:w="90" w:type="dxa"/>
            </w:tcMar>
          </w:tcPr>
          <w:p>
            <w:pPr>
              <w:pStyle w:val="BDOITable"/>
            </w:pPr>
            <w:r>
              <w:rPr>
                <w:sz w:val="17"/>
              </w:rPr>
              <w:t>WT-C.8</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Click Resubmit for Placement, then Generate Placement Slip, and send the new slip from the Placement Slips tab. The earlier version shows Superseded.</w:t>
            </w:r>
          </w:p>
        </w:tc>
        <w:tc>
          <w:tcPr>
            <w:tcW w:type="dxa" w:w="2523"/>
            <w:tcMar>
              <w:top w:w="50" w:type="dxa"/>
              <w:bottom w:w="50" w:type="dxa"/>
              <w:left w:w="90" w:type="dxa"/>
              <w:right w:w="90" w:type="dxa"/>
            </w:tcMar>
            <w:shd w:val="clear" w:color="auto" w:fill="E5F5FF"/>
          </w:tcPr>
          <w:p>
            <w:pPr>
              <w:pStyle w:val="BDOITable"/>
            </w:pPr>
            <w:r>
              <w:rPr>
                <w:sz w:val="17"/>
              </w:rPr>
              <w:t>SCR-NB-19 Account Placement</w:t>
            </w:r>
          </w:p>
        </w:tc>
        <w:tc>
          <w:tcPr>
            <w:tcW w:type="dxa" w:w="1322"/>
            <w:tcMar>
              <w:top w:w="50" w:type="dxa"/>
              <w:bottom w:w="50" w:type="dxa"/>
              <w:left w:w="90" w:type="dxa"/>
              <w:right w:w="90" w:type="dxa"/>
            </w:tcMar>
            <w:shd w:val="clear" w:color="auto" w:fill="E5F5FF"/>
          </w:tcPr>
          <w:p>
            <w:pPr>
              <w:pStyle w:val="BDOITable"/>
            </w:pPr>
            <w:r>
              <w:rPr>
                <w:sz w:val="17"/>
              </w:rPr>
              <w:t>WT-C.9</w:t>
            </w:r>
          </w:p>
        </w:tc>
      </w:tr>
    </w:tbl>
    <w:p>
      <w:pPr>
        <w:pStyle w:val="BDOISpacer"/>
      </w:pPr>
    </w:p>
    <w:p>
      <w:pPr>
        <w:pStyle w:val="Heading1"/>
        <w:pBdr>
          <w:bottom w:val="single" w:sz="4" w:space="4" w:color="99C1E7"/>
        </w:pBdr>
      </w:pPr>
      <w:bookmarkStart w:id="109" w:name="_Toc000109"/>
      <w:r>
        <w:rPr/>
        <w:t>3 Tips</w:t>
      </w:r>
      <w:bookmarkEnd w:id="109"/>
    </w:p>
    <w:p>
      <w:pPr>
        <w:tabs>
          <w:tab w:pos="312" w:val="left"/>
        </w:tabs>
        <w:spacing w:after="40"/>
        <w:ind w:left="312" w:hanging="283"/>
      </w:pPr>
      <w:r>
        <w:rPr>
          <w:color w:val="004EA8"/>
        </w:rPr>
        <w:t>•</w:t>
        <w:tab/>
      </w:r>
      <w:r>
        <w:rPr/>
        <w:t>An account is booked once: a second booking of the same ARN and transaction is refused (Help Center, Booking Workbench).</w:t>
      </w:r>
    </w:p>
    <w:p>
      <w:pPr>
        <w:tabs>
          <w:tab w:pos="312" w:val="left"/>
        </w:tabs>
        <w:spacing w:after="40"/>
        <w:ind w:left="312" w:hanging="283"/>
      </w:pPr>
      <w:r>
        <w:rPr>
          <w:color w:val="004EA8"/>
        </w:rPr>
        <w:t>•</w:t>
        <w:tab/>
      </w:r>
      <w:r>
        <w:rPr/>
        <w:t>The booking date cannot be in the future and its accounting period must be open.</w:t>
      </w:r>
    </w:p>
    <w:p>
      <w:pPr>
        <w:tabs>
          <w:tab w:pos="312" w:val="left"/>
        </w:tabs>
        <w:spacing w:after="120"/>
        <w:ind w:left="312" w:hanging="283"/>
      </w:pPr>
      <w:r>
        <w:rPr>
          <w:color w:val="004EA8"/>
        </w:rPr>
        <w:t>•</w:t>
        <w:tab/>
      </w:r>
      <w:r>
        <w:rPr/>
        <w:t>Validate is refused when the client is not confirmed: "Client &lt;code&gt; is not yet confirmed (onboarding and KYC incomplete)" (WT-C.5).</w:t>
      </w:r>
    </w:p>
    <w:p>
      <w:pPr>
        <w:pStyle w:val="Heading1"/>
        <w:pBdr>
          <w:bottom w:val="single" w:sz="4" w:space="4" w:color="99C1E7"/>
        </w:pBdr>
      </w:pPr>
      <w:bookmarkStart w:id="110" w:name="_Toc000110"/>
      <w:r>
        <w:rPr/>
        <w:t>4 Where to get help</w:t>
      </w:r>
      <w:bookmarkEnd w:id="110"/>
    </w:p>
    <w:p>
      <w:pPr>
        <w:tabs>
          <w:tab w:pos="312" w:val="left"/>
        </w:tabs>
        <w:spacing w:after="40"/>
        <w:ind w:left="312" w:hanging="283"/>
      </w:pPr>
      <w:r>
        <w:rPr>
          <w:color w:val="004EA8"/>
        </w:rPr>
        <w:t>•</w:t>
        <w:tab/>
      </w:r>
      <w:r>
        <w:rPr/>
        <w:t>Help Center (sidebar, Help &gt; Help Center): the help of every screen you may open, with How it works and Controls; search by word.</w:t>
      </w:r>
    </w:p>
    <w:p>
      <w:pPr>
        <w:tabs>
          <w:tab w:pos="312" w:val="left"/>
        </w:tabs>
        <w:spacing w:after="40"/>
        <w:ind w:left="312" w:hanging="283"/>
      </w:pPr>
      <w:r>
        <w:rPr>
          <w:color w:val="004EA8"/>
        </w:rPr>
        <w:t>•</w:t>
        <w:tab/>
      </w:r>
      <w:r>
        <w:rPr/>
        <w:t>Info icons on field labels: the format and rule of the field; the short format hint under a field gives dates as dd-MMM-yyyy and the file limits.</w:t>
      </w:r>
    </w:p>
    <w:p>
      <w:pPr>
        <w:tabs>
          <w:tab w:pos="312" w:val="left"/>
        </w:tabs>
        <w:spacing w:after="40"/>
        <w:ind w:left="312" w:hanging="283"/>
      </w:pPr>
      <w:r>
        <w:rPr>
          <w:color w:val="004EA8"/>
        </w:rPr>
        <w:t>•</w:t>
        <w:tab/>
      </w:r>
      <w:r>
        <w:rPr/>
        <w:t>Messages: a refused action shows the message on the screen in plain words; the message tells what to correct (the tips above list the frequent ones).</w:t>
      </w:r>
    </w:p>
    <w:p>
      <w:pPr>
        <w:tabs>
          <w:tab w:pos="312" w:val="left"/>
        </w:tabs>
        <w:spacing w:after="40"/>
        <w:ind w:left="312" w:hanging="283"/>
      </w:pPr>
      <w:r>
        <w:rPr>
          <w:color w:val="004EA8"/>
        </w:rPr>
        <w:t>•</w:t>
        <w:tab/>
      </w:r>
      <w:r>
        <w:rPr/>
        <w:t>My Work and My Approvals: every record waiting for you, with the action to take; notices in the bell icon link to the record.</w:t>
      </w:r>
    </w:p>
    <w:p>
      <w:pPr>
        <w:tabs>
          <w:tab w:pos="312" w:val="left"/>
        </w:tabs>
        <w:spacing w:after="40"/>
        <w:ind w:left="312" w:hanging="283"/>
      </w:pPr>
      <w:r>
        <w:rPr>
          <w:color w:val="004EA8"/>
        </w:rPr>
        <w:t>•</w:t>
        <w:tab/>
      </w:r>
      <w:r>
        <w:rPr/>
        <w:t>Key user of your unit: first point of contact for how-to questions and for a second pair of eyes.</w:t>
      </w:r>
    </w:p>
    <w:p>
      <w:pPr>
        <w:tabs>
          <w:tab w:pos="312" w:val="left"/>
        </w:tabs>
        <w:spacing w:after="120"/>
        <w:ind w:left="312" w:hanging="283"/>
      </w:pPr>
      <w:r>
        <w:rPr>
          <w:color w:val="004EA8"/>
        </w:rPr>
        <w:t>•</w:t>
        <w:tab/>
      </w:r>
      <w:r>
        <w:rPr/>
        <w:t>Service desk (BDOI IT): access problems, errors and anything the key user cannot solve; give the record number, the screen ID and the time.</w:t>
      </w:r>
    </w:p>
    <w:p>
      <w:r>
        <w:rPr/>
        <w:t>Report a problem with: the record number, the screen ID or name, what you did, the message shown word for word and the time.</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QRG Processing Officer</w:t>
    </w:r>
    <w:r>
      <w:rPr>
        <w:color w:val="656565"/>
        <w:sz w:val="16"/>
      </w:rPr>
      <w:t xml:space="preserve">   Quick-Reference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Adoption BRD-00 QRG Processing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