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USER MANUAL FRAMEWORK</w:t>
      </w:r>
    </w:p>
    <w:p>
      <w:pPr>
        <w:spacing w:after="80" w:line="240" w:lineRule="auto"/>
      </w:pPr>
      <w:r>
        <w:rPr>
          <w:b/>
          <w:color w:val="004EA8"/>
          <w:sz w:val="56"/>
        </w:rPr>
        <w:t>User Manual Framework</w:t>
      </w:r>
    </w:p>
    <w:p>
      <w:pPr>
        <w:spacing w:after="40"/>
      </w:pPr>
      <w:r>
        <w:rPr>
          <w:color w:val="2E2E2E"/>
          <w:sz w:val="28"/>
        </w:rPr>
        <w:t>Structure, standards and upkeep of the BIBS user documentation, with the index of the persona quick-reference guides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BIBS-UMF-BRD-00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with 13 persona quick-reference guides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 of the documentation set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owners and key users</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parts of their personas</w:t>
            </w:r>
          </w:p>
        </w:tc>
      </w:tr>
      <w:tr>
        <w:trPr>
          <w:cantSplit w:val="true"/>
        </w:trPr>
        <w:tc>
          <w:tcPr>
            <w:tcW w:type="dxa" w:w="2606"/>
            <w:tcMar>
              <w:top w:w="50" w:type="dxa"/>
              <w:bottom w:w="50" w:type="dxa"/>
              <w:left w:w="90" w:type="dxa"/>
              <w:right w:w="90" w:type="dxa"/>
            </w:tcMar>
          </w:tcPr>
          <w:p>
            <w:pPr>
              <w:pStyle w:val="BDOITable"/>
            </w:pPr>
            <w:r>
              <w:rPr>
                <w:sz w:val="18"/>
              </w:rPr>
              <w:t>BDOI trainers and application support</w:t>
            </w:r>
          </w:p>
        </w:tc>
        <w:tc>
          <w:tcPr>
            <w:tcW w:type="dxa" w:w="2266"/>
            <w:tcMar>
              <w:top w:w="50" w:type="dxa"/>
              <w:bottom w:w="50" w:type="dxa"/>
              <w:left w:w="90" w:type="dxa"/>
              <w:right w:w="90" w:type="dxa"/>
            </w:tcMar>
          </w:tcPr>
          <w:p>
            <w:pPr>
              <w:pStyle w:val="BDOITable"/>
            </w:pPr>
            <w:r>
              <w:rPr>
                <w:sz w:val="18"/>
              </w:rPr>
              <w:t>Users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Training and first-line help</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Writes and maintains the documentation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audience and scope</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1"/>
      </w:pPr>
      <w:hyperlink w:anchor="_Toc000105" w:history="1">
        <w:r>
          <w:t xml:space="preserve">2 The documentation set</w:t>
        </w:r>
        <w:r>
          <w:t xml:space="preserve">	</w:t>
        </w:r>
        <w:r>
          <w:t xml:space="preserve">4</w:t>
        </w:r>
      </w:hyperlink>
    </w:p>
    <w:p>
      <w:pPr>
        <w:pStyle w:val="toc1"/>
      </w:pPr>
      <w:hyperlink w:anchor="_Toc000106" w:history="1">
        <w:r>
          <w:t xml:space="preserve">3 Structure of the User Manual</w:t>
        </w:r>
        <w:r>
          <w:t xml:space="preserve">	</w:t>
        </w:r>
        <w:r>
          <w:t xml:space="preserve">5</w:t>
        </w:r>
      </w:hyperlink>
    </w:p>
    <w:p>
      <w:pPr>
        <w:pStyle w:val="toc2"/>
      </w:pPr>
      <w:hyperlink w:anchor="_Toc000107" w:history="1">
        <w:r>
          <w:t xml:space="preserve">3.1 Template of a persona part</w:t>
        </w:r>
        <w:r>
          <w:t xml:space="preserve">	</w:t>
        </w:r>
        <w:r>
          <w:t xml:space="preserve">5</w:t>
        </w:r>
      </w:hyperlink>
    </w:p>
    <w:p>
      <w:pPr>
        <w:pStyle w:val="toc1"/>
      </w:pPr>
      <w:hyperlink w:anchor="_Toc000108" w:history="1">
        <w:r>
          <w:t xml:space="preserve">4 Writing standards</w:t>
        </w:r>
        <w:r>
          <w:t xml:space="preserve">	</w:t>
        </w:r>
        <w:r>
          <w:t xml:space="preserve">5</w:t>
        </w:r>
      </w:hyperlink>
    </w:p>
    <w:p>
      <w:pPr>
        <w:pStyle w:val="toc1"/>
      </w:pPr>
      <w:hyperlink w:anchor="_Toc000109" w:history="1">
        <w:r>
          <w:t xml:space="preserve">5 Upkeep</w:t>
        </w:r>
        <w:r>
          <w:t xml:space="preserve">	</w:t>
        </w:r>
        <w:r>
          <w:t xml:space="preserve">6</w:t>
        </w:r>
      </w:hyperlink>
    </w:p>
    <w:p>
      <w:pPr>
        <w:pStyle w:val="toc1"/>
      </w:pPr>
      <w:hyperlink w:anchor="_Toc000110" w:history="1">
        <w:r>
          <w:t xml:space="preserve">6 Personas and quick-reference guides</w:t>
        </w:r>
        <w:r>
          <w:t xml:space="preserve">	</w:t>
        </w:r>
        <w:r>
          <w:t xml:space="preserve">6</w:t>
        </w:r>
      </w:hyperlink>
    </w:p>
    <w:p>
      <w:pPr>
        <w:pStyle w:val="toc1"/>
      </w:pPr>
      <w:hyperlink w:anchor="_Toc000111" w:history="1">
        <w:r>
          <w:t xml:space="preserve">7 References</w:t>
        </w:r>
        <w:r>
          <w:t xml:space="preserve">	</w:t>
        </w:r>
        <w:r>
          <w:t xml:space="preserve">8</w:t>
        </w:r>
      </w:hyperlink>
    </w:p>
    <w:p>
      <w:pPr>
        <w:pStyle w:val="toc1"/>
      </w:pPr>
      <w:hyperlink w:anchor="_Toc000112" w:history="1">
        <w:r>
          <w:t xml:space="preserve">8 Decisions and open points for BDOI</w:t>
        </w:r>
        <w:r>
          <w:t xml:space="preserve">	</w:t>
        </w:r>
        <w:r>
          <w:t xml:space="preserve">8</w:t>
        </w:r>
      </w:hyperlink>
      <w:r>
        <w:fldChar w:fldCharType="end"/>
      </w:r>
    </w:p>
    <w:p>
      <w:pPr>
        <w:pStyle w:val="Heading1"/>
        <w:pageBreakBefore/>
        <w:pBdr>
          <w:bottom w:val="single" w:sz="4" w:space="4" w:color="99C1E7"/>
        </w:pBdr>
      </w:pPr>
      <w:bookmarkStart w:id="101" w:name="_Toc000101"/>
      <w:r>
        <w:rPr/>
        <w:t>1 Purpose, audience and scope</w:t>
      </w:r>
      <w:bookmarkEnd w:id="101"/>
    </w:p>
    <w:p>
      <w:pPr>
        <w:pStyle w:val="Heading2"/>
      </w:pPr>
      <w:bookmarkStart w:id="102" w:name="_Toc000102"/>
      <w:r>
        <w:rPr/>
        <w:t>1.1 Purpose</w:t>
      </w:r>
      <w:bookmarkEnd w:id="102"/>
    </w:p>
    <w:p>
      <w:r>
        <w:rPr/>
        <w:t>This framework fixes how the BIBS user documentation is organised, written, checked and kept current: the BIBS User Manual with one part per persona, the persona quick-reference guides, the release notes per persona and their link with the in-app Help Center and the training material. It also indexes the 13 quick-reference guides issued with it.</w:t>
      </w:r>
    </w:p>
    <w:p>
      <w:pPr>
        <w:pStyle w:val="Heading2"/>
      </w:pPr>
      <w:bookmarkStart w:id="103" w:name="_Toc000103"/>
      <w:r>
        <w:rPr/>
        <w:t>1.2 Audience</w:t>
      </w:r>
      <w:bookmarkEnd w:id="103"/>
    </w:p>
    <w:p>
      <w:r>
        <w:rPr/>
        <w:t>The BIBS Product Owner (approval), the business owners and key users (review of their parts), the BDOI trainers and application support (use), and the iorta TechNXT writers.</w:t>
      </w:r>
    </w:p>
    <w:p>
      <w:pPr>
        <w:pStyle w:val="Heading2"/>
      </w:pPr>
      <w:bookmarkStart w:id="104" w:name="_Toc000104"/>
      <w:r>
        <w:rPr/>
        <w:t>1.3 Scope</w:t>
      </w:r>
      <w:bookmarkEnd w:id="104"/>
    </w:p>
    <w:p>
      <w:r>
        <w:rPr/>
        <w:t>The documentation of the business users of BIBS. The operations and support documentation (runbook, deployment and configuration guides) is covered by the Knowledge Transfer Plan; the FRS and sign-off sets remain the specification.</w:t>
      </w:r>
    </w:p>
    <w:p>
      <w:pPr>
        <w:pStyle w:val="Heading1"/>
        <w:pBdr>
          <w:bottom w:val="single" w:sz="4" w:space="4" w:color="99C1E7"/>
        </w:pBdr>
      </w:pPr>
      <w:bookmarkStart w:id="105" w:name="_Toc000105"/>
      <w:r>
        <w:rPr/>
        <w:t>2 The documentation set</w:t>
      </w:r>
      <w:bookmarkEnd w:id="105"/>
    </w:p>
    <w:p>
      <w:pPr>
        <w:keepNext/>
        <w:spacing w:before="80" w:after="0"/>
        <w:jc w:val="center"/>
      </w:pPr>
      <w:r>
        <w:drawing>
          <wp:inline xmlns:a="http://schemas.openxmlformats.org/drawingml/2006/main" xmlns:pic="http://schemas.openxmlformats.org/drawingml/2006/picture">
            <wp:extent cx="5400000" cy="1523629"/>
            <wp:docPr id="3" name="Picture 3"/>
            <wp:cNvGraphicFramePr>
              <a:graphicFrameLocks noChangeAspect="1"/>
            </wp:cNvGraphicFramePr>
            <a:graphic>
              <a:graphicData uri="http://schemas.openxmlformats.org/drawingml/2006/picture">
                <pic:pic>
                  <pic:nvPicPr>
                    <pic:cNvPr id="0" name="um_structure_1003.jpg"/>
                    <pic:cNvPicPr/>
                  </pic:nvPicPr>
                  <pic:blipFill>
                    <a:blip r:embed="rId15"/>
                    <a:stretch>
                      <a:fillRect/>
                    </a:stretch>
                  </pic:blipFill>
                  <pic:spPr>
                    <a:xfrm>
                      <a:off x="0" y="0"/>
                      <a:ext cx="5400000" cy="1523629"/>
                    </a:xfrm>
                    <a:prstGeom prst="rect"/>
                  </pic:spPr>
                </pic:pic>
              </a:graphicData>
            </a:graphic>
          </wp:inline>
        </w:drawing>
      </w:r>
    </w:p>
    <w:p>
      <w:pPr>
        <w:pStyle w:val="Caption"/>
        <w:jc w:val="center"/>
      </w:pPr>
      <w:r>
        <w:rPr>
          <w:b/>
          <w:i w:val="0"/>
        </w:rPr>
        <w:t xml:space="preserve">Figure 1: </w:t>
      </w:r>
      <w:r>
        <w:rPr/>
        <w:t>The BIBS user documentation set</w:t>
      </w:r>
    </w:p>
    <w:p>
      <w:pPr>
        <w:pStyle w:val="Caption"/>
        <w:keepNext/>
        <w:spacing w:after="60"/>
      </w:pPr>
      <w:r>
        <w:rPr>
          <w:b/>
          <w:i w:val="0"/>
        </w:rPr>
        <w:t xml:space="preserve">Table 1: </w:t>
      </w:r>
      <w:r>
        <w:rPr/>
        <w:t>Documents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845"/>
        <w:gridCol w:w="1922"/>
        <w:gridCol w:w="2042"/>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Length</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Ready</w:t>
            </w:r>
          </w:p>
        </w:tc>
      </w:tr>
      <w:tr>
        <w:trPr>
          <w:cantSplit w:val="true"/>
        </w:trPr>
        <w:tc>
          <w:tcPr>
            <w:tcW w:type="dxa" w:w="2163"/>
            <w:tcMar>
              <w:top w:w="50" w:type="dxa"/>
              <w:bottom w:w="50" w:type="dxa"/>
              <w:left w:w="90" w:type="dxa"/>
              <w:right w:w="90" w:type="dxa"/>
            </w:tcMar>
          </w:tcPr>
          <w:p>
            <w:pPr>
              <w:pStyle w:val="BDOITable"/>
            </w:pPr>
            <w:r>
              <w:rPr>
                <w:sz w:val="17"/>
              </w:rPr>
              <w:t>BIBS User Manual</w:t>
            </w:r>
          </w:p>
        </w:tc>
        <w:tc>
          <w:tcPr>
            <w:tcW w:type="dxa" w:w="3845"/>
            <w:tcMar>
              <w:top w:w="50" w:type="dxa"/>
              <w:bottom w:w="50" w:type="dxa"/>
              <w:left w:w="90" w:type="dxa"/>
              <w:right w:w="90" w:type="dxa"/>
            </w:tcMar>
          </w:tcPr>
          <w:p>
            <w:pPr>
              <w:pStyle w:val="BDOITable"/>
            </w:pPr>
            <w:r>
              <w:rPr>
                <w:sz w:val="17"/>
              </w:rPr>
              <w:t>Getting started; the broking cycle end to end; one part per persona; module reference; reports; messages and what to do; glossary</w:t>
            </w:r>
          </w:p>
        </w:tc>
        <w:tc>
          <w:tcPr>
            <w:tcW w:type="dxa" w:w="1922"/>
            <w:tcMar>
              <w:top w:w="50" w:type="dxa"/>
              <w:bottom w:w="50" w:type="dxa"/>
              <w:left w:w="90" w:type="dxa"/>
              <w:right w:w="90" w:type="dxa"/>
            </w:tcMar>
          </w:tcPr>
          <w:p>
            <w:pPr>
              <w:pStyle w:val="BDOITable"/>
            </w:pPr>
            <w:r>
              <w:rPr>
                <w:sz w:val="17"/>
              </w:rPr>
              <w:t>One volume per drop group</w:t>
            </w:r>
          </w:p>
        </w:tc>
        <w:tc>
          <w:tcPr>
            <w:tcW w:type="dxa" w:w="2042"/>
            <w:tcMar>
              <w:top w:w="50" w:type="dxa"/>
              <w:bottom w:w="50" w:type="dxa"/>
              <w:left w:w="90" w:type="dxa"/>
              <w:right w:w="90" w:type="dxa"/>
            </w:tcMar>
          </w:tcPr>
          <w:p>
            <w:pPr>
              <w:pStyle w:val="BDOITable"/>
            </w:pPr>
            <w:r>
              <w:rPr>
                <w:sz w:val="17"/>
              </w:rPr>
              <w:t>Drop 0 and Drop 1 parts draft 30-Jun-2027; all parts 30-Sep-2027; final 17-Dec-2027</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Quick-reference guides</w:t>
            </w:r>
          </w:p>
        </w:tc>
        <w:tc>
          <w:tcPr>
            <w:tcW w:type="dxa" w:w="3845"/>
            <w:tcMar>
              <w:top w:w="50" w:type="dxa"/>
              <w:bottom w:w="50" w:type="dxa"/>
              <w:left w:w="90" w:type="dxa"/>
              <w:right w:w="90" w:type="dxa"/>
            </w:tcMar>
            <w:shd w:val="clear" w:color="auto" w:fill="E5F5FF"/>
          </w:tcPr>
          <w:p>
            <w:pPr>
              <w:pStyle w:val="BDOITable"/>
            </w:pPr>
            <w:r>
              <w:rPr>
                <w:sz w:val="17"/>
              </w:rPr>
              <w:t>One per persona: role, menus, main tasks step by step with screens and FRS references, tips, help</w:t>
            </w:r>
          </w:p>
        </w:tc>
        <w:tc>
          <w:tcPr>
            <w:tcW w:type="dxa" w:w="1922"/>
            <w:tcMar>
              <w:top w:w="50" w:type="dxa"/>
              <w:bottom w:w="50" w:type="dxa"/>
              <w:left w:w="90" w:type="dxa"/>
              <w:right w:w="90" w:type="dxa"/>
            </w:tcMar>
            <w:shd w:val="clear" w:color="auto" w:fill="E5F5FF"/>
          </w:tcPr>
          <w:p>
            <w:pPr>
              <w:pStyle w:val="BDOITable"/>
            </w:pPr>
            <w:r>
              <w:rPr>
                <w:sz w:val="17"/>
              </w:rPr>
              <w:t>2 to 6 pages</w:t>
            </w:r>
          </w:p>
        </w:tc>
        <w:tc>
          <w:tcPr>
            <w:tcW w:type="dxa" w:w="2042"/>
            <w:tcMar>
              <w:top w:w="50" w:type="dxa"/>
              <w:bottom w:w="50" w:type="dxa"/>
              <w:left w:w="90" w:type="dxa"/>
              <w:right w:w="90" w:type="dxa"/>
            </w:tcMar>
            <w:shd w:val="clear" w:color="auto" w:fill="E5F5FF"/>
          </w:tcPr>
          <w:p>
            <w:pPr>
              <w:pStyle w:val="BDOITable"/>
            </w:pPr>
            <w:r>
              <w:rPr>
                <w:sz w:val="17"/>
              </w:rPr>
              <w:t>Version 1.0 with this framework; updated for UAT (30-Jul-2027) and go-live (17-Dec-2027)</w:t>
            </w:r>
          </w:p>
        </w:tc>
      </w:tr>
      <w:tr>
        <w:trPr>
          <w:cantSplit w:val="true"/>
        </w:trPr>
        <w:tc>
          <w:tcPr>
            <w:tcW w:type="dxa" w:w="2163"/>
            <w:tcMar>
              <w:top w:w="50" w:type="dxa"/>
              <w:bottom w:w="50" w:type="dxa"/>
              <w:left w:w="90" w:type="dxa"/>
              <w:right w:w="90" w:type="dxa"/>
            </w:tcMar>
          </w:tcPr>
          <w:p>
            <w:pPr>
              <w:pStyle w:val="BDOITable"/>
            </w:pPr>
            <w:r>
              <w:rPr>
                <w:sz w:val="17"/>
              </w:rPr>
              <w:t>Help Center</w:t>
            </w:r>
          </w:p>
        </w:tc>
        <w:tc>
          <w:tcPr>
            <w:tcW w:type="dxa" w:w="3845"/>
            <w:tcMar>
              <w:top w:w="50" w:type="dxa"/>
              <w:bottom w:w="50" w:type="dxa"/>
              <w:left w:w="90" w:type="dxa"/>
              <w:right w:w="90" w:type="dxa"/>
            </w:tcMar>
          </w:tcPr>
          <w:p>
            <w:pPr>
              <w:pStyle w:val="BDOITable"/>
            </w:pPr>
            <w:r>
              <w:rPr>
                <w:sz w:val="17"/>
              </w:rPr>
              <w:t>In-app help per screen: summary, How it works, Controls</w:t>
            </w:r>
          </w:p>
        </w:tc>
        <w:tc>
          <w:tcPr>
            <w:tcW w:type="dxa" w:w="1922"/>
            <w:tcMar>
              <w:top w:w="50" w:type="dxa"/>
              <w:bottom w:w="50" w:type="dxa"/>
              <w:left w:w="90" w:type="dxa"/>
              <w:right w:w="90" w:type="dxa"/>
            </w:tcMar>
          </w:tcPr>
          <w:p>
            <w:pPr>
              <w:pStyle w:val="BDOITable"/>
            </w:pPr>
            <w:r>
              <w:rPr>
                <w:sz w:val="17"/>
              </w:rPr>
              <w:t>Per screen</w:t>
            </w:r>
          </w:p>
        </w:tc>
        <w:tc>
          <w:tcPr>
            <w:tcW w:type="dxa" w:w="2042"/>
            <w:tcMar>
              <w:top w:w="50" w:type="dxa"/>
              <w:bottom w:w="50" w:type="dxa"/>
              <w:left w:w="90" w:type="dxa"/>
              <w:right w:w="90" w:type="dxa"/>
            </w:tcMar>
          </w:tcPr>
          <w:p>
            <w:pPr>
              <w:pStyle w:val="BDOITable"/>
            </w:pPr>
            <w:r>
              <w:rPr>
                <w:sz w:val="17"/>
              </w:rPr>
              <w:t>With each release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Release notes per persona</w:t>
            </w:r>
          </w:p>
        </w:tc>
        <w:tc>
          <w:tcPr>
            <w:tcW w:type="dxa" w:w="3845"/>
            <w:tcMar>
              <w:top w:w="50" w:type="dxa"/>
              <w:bottom w:w="50" w:type="dxa"/>
              <w:left w:w="90" w:type="dxa"/>
              <w:right w:w="90" w:type="dxa"/>
            </w:tcMar>
            <w:shd w:val="clear" w:color="auto" w:fill="E5F5FF"/>
          </w:tcPr>
          <w:p>
            <w:pPr>
              <w:pStyle w:val="BDOITable"/>
            </w:pPr>
            <w:r>
              <w:rPr>
                <w:sz w:val="17"/>
              </w:rPr>
              <w:t>What changed for the persona in a release, with the screens</w:t>
            </w:r>
          </w:p>
        </w:tc>
        <w:tc>
          <w:tcPr>
            <w:tcW w:type="dxa" w:w="1922"/>
            <w:tcMar>
              <w:top w:w="50" w:type="dxa"/>
              <w:bottom w:w="50" w:type="dxa"/>
              <w:left w:w="90" w:type="dxa"/>
              <w:right w:w="90" w:type="dxa"/>
            </w:tcMar>
            <w:shd w:val="clear" w:color="auto" w:fill="E5F5FF"/>
          </w:tcPr>
          <w:p>
            <w:pPr>
              <w:pStyle w:val="BDOITable"/>
            </w:pPr>
            <w:r>
              <w:rPr>
                <w:sz w:val="17"/>
              </w:rPr>
              <w:t>1 page per persona</w:t>
            </w:r>
          </w:p>
        </w:tc>
        <w:tc>
          <w:tcPr>
            <w:tcW w:type="dxa" w:w="2042"/>
            <w:tcMar>
              <w:top w:w="50" w:type="dxa"/>
              <w:bottom w:w="50" w:type="dxa"/>
              <w:left w:w="90" w:type="dxa"/>
              <w:right w:w="90" w:type="dxa"/>
            </w:tcMar>
            <w:shd w:val="clear" w:color="auto" w:fill="E5F5FF"/>
          </w:tcPr>
          <w:p>
            <w:pPr>
              <w:pStyle w:val="BDOITable"/>
            </w:pPr>
            <w:r>
              <w:rPr>
                <w:sz w:val="17"/>
              </w:rPr>
              <w:t>With each release from UAT</w:t>
            </w:r>
          </w:p>
        </w:tc>
      </w:tr>
      <w:tr>
        <w:trPr>
          <w:cantSplit w:val="true"/>
        </w:trPr>
        <w:tc>
          <w:tcPr>
            <w:tcW w:type="dxa" w:w="2163"/>
            <w:tcMar>
              <w:top w:w="50" w:type="dxa"/>
              <w:bottom w:w="50" w:type="dxa"/>
              <w:left w:w="90" w:type="dxa"/>
              <w:right w:w="90" w:type="dxa"/>
            </w:tcMar>
          </w:tcPr>
          <w:p>
            <w:pPr>
              <w:pStyle w:val="BDOITable"/>
            </w:pPr>
            <w:r>
              <w:rPr>
                <w:sz w:val="17"/>
              </w:rPr>
              <w:t>Training material</w:t>
            </w:r>
          </w:p>
        </w:tc>
        <w:tc>
          <w:tcPr>
            <w:tcW w:type="dxa" w:w="3845"/>
            <w:tcMar>
              <w:top w:w="50" w:type="dxa"/>
              <w:bottom w:w="50" w:type="dxa"/>
              <w:left w:w="90" w:type="dxa"/>
              <w:right w:w="90" w:type="dxa"/>
            </w:tcMar>
          </w:tcPr>
          <w:p>
            <w:pPr>
              <w:pStyle w:val="BDOITable"/>
            </w:pPr>
            <w:r>
              <w:rPr>
                <w:sz w:val="17"/>
              </w:rPr>
              <w:t>Learning paths, exercises and assessments (Change Management and Training Framework)</w:t>
            </w:r>
          </w:p>
        </w:tc>
        <w:tc>
          <w:tcPr>
            <w:tcW w:type="dxa" w:w="1922"/>
            <w:tcMar>
              <w:top w:w="50" w:type="dxa"/>
              <w:bottom w:w="50" w:type="dxa"/>
              <w:left w:w="90" w:type="dxa"/>
              <w:right w:w="90" w:type="dxa"/>
            </w:tcMar>
          </w:tcPr>
          <w:p>
            <w:pPr>
              <w:pStyle w:val="BDOITable"/>
            </w:pPr>
            <w:r>
              <w:rPr>
                <w:sz w:val="17"/>
              </w:rPr>
              <w:t>Per learning path</w:t>
            </w:r>
          </w:p>
        </w:tc>
        <w:tc>
          <w:tcPr>
            <w:tcW w:type="dxa" w:w="2042"/>
            <w:tcMar>
              <w:top w:w="50" w:type="dxa"/>
              <w:bottom w:w="50" w:type="dxa"/>
              <w:left w:w="90" w:type="dxa"/>
              <w:right w:w="90" w:type="dxa"/>
            </w:tcMar>
          </w:tcPr>
          <w:p>
            <w:pPr>
              <w:pStyle w:val="BDOITable"/>
            </w:pPr>
            <w:r>
              <w:rPr>
                <w:sz w:val="17"/>
              </w:rPr>
              <w:t>27-Aug-2027</w:t>
            </w:r>
          </w:p>
        </w:tc>
      </w:tr>
    </w:tbl>
    <w:p>
      <w:pPr>
        <w:pStyle w:val="BDOISpacer"/>
      </w:pPr>
    </w:p>
    <w:p>
      <w:pPr>
        <w:pStyle w:val="Heading1"/>
        <w:pBdr>
          <w:bottom w:val="single" w:sz="4" w:space="4" w:color="99C1E7"/>
        </w:pBdr>
      </w:pPr>
      <w:bookmarkStart w:id="106" w:name="_Toc000106"/>
      <w:r>
        <w:rPr/>
        <w:t>3 Structure of the User Manual</w:t>
      </w:r>
      <w:bookmarkEnd w:id="106"/>
    </w:p>
    <w:p>
      <w:pPr>
        <w:pStyle w:val="Caption"/>
        <w:keepNext/>
        <w:spacing w:after="60"/>
      </w:pPr>
      <w:r>
        <w:rPr>
          <w:b/>
          <w:i w:val="0"/>
        </w:rPr>
        <w:t xml:space="preserve">Table 2: </w:t>
      </w:r>
      <w:r>
        <w:rPr/>
        <w:t>Chapters of the User Manual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3003"/>
        <w:gridCol w:w="6128"/>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Chapter</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841"/>
            <w:tcMar>
              <w:top w:w="50" w:type="dxa"/>
              <w:bottom w:w="50" w:type="dxa"/>
              <w:left w:w="90" w:type="dxa"/>
              <w:right w:w="90" w:type="dxa"/>
            </w:tcMar>
          </w:tcPr>
          <w:p>
            <w:pPr>
              <w:pStyle w:val="BDOITable"/>
            </w:pPr>
            <w:r>
              <w:rPr>
                <w:sz w:val="17"/>
              </w:rPr>
              <w:t>1</w:t>
            </w:r>
          </w:p>
        </w:tc>
        <w:tc>
          <w:tcPr>
            <w:tcW w:type="dxa" w:w="3004"/>
            <w:tcMar>
              <w:top w:w="50" w:type="dxa"/>
              <w:bottom w:w="50" w:type="dxa"/>
              <w:left w:w="90" w:type="dxa"/>
              <w:right w:w="90" w:type="dxa"/>
            </w:tcMar>
          </w:tcPr>
          <w:p>
            <w:pPr>
              <w:pStyle w:val="BDOITable"/>
            </w:pPr>
            <w:r>
              <w:rPr>
                <w:sz w:val="17"/>
              </w:rPr>
              <w:t>About this manual</w:t>
            </w:r>
          </w:p>
        </w:tc>
        <w:tc>
          <w:tcPr>
            <w:tcW w:type="dxa" w:w="6127"/>
            <w:tcMar>
              <w:top w:w="50" w:type="dxa"/>
              <w:bottom w:w="50" w:type="dxa"/>
              <w:left w:w="90" w:type="dxa"/>
              <w:right w:w="90" w:type="dxa"/>
            </w:tcMar>
          </w:tcPr>
          <w:p>
            <w:pPr>
              <w:pStyle w:val="BDOITable"/>
            </w:pPr>
            <w:r>
              <w:rPr>
                <w:sz w:val="17"/>
              </w:rPr>
              <w:t>Purpose, how it is organised, conventions, versions</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2</w:t>
            </w:r>
          </w:p>
        </w:tc>
        <w:tc>
          <w:tcPr>
            <w:tcW w:type="dxa" w:w="3004"/>
            <w:tcMar>
              <w:top w:w="50" w:type="dxa"/>
              <w:bottom w:w="50" w:type="dxa"/>
              <w:left w:w="90" w:type="dxa"/>
              <w:right w:w="90" w:type="dxa"/>
            </w:tcMar>
            <w:shd w:val="clear" w:color="auto" w:fill="E5F5FF"/>
          </w:tcPr>
          <w:p>
            <w:pPr>
              <w:pStyle w:val="BDOITable"/>
            </w:pPr>
            <w:r>
              <w:rPr>
                <w:sz w:val="17"/>
              </w:rPr>
              <w:t>Getting started</w:t>
            </w:r>
          </w:p>
        </w:tc>
        <w:tc>
          <w:tcPr>
            <w:tcW w:type="dxa" w:w="6127"/>
            <w:tcMar>
              <w:top w:w="50" w:type="dxa"/>
              <w:bottom w:w="50" w:type="dxa"/>
              <w:left w:w="90" w:type="dxa"/>
              <w:right w:w="90" w:type="dxa"/>
            </w:tcMar>
            <w:shd w:val="clear" w:color="auto" w:fill="E5F5FF"/>
          </w:tcPr>
          <w:p>
            <w:pPr>
              <w:pStyle w:val="BDOITable"/>
            </w:pPr>
            <w:r>
              <w:rPr>
                <w:sz w:val="17"/>
              </w:rPr>
              <w:t>Sign-in with BDO single sign-on and MFA; session warnings and automatic sign-out; locked account (the message "Invalid user name or password" and the unlock by the System Administrator); the screen layout, sidebar and home page; My Profile; My Work and My Approvals; notices; lists, filters, row action menus and exports; record pages, tabs and history; maker-checker; uploads with the Excel template or CSV or TXT files</w:t>
            </w:r>
          </w:p>
        </w:tc>
      </w:tr>
      <w:tr>
        <w:trPr>
          <w:cantSplit w:val="true"/>
        </w:trPr>
        <w:tc>
          <w:tcPr>
            <w:tcW w:type="dxa" w:w="841"/>
            <w:tcMar>
              <w:top w:w="50" w:type="dxa"/>
              <w:bottom w:w="50" w:type="dxa"/>
              <w:left w:w="90" w:type="dxa"/>
              <w:right w:w="90" w:type="dxa"/>
            </w:tcMar>
          </w:tcPr>
          <w:p>
            <w:pPr>
              <w:pStyle w:val="BDOITable"/>
            </w:pPr>
            <w:r>
              <w:rPr>
                <w:sz w:val="17"/>
              </w:rPr>
              <w:t>3</w:t>
            </w:r>
          </w:p>
        </w:tc>
        <w:tc>
          <w:tcPr>
            <w:tcW w:type="dxa" w:w="3004"/>
            <w:tcMar>
              <w:top w:w="50" w:type="dxa"/>
              <w:bottom w:w="50" w:type="dxa"/>
              <w:left w:w="90" w:type="dxa"/>
              <w:right w:w="90" w:type="dxa"/>
            </w:tcMar>
          </w:tcPr>
          <w:p>
            <w:pPr>
              <w:pStyle w:val="BDOITable"/>
            </w:pPr>
            <w:r>
              <w:rPr>
                <w:sz w:val="17"/>
              </w:rPr>
              <w:t>The broking cycle end to end</w:t>
            </w:r>
          </w:p>
        </w:tc>
        <w:tc>
          <w:tcPr>
            <w:tcW w:type="dxa" w:w="6127"/>
            <w:tcMar>
              <w:top w:w="50" w:type="dxa"/>
              <w:bottom w:w="50" w:type="dxa"/>
              <w:left w:w="90" w:type="dxa"/>
              <w:right w:w="90" w:type="dxa"/>
            </w:tcMar>
          </w:tcPr>
          <w:p>
            <w:pPr>
              <w:pStyle w:val="BDOITable"/>
            </w:pPr>
            <w:r>
              <w:rPr>
                <w:sz w:val="17"/>
              </w:rPr>
              <w:t>Client to booked invoice, payment to insurer receipt, collection, renewal, claim, period end; who does each step (the walkthroughs of the FRS across BRDs)</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4 to 16</w:t>
            </w:r>
          </w:p>
        </w:tc>
        <w:tc>
          <w:tcPr>
            <w:tcW w:type="dxa" w:w="3004"/>
            <w:tcMar>
              <w:top w:w="50" w:type="dxa"/>
              <w:bottom w:w="50" w:type="dxa"/>
              <w:left w:w="90" w:type="dxa"/>
              <w:right w:w="90" w:type="dxa"/>
            </w:tcMar>
            <w:shd w:val="clear" w:color="auto" w:fill="E5F5FF"/>
          </w:tcPr>
          <w:p>
            <w:pPr>
              <w:pStyle w:val="BDOITable"/>
            </w:pPr>
            <w:r>
              <w:rPr>
                <w:sz w:val="17"/>
              </w:rPr>
              <w:t>One part per persona</w:t>
            </w:r>
          </w:p>
        </w:tc>
        <w:tc>
          <w:tcPr>
            <w:tcW w:type="dxa" w:w="6127"/>
            <w:tcMar>
              <w:top w:w="50" w:type="dxa"/>
              <w:bottom w:w="50" w:type="dxa"/>
              <w:left w:w="90" w:type="dxa"/>
              <w:right w:w="90" w:type="dxa"/>
            </w:tcMar>
            <w:shd w:val="clear" w:color="auto" w:fill="E5F5FF"/>
          </w:tcPr>
          <w:p>
            <w:pPr>
              <w:pStyle w:val="BDOITable"/>
            </w:pPr>
            <w:r>
              <w:rPr>
                <w:sz w:val="17"/>
              </w:rPr>
              <w:t>The parts below, in the order of the quick-reference guides</w:t>
            </w:r>
          </w:p>
        </w:tc>
      </w:tr>
      <w:tr>
        <w:trPr>
          <w:cantSplit w:val="true"/>
        </w:trPr>
        <w:tc>
          <w:tcPr>
            <w:tcW w:type="dxa" w:w="841"/>
            <w:tcMar>
              <w:top w:w="50" w:type="dxa"/>
              <w:bottom w:w="50" w:type="dxa"/>
              <w:left w:w="90" w:type="dxa"/>
              <w:right w:w="90" w:type="dxa"/>
            </w:tcMar>
          </w:tcPr>
          <w:p>
            <w:pPr>
              <w:pStyle w:val="BDOITable"/>
            </w:pPr>
            <w:r>
              <w:rPr>
                <w:sz w:val="17"/>
              </w:rPr>
              <w:t>17</w:t>
            </w:r>
          </w:p>
        </w:tc>
        <w:tc>
          <w:tcPr>
            <w:tcW w:type="dxa" w:w="3004"/>
            <w:tcMar>
              <w:top w:w="50" w:type="dxa"/>
              <w:bottom w:w="50" w:type="dxa"/>
              <w:left w:w="90" w:type="dxa"/>
              <w:right w:w="90" w:type="dxa"/>
            </w:tcMar>
          </w:tcPr>
          <w:p>
            <w:pPr>
              <w:pStyle w:val="BDOITable"/>
            </w:pPr>
            <w:r>
              <w:rPr>
                <w:sz w:val="17"/>
              </w:rPr>
              <w:t>Module reference</w:t>
            </w:r>
          </w:p>
        </w:tc>
        <w:tc>
          <w:tcPr>
            <w:tcW w:type="dxa" w:w="6127"/>
            <w:tcMar>
              <w:top w:w="50" w:type="dxa"/>
              <w:bottom w:w="50" w:type="dxa"/>
              <w:left w:w="90" w:type="dxa"/>
              <w:right w:w="90" w:type="dxa"/>
            </w:tcMar>
          </w:tcPr>
          <w:p>
            <w:pPr>
              <w:pStyle w:val="BDOITable"/>
            </w:pPr>
            <w:r>
              <w:rPr>
                <w:sz w:val="17"/>
              </w:rPr>
              <w:t>Every screen by menu group: purpose, who can open it, fields and actions in short; points to the screen specification of the FRS</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18</w:t>
            </w:r>
          </w:p>
        </w:tc>
        <w:tc>
          <w:tcPr>
            <w:tcW w:type="dxa" w:w="3004"/>
            <w:tcMar>
              <w:top w:w="50" w:type="dxa"/>
              <w:bottom w:w="50" w:type="dxa"/>
              <w:left w:w="90" w:type="dxa"/>
              <w:right w:w="90" w:type="dxa"/>
            </w:tcMar>
            <w:shd w:val="clear" w:color="auto" w:fill="E5F5FF"/>
          </w:tcPr>
          <w:p>
            <w:pPr>
              <w:pStyle w:val="BDOITable"/>
            </w:pPr>
            <w:r>
              <w:rPr>
                <w:sz w:val="17"/>
              </w:rPr>
              <w:t>Reports</w:t>
            </w:r>
          </w:p>
        </w:tc>
        <w:tc>
          <w:tcPr>
            <w:tcW w:type="dxa" w:w="6127"/>
            <w:tcMar>
              <w:top w:w="50" w:type="dxa"/>
              <w:bottom w:w="50" w:type="dxa"/>
              <w:left w:w="90" w:type="dxa"/>
              <w:right w:w="90" w:type="dxa"/>
            </w:tcMar>
            <w:shd w:val="clear" w:color="auto" w:fill="E5F5FF"/>
          </w:tcPr>
          <w:p>
            <w:pPr>
              <w:pStyle w:val="BDOITable"/>
            </w:pPr>
            <w:r>
              <w:rPr>
                <w:sz w:val="17"/>
              </w:rPr>
              <w:t>Report Centre, report catalogue per module, parameters, exports, report archive</w:t>
            </w:r>
          </w:p>
        </w:tc>
      </w:tr>
      <w:tr>
        <w:trPr>
          <w:cantSplit w:val="true"/>
        </w:trPr>
        <w:tc>
          <w:tcPr>
            <w:tcW w:type="dxa" w:w="841"/>
            <w:tcMar>
              <w:top w:w="50" w:type="dxa"/>
              <w:bottom w:w="50" w:type="dxa"/>
              <w:left w:w="90" w:type="dxa"/>
              <w:right w:w="90" w:type="dxa"/>
            </w:tcMar>
          </w:tcPr>
          <w:p>
            <w:pPr>
              <w:pStyle w:val="BDOITable"/>
            </w:pPr>
            <w:r>
              <w:rPr>
                <w:sz w:val="17"/>
              </w:rPr>
              <w:t>19</w:t>
            </w:r>
          </w:p>
        </w:tc>
        <w:tc>
          <w:tcPr>
            <w:tcW w:type="dxa" w:w="3004"/>
            <w:tcMar>
              <w:top w:w="50" w:type="dxa"/>
              <w:bottom w:w="50" w:type="dxa"/>
              <w:left w:w="90" w:type="dxa"/>
              <w:right w:w="90" w:type="dxa"/>
            </w:tcMar>
          </w:tcPr>
          <w:p>
            <w:pPr>
              <w:pStyle w:val="BDOITable"/>
            </w:pPr>
            <w:r>
              <w:rPr>
                <w:sz w:val="17"/>
              </w:rPr>
              <w:t>Messages and what to do</w:t>
            </w:r>
          </w:p>
        </w:tc>
        <w:tc>
          <w:tcPr>
            <w:tcW w:type="dxa" w:w="6127"/>
            <w:tcMar>
              <w:top w:w="50" w:type="dxa"/>
              <w:bottom w:w="50" w:type="dxa"/>
              <w:left w:w="90" w:type="dxa"/>
              <w:right w:w="90" w:type="dxa"/>
            </w:tcMar>
          </w:tcPr>
          <w:p>
            <w:pPr>
              <w:pStyle w:val="BDOITable"/>
            </w:pPr>
            <w:r>
              <w:rPr>
                <w:sz w:val="17"/>
              </w:rPr>
              <w:t>The messages of the screens, word for word, with the cause and the action</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20</w:t>
            </w:r>
          </w:p>
        </w:tc>
        <w:tc>
          <w:tcPr>
            <w:tcW w:type="dxa" w:w="3004"/>
            <w:tcMar>
              <w:top w:w="50" w:type="dxa"/>
              <w:bottom w:w="50" w:type="dxa"/>
              <w:left w:w="90" w:type="dxa"/>
              <w:right w:w="90" w:type="dxa"/>
            </w:tcMar>
            <w:shd w:val="clear" w:color="auto" w:fill="E5F5FF"/>
          </w:tcPr>
          <w:p>
            <w:pPr>
              <w:pStyle w:val="BDOITable"/>
            </w:pPr>
            <w:r>
              <w:rPr>
                <w:sz w:val="17"/>
              </w:rPr>
              <w:t>Glossary</w:t>
            </w:r>
          </w:p>
        </w:tc>
        <w:tc>
          <w:tcPr>
            <w:tcW w:type="dxa" w:w="6127"/>
            <w:tcMar>
              <w:top w:w="50" w:type="dxa"/>
              <w:bottom w:w="50" w:type="dxa"/>
              <w:left w:w="90" w:type="dxa"/>
              <w:right w:w="90" w:type="dxa"/>
            </w:tcMar>
            <w:shd w:val="clear" w:color="auto" w:fill="E5F5FF"/>
          </w:tcPr>
          <w:p>
            <w:pPr>
              <w:pStyle w:val="BDOITable"/>
            </w:pPr>
            <w:r>
              <w:rPr>
                <w:sz w:val="17"/>
              </w:rPr>
              <w:t>Terms and abbreviations (ARN, PRF, KYC, RA, NRNS, DV, ACSL, FRBS, UPP and the others of the FRS glossaries)</w:t>
            </w:r>
          </w:p>
        </w:tc>
      </w:tr>
    </w:tbl>
    <w:p>
      <w:pPr>
        <w:pStyle w:val="BDOISpacer"/>
      </w:pPr>
    </w:p>
    <w:p>
      <w:pPr>
        <w:pStyle w:val="Heading2"/>
      </w:pPr>
      <w:bookmarkStart w:id="107" w:name="_Toc000107"/>
      <w:r>
        <w:rPr/>
        <w:t>3.1 Template of a persona part</w:t>
      </w:r>
      <w:bookmarkEnd w:id="107"/>
    </w:p>
    <w:p>
      <w:r>
        <w:rPr/>
        <w:t>Every persona part has the same sections:</w:t>
      </w:r>
    </w:p>
    <w:p>
      <w:pPr>
        <w:tabs>
          <w:tab w:pos="312" w:val="left"/>
        </w:tabs>
        <w:spacing w:after="40"/>
        <w:ind w:left="312" w:hanging="283"/>
      </w:pPr>
      <w:r>
        <w:rPr>
          <w:color w:val="004EA8"/>
        </w:rPr>
        <w:t>1.</w:t>
        <w:tab/>
      </w:r>
      <w:r>
        <w:rPr>
          <w:b/>
        </w:rPr>
        <w:t>Role summary</w:t>
      </w:r>
      <w:r>
        <w:rPr/>
        <w:t xml:space="preserve"> - what the persona does in BIBS, the BRDs that govern it, the home page.</w:t>
      </w:r>
    </w:p>
    <w:p>
      <w:pPr>
        <w:tabs>
          <w:tab w:pos="312" w:val="left"/>
        </w:tabs>
        <w:spacing w:after="40"/>
        <w:ind w:left="312" w:hanging="283"/>
      </w:pPr>
      <w:r>
        <w:rPr>
          <w:color w:val="004EA8"/>
        </w:rPr>
        <w:t>2.</w:t>
        <w:tab/>
      </w:r>
      <w:r>
        <w:rPr>
          <w:b/>
        </w:rPr>
        <w:t>Menus available</w:t>
      </w:r>
      <w:r>
        <w:rPr/>
        <w:t xml:space="preserve"> - the sidebar sections of the persona's roles.</w:t>
      </w:r>
    </w:p>
    <w:p>
      <w:pPr>
        <w:tabs>
          <w:tab w:pos="312" w:val="left"/>
        </w:tabs>
        <w:spacing w:after="40"/>
        <w:ind w:left="312" w:hanging="283"/>
      </w:pPr>
      <w:r>
        <w:rPr>
          <w:color w:val="004EA8"/>
        </w:rPr>
        <w:t>3.</w:t>
        <w:tab/>
      </w:r>
      <w:r>
        <w:rPr>
          <w:b/>
        </w:rPr>
        <w:t>Daily and periodic tasks</w:t>
      </w:r>
      <w:r>
        <w:rPr/>
        <w:t xml:space="preserve"> - a table of tasks by frequency (daily, weekly, month end, year end) with the procedure that covers each.</w:t>
      </w:r>
    </w:p>
    <w:p>
      <w:pPr>
        <w:tabs>
          <w:tab w:pos="312" w:val="left"/>
        </w:tabs>
        <w:spacing w:after="40"/>
        <w:ind w:left="312" w:hanging="283"/>
      </w:pPr>
      <w:r>
        <w:rPr>
          <w:color w:val="004EA8"/>
        </w:rPr>
        <w:t>4.</w:t>
        <w:tab/>
      </w:r>
      <w:r>
        <w:rPr>
          <w:b/>
        </w:rPr>
        <w:t>Procedures</w:t>
      </w:r>
      <w:r>
        <w:rPr/>
        <w:t xml:space="preserve"> - one procedure per task: when to use it, before you start, numbered steps (what you do, what you see), the result, and the screen ID and FRS walkthrough step or FR it follows.</w:t>
      </w:r>
    </w:p>
    <w:p>
      <w:pPr>
        <w:tabs>
          <w:tab w:pos="312" w:val="left"/>
        </w:tabs>
        <w:spacing w:after="40"/>
        <w:ind w:left="312" w:hanging="283"/>
      </w:pPr>
      <w:r>
        <w:rPr>
          <w:color w:val="004EA8"/>
        </w:rPr>
        <w:t>5.</w:t>
        <w:tab/>
      </w:r>
      <w:r>
        <w:rPr>
          <w:b/>
        </w:rPr>
        <w:t>Approvals</w:t>
      </w:r>
      <w:r>
        <w:rPr/>
        <w:t xml:space="preserve"> - what the persona approves or returns, and the rule of four eyes.</w:t>
      </w:r>
    </w:p>
    <w:p>
      <w:pPr>
        <w:tabs>
          <w:tab w:pos="312" w:val="left"/>
        </w:tabs>
        <w:spacing w:after="40"/>
        <w:ind w:left="312" w:hanging="283"/>
      </w:pPr>
      <w:r>
        <w:rPr>
          <w:color w:val="004EA8"/>
        </w:rPr>
        <w:t>6.</w:t>
        <w:tab/>
      </w:r>
      <w:r>
        <w:rPr>
          <w:b/>
        </w:rPr>
        <w:t>Reports</w:t>
      </w:r>
      <w:r>
        <w:rPr/>
        <w:t xml:space="preserve"> - the reports of the persona with their parameters.</w:t>
      </w:r>
    </w:p>
    <w:p>
      <w:pPr>
        <w:tabs>
          <w:tab w:pos="312" w:val="left"/>
        </w:tabs>
        <w:spacing w:after="120"/>
        <w:ind w:left="312" w:hanging="283"/>
      </w:pPr>
      <w:r>
        <w:rPr>
          <w:color w:val="004EA8"/>
        </w:rPr>
        <w:t>7.</w:t>
        <w:tab/>
      </w:r>
      <w:r>
        <w:rPr>
          <w:b/>
        </w:rPr>
        <w:t>Messages and tips</w:t>
      </w:r>
      <w:r>
        <w:rPr/>
        <w:t xml:space="preserve"> - the messages the persona meets most, with what to do.</w:t>
      </w:r>
    </w:p>
    <w:p>
      <w:pPr>
        <w:pStyle w:val="Heading1"/>
        <w:pBdr>
          <w:bottom w:val="single" w:sz="4" w:space="4" w:color="99C1E7"/>
        </w:pBdr>
      </w:pPr>
      <w:bookmarkStart w:id="108" w:name="_Toc000108"/>
      <w:r>
        <w:rPr/>
        <w:t>4 Writing standards</w:t>
      </w:r>
      <w:bookmarkEnd w:id="108"/>
    </w:p>
    <w:p>
      <w:pPr>
        <w:pStyle w:val="Caption"/>
        <w:keepNext/>
        <w:spacing w:after="60"/>
      </w:pPr>
      <w:r>
        <w:rPr>
          <w:b/>
          <w:i w:val="0"/>
        </w:rPr>
        <w:t xml:space="preserve">Table 3: </w:t>
      </w:r>
      <w:r>
        <w:rPr/>
        <w:t>Writing standards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7810"/>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7809"/>
            <w:shd w:val="clear" w:color="auto" w:fill="004EA8"/>
            <w:tcMar>
              <w:top w:w="50" w:type="dxa"/>
              <w:bottom w:w="50" w:type="dxa"/>
              <w:left w:w="90" w:type="dxa"/>
              <w:right w:w="90" w:type="dxa"/>
            </w:tcMar>
            <w:vAlign w:val="center"/>
          </w:tcPr>
          <w:p>
            <w:pPr>
              <w:pStyle w:val="BDOITableHeader"/>
            </w:pPr>
            <w:r>
              <w:rPr>
                <w:b/>
                <w:color w:val="FFFFFF"/>
                <w:sz w:val="17"/>
              </w:rPr>
              <w:t>Standard</w:t>
            </w:r>
          </w:p>
        </w:tc>
      </w:tr>
      <w:tr>
        <w:trPr>
          <w:cantSplit w:val="true"/>
        </w:trPr>
        <w:tc>
          <w:tcPr>
            <w:tcW w:type="dxa" w:w="2163"/>
            <w:tcMar>
              <w:top w:w="50" w:type="dxa"/>
              <w:bottom w:w="50" w:type="dxa"/>
              <w:left w:w="90" w:type="dxa"/>
              <w:right w:w="90" w:type="dxa"/>
            </w:tcMar>
          </w:tcPr>
          <w:p>
            <w:pPr>
              <w:pStyle w:val="BDOITable"/>
            </w:pPr>
            <w:r>
              <w:rPr>
                <w:sz w:val="17"/>
              </w:rPr>
              <w:t>Source</w:t>
            </w:r>
          </w:p>
        </w:tc>
        <w:tc>
          <w:tcPr>
            <w:tcW w:type="dxa" w:w="7809"/>
            <w:tcMar>
              <w:top w:w="50" w:type="dxa"/>
              <w:bottom w:w="50" w:type="dxa"/>
              <w:left w:w="90" w:type="dxa"/>
              <w:right w:w="90" w:type="dxa"/>
            </w:tcMar>
          </w:tcPr>
          <w:p>
            <w:pPr>
              <w:pStyle w:val="BDOITable"/>
            </w:pPr>
            <w:r>
              <w:rPr>
                <w:sz w:val="17"/>
              </w:rPr>
              <w:t>Only what the FRS walkthroughs, screen specifications and Help Center say; no screen, field, button or message that is not in them</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Voice</w:t>
            </w:r>
          </w:p>
        </w:tc>
        <w:tc>
          <w:tcPr>
            <w:tcW w:type="dxa" w:w="7809"/>
            <w:tcMar>
              <w:top w:w="50" w:type="dxa"/>
              <w:bottom w:w="50" w:type="dxa"/>
              <w:left w:w="90" w:type="dxa"/>
              <w:right w:w="90" w:type="dxa"/>
            </w:tcMar>
            <w:shd w:val="clear" w:color="auto" w:fill="E5F5FF"/>
          </w:tcPr>
          <w:p>
            <w:pPr>
              <w:pStyle w:val="BDOITable"/>
            </w:pPr>
            <w:r>
              <w:rPr>
                <w:sz w:val="17"/>
              </w:rPr>
              <w:t>Second person and active ("Click Submit for Review"); one action per step; the result after the step</w:t>
            </w:r>
          </w:p>
        </w:tc>
      </w:tr>
      <w:tr>
        <w:trPr>
          <w:cantSplit w:val="true"/>
        </w:trPr>
        <w:tc>
          <w:tcPr>
            <w:tcW w:type="dxa" w:w="2163"/>
            <w:tcMar>
              <w:top w:w="50" w:type="dxa"/>
              <w:bottom w:w="50" w:type="dxa"/>
              <w:left w:w="90" w:type="dxa"/>
              <w:right w:w="90" w:type="dxa"/>
            </w:tcMar>
          </w:tcPr>
          <w:p>
            <w:pPr>
              <w:pStyle w:val="BDOITable"/>
            </w:pPr>
            <w:r>
              <w:rPr>
                <w:sz w:val="17"/>
              </w:rPr>
              <w:t>Names</w:t>
            </w:r>
          </w:p>
        </w:tc>
        <w:tc>
          <w:tcPr>
            <w:tcW w:type="dxa" w:w="7809"/>
            <w:tcMar>
              <w:top w:w="50" w:type="dxa"/>
              <w:bottom w:w="50" w:type="dxa"/>
              <w:left w:w="90" w:type="dxa"/>
              <w:right w:w="90" w:type="dxa"/>
            </w:tcMar>
          </w:tcPr>
          <w:p>
            <w:pPr>
              <w:pStyle w:val="BDOITable"/>
            </w:pPr>
            <w:r>
              <w:rPr>
                <w:sz w:val="17"/>
              </w:rPr>
              <w:t>Screen names and button labels exactly as on the screen, in bold in the manual; screen IDs of the screen register (for example SCR-NB-06)</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Data</w:t>
            </w:r>
          </w:p>
        </w:tc>
        <w:tc>
          <w:tcPr>
            <w:tcW w:type="dxa" w:w="7809"/>
            <w:tcMar>
              <w:top w:w="50" w:type="dxa"/>
              <w:bottom w:w="50" w:type="dxa"/>
              <w:left w:w="90" w:type="dxa"/>
              <w:right w:w="90" w:type="dxa"/>
            </w:tcMar>
            <w:shd w:val="clear" w:color="auto" w:fill="E5F5FF"/>
          </w:tcPr>
          <w:p>
            <w:pPr>
              <w:pStyle w:val="BDOITable"/>
            </w:pPr>
            <w:r>
              <w:rPr>
                <w:sz w:val="17"/>
              </w:rPr>
              <w:t>Dates dd-MMM-yyyy; amounts formatted; record numbers in their pattern (QT-yyyy-nnnnnn); persons by name, never by login</w:t>
            </w:r>
          </w:p>
        </w:tc>
      </w:tr>
      <w:tr>
        <w:trPr>
          <w:cantSplit w:val="true"/>
        </w:trPr>
        <w:tc>
          <w:tcPr>
            <w:tcW w:type="dxa" w:w="2163"/>
            <w:tcMar>
              <w:top w:w="50" w:type="dxa"/>
              <w:bottom w:w="50" w:type="dxa"/>
              <w:left w:w="90" w:type="dxa"/>
              <w:right w:w="90" w:type="dxa"/>
            </w:tcMar>
          </w:tcPr>
          <w:p>
            <w:pPr>
              <w:pStyle w:val="BDOITable"/>
            </w:pPr>
            <w:r>
              <w:rPr>
                <w:sz w:val="17"/>
              </w:rPr>
              <w:t>Messages</w:t>
            </w:r>
          </w:p>
        </w:tc>
        <w:tc>
          <w:tcPr>
            <w:tcW w:type="dxa" w:w="7809"/>
            <w:tcMar>
              <w:top w:w="50" w:type="dxa"/>
              <w:bottom w:w="50" w:type="dxa"/>
              <w:left w:w="90" w:type="dxa"/>
              <w:right w:w="90" w:type="dxa"/>
            </w:tcMar>
          </w:tcPr>
          <w:p>
            <w:pPr>
              <w:pStyle w:val="BDOITable"/>
            </w:pPr>
            <w:r>
              <w:rPr>
                <w:sz w:val="17"/>
              </w:rPr>
              <w:t>Quoted word for word; a part in angle brackets (&lt;ARN&gt;) is filled by BIBS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Screenshots</w:t>
            </w:r>
          </w:p>
        </w:tc>
        <w:tc>
          <w:tcPr>
            <w:tcW w:type="dxa" w:w="7809"/>
            <w:tcMar>
              <w:top w:w="50" w:type="dxa"/>
              <w:bottom w:w="50" w:type="dxa"/>
              <w:left w:w="90" w:type="dxa"/>
              <w:right w:w="90" w:type="dxa"/>
            </w:tcMar>
            <w:shd w:val="clear" w:color="auto" w:fill="E5F5FF"/>
          </w:tcPr>
          <w:p>
            <w:pPr>
              <w:pStyle w:val="BDOITable"/>
            </w:pPr>
            <w:r>
              <w:rPr>
                <w:sz w:val="17"/>
              </w:rPr>
              <w:t>Taken on the training environment with seed data; one per procedure where it helps; callouts numbered as in the FRS screen specification</w:t>
            </w:r>
          </w:p>
        </w:tc>
      </w:tr>
      <w:tr>
        <w:trPr>
          <w:cantSplit w:val="true"/>
        </w:trPr>
        <w:tc>
          <w:tcPr>
            <w:tcW w:type="dxa" w:w="2163"/>
            <w:tcMar>
              <w:top w:w="50" w:type="dxa"/>
              <w:bottom w:w="50" w:type="dxa"/>
              <w:left w:w="90" w:type="dxa"/>
              <w:right w:w="90" w:type="dxa"/>
            </w:tcMar>
          </w:tcPr>
          <w:p>
            <w:pPr>
              <w:pStyle w:val="BDOITable"/>
            </w:pPr>
            <w:r>
              <w:rPr>
                <w:sz w:val="17"/>
              </w:rPr>
              <w:t>Language</w:t>
            </w:r>
          </w:p>
        </w:tc>
        <w:tc>
          <w:tcPr>
            <w:tcW w:type="dxa" w:w="7809"/>
            <w:tcMar>
              <w:top w:w="50" w:type="dxa"/>
              <w:bottom w:w="50" w:type="dxa"/>
              <w:left w:w="90" w:type="dxa"/>
              <w:right w:w="90" w:type="dxa"/>
            </w:tcMar>
          </w:tcPr>
          <w:p>
            <w:pPr>
              <w:pStyle w:val="BDOITable"/>
            </w:pPr>
            <w:r>
              <w:rPr>
                <w:sz w:val="17"/>
              </w:rPr>
              <w:t>Plain English, short sentences; BRD and FRS terms of the glossary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Content rules</w:t>
            </w:r>
          </w:p>
        </w:tc>
        <w:tc>
          <w:tcPr>
            <w:tcW w:type="dxa" w:w="7809"/>
            <w:tcMar>
              <w:top w:w="50" w:type="dxa"/>
              <w:bottom w:w="50" w:type="dxa"/>
              <w:left w:w="90" w:type="dxa"/>
              <w:right w:w="90" w:type="dxa"/>
            </w:tcMar>
            <w:shd w:val="clear" w:color="auto" w:fill="E5F5FF"/>
          </w:tcPr>
          <w:p>
            <w:pPr>
              <w:pStyle w:val="BDOITable"/>
            </w:pPr>
            <w:r>
              <w:rPr>
                <w:sz w:val="17"/>
              </w:rPr>
              <w:t>No internal references on what a user reads (no requirement IDs inside steps, no design notes); seed data only</w:t>
            </w:r>
          </w:p>
        </w:tc>
      </w:tr>
    </w:tbl>
    <w:p>
      <w:pPr>
        <w:pStyle w:val="BDOISpacer"/>
      </w:pPr>
    </w:p>
    <w:p>
      <w:pPr>
        <w:pStyle w:val="Heading1"/>
        <w:pBdr>
          <w:bottom w:val="single" w:sz="4" w:space="4" w:color="99C1E7"/>
        </w:pBdr>
      </w:pPr>
      <w:bookmarkStart w:id="109" w:name="_Toc000109"/>
      <w:r>
        <w:rPr/>
        <w:t>5 Upkeep</w:t>
      </w:r>
      <w:bookmarkEnd w:id="109"/>
    </w:p>
    <w:p>
      <w:pPr>
        <w:tabs>
          <w:tab w:pos="312" w:val="left"/>
        </w:tabs>
        <w:spacing w:after="40"/>
        <w:ind w:left="312" w:hanging="283"/>
      </w:pPr>
      <w:r>
        <w:rPr>
          <w:color w:val="004EA8"/>
        </w:rPr>
        <w:t>•</w:t>
        <w:tab/>
      </w:r>
      <w:r>
        <w:rPr>
          <w:b/>
        </w:rPr>
        <w:t>Change trigger.</w:t>
      </w:r>
      <w:r>
        <w:rPr/>
        <w:t xml:space="preserve"> Every release lists the changed screens in the screen register (change flag). The writer updates the procedures and screenshots of those screens, the quick-reference guides and the release notes per persona in the same release.</w:t>
      </w:r>
    </w:p>
    <w:p>
      <w:pPr>
        <w:tabs>
          <w:tab w:pos="312" w:val="left"/>
        </w:tabs>
        <w:spacing w:after="40"/>
        <w:ind w:left="312" w:hanging="283"/>
      </w:pPr>
      <w:r>
        <w:rPr>
          <w:color w:val="004EA8"/>
        </w:rPr>
        <w:t>•</w:t>
        <w:tab/>
      </w:r>
      <w:r>
        <w:rPr>
          <w:b/>
        </w:rPr>
        <w:t>Versions.</w:t>
      </w:r>
      <w:r>
        <w:rPr/>
        <w:t xml:space="preserve"> The User Manual and each quick-reference guide carry their version and date; x.0 at UAT and at go-live, x.1 for corrections. Only the current version is published.</w:t>
      </w:r>
    </w:p>
    <w:p>
      <w:pPr>
        <w:tabs>
          <w:tab w:pos="312" w:val="left"/>
        </w:tabs>
        <w:spacing w:after="40"/>
        <w:ind w:left="312" w:hanging="283"/>
      </w:pPr>
      <w:r>
        <w:rPr>
          <w:color w:val="004EA8"/>
        </w:rPr>
        <w:t>•</w:t>
        <w:tab/>
      </w:r>
      <w:r>
        <w:rPr>
          <w:b/>
        </w:rPr>
        <w:t>Review.</w:t>
      </w:r>
      <w:r>
        <w:rPr/>
        <w:t xml:space="preserve"> The key users of the persona check the changed procedures on the UAT environment; the BIBS Product Owner approves the go-live version.</w:t>
      </w:r>
    </w:p>
    <w:p>
      <w:pPr>
        <w:tabs>
          <w:tab w:pos="312" w:val="left"/>
        </w:tabs>
        <w:spacing w:after="40"/>
        <w:ind w:left="312" w:hanging="283"/>
      </w:pPr>
      <w:r>
        <w:rPr>
          <w:color w:val="004EA8"/>
        </w:rPr>
        <w:t>•</w:t>
        <w:tab/>
      </w:r>
      <w:r>
        <w:rPr>
          <w:b/>
        </w:rPr>
        <w:t>Content freeze.</w:t>
      </w:r>
      <w:r>
        <w:rPr/>
        <w:t xml:space="preserve"> For training, the content is frozen on 29-Oct-2027; later changes are issued as a delta sheet per persona until go-live.</w:t>
      </w:r>
    </w:p>
    <w:p>
      <w:pPr>
        <w:tabs>
          <w:tab w:pos="312" w:val="left"/>
        </w:tabs>
        <w:spacing w:after="120"/>
        <w:ind w:left="312" w:hanging="283"/>
      </w:pPr>
      <w:r>
        <w:rPr>
          <w:color w:val="004EA8"/>
        </w:rPr>
        <w:t>•</w:t>
        <w:tab/>
      </w:r>
      <w:r>
        <w:rPr>
          <w:b/>
        </w:rPr>
        <w:t>Publication.</w:t>
      </w:r>
      <w:r>
        <w:rPr/>
        <w:t xml:space="preserve"> The Word masters are kept in the programme document store; PDFs are published on the BDOI intranet and linked from the Help Center.</w:t>
      </w:r>
    </w:p>
    <w:p>
      <w:pPr>
        <w:pStyle w:val="Heading1"/>
        <w:pBdr>
          <w:bottom w:val="single" w:sz="4" w:space="4" w:color="99C1E7"/>
        </w:pBdr>
      </w:pPr>
      <w:bookmarkStart w:id="110" w:name="_Toc000110"/>
      <w:r>
        <w:rPr/>
        <w:t>6 Personas and quick-reference guides</w:t>
      </w:r>
      <w:bookmarkEnd w:id="110"/>
    </w:p>
    <w:p>
      <w:pPr>
        <w:pStyle w:val="Caption"/>
        <w:keepNext/>
        <w:spacing w:after="60"/>
      </w:pPr>
      <w:r>
        <w:rPr>
          <w:b/>
          <w:i w:val="0"/>
        </w:rPr>
        <w:t xml:space="preserve">Table 4: </w:t>
      </w:r>
      <w:r>
        <w:rPr/>
        <w:t>Main personas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643"/>
        <w:gridCol w:w="2523"/>
        <w:gridCol w:w="2162"/>
        <w:gridCol w:w="841"/>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6"/>
              </w:rPr>
              <w:t>BRDs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Home page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Users</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Main tasks</w:t>
            </w:r>
          </w:p>
        </w:tc>
      </w:tr>
      <w:tr>
        <w:trPr>
          <w:cantSplit w:val="true"/>
        </w:trPr>
        <w:tc>
          <w:tcPr>
            <w:tcW w:type="dxa" w:w="1802"/>
            <w:tcMar>
              <w:top w:w="50" w:type="dxa"/>
              <w:bottom w:w="50" w:type="dxa"/>
              <w:left w:w="90" w:type="dxa"/>
              <w:right w:w="90" w:type="dxa"/>
            </w:tcMar>
          </w:tcPr>
          <w:p>
            <w:pPr>
              <w:pStyle w:val="BDOITable"/>
            </w:pPr>
            <w:r>
              <w:rPr>
                <w:sz w:val="16"/>
              </w:rPr>
              <w:t>Marketing Account Officer</w:t>
            </w:r>
          </w:p>
        </w:tc>
        <w:tc>
          <w:tcPr>
            <w:tcW w:type="dxa" w:w="2643"/>
            <w:tcMar>
              <w:top w:w="50" w:type="dxa"/>
              <w:bottom w:w="50" w:type="dxa"/>
              <w:left w:w="90" w:type="dxa"/>
              <w:right w:w="90" w:type="dxa"/>
            </w:tcMar>
          </w:tcPr>
          <w:p>
            <w:pPr>
              <w:pStyle w:val="BDOITable"/>
            </w:pPr>
            <w:r>
              <w:rPr>
                <w:sz w:val="16"/>
              </w:rPr>
              <w:t>BRD-01 New Business, BRD-03 Product Maintenance, BRD-04 Collections, BRD-05 Accounting (refund requests), BRD-06 Renewal</w:t>
            </w:r>
          </w:p>
        </w:tc>
        <w:tc>
          <w:tcPr>
            <w:tcW w:type="dxa" w:w="2523"/>
            <w:tcMar>
              <w:top w:w="50" w:type="dxa"/>
              <w:bottom w:w="50" w:type="dxa"/>
              <w:left w:w="90" w:type="dxa"/>
              <w:right w:w="90" w:type="dxa"/>
            </w:tcMar>
          </w:tcPr>
          <w:p>
            <w:pPr>
              <w:pStyle w:val="BDOITable"/>
            </w:pPr>
            <w:r>
              <w:rPr>
                <w:sz w:val="16"/>
              </w:rPr>
              <w:t>NB Dashboard and My Work: pipeline, expiring accounts, records returned to you</w:t>
            </w:r>
          </w:p>
        </w:tc>
        <w:tc>
          <w:tcPr>
            <w:tcW w:type="dxa" w:w="2163"/>
            <w:tcMar>
              <w:top w:w="50" w:type="dxa"/>
              <w:bottom w:w="50" w:type="dxa"/>
              <w:left w:w="90" w:type="dxa"/>
              <w:right w:w="90" w:type="dxa"/>
            </w:tcMar>
          </w:tcPr>
          <w:p>
            <w:pPr>
              <w:pStyle w:val="BDOITable"/>
            </w:pPr>
            <w:r>
              <w:rPr>
                <w:sz w:val="16"/>
              </w:rPr>
              <w:t>319 (BRD-06 user table; 485 Marketing users in all)</w:t>
            </w:r>
          </w:p>
        </w:tc>
        <w:tc>
          <w:tcPr>
            <w:tcW w:type="dxa" w:w="841"/>
            <w:tcMar>
              <w:top w:w="50" w:type="dxa"/>
              <w:bottom w:w="50" w:type="dxa"/>
              <w:left w:w="90" w:type="dxa"/>
              <w:right w:w="90" w:type="dxa"/>
            </w:tcMar>
          </w:tcPr>
          <w:p>
            <w:pPr>
              <w:pStyle w:val="BDOITable"/>
            </w:pPr>
            <w:r>
              <w:rPr>
                <w:sz w:val="16"/>
              </w:rPr>
              <w:t>7</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Marketing Team Lead</w:t>
            </w:r>
          </w:p>
        </w:tc>
        <w:tc>
          <w:tcPr>
            <w:tcW w:type="dxa" w:w="2643"/>
            <w:tcMar>
              <w:top w:w="50" w:type="dxa"/>
              <w:bottom w:w="50" w:type="dxa"/>
              <w:left w:w="90" w:type="dxa"/>
              <w:right w:w="90" w:type="dxa"/>
            </w:tcMar>
            <w:shd w:val="clear" w:color="auto" w:fill="E5F5FF"/>
          </w:tcPr>
          <w:p>
            <w:pPr>
              <w:pStyle w:val="BDOITable"/>
            </w:pPr>
            <w:r>
              <w:rPr>
                <w:sz w:val="16"/>
              </w:rPr>
              <w:t>BRD-01 New Business, BRD-02 Operations (holds), BRD-03 Product Maintenance, BRD-04 Collections, BRD-06 Renewal</w:t>
            </w:r>
          </w:p>
        </w:tc>
        <w:tc>
          <w:tcPr>
            <w:tcW w:type="dxa" w:w="2523"/>
            <w:tcMar>
              <w:top w:w="50" w:type="dxa"/>
              <w:bottom w:w="50" w:type="dxa"/>
              <w:left w:w="90" w:type="dxa"/>
              <w:right w:w="90" w:type="dxa"/>
            </w:tcMar>
            <w:shd w:val="clear" w:color="auto" w:fill="E5F5FF"/>
          </w:tcPr>
          <w:p>
            <w:pPr>
              <w:pStyle w:val="BDOITable"/>
            </w:pPr>
            <w:r>
              <w:rPr>
                <w:sz w:val="16"/>
              </w:rPr>
              <w:t>My Approvals and the NB Dashboard: items waiting for your approval, pipeline and expiring accounts of the team</w:t>
            </w:r>
          </w:p>
        </w:tc>
        <w:tc>
          <w:tcPr>
            <w:tcW w:type="dxa" w:w="2163"/>
            <w:tcMar>
              <w:top w:w="50" w:type="dxa"/>
              <w:bottom w:w="50" w:type="dxa"/>
              <w:left w:w="90" w:type="dxa"/>
              <w:right w:w="90" w:type="dxa"/>
            </w:tcMar>
            <w:shd w:val="clear" w:color="auto" w:fill="E5F5FF"/>
          </w:tcPr>
          <w:p>
            <w:pPr>
              <w:pStyle w:val="BDOITable"/>
            </w:pPr>
            <w:r>
              <w:rPr>
                <w:sz w:val="16"/>
              </w:rPr>
              <w:t>75 (BRD-06 user table)</w:t>
            </w:r>
          </w:p>
        </w:tc>
        <w:tc>
          <w:tcPr>
            <w:tcW w:type="dxa" w:w="841"/>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802"/>
            <w:tcMar>
              <w:top w:w="50" w:type="dxa"/>
              <w:bottom w:w="50" w:type="dxa"/>
              <w:left w:w="90" w:type="dxa"/>
              <w:right w:w="90" w:type="dxa"/>
            </w:tcMar>
          </w:tcPr>
          <w:p>
            <w:pPr>
              <w:pStyle w:val="BDOITable"/>
            </w:pPr>
            <w:r>
              <w:rPr>
                <w:sz w:val="16"/>
              </w:rPr>
              <w:t>Processing Officer</w:t>
            </w:r>
          </w:p>
        </w:tc>
        <w:tc>
          <w:tcPr>
            <w:tcW w:type="dxa" w:w="2643"/>
            <w:tcMar>
              <w:top w:w="50" w:type="dxa"/>
              <w:bottom w:w="50" w:type="dxa"/>
              <w:left w:w="90" w:type="dxa"/>
              <w:right w:w="90" w:type="dxa"/>
            </w:tcMar>
          </w:tcPr>
          <w:p>
            <w:pPr>
              <w:pStyle w:val="BDOITable"/>
            </w:pPr>
            <w:r>
              <w:rPr>
                <w:sz w:val="16"/>
              </w:rPr>
              <w:t>BRD-01 New Business, BRD-12 Submitted Policies</w:t>
            </w:r>
          </w:p>
        </w:tc>
        <w:tc>
          <w:tcPr>
            <w:tcW w:type="dxa" w:w="2523"/>
            <w:tcMar>
              <w:top w:w="50" w:type="dxa"/>
              <w:bottom w:w="50" w:type="dxa"/>
              <w:left w:w="90" w:type="dxa"/>
              <w:right w:w="90" w:type="dxa"/>
            </w:tcMar>
          </w:tcPr>
          <w:p>
            <w:pPr>
              <w:pStyle w:val="BDOITable"/>
            </w:pPr>
            <w:r>
              <w:rPr>
                <w:sz w:val="16"/>
              </w:rPr>
              <w:t>My Work: placement and booking queues</w:t>
            </w:r>
          </w:p>
        </w:tc>
        <w:tc>
          <w:tcPr>
            <w:tcW w:type="dxa" w:w="2163"/>
            <w:tcMar>
              <w:top w:w="50" w:type="dxa"/>
              <w:bottom w:w="50" w:type="dxa"/>
              <w:left w:w="90" w:type="dxa"/>
              <w:right w:w="90" w:type="dxa"/>
            </w:tcMar>
          </w:tcPr>
          <w:p>
            <w:pPr>
              <w:pStyle w:val="BDOITable"/>
            </w:pPr>
            <w:r>
              <w:rPr>
                <w:sz w:val="16"/>
              </w:rPr>
              <w:t>123: 50 Team Leaders and 73 officers (BRD-06 user table)</w:t>
            </w:r>
          </w:p>
        </w:tc>
        <w:tc>
          <w:tcPr>
            <w:tcW w:type="dxa" w:w="841"/>
            <w:tcMar>
              <w:top w:w="50" w:type="dxa"/>
              <w:bottom w:w="50" w:type="dxa"/>
              <w:left w:w="90" w:type="dxa"/>
              <w:right w:w="90" w:type="dxa"/>
            </w:tcMar>
          </w:tcPr>
          <w:p>
            <w:pPr>
              <w:pStyle w:val="BDOITable"/>
            </w:pPr>
            <w:r>
              <w:rPr>
                <w:sz w:val="16"/>
              </w:rPr>
              <w:t>5</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Technical Support Unit (TSU) Officer</w:t>
            </w:r>
          </w:p>
        </w:tc>
        <w:tc>
          <w:tcPr>
            <w:tcW w:type="dxa" w:w="2643"/>
            <w:tcMar>
              <w:top w:w="50" w:type="dxa"/>
              <w:bottom w:w="50" w:type="dxa"/>
              <w:left w:w="90" w:type="dxa"/>
              <w:right w:w="90" w:type="dxa"/>
            </w:tcMar>
            <w:shd w:val="clear" w:color="auto" w:fill="E5F5FF"/>
          </w:tcPr>
          <w:p>
            <w:pPr>
              <w:pStyle w:val="BDOITable"/>
            </w:pPr>
            <w:r>
              <w:rPr>
                <w:sz w:val="16"/>
              </w:rPr>
              <w:t>BRD-01 New Business (non-package), BRD-03 Product Maintenance</w:t>
            </w:r>
          </w:p>
        </w:tc>
        <w:tc>
          <w:tcPr>
            <w:tcW w:type="dxa" w:w="2523"/>
            <w:tcMar>
              <w:top w:w="50" w:type="dxa"/>
              <w:bottom w:w="50" w:type="dxa"/>
              <w:left w:w="90" w:type="dxa"/>
              <w:right w:w="90" w:type="dxa"/>
            </w:tcMar>
            <w:shd w:val="clear" w:color="auto" w:fill="E5F5FF"/>
          </w:tcPr>
          <w:p>
            <w:pPr>
              <w:pStyle w:val="BDOITable"/>
            </w:pPr>
            <w:r>
              <w:rPr>
                <w:sz w:val="16"/>
              </w:rPr>
              <w:t>TSU Workbench: PRFs and package requests to act on</w:t>
            </w:r>
          </w:p>
        </w:tc>
        <w:tc>
          <w:tcPr>
            <w:tcW w:type="dxa" w:w="2163"/>
            <w:tcMar>
              <w:top w:w="50" w:type="dxa"/>
              <w:bottom w:w="50" w:type="dxa"/>
              <w:left w:w="90" w:type="dxa"/>
              <w:right w:w="90" w:type="dxa"/>
            </w:tcMar>
            <w:shd w:val="clear" w:color="auto" w:fill="E5F5FF"/>
          </w:tcPr>
          <w:p>
            <w:pPr>
              <w:pStyle w:val="BDOITable"/>
            </w:pPr>
            <w:r>
              <w:rPr>
                <w:sz w:val="16"/>
              </w:rPr>
              <w:t>13 TSU and 5 MBS (BRD-03 p.33)</w:t>
            </w:r>
          </w:p>
        </w:tc>
        <w:tc>
          <w:tcPr>
            <w:tcW w:type="dxa" w:w="841"/>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802"/>
            <w:tcMar>
              <w:top w:w="50" w:type="dxa"/>
              <w:bottom w:w="50" w:type="dxa"/>
              <w:left w:w="90" w:type="dxa"/>
              <w:right w:w="90" w:type="dxa"/>
            </w:tcMar>
          </w:tcPr>
          <w:p>
            <w:pPr>
              <w:pStyle w:val="BDOITable"/>
            </w:pPr>
            <w:r>
              <w:rPr>
                <w:sz w:val="16"/>
              </w:rPr>
              <w:t>Cashier</w:t>
            </w:r>
          </w:p>
        </w:tc>
        <w:tc>
          <w:tcPr>
            <w:tcW w:type="dxa" w:w="2643"/>
            <w:tcMar>
              <w:top w:w="50" w:type="dxa"/>
              <w:bottom w:w="50" w:type="dxa"/>
              <w:left w:w="90" w:type="dxa"/>
              <w:right w:w="90" w:type="dxa"/>
            </w:tcMar>
          </w:tcPr>
          <w:p>
            <w:pPr>
              <w:pStyle w:val="BDOITable"/>
            </w:pPr>
            <w:r>
              <w:rPr>
                <w:sz w:val="16"/>
              </w:rPr>
              <w:t>BRD-02 Operations (Cashiering), BRD-04 Collections (requests), BRD-13 (legacy items)</w:t>
            </w:r>
          </w:p>
        </w:tc>
        <w:tc>
          <w:tcPr>
            <w:tcW w:type="dxa" w:w="2523"/>
            <w:tcMar>
              <w:top w:w="50" w:type="dxa"/>
              <w:bottom w:w="50" w:type="dxa"/>
              <w:left w:w="90" w:type="dxa"/>
              <w:right w:w="90" w:type="dxa"/>
            </w:tcMar>
          </w:tcPr>
          <w:p>
            <w:pPr>
              <w:pStyle w:val="BDOITable"/>
            </w:pPr>
            <w:r>
              <w:rPr>
                <w:sz w:val="16"/>
              </w:rPr>
              <w:t>Cashiering Workbench: counts of payments, unapplied items and incoming requests</w:t>
            </w:r>
          </w:p>
        </w:tc>
        <w:tc>
          <w:tcPr>
            <w:tcW w:type="dxa" w:w="2163"/>
            <w:tcMar>
              <w:top w:w="50" w:type="dxa"/>
              <w:bottom w:w="50" w:type="dxa"/>
              <w:left w:w="90" w:type="dxa"/>
              <w:right w:w="90" w:type="dxa"/>
            </w:tcMar>
          </w:tcPr>
          <w:p>
            <w:pPr>
              <w:pStyle w:val="BDOITable"/>
            </w:pPr>
            <w:r>
              <w:rPr>
                <w:sz w:val="16"/>
              </w:rPr>
              <w:t>16: 11 head office, 5 branches (BRD-02 annex)</w:t>
            </w:r>
          </w:p>
        </w:tc>
        <w:tc>
          <w:tcPr>
            <w:tcW w:type="dxa" w:w="841"/>
            <w:tcMar>
              <w:top w:w="50" w:type="dxa"/>
              <w:bottom w:w="50" w:type="dxa"/>
              <w:left w:w="90" w:type="dxa"/>
              <w:right w:w="90" w:type="dxa"/>
            </w:tcMar>
          </w:tcPr>
          <w:p>
            <w:pPr>
              <w:pStyle w:val="BDOITable"/>
            </w:pPr>
            <w:r>
              <w:rPr>
                <w:sz w:val="16"/>
              </w:rPr>
              <w:t>4</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Collection Handler</w:t>
            </w:r>
          </w:p>
        </w:tc>
        <w:tc>
          <w:tcPr>
            <w:tcW w:type="dxa" w:w="2643"/>
            <w:tcMar>
              <w:top w:w="50" w:type="dxa"/>
              <w:bottom w:w="50" w:type="dxa"/>
              <w:left w:w="90" w:type="dxa"/>
              <w:right w:w="90" w:type="dxa"/>
            </w:tcMar>
            <w:shd w:val="clear" w:color="auto" w:fill="E5F5FF"/>
          </w:tcPr>
          <w:p>
            <w:pPr>
              <w:pStyle w:val="BDOITable"/>
            </w:pPr>
            <w:r>
              <w:rPr>
                <w:sz w:val="16"/>
              </w:rPr>
              <w:t>BRD-04 Collections</w:t>
            </w:r>
          </w:p>
        </w:tc>
        <w:tc>
          <w:tcPr>
            <w:tcW w:type="dxa" w:w="2523"/>
            <w:tcMar>
              <w:top w:w="50" w:type="dxa"/>
              <w:bottom w:w="50" w:type="dxa"/>
              <w:left w:w="90" w:type="dxa"/>
              <w:right w:w="90" w:type="dxa"/>
            </w:tcMar>
            <w:shd w:val="clear" w:color="auto" w:fill="E5F5FF"/>
          </w:tcPr>
          <w:p>
            <w:pPr>
              <w:pStyle w:val="BDOITable"/>
            </w:pPr>
            <w:r>
              <w:rPr>
                <w:sz w:val="16"/>
              </w:rPr>
              <w:t>Collections Home: worklist, promises due, escalations</w:t>
            </w:r>
          </w:p>
        </w:tc>
        <w:tc>
          <w:tcPr>
            <w:tcW w:type="dxa" w:w="2163"/>
            <w:tcMar>
              <w:top w:w="50" w:type="dxa"/>
              <w:bottom w:w="50" w:type="dxa"/>
              <w:left w:w="90" w:type="dxa"/>
              <w:right w:w="90" w:type="dxa"/>
            </w:tcMar>
            <w:shd w:val="clear" w:color="auto" w:fill="E5F5FF"/>
          </w:tcPr>
          <w:p>
            <w:pPr>
              <w:pStyle w:val="BDOITable"/>
            </w:pPr>
            <w:r>
              <w:rPr>
                <w:sz w:val="16"/>
              </w:rPr>
              <w:t>130 Collections users, 56 concurrent (BRD-04 NFR)</w:t>
            </w:r>
          </w:p>
        </w:tc>
        <w:tc>
          <w:tcPr>
            <w:tcW w:type="dxa" w:w="841"/>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802"/>
            <w:tcMar>
              <w:top w:w="50" w:type="dxa"/>
              <w:bottom w:w="50" w:type="dxa"/>
              <w:left w:w="90" w:type="dxa"/>
              <w:right w:w="90" w:type="dxa"/>
            </w:tcMar>
          </w:tcPr>
          <w:p>
            <w:pPr>
              <w:pStyle w:val="BDOITable"/>
            </w:pPr>
            <w:r>
              <w:rPr>
                <w:sz w:val="16"/>
              </w:rPr>
              <w:t>Accountant and FRBS Officer</w:t>
            </w:r>
          </w:p>
        </w:tc>
        <w:tc>
          <w:tcPr>
            <w:tcW w:type="dxa" w:w="2643"/>
            <w:tcMar>
              <w:top w:w="50" w:type="dxa"/>
              <w:bottom w:w="50" w:type="dxa"/>
              <w:left w:w="90" w:type="dxa"/>
              <w:right w:w="90" w:type="dxa"/>
            </w:tcMar>
          </w:tcPr>
          <w:p>
            <w:pPr>
              <w:pStyle w:val="BDOITable"/>
            </w:pPr>
            <w:r>
              <w:rPr>
                <w:sz w:val="16"/>
              </w:rPr>
              <w:t>BRD-05 Accounting (FRBS, ACSL, bank reconciliation)</w:t>
            </w:r>
          </w:p>
        </w:tc>
        <w:tc>
          <w:tcPr>
            <w:tcW w:type="dxa" w:w="2523"/>
            <w:tcMar>
              <w:top w:w="50" w:type="dxa"/>
              <w:bottom w:w="50" w:type="dxa"/>
              <w:left w:w="90" w:type="dxa"/>
              <w:right w:w="90" w:type="dxa"/>
            </w:tcMar>
          </w:tcPr>
          <w:p>
            <w:pPr>
              <w:pStyle w:val="BDOITable"/>
            </w:pPr>
            <w:r>
              <w:rPr>
                <w:sz w:val="16"/>
              </w:rPr>
              <w:t>Finance dashboard; Journals and reconciliations to act on</w:t>
            </w:r>
          </w:p>
        </w:tc>
        <w:tc>
          <w:tcPr>
            <w:tcW w:type="dxa" w:w="2163"/>
            <w:tcMar>
              <w:top w:w="50" w:type="dxa"/>
              <w:bottom w:w="50" w:type="dxa"/>
              <w:left w:w="90" w:type="dxa"/>
              <w:right w:w="90" w:type="dxa"/>
            </w:tcMar>
          </w:tcPr>
          <w:p>
            <w:pPr>
              <w:pStyle w:val="BDOITable"/>
            </w:pPr>
            <w:r>
              <w:rPr>
                <w:sz w:val="16"/>
              </w:rPr>
              <w:t>11: FRBS 5, ACSL 6 (BRD-05 p.133-137)</w:t>
            </w:r>
          </w:p>
        </w:tc>
        <w:tc>
          <w:tcPr>
            <w:tcW w:type="dxa" w:w="841"/>
            <w:tcMar>
              <w:top w:w="50" w:type="dxa"/>
              <w:bottom w:w="50" w:type="dxa"/>
              <w:left w:w="90" w:type="dxa"/>
              <w:right w:w="90" w:type="dxa"/>
            </w:tcMar>
          </w:tcPr>
          <w:p>
            <w:pPr>
              <w:pStyle w:val="BDOITable"/>
            </w:pPr>
            <w:r>
              <w:rPr>
                <w:sz w:val="16"/>
              </w:rPr>
              <w:t>4</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Disbursement Processor</w:t>
            </w:r>
          </w:p>
        </w:tc>
        <w:tc>
          <w:tcPr>
            <w:tcW w:type="dxa" w:w="2643"/>
            <w:tcMar>
              <w:top w:w="50" w:type="dxa"/>
              <w:bottom w:w="50" w:type="dxa"/>
              <w:left w:w="90" w:type="dxa"/>
              <w:right w:w="90" w:type="dxa"/>
            </w:tcMar>
            <w:shd w:val="clear" w:color="auto" w:fill="E5F5FF"/>
          </w:tcPr>
          <w:p>
            <w:pPr>
              <w:pStyle w:val="BDOITable"/>
            </w:pPr>
            <w:r>
              <w:rPr>
                <w:sz w:val="16"/>
              </w:rPr>
              <w:t>BRD-05 Disbursement, BRD-02 Operations (remittance payments)</w:t>
            </w:r>
          </w:p>
        </w:tc>
        <w:tc>
          <w:tcPr>
            <w:tcW w:type="dxa" w:w="2523"/>
            <w:tcMar>
              <w:top w:w="50" w:type="dxa"/>
              <w:bottom w:w="50" w:type="dxa"/>
              <w:left w:w="90" w:type="dxa"/>
              <w:right w:w="90" w:type="dxa"/>
            </w:tcMar>
            <w:shd w:val="clear" w:color="auto" w:fill="E5F5FF"/>
          </w:tcPr>
          <w:p>
            <w:pPr>
              <w:pStyle w:val="BDOITable"/>
            </w:pPr>
            <w:r>
              <w:rPr>
                <w:sz w:val="16"/>
              </w:rPr>
              <w:t>Disbursement Workbench: requests by status</w:t>
            </w:r>
          </w:p>
        </w:tc>
        <w:tc>
          <w:tcPr>
            <w:tcW w:type="dxa" w:w="2163"/>
            <w:tcMar>
              <w:top w:w="50" w:type="dxa"/>
              <w:bottom w:w="50" w:type="dxa"/>
              <w:left w:w="90" w:type="dxa"/>
              <w:right w:w="90" w:type="dxa"/>
            </w:tcMar>
            <w:shd w:val="clear" w:color="auto" w:fill="E5F5FF"/>
          </w:tcPr>
          <w:p>
            <w:pPr>
              <w:pStyle w:val="BDOITable"/>
            </w:pPr>
            <w:r>
              <w:rPr>
                <w:sz w:val="16"/>
              </w:rPr>
              <w:t>8 (BRD-05 p.133-137)</w:t>
            </w:r>
          </w:p>
        </w:tc>
        <w:tc>
          <w:tcPr>
            <w:tcW w:type="dxa" w:w="841"/>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802"/>
            <w:tcMar>
              <w:top w:w="50" w:type="dxa"/>
              <w:bottom w:w="50" w:type="dxa"/>
              <w:left w:w="90" w:type="dxa"/>
              <w:right w:w="90" w:type="dxa"/>
            </w:tcMar>
          </w:tcPr>
          <w:p>
            <w:pPr>
              <w:pStyle w:val="BDOITable"/>
            </w:pPr>
            <w:r>
              <w:rPr>
                <w:sz w:val="16"/>
              </w:rPr>
              <w:t>Renewal Officer</w:t>
            </w:r>
          </w:p>
        </w:tc>
        <w:tc>
          <w:tcPr>
            <w:tcW w:type="dxa" w:w="2643"/>
            <w:tcMar>
              <w:top w:w="50" w:type="dxa"/>
              <w:bottom w:w="50" w:type="dxa"/>
              <w:left w:w="90" w:type="dxa"/>
              <w:right w:w="90" w:type="dxa"/>
            </w:tcMar>
          </w:tcPr>
          <w:p>
            <w:pPr>
              <w:pStyle w:val="BDOITable"/>
            </w:pPr>
            <w:r>
              <w:rPr>
                <w:sz w:val="16"/>
              </w:rPr>
              <w:t>BRD-06 Renewal, BRD-13 Data Migration (go-live takeover)</w:t>
            </w:r>
          </w:p>
        </w:tc>
        <w:tc>
          <w:tcPr>
            <w:tcW w:type="dxa" w:w="2523"/>
            <w:tcMar>
              <w:top w:w="50" w:type="dxa"/>
              <w:bottom w:w="50" w:type="dxa"/>
              <w:left w:w="90" w:type="dxa"/>
              <w:right w:w="90" w:type="dxa"/>
            </w:tcMar>
          </w:tcPr>
          <w:p>
            <w:pPr>
              <w:pStyle w:val="BDOITable"/>
            </w:pPr>
            <w:r>
              <w:rPr>
                <w:sz w:val="16"/>
              </w:rPr>
              <w:t>Renewal Home and the Processing Worklist</w:t>
            </w:r>
          </w:p>
        </w:tc>
        <w:tc>
          <w:tcPr>
            <w:tcW w:type="dxa" w:w="2163"/>
            <w:tcMar>
              <w:top w:w="50" w:type="dxa"/>
              <w:bottom w:w="50" w:type="dxa"/>
              <w:left w:w="90" w:type="dxa"/>
              <w:right w:w="90" w:type="dxa"/>
            </w:tcMar>
          </w:tcPr>
          <w:p>
            <w:pPr>
              <w:pStyle w:val="BDOITable"/>
            </w:pPr>
            <w:r>
              <w:rPr>
                <w:sz w:val="16"/>
              </w:rPr>
              <w:t>123 Processing users of the Renewal processing team (BRD-06), shared with Processing</w:t>
            </w:r>
          </w:p>
        </w:tc>
        <w:tc>
          <w:tcPr>
            <w:tcW w:type="dxa" w:w="841"/>
            <w:tcMar>
              <w:top w:w="50" w:type="dxa"/>
              <w:bottom w:w="50" w:type="dxa"/>
              <w:left w:w="90" w:type="dxa"/>
              <w:right w:w="90" w:type="dxa"/>
            </w:tcMar>
          </w:tcPr>
          <w:p>
            <w:pPr>
              <w:pStyle w:val="BDOITable"/>
            </w:pPr>
            <w:r>
              <w:rPr>
                <w:sz w:val="16"/>
              </w:rPr>
              <w:t>4</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Claims Officer</w:t>
            </w:r>
          </w:p>
        </w:tc>
        <w:tc>
          <w:tcPr>
            <w:tcW w:type="dxa" w:w="2643"/>
            <w:tcMar>
              <w:top w:w="50" w:type="dxa"/>
              <w:bottom w:w="50" w:type="dxa"/>
              <w:left w:w="90" w:type="dxa"/>
              <w:right w:w="90" w:type="dxa"/>
            </w:tcMar>
            <w:shd w:val="clear" w:color="auto" w:fill="E5F5FF"/>
          </w:tcPr>
          <w:p>
            <w:pPr>
              <w:pStyle w:val="BDOITable"/>
            </w:pPr>
            <w:r>
              <w:rPr>
                <w:sz w:val="16"/>
              </w:rPr>
              <w:t>BRD-07 Claims</w:t>
            </w:r>
          </w:p>
        </w:tc>
        <w:tc>
          <w:tcPr>
            <w:tcW w:type="dxa" w:w="2523"/>
            <w:tcMar>
              <w:top w:w="50" w:type="dxa"/>
              <w:bottom w:w="50" w:type="dxa"/>
              <w:left w:w="90" w:type="dxa"/>
              <w:right w:w="90" w:type="dxa"/>
            </w:tcMar>
            <w:shd w:val="clear" w:color="auto" w:fill="E5F5FF"/>
          </w:tcPr>
          <w:p>
            <w:pPr>
              <w:pStyle w:val="BDOITable"/>
            </w:pPr>
            <w:r>
              <w:rPr>
                <w:sz w:val="16"/>
              </w:rPr>
              <w:t>Claims Home: open claims by age and next follow-up</w:t>
            </w:r>
          </w:p>
        </w:tc>
        <w:tc>
          <w:tcPr>
            <w:tcW w:type="dxa" w:w="2163"/>
            <w:tcMar>
              <w:top w:w="50" w:type="dxa"/>
              <w:bottom w:w="50" w:type="dxa"/>
              <w:left w:w="90" w:type="dxa"/>
              <w:right w:w="90" w:type="dxa"/>
            </w:tcMar>
            <w:shd w:val="clear" w:color="auto" w:fill="E5F5FF"/>
          </w:tcPr>
          <w:p>
            <w:pPr>
              <w:pStyle w:val="BDOITable"/>
            </w:pPr>
            <w:r>
              <w:rPr>
                <w:sz w:val="16"/>
              </w:rPr>
              <w:t>37: 28 head office, 9 branches (BRD-07)</w:t>
            </w:r>
          </w:p>
        </w:tc>
        <w:tc>
          <w:tcPr>
            <w:tcW w:type="dxa" w:w="84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802"/>
            <w:tcMar>
              <w:top w:w="50" w:type="dxa"/>
              <w:bottom w:w="50" w:type="dxa"/>
              <w:left w:w="90" w:type="dxa"/>
              <w:right w:w="90" w:type="dxa"/>
            </w:tcMar>
          </w:tcPr>
          <w:p>
            <w:pPr>
              <w:pStyle w:val="BDOITable"/>
            </w:pPr>
            <w:r>
              <w:rPr>
                <w:sz w:val="16"/>
              </w:rPr>
              <w:t>Business Administrator</w:t>
            </w:r>
          </w:p>
        </w:tc>
        <w:tc>
          <w:tcPr>
            <w:tcW w:type="dxa" w:w="2643"/>
            <w:tcMar>
              <w:top w:w="50" w:type="dxa"/>
              <w:bottom w:w="50" w:type="dxa"/>
              <w:left w:w="90" w:type="dxa"/>
              <w:right w:w="90" w:type="dxa"/>
            </w:tcMar>
          </w:tcPr>
          <w:p>
            <w:pPr>
              <w:pStyle w:val="BDOITable"/>
            </w:pPr>
            <w:r>
              <w:rPr>
                <w:sz w:val="16"/>
              </w:rPr>
              <w:t>BRD-03 Product Maintenance, BRD-04 Collections, BRD-06 Renewal, BRD-11 User Access Maintenance</w:t>
            </w:r>
          </w:p>
        </w:tc>
        <w:tc>
          <w:tcPr>
            <w:tcW w:type="dxa" w:w="2523"/>
            <w:tcMar>
              <w:top w:w="50" w:type="dxa"/>
              <w:bottom w:w="50" w:type="dxa"/>
              <w:left w:w="90" w:type="dxa"/>
              <w:right w:w="90" w:type="dxa"/>
            </w:tcMar>
          </w:tcPr>
          <w:p>
            <w:pPr>
              <w:pStyle w:val="BDOITable"/>
            </w:pPr>
            <w:r>
              <w:rPr>
                <w:sz w:val="16"/>
              </w:rPr>
              <w:t>My Approvals and My Work: set-up changes waiting for authorisation</w:t>
            </w:r>
          </w:p>
        </w:tc>
        <w:tc>
          <w:tcPr>
            <w:tcW w:type="dxa" w:w="2163"/>
            <w:tcMar>
              <w:top w:w="50" w:type="dxa"/>
              <w:bottom w:w="50" w:type="dxa"/>
              <w:left w:w="90" w:type="dxa"/>
              <w:right w:w="90" w:type="dxa"/>
            </w:tcMar>
          </w:tcPr>
          <w:p>
            <w:pPr>
              <w:pStyle w:val="BDOITable"/>
            </w:pPr>
            <w:r>
              <w:rPr>
                <w:sz w:val="16"/>
              </w:rPr>
              <w:t>6 (proposed)</w:t>
            </w:r>
          </w:p>
        </w:tc>
        <w:tc>
          <w:tcPr>
            <w:tcW w:type="dxa" w:w="841"/>
            <w:tcMar>
              <w:top w:w="50" w:type="dxa"/>
              <w:bottom w:w="50" w:type="dxa"/>
              <w:left w:w="90" w:type="dxa"/>
              <w:right w:w="90" w:type="dxa"/>
            </w:tcMar>
          </w:tcPr>
          <w:p>
            <w:pPr>
              <w:pStyle w:val="BDOITable"/>
            </w:pPr>
            <w:r>
              <w:rPr>
                <w:sz w:val="16"/>
              </w:rPr>
              <w:t>3</w:t>
            </w:r>
          </w:p>
        </w:tc>
      </w:tr>
      <w:tr>
        <w:trPr>
          <w:cantSplit w:val="true"/>
        </w:trPr>
        <w:tc>
          <w:tcPr>
            <w:tcW w:type="dxa" w:w="1802"/>
            <w:tcMar>
              <w:top w:w="50" w:type="dxa"/>
              <w:bottom w:w="50" w:type="dxa"/>
              <w:left w:w="90" w:type="dxa"/>
              <w:right w:w="90" w:type="dxa"/>
            </w:tcMar>
            <w:shd w:val="clear" w:color="auto" w:fill="E5F5FF"/>
          </w:tcPr>
          <w:p>
            <w:pPr>
              <w:pStyle w:val="BDOITable"/>
            </w:pPr>
            <w:r>
              <w:rPr>
                <w:sz w:val="16"/>
              </w:rPr>
              <w:t>System and Security Administrator</w:t>
            </w:r>
          </w:p>
        </w:tc>
        <w:tc>
          <w:tcPr>
            <w:tcW w:type="dxa" w:w="2643"/>
            <w:tcMar>
              <w:top w:w="50" w:type="dxa"/>
              <w:bottom w:w="50" w:type="dxa"/>
              <w:left w:w="90" w:type="dxa"/>
              <w:right w:w="90" w:type="dxa"/>
            </w:tcMar>
            <w:shd w:val="clear" w:color="auto" w:fill="E5F5FF"/>
          </w:tcPr>
          <w:p>
            <w:pPr>
              <w:pStyle w:val="BDOITable"/>
            </w:pPr>
            <w:r>
              <w:rPr>
                <w:sz w:val="16"/>
              </w:rPr>
              <w:t>BRD-11 User Access Maintenance, BRD-00 (administration)</w:t>
            </w:r>
          </w:p>
        </w:tc>
        <w:tc>
          <w:tcPr>
            <w:tcW w:type="dxa" w:w="2523"/>
            <w:tcMar>
              <w:top w:w="50" w:type="dxa"/>
              <w:bottom w:w="50" w:type="dxa"/>
              <w:left w:w="90" w:type="dxa"/>
              <w:right w:w="90" w:type="dxa"/>
            </w:tcMar>
            <w:shd w:val="clear" w:color="auto" w:fill="E5F5FF"/>
          </w:tcPr>
          <w:p>
            <w:pPr>
              <w:pStyle w:val="BDOITable"/>
            </w:pPr>
            <w:r>
              <w:rPr>
                <w:sz w:val="16"/>
              </w:rPr>
              <w:t>Dashboard, Alerts and My Approvals: requests to implement, locked users, failed jobs</w:t>
            </w:r>
          </w:p>
        </w:tc>
        <w:tc>
          <w:tcPr>
            <w:tcW w:type="dxa" w:w="2163"/>
            <w:tcMar>
              <w:top w:w="50" w:type="dxa"/>
              <w:bottom w:w="50" w:type="dxa"/>
              <w:left w:w="90" w:type="dxa"/>
              <w:right w:w="90" w:type="dxa"/>
            </w:tcMar>
            <w:shd w:val="clear" w:color="auto" w:fill="E5F5FF"/>
          </w:tcPr>
          <w:p>
            <w:pPr>
              <w:pStyle w:val="BDOITable"/>
            </w:pPr>
            <w:r>
              <w:rPr>
                <w:sz w:val="16"/>
              </w:rPr>
              <w:t>6 (proposed)</w:t>
            </w:r>
          </w:p>
        </w:tc>
        <w:tc>
          <w:tcPr>
            <w:tcW w:type="dxa" w:w="84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802"/>
            <w:tcMar>
              <w:top w:w="50" w:type="dxa"/>
              <w:bottom w:w="50" w:type="dxa"/>
              <w:left w:w="90" w:type="dxa"/>
              <w:right w:w="90" w:type="dxa"/>
            </w:tcMar>
          </w:tcPr>
          <w:p>
            <w:pPr>
              <w:pStyle w:val="BDOITable"/>
            </w:pPr>
            <w:r>
              <w:rPr>
                <w:sz w:val="16"/>
              </w:rPr>
              <w:t>Auditor</w:t>
            </w:r>
          </w:p>
        </w:tc>
        <w:tc>
          <w:tcPr>
            <w:tcW w:type="dxa" w:w="2643"/>
            <w:tcMar>
              <w:top w:w="50" w:type="dxa"/>
              <w:bottom w:w="50" w:type="dxa"/>
              <w:left w:w="90" w:type="dxa"/>
              <w:right w:w="90" w:type="dxa"/>
            </w:tcMar>
          </w:tcPr>
          <w:p>
            <w:pPr>
              <w:pStyle w:val="BDOITable"/>
            </w:pPr>
            <w:r>
              <w:rPr>
                <w:sz w:val="16"/>
              </w:rPr>
              <w:t>BRD-11 User Access Maintenance; read access across BIBS</w:t>
            </w:r>
          </w:p>
        </w:tc>
        <w:tc>
          <w:tcPr>
            <w:tcW w:type="dxa" w:w="2523"/>
            <w:tcMar>
              <w:top w:w="50" w:type="dxa"/>
              <w:bottom w:w="50" w:type="dxa"/>
              <w:left w:w="90" w:type="dxa"/>
              <w:right w:w="90" w:type="dxa"/>
            </w:tcMar>
          </w:tcPr>
          <w:p>
            <w:pPr>
              <w:pStyle w:val="BDOITable"/>
            </w:pPr>
            <w:r>
              <w:rPr>
                <w:sz w:val="16"/>
              </w:rPr>
              <w:t>Dashboard and Report Centre</w:t>
            </w:r>
          </w:p>
        </w:tc>
        <w:tc>
          <w:tcPr>
            <w:tcW w:type="dxa" w:w="2163"/>
            <w:tcMar>
              <w:top w:w="50" w:type="dxa"/>
              <w:bottom w:w="50" w:type="dxa"/>
              <w:left w:w="90" w:type="dxa"/>
              <w:right w:w="90" w:type="dxa"/>
            </w:tcMar>
          </w:tcPr>
          <w:p>
            <w:pPr>
              <w:pStyle w:val="BDOITable"/>
            </w:pPr>
            <w:r>
              <w:rPr>
                <w:sz w:val="16"/>
              </w:rPr>
              <w:t>10 (proposed)</w:t>
            </w:r>
          </w:p>
        </w:tc>
        <w:tc>
          <w:tcPr>
            <w:tcW w:type="dxa" w:w="841"/>
            <w:tcMar>
              <w:top w:w="50" w:type="dxa"/>
              <w:bottom w:w="50" w:type="dxa"/>
              <w:left w:w="90" w:type="dxa"/>
              <w:right w:w="90" w:type="dxa"/>
            </w:tcMar>
          </w:tcPr>
          <w:p>
            <w:pPr>
              <w:pStyle w:val="BDOITable"/>
            </w:pPr>
            <w:r>
              <w:rPr>
                <w:sz w:val="16"/>
              </w:rPr>
              <w:t>3</w:t>
            </w:r>
          </w:p>
        </w:tc>
      </w:tr>
    </w:tbl>
    <w:p>
      <w:pPr>
        <w:pStyle w:val="BDOISpacer"/>
      </w:pPr>
    </w:p>
    <w:p>
      <w:r>
        <w:rPr/>
        <w:t>Users per persona are the user tables of the BRDs where they exist; the others are our proposal, confirmed in the training needs analysis.</w:t>
      </w:r>
    </w:p>
    <w:p>
      <w:pPr>
        <w:pStyle w:val="Caption"/>
        <w:keepNext/>
        <w:spacing w:after="60"/>
      </w:pPr>
      <w:r>
        <w:rPr>
          <w:b/>
          <w:i w:val="0"/>
        </w:rPr>
        <w:t xml:space="preserve">Table 5: </w:t>
      </w:r>
      <w:r>
        <w:rPr/>
        <w:t>Quick-reference guides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364"/>
        <w:gridCol w:w="4566"/>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Quick-reference guide</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6"/>
              </w:rPr>
              <w:t>Main tasks covered</w:t>
            </w:r>
          </w:p>
        </w:tc>
      </w:tr>
      <w:tr>
        <w:trPr>
          <w:cantSplit w:val="true"/>
        </w:trPr>
        <w:tc>
          <w:tcPr>
            <w:tcW w:type="dxa" w:w="2042"/>
            <w:tcMar>
              <w:top w:w="50" w:type="dxa"/>
              <w:bottom w:w="50" w:type="dxa"/>
              <w:left w:w="90" w:type="dxa"/>
              <w:right w:w="90" w:type="dxa"/>
            </w:tcMar>
          </w:tcPr>
          <w:p>
            <w:pPr>
              <w:pStyle w:val="BDOITable"/>
            </w:pPr>
            <w:r>
              <w:rPr>
                <w:sz w:val="16"/>
              </w:rPr>
              <w:t>Marketing Account Officer</w:t>
            </w:r>
          </w:p>
        </w:tc>
        <w:tc>
          <w:tcPr>
            <w:tcW w:type="dxa" w:w="3364"/>
            <w:tcMar>
              <w:top w:w="50" w:type="dxa"/>
              <w:bottom w:w="50" w:type="dxa"/>
              <w:left w:w="90" w:type="dxa"/>
              <w:right w:w="90" w:type="dxa"/>
            </w:tcMar>
          </w:tcPr>
          <w:p>
            <w:pPr>
              <w:pStyle w:val="BDOITable"/>
            </w:pPr>
            <w:r>
              <w:rPr>
                <w:sz w:val="16"/>
              </w:rPr>
              <w:t>BIBS_Adoption_BRD-00_QRG_Account_Officer_v1.0</w:t>
            </w:r>
          </w:p>
        </w:tc>
        <w:tc>
          <w:tcPr>
            <w:tcW w:type="dxa" w:w="4565"/>
            <w:tcMar>
              <w:top w:w="50" w:type="dxa"/>
              <w:bottom w:w="50" w:type="dxa"/>
              <w:left w:w="90" w:type="dxa"/>
              <w:right w:w="90" w:type="dxa"/>
            </w:tcMar>
          </w:tcPr>
          <w:p>
            <w:pPr>
              <w:pStyle w:val="BDOITable"/>
            </w:pPr>
            <w:r>
              <w:rPr>
                <w:sz w:val="16"/>
              </w:rPr>
              <w:t>Onboard a client and complete the KYC; Quote a package product and submit the account to Processing; Place a non-package risk through a proposal request (PRF); Correct a record returned to you; Request a new package and quote it; Give the disposition of an expiring account; Raise a client refund request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Marketing Team Lead</w:t>
            </w:r>
          </w:p>
        </w:tc>
        <w:tc>
          <w:tcPr>
            <w:tcW w:type="dxa" w:w="3364"/>
            <w:tcMar>
              <w:top w:w="50" w:type="dxa"/>
              <w:bottom w:w="50" w:type="dxa"/>
              <w:left w:w="90" w:type="dxa"/>
              <w:right w:w="90" w:type="dxa"/>
            </w:tcMar>
            <w:shd w:val="clear" w:color="auto" w:fill="E5F5FF"/>
          </w:tcPr>
          <w:p>
            <w:pPr>
              <w:pStyle w:val="BDOITable"/>
            </w:pPr>
            <w:r>
              <w:rPr>
                <w:sz w:val="16"/>
              </w:rPr>
              <w:t>BIBS_Adoption_BRD-00_QRG_Marketing_Team_Lead_v1.0</w:t>
            </w:r>
          </w:p>
        </w:tc>
        <w:tc>
          <w:tcPr>
            <w:tcW w:type="dxa" w:w="4565"/>
            <w:tcMar>
              <w:top w:w="50" w:type="dxa"/>
              <w:bottom w:w="50" w:type="dxa"/>
              <w:left w:w="90" w:type="dxa"/>
              <w:right w:w="90" w:type="dxa"/>
            </w:tcMar>
            <w:shd w:val="clear" w:color="auto" w:fill="E5F5FF"/>
          </w:tcPr>
          <w:p>
            <w:pPr>
              <w:pStyle w:val="BDOITable"/>
            </w:pPr>
            <w:r>
              <w:rPr>
                <w:sz w:val="16"/>
              </w:rPr>
              <w:t>Verify or return a client's KYC; Approve or return a quotation; Approve a proposal request (PRF) and a package request; Assign and review renewal dispositions; Approve a remittance hold</w:t>
            </w:r>
          </w:p>
        </w:tc>
      </w:tr>
      <w:tr>
        <w:trPr>
          <w:cantSplit w:val="true"/>
        </w:trPr>
        <w:tc>
          <w:tcPr>
            <w:tcW w:type="dxa" w:w="2042"/>
            <w:tcMar>
              <w:top w:w="50" w:type="dxa"/>
              <w:bottom w:w="50" w:type="dxa"/>
              <w:left w:w="90" w:type="dxa"/>
              <w:right w:w="90" w:type="dxa"/>
            </w:tcMar>
          </w:tcPr>
          <w:p>
            <w:pPr>
              <w:pStyle w:val="BDOITable"/>
            </w:pPr>
            <w:r>
              <w:rPr>
                <w:sz w:val="16"/>
              </w:rPr>
              <w:t>Processing Officer</w:t>
            </w:r>
          </w:p>
        </w:tc>
        <w:tc>
          <w:tcPr>
            <w:tcW w:type="dxa" w:w="3364"/>
            <w:tcMar>
              <w:top w:w="50" w:type="dxa"/>
              <w:bottom w:w="50" w:type="dxa"/>
              <w:left w:w="90" w:type="dxa"/>
              <w:right w:w="90" w:type="dxa"/>
            </w:tcMar>
          </w:tcPr>
          <w:p>
            <w:pPr>
              <w:pStyle w:val="BDOITable"/>
            </w:pPr>
            <w:r>
              <w:rPr>
                <w:sz w:val="16"/>
              </w:rPr>
              <w:t>BIBS_Adoption_BRD-00_QRG_Processing_v1.0</w:t>
            </w:r>
          </w:p>
        </w:tc>
        <w:tc>
          <w:tcPr>
            <w:tcW w:type="dxa" w:w="4565"/>
            <w:tcMar>
              <w:top w:w="50" w:type="dxa"/>
              <w:bottom w:w="50" w:type="dxa"/>
              <w:left w:w="90" w:type="dxa"/>
              <w:right w:w="90" w:type="dxa"/>
            </w:tcMar>
          </w:tcPr>
          <w:p>
            <w:pPr>
              <w:pStyle w:val="BDOITable"/>
            </w:pPr>
            <w:r>
              <w:rPr>
                <w:sz w:val="16"/>
              </w:rPr>
              <w:t>Validate an account or return it to Marketing; Pass the payment gate (CLPC accounts); Place the account and confirm the policy; Book the account; Handle an insurer return</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Technical Support Unit (TSU) Officer</w:t>
            </w:r>
          </w:p>
        </w:tc>
        <w:tc>
          <w:tcPr>
            <w:tcW w:type="dxa" w:w="3364"/>
            <w:tcMar>
              <w:top w:w="50" w:type="dxa"/>
              <w:bottom w:w="50" w:type="dxa"/>
              <w:left w:w="90" w:type="dxa"/>
              <w:right w:w="90" w:type="dxa"/>
            </w:tcMar>
            <w:shd w:val="clear" w:color="auto" w:fill="E5F5FF"/>
          </w:tcPr>
          <w:p>
            <w:pPr>
              <w:pStyle w:val="BDOITable"/>
            </w:pPr>
            <w:r>
              <w:rPr>
                <w:sz w:val="16"/>
              </w:rPr>
              <w:t>BIBS_Adoption_BRD-00_QRG_TSU_v1.0</w:t>
            </w:r>
          </w:p>
        </w:tc>
        <w:tc>
          <w:tcPr>
            <w:tcW w:type="dxa" w:w="4565"/>
            <w:tcMar>
              <w:top w:w="50" w:type="dxa"/>
              <w:bottom w:w="50" w:type="dxa"/>
              <w:left w:w="90" w:type="dxa"/>
              <w:right w:w="90" w:type="dxa"/>
            </w:tcMar>
            <w:shd w:val="clear" w:color="auto" w:fill="E5F5FF"/>
          </w:tcPr>
          <w:p>
            <w:pPr>
              <w:pStyle w:val="BDOITable"/>
            </w:pPr>
            <w:r>
              <w:rPr>
                <w:sz w:val="16"/>
              </w:rPr>
              <w:t>Work a proposal request to the proposal slip; Negotiate a new package; Complete the requirements and send the advisory; Approve as TSU Team Lead or TSU Head</w:t>
            </w:r>
          </w:p>
        </w:tc>
      </w:tr>
      <w:tr>
        <w:trPr>
          <w:cantSplit w:val="true"/>
        </w:trPr>
        <w:tc>
          <w:tcPr>
            <w:tcW w:type="dxa" w:w="2042"/>
            <w:tcMar>
              <w:top w:w="50" w:type="dxa"/>
              <w:bottom w:w="50" w:type="dxa"/>
              <w:left w:w="90" w:type="dxa"/>
              <w:right w:w="90" w:type="dxa"/>
            </w:tcMar>
          </w:tcPr>
          <w:p>
            <w:pPr>
              <w:pStyle w:val="BDOITable"/>
            </w:pPr>
            <w:r>
              <w:rPr>
                <w:sz w:val="16"/>
              </w:rPr>
              <w:t>Cashier</w:t>
            </w:r>
          </w:p>
        </w:tc>
        <w:tc>
          <w:tcPr>
            <w:tcW w:type="dxa" w:w="3364"/>
            <w:tcMar>
              <w:top w:w="50" w:type="dxa"/>
              <w:bottom w:w="50" w:type="dxa"/>
              <w:left w:w="90" w:type="dxa"/>
              <w:right w:w="90" w:type="dxa"/>
            </w:tcMar>
          </w:tcPr>
          <w:p>
            <w:pPr>
              <w:pStyle w:val="BDOITable"/>
            </w:pPr>
            <w:r>
              <w:rPr>
                <w:sz w:val="16"/>
              </w:rPr>
              <w:t>BIBS_Adoption_BRD-00_QRG_Cashier_v1.0</w:t>
            </w:r>
          </w:p>
        </w:tc>
        <w:tc>
          <w:tcPr>
            <w:tcW w:type="dxa" w:w="4565"/>
            <w:tcMar>
              <w:top w:w="50" w:type="dxa"/>
              <w:bottom w:w="50" w:type="dxa"/>
              <w:left w:w="90" w:type="dxa"/>
              <w:right w:w="90" w:type="dxa"/>
            </w:tcMar>
          </w:tcPr>
          <w:p>
            <w:pPr>
              <w:pStyle w:val="BDOITable"/>
            </w:pPr>
            <w:r>
              <w:rPr>
                <w:sz w:val="16"/>
              </w:rPr>
              <w:t>Receive a payment and issue the receipt; Act on a collector's request and a check pick-up; Refund an unapplied payment; Cancel a receipt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Collection Handler</w:t>
            </w:r>
          </w:p>
        </w:tc>
        <w:tc>
          <w:tcPr>
            <w:tcW w:type="dxa" w:w="3364"/>
            <w:tcMar>
              <w:top w:w="50" w:type="dxa"/>
              <w:bottom w:w="50" w:type="dxa"/>
              <w:left w:w="90" w:type="dxa"/>
              <w:right w:w="90" w:type="dxa"/>
            </w:tcMar>
            <w:shd w:val="clear" w:color="auto" w:fill="E5F5FF"/>
          </w:tcPr>
          <w:p>
            <w:pPr>
              <w:pStyle w:val="BDOITable"/>
            </w:pPr>
            <w:r>
              <w:rPr>
                <w:sz w:val="16"/>
              </w:rPr>
              <w:t>BIBS_Adoption_BRD-00_QRG_Collection_Handler_v1.0</w:t>
            </w:r>
          </w:p>
        </w:tc>
        <w:tc>
          <w:tcPr>
            <w:tcW w:type="dxa" w:w="4565"/>
            <w:tcMar>
              <w:top w:w="50" w:type="dxa"/>
              <w:bottom w:w="50" w:type="dxa"/>
              <w:left w:w="90" w:type="dxa"/>
              <w:right w:w="90" w:type="dxa"/>
            </w:tcMar>
            <w:shd w:val="clear" w:color="auto" w:fill="E5F5FF"/>
          </w:tcPr>
          <w:p>
            <w:pPr>
              <w:pStyle w:val="BDOITable"/>
            </w:pPr>
            <w:r>
              <w:rPr>
                <w:sz w:val="16"/>
              </w:rPr>
              <w:t>Work an outstanding account; Record a promise to pay and escalate an account; Set up an installment plan and send its statement; Ask Cashiering to apply an unapplied payment</w:t>
            </w:r>
          </w:p>
        </w:tc>
      </w:tr>
      <w:tr>
        <w:trPr>
          <w:cantSplit w:val="true"/>
        </w:trPr>
        <w:tc>
          <w:tcPr>
            <w:tcW w:type="dxa" w:w="2042"/>
            <w:tcMar>
              <w:top w:w="50" w:type="dxa"/>
              <w:bottom w:w="50" w:type="dxa"/>
              <w:left w:w="90" w:type="dxa"/>
              <w:right w:w="90" w:type="dxa"/>
            </w:tcMar>
          </w:tcPr>
          <w:p>
            <w:pPr>
              <w:pStyle w:val="BDOITable"/>
            </w:pPr>
            <w:r>
              <w:rPr>
                <w:sz w:val="16"/>
              </w:rPr>
              <w:t>Accountant and FRBS Officer</w:t>
            </w:r>
          </w:p>
        </w:tc>
        <w:tc>
          <w:tcPr>
            <w:tcW w:type="dxa" w:w="3364"/>
            <w:tcMar>
              <w:top w:w="50" w:type="dxa"/>
              <w:bottom w:w="50" w:type="dxa"/>
              <w:left w:w="90" w:type="dxa"/>
              <w:right w:w="90" w:type="dxa"/>
            </w:tcMar>
          </w:tcPr>
          <w:p>
            <w:pPr>
              <w:pStyle w:val="BDOITable"/>
            </w:pPr>
            <w:r>
              <w:rPr>
                <w:sz w:val="16"/>
              </w:rPr>
              <w:t>BIBS_Adoption_BRD-00_QRG_Accountant_FRBS_v1.0</w:t>
            </w:r>
          </w:p>
        </w:tc>
        <w:tc>
          <w:tcPr>
            <w:tcW w:type="dxa" w:w="4565"/>
            <w:tcMar>
              <w:top w:w="50" w:type="dxa"/>
              <w:bottom w:w="50" w:type="dxa"/>
              <w:left w:w="90" w:type="dxa"/>
              <w:right w:w="90" w:type="dxa"/>
            </w:tcMar>
          </w:tcPr>
          <w:p>
            <w:pPr>
              <w:pStyle w:val="BDOITable"/>
            </w:pPr>
            <w:r>
              <w:rPr>
                <w:sz w:val="16"/>
              </w:rPr>
              <w:t>Enter and post a manual accrual; Close the month; Reconcile a bank account; Reconcile an insurer's statement and correct a posting (ACSL)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Disbursement Processor</w:t>
            </w:r>
          </w:p>
        </w:tc>
        <w:tc>
          <w:tcPr>
            <w:tcW w:type="dxa" w:w="3364"/>
            <w:tcMar>
              <w:top w:w="50" w:type="dxa"/>
              <w:bottom w:w="50" w:type="dxa"/>
              <w:left w:w="90" w:type="dxa"/>
              <w:right w:w="90" w:type="dxa"/>
            </w:tcMar>
            <w:shd w:val="clear" w:color="auto" w:fill="E5F5FF"/>
          </w:tcPr>
          <w:p>
            <w:pPr>
              <w:pStyle w:val="BDOITable"/>
            </w:pPr>
            <w:r>
              <w:rPr>
                <w:sz w:val="16"/>
              </w:rPr>
              <w:t>BIBS_Adoption_BRD-00_QRG_Disbursement_v1.0</w:t>
            </w:r>
          </w:p>
        </w:tc>
        <w:tc>
          <w:tcPr>
            <w:tcW w:type="dxa" w:w="4565"/>
            <w:tcMar>
              <w:top w:w="50" w:type="dxa"/>
              <w:bottom w:w="50" w:type="dxa"/>
              <w:left w:w="90" w:type="dxa"/>
              <w:right w:w="90" w:type="dxa"/>
            </w:tcMar>
            <w:shd w:val="clear" w:color="auto" w:fill="E5F5FF"/>
          </w:tcPr>
          <w:p>
            <w:pPr>
              <w:pStyle w:val="BDOITable"/>
            </w:pPr>
            <w:r>
              <w:rPr>
                <w:sz w:val="16"/>
              </w:rPr>
              <w:t>Pay a refund or a remittance; Encode a request received by e-mail; Maintain a payee; Run the end of day</w:t>
            </w:r>
          </w:p>
        </w:tc>
      </w:tr>
      <w:tr>
        <w:trPr>
          <w:cantSplit w:val="true"/>
        </w:trPr>
        <w:tc>
          <w:tcPr>
            <w:tcW w:type="dxa" w:w="2042"/>
            <w:tcMar>
              <w:top w:w="50" w:type="dxa"/>
              <w:bottom w:w="50" w:type="dxa"/>
              <w:left w:w="90" w:type="dxa"/>
              <w:right w:w="90" w:type="dxa"/>
            </w:tcMar>
          </w:tcPr>
          <w:p>
            <w:pPr>
              <w:pStyle w:val="BDOITable"/>
            </w:pPr>
            <w:r>
              <w:rPr>
                <w:sz w:val="16"/>
              </w:rPr>
              <w:t>Renewal Officer</w:t>
            </w:r>
          </w:p>
        </w:tc>
        <w:tc>
          <w:tcPr>
            <w:tcW w:type="dxa" w:w="3364"/>
            <w:tcMar>
              <w:top w:w="50" w:type="dxa"/>
              <w:bottom w:w="50" w:type="dxa"/>
              <w:left w:w="90" w:type="dxa"/>
              <w:right w:w="90" w:type="dxa"/>
            </w:tcMar>
          </w:tcPr>
          <w:p>
            <w:pPr>
              <w:pStyle w:val="BDOITable"/>
            </w:pPr>
            <w:r>
              <w:rPr>
                <w:sz w:val="16"/>
              </w:rPr>
              <w:t>BIBS_Adoption_BRD-00_QRG_Renewal_Officer_v1.0</w:t>
            </w:r>
          </w:p>
        </w:tc>
        <w:tc>
          <w:tcPr>
            <w:tcW w:type="dxa" w:w="4565"/>
            <w:tcMar>
              <w:top w:w="50" w:type="dxa"/>
              <w:bottom w:w="50" w:type="dxa"/>
              <w:left w:w="90" w:type="dxa"/>
              <w:right w:w="90" w:type="dxa"/>
            </w:tcMar>
          </w:tcPr>
          <w:p>
            <w:pPr>
              <w:pStyle w:val="BDOITable"/>
            </w:pPr>
            <w:r>
              <w:rPr>
                <w:sz w:val="16"/>
              </w:rPr>
              <w:t>Prepare the processing list; Process an account and work with the insurer; Send the Renewal Advice and record the acceptance; Take over the expiries at go-live</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Claims Officer</w:t>
            </w:r>
          </w:p>
        </w:tc>
        <w:tc>
          <w:tcPr>
            <w:tcW w:type="dxa" w:w="3364"/>
            <w:tcMar>
              <w:top w:w="50" w:type="dxa"/>
              <w:bottom w:w="50" w:type="dxa"/>
              <w:left w:w="90" w:type="dxa"/>
              <w:right w:w="90" w:type="dxa"/>
            </w:tcMar>
            <w:shd w:val="clear" w:color="auto" w:fill="E5F5FF"/>
          </w:tcPr>
          <w:p>
            <w:pPr>
              <w:pStyle w:val="BDOITable"/>
            </w:pPr>
            <w:r>
              <w:rPr>
                <w:sz w:val="16"/>
              </w:rPr>
              <w:t>BIBS_Adoption_BRD-00_QRG_Claims_Officer_v1.0</w:t>
            </w:r>
          </w:p>
        </w:tc>
        <w:tc>
          <w:tcPr>
            <w:tcW w:type="dxa" w:w="4565"/>
            <w:tcMar>
              <w:top w:w="50" w:type="dxa"/>
              <w:bottom w:w="50" w:type="dxa"/>
              <w:left w:w="90" w:type="dxa"/>
              <w:right w:w="90" w:type="dxa"/>
            </w:tcMar>
            <w:shd w:val="clear" w:color="auto" w:fill="E5F5FF"/>
          </w:tcPr>
          <w:p>
            <w:pPr>
              <w:pStyle w:val="BDOITable"/>
            </w:pPr>
            <w:r>
              <w:rPr>
                <w:sz w:val="16"/>
              </w:rPr>
              <w:t>Record a claim; Work with the insurers; Follow up and close</w:t>
            </w:r>
          </w:p>
        </w:tc>
      </w:tr>
      <w:tr>
        <w:trPr>
          <w:cantSplit w:val="true"/>
        </w:trPr>
        <w:tc>
          <w:tcPr>
            <w:tcW w:type="dxa" w:w="2042"/>
            <w:tcMar>
              <w:top w:w="50" w:type="dxa"/>
              <w:bottom w:w="50" w:type="dxa"/>
              <w:left w:w="90" w:type="dxa"/>
              <w:right w:w="90" w:type="dxa"/>
            </w:tcMar>
          </w:tcPr>
          <w:p>
            <w:pPr>
              <w:pStyle w:val="BDOITable"/>
            </w:pPr>
            <w:r>
              <w:rPr>
                <w:sz w:val="16"/>
              </w:rPr>
              <w:t>Business Administrator</w:t>
            </w:r>
          </w:p>
        </w:tc>
        <w:tc>
          <w:tcPr>
            <w:tcW w:type="dxa" w:w="3364"/>
            <w:tcMar>
              <w:top w:w="50" w:type="dxa"/>
              <w:bottom w:w="50" w:type="dxa"/>
              <w:left w:w="90" w:type="dxa"/>
              <w:right w:w="90" w:type="dxa"/>
            </w:tcMar>
          </w:tcPr>
          <w:p>
            <w:pPr>
              <w:pStyle w:val="BDOITable"/>
            </w:pPr>
            <w:r>
              <w:rPr>
                <w:sz w:val="16"/>
              </w:rPr>
              <w:t>BIBS_Adoption_BRD-00_QRG_Business_Administrator_v1.0</w:t>
            </w:r>
          </w:p>
        </w:tc>
        <w:tc>
          <w:tcPr>
            <w:tcW w:type="dxa" w:w="4565"/>
            <w:tcMar>
              <w:top w:w="50" w:type="dxa"/>
              <w:bottom w:w="50" w:type="dxa"/>
              <w:left w:w="90" w:type="dxa"/>
              <w:right w:w="90" w:type="dxa"/>
            </w:tcMar>
          </w:tcPr>
          <w:p>
            <w:pPr>
              <w:pStyle w:val="BDOITable"/>
            </w:pPr>
            <w:r>
              <w:rPr>
                <w:sz w:val="16"/>
              </w:rPr>
              <w:t>Authorise a clause and add an insurer commission rate; Request a new group profile; Maintain lists of values, templates and renewal rules</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System and Security Administrator</w:t>
            </w:r>
          </w:p>
        </w:tc>
        <w:tc>
          <w:tcPr>
            <w:tcW w:type="dxa" w:w="3364"/>
            <w:tcMar>
              <w:top w:w="50" w:type="dxa"/>
              <w:bottom w:w="50" w:type="dxa"/>
              <w:left w:w="90" w:type="dxa"/>
              <w:right w:w="90" w:type="dxa"/>
            </w:tcMar>
            <w:shd w:val="clear" w:color="auto" w:fill="E5F5FF"/>
          </w:tcPr>
          <w:p>
            <w:pPr>
              <w:pStyle w:val="BDOITable"/>
            </w:pPr>
            <w:r>
              <w:rPr>
                <w:sz w:val="16"/>
              </w:rPr>
              <w:t>BIBS_Adoption_BRD-00_QRG_System_Security_Administrator_v1.0</w:t>
            </w:r>
          </w:p>
        </w:tc>
        <w:tc>
          <w:tcPr>
            <w:tcW w:type="dxa" w:w="4565"/>
            <w:tcMar>
              <w:top w:w="50" w:type="dxa"/>
              <w:bottom w:w="50" w:type="dxa"/>
              <w:left w:w="90" w:type="dxa"/>
              <w:right w:w="90" w:type="dxa"/>
            </w:tcMar>
            <w:shd w:val="clear" w:color="auto" w:fill="E5F5FF"/>
          </w:tcPr>
          <w:p>
            <w:pPr>
              <w:pStyle w:val="BDOITable"/>
            </w:pPr>
            <w:r>
              <w:rPr>
                <w:sz w:val="16"/>
              </w:rPr>
              <w:t>Implement an approved group-profile change; Unlock a user and review disabled users; Maintain the security parameters (Information Security)</w:t>
            </w:r>
          </w:p>
        </w:tc>
      </w:tr>
      <w:tr>
        <w:trPr>
          <w:cantSplit w:val="true"/>
        </w:trPr>
        <w:tc>
          <w:tcPr>
            <w:tcW w:type="dxa" w:w="2042"/>
            <w:tcMar>
              <w:top w:w="50" w:type="dxa"/>
              <w:bottom w:w="50" w:type="dxa"/>
              <w:left w:w="90" w:type="dxa"/>
              <w:right w:w="90" w:type="dxa"/>
            </w:tcMar>
          </w:tcPr>
          <w:p>
            <w:pPr>
              <w:pStyle w:val="BDOITable"/>
            </w:pPr>
            <w:r>
              <w:rPr>
                <w:sz w:val="16"/>
              </w:rPr>
              <w:t>Auditor</w:t>
            </w:r>
          </w:p>
        </w:tc>
        <w:tc>
          <w:tcPr>
            <w:tcW w:type="dxa" w:w="3364"/>
            <w:tcMar>
              <w:top w:w="50" w:type="dxa"/>
              <w:bottom w:w="50" w:type="dxa"/>
              <w:left w:w="90" w:type="dxa"/>
              <w:right w:w="90" w:type="dxa"/>
            </w:tcMar>
          </w:tcPr>
          <w:p>
            <w:pPr>
              <w:pStyle w:val="BDOITable"/>
            </w:pPr>
            <w:r>
              <w:rPr>
                <w:sz w:val="16"/>
              </w:rPr>
              <w:t>BIBS_Adoption_BRD-00_QRG_Auditor_v1.0</w:t>
            </w:r>
          </w:p>
        </w:tc>
        <w:tc>
          <w:tcPr>
            <w:tcW w:type="dxa" w:w="4565"/>
            <w:tcMar>
              <w:top w:w="50" w:type="dxa"/>
              <w:bottom w:w="50" w:type="dxa"/>
              <w:left w:w="90" w:type="dxa"/>
              <w:right w:w="90" w:type="dxa"/>
            </w:tcMar>
          </w:tcPr>
          <w:p>
            <w:pPr>
              <w:pStyle w:val="BDOITable"/>
            </w:pPr>
            <w:r>
              <w:rPr>
                <w:sz w:val="16"/>
              </w:rPr>
              <w:t>Review sign-ins and access changes; Check who may do what; Trace a transaction</w:t>
            </w:r>
          </w:p>
        </w:tc>
      </w:tr>
    </w:tbl>
    <w:p>
      <w:pPr>
        <w:pStyle w:val="BDOISpacer"/>
      </w:pPr>
    </w:p>
    <w:p>
      <w:r>
        <w:rPr/>
        <w:t>Each quick-reference guide names, for every step, the screen and the FRS walkthrough step or functional requirement it follows, so that the trainer and the key user can open the full walkthrough with its screenshots. The guides of Renewal, Claims and the other BRDs without a screen register yet name the screens as the FR does; they receive screen IDs when the sign-off sets of those BRDs are issued.</w:t>
      </w:r>
    </w:p>
    <w:p>
      <w:pPr>
        <w:pStyle w:val="Heading1"/>
        <w:pBdr>
          <w:bottom w:val="single" w:sz="4" w:space="4" w:color="99C1E7"/>
        </w:pBdr>
      </w:pPr>
      <w:bookmarkStart w:id="111" w:name="_Toc000111"/>
      <w:r>
        <w:rPr/>
        <w:t>7 References</w:t>
      </w:r>
      <w:bookmarkEnd w:id="111"/>
    </w:p>
    <w:p>
      <w:pPr>
        <w:tabs>
          <w:tab w:pos="312" w:val="left"/>
        </w:tabs>
        <w:spacing w:after="40"/>
        <w:ind w:left="312" w:hanging="283"/>
      </w:pPr>
      <w:r>
        <w:rPr>
          <w:color w:val="004EA8"/>
        </w:rPr>
        <w:t>•</w:t>
        <w:tab/>
      </w:r>
      <w:r>
        <w:rPr/>
        <w:t>FRS of BRD-01 to BRD-13: personas, walkthroughs, screen specifications, messages; UX screen decks and registers.</w:t>
      </w:r>
    </w:p>
    <w:p>
      <w:pPr>
        <w:tabs>
          <w:tab w:pos="312" w:val="left"/>
        </w:tabs>
        <w:spacing w:after="40"/>
        <w:ind w:left="312" w:hanging="283"/>
      </w:pPr>
      <w:r>
        <w:rPr>
          <w:color w:val="004EA8"/>
        </w:rPr>
        <w:t>•</w:t>
        <w:tab/>
      </w:r>
      <w:r>
        <w:rPr/>
        <w:t>Umbrella FRS (BRD-00): personas and menu groups.</w:t>
      </w:r>
    </w:p>
    <w:p>
      <w:pPr>
        <w:tabs>
          <w:tab w:pos="312" w:val="left"/>
        </w:tabs>
        <w:spacing w:after="40"/>
        <w:ind w:left="312" w:hanging="283"/>
      </w:pPr>
      <w:r>
        <w:rPr>
          <w:color w:val="004EA8"/>
        </w:rPr>
        <w:t>•</w:t>
        <w:tab/>
      </w:r>
      <w:r>
        <w:rPr/>
        <w:t>BDO UX guidelines; Help Center content of BIBS.</w:t>
      </w:r>
    </w:p>
    <w:p>
      <w:pPr>
        <w:tabs>
          <w:tab w:pos="312" w:val="left"/>
        </w:tabs>
        <w:spacing w:after="120"/>
        <w:ind w:left="312" w:hanging="283"/>
      </w:pPr>
      <w:r>
        <w:rPr>
          <w:color w:val="004EA8"/>
        </w:rPr>
        <w:t>•</w:t>
        <w:tab/>
      </w:r>
      <w:r>
        <w:rPr/>
        <w:t>Change Management and Training Framework and Knowledge Transfer Plan, version 1.0.</w:t>
      </w:r>
    </w:p>
    <w:p>
      <w:pPr>
        <w:pStyle w:val="Heading1"/>
        <w:pBdr>
          <w:bottom w:val="single" w:sz="4" w:space="4" w:color="99C1E7"/>
        </w:pBdr>
      </w:pPr>
      <w:bookmarkStart w:id="112" w:name="_Toc000112"/>
      <w:r>
        <w:rPr/>
        <w:t>8 Decisions and open points for BDOI</w:t>
      </w:r>
      <w:bookmarkEnd w:id="112"/>
    </w:p>
    <w:p>
      <w:pPr>
        <w:pStyle w:val="Caption"/>
        <w:keepNext/>
        <w:spacing w:after="60"/>
      </w:pPr>
      <w:r>
        <w:rPr>
          <w:b/>
          <w:i w:val="0"/>
        </w:rPr>
        <w:t xml:space="preserve">Table 6: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5046"/>
        <w:gridCol w:w="1922"/>
        <w:gridCol w:w="1201"/>
        <w:gridCol w:w="96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Decision or open point (our proposal)</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Needed by</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841"/>
            <w:tcMar>
              <w:top w:w="50" w:type="dxa"/>
              <w:bottom w:w="50" w:type="dxa"/>
              <w:left w:w="90" w:type="dxa"/>
              <w:right w:w="90" w:type="dxa"/>
            </w:tcMar>
          </w:tcPr>
          <w:p>
            <w:pPr>
              <w:pStyle w:val="BDOITable"/>
            </w:pPr>
            <w:r>
              <w:rPr>
                <w:sz w:val="17"/>
              </w:rPr>
              <w:t>UM-01</w:t>
            </w:r>
          </w:p>
        </w:tc>
        <w:tc>
          <w:tcPr>
            <w:tcW w:type="dxa" w:w="5046"/>
            <w:tcMar>
              <w:top w:w="50" w:type="dxa"/>
              <w:bottom w:w="50" w:type="dxa"/>
              <w:left w:w="90" w:type="dxa"/>
              <w:right w:w="90" w:type="dxa"/>
            </w:tcMar>
          </w:tcPr>
          <w:p>
            <w:pPr>
              <w:pStyle w:val="BDOITable"/>
            </w:pPr>
            <w:r>
              <w:rPr>
                <w:sz w:val="17"/>
              </w:rPr>
              <w:t>Approve the documentation set and the User Manual structure</w:t>
            </w:r>
          </w:p>
        </w:tc>
        <w:tc>
          <w:tcPr>
            <w:tcW w:type="dxa" w:w="1922"/>
            <w:tcMar>
              <w:top w:w="50" w:type="dxa"/>
              <w:bottom w:w="50" w:type="dxa"/>
              <w:left w:w="90" w:type="dxa"/>
              <w:right w:w="90" w:type="dxa"/>
            </w:tcMar>
          </w:tcPr>
          <w:p>
            <w:pPr>
              <w:pStyle w:val="BDOITable"/>
            </w:pPr>
            <w:r>
              <w:rPr>
                <w:sz w:val="17"/>
              </w:rPr>
              <w:t>BIBS Product Owner</w:t>
            </w:r>
          </w:p>
        </w:tc>
        <w:tc>
          <w:tcPr>
            <w:tcW w:type="dxa" w:w="1201"/>
            <w:tcMar>
              <w:top w:w="50" w:type="dxa"/>
              <w:bottom w:w="50" w:type="dxa"/>
              <w:left w:w="90" w:type="dxa"/>
              <w:right w:w="90" w:type="dxa"/>
            </w:tcMar>
          </w:tcPr>
          <w:p>
            <w:pPr>
              <w:pStyle w:val="BDOITable"/>
            </w:pPr>
            <w:r>
              <w:rPr>
                <w:sz w:val="17"/>
              </w:rPr>
              <w:t>30-Nov-2026</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UM-02</w:t>
            </w:r>
          </w:p>
        </w:tc>
        <w:tc>
          <w:tcPr>
            <w:tcW w:type="dxa" w:w="5046"/>
            <w:tcMar>
              <w:top w:w="50" w:type="dxa"/>
              <w:bottom w:w="50" w:type="dxa"/>
              <w:left w:w="90" w:type="dxa"/>
              <w:right w:w="90" w:type="dxa"/>
            </w:tcMar>
            <w:shd w:val="clear" w:color="auto" w:fill="E5F5FF"/>
          </w:tcPr>
          <w:p>
            <w:pPr>
              <w:pStyle w:val="BDOITable"/>
            </w:pPr>
            <w:r>
              <w:rPr>
                <w:sz w:val="17"/>
              </w:rPr>
              <w:t>Confirm the 13 main personas and add any persona that needs its own guide (for example Remittance Processor, Adjustment Processor, Contact Center staff, Compliance Officer)</w:t>
            </w:r>
          </w:p>
        </w:tc>
        <w:tc>
          <w:tcPr>
            <w:tcW w:type="dxa" w:w="1922"/>
            <w:tcMar>
              <w:top w:w="50" w:type="dxa"/>
              <w:bottom w:w="50" w:type="dxa"/>
              <w:left w:w="90" w:type="dxa"/>
              <w:right w:w="90" w:type="dxa"/>
            </w:tcMar>
            <w:shd w:val="clear" w:color="auto" w:fill="E5F5FF"/>
          </w:tcPr>
          <w:p>
            <w:pPr>
              <w:pStyle w:val="BDOITable"/>
            </w:pPr>
            <w:r>
              <w:rPr>
                <w:sz w:val="17"/>
              </w:rPr>
              <w:t>Business owners</w:t>
            </w:r>
          </w:p>
        </w:tc>
        <w:tc>
          <w:tcPr>
            <w:tcW w:type="dxa" w:w="1201"/>
            <w:tcMar>
              <w:top w:w="50" w:type="dxa"/>
              <w:bottom w:w="50" w:type="dxa"/>
              <w:left w:w="90" w:type="dxa"/>
              <w:right w:w="90" w:type="dxa"/>
            </w:tcMar>
            <w:shd w:val="clear" w:color="auto" w:fill="E5F5FF"/>
          </w:tcPr>
          <w:p>
            <w:pPr>
              <w:pStyle w:val="BDOITable"/>
            </w:pPr>
            <w:r>
              <w:rPr>
                <w:sz w:val="17"/>
              </w:rPr>
              <w:t>31-Jan-2027</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841"/>
            <w:tcMar>
              <w:top w:w="50" w:type="dxa"/>
              <w:bottom w:w="50" w:type="dxa"/>
              <w:left w:w="90" w:type="dxa"/>
              <w:right w:w="90" w:type="dxa"/>
            </w:tcMar>
          </w:tcPr>
          <w:p>
            <w:pPr>
              <w:pStyle w:val="BDOITable"/>
            </w:pPr>
            <w:r>
              <w:rPr>
                <w:sz w:val="17"/>
              </w:rPr>
              <w:t>UM-03</w:t>
            </w:r>
          </w:p>
        </w:tc>
        <w:tc>
          <w:tcPr>
            <w:tcW w:type="dxa" w:w="5046"/>
            <w:tcMar>
              <w:top w:w="50" w:type="dxa"/>
              <w:bottom w:w="50" w:type="dxa"/>
              <w:left w:w="90" w:type="dxa"/>
              <w:right w:w="90" w:type="dxa"/>
            </w:tcMar>
          </w:tcPr>
          <w:p>
            <w:pPr>
              <w:pStyle w:val="BDOITable"/>
            </w:pPr>
            <w:r>
              <w:rPr>
                <w:sz w:val="17"/>
              </w:rPr>
              <w:t>Name the key users who check each persona part on UAT</w:t>
            </w:r>
          </w:p>
        </w:tc>
        <w:tc>
          <w:tcPr>
            <w:tcW w:type="dxa" w:w="1922"/>
            <w:tcMar>
              <w:top w:w="50" w:type="dxa"/>
              <w:bottom w:w="50" w:type="dxa"/>
              <w:left w:w="90" w:type="dxa"/>
              <w:right w:w="90" w:type="dxa"/>
            </w:tcMar>
          </w:tcPr>
          <w:p>
            <w:pPr>
              <w:pStyle w:val="BDOITable"/>
            </w:pPr>
            <w:r>
              <w:rPr>
                <w:sz w:val="17"/>
              </w:rPr>
              <w:t>Business owners</w:t>
            </w:r>
          </w:p>
        </w:tc>
        <w:tc>
          <w:tcPr>
            <w:tcW w:type="dxa" w:w="1201"/>
            <w:tcMar>
              <w:top w:w="50" w:type="dxa"/>
              <w:bottom w:w="50" w:type="dxa"/>
              <w:left w:w="90" w:type="dxa"/>
              <w:right w:w="90" w:type="dxa"/>
            </w:tcMar>
          </w:tcPr>
          <w:p>
            <w:pPr>
              <w:pStyle w:val="BDOITable"/>
            </w:pPr>
            <w:r>
              <w:rPr>
                <w:sz w:val="17"/>
              </w:rPr>
              <w:t>30-Jun-2027</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UM-04</w:t>
            </w:r>
          </w:p>
        </w:tc>
        <w:tc>
          <w:tcPr>
            <w:tcW w:type="dxa" w:w="5046"/>
            <w:tcMar>
              <w:top w:w="50" w:type="dxa"/>
              <w:bottom w:w="50" w:type="dxa"/>
              <w:left w:w="90" w:type="dxa"/>
              <w:right w:w="90" w:type="dxa"/>
            </w:tcMar>
            <w:shd w:val="clear" w:color="auto" w:fill="E5F5FF"/>
          </w:tcPr>
          <w:p>
            <w:pPr>
              <w:pStyle w:val="BDOITable"/>
            </w:pPr>
            <w:r>
              <w:rPr>
                <w:sz w:val="17"/>
              </w:rPr>
              <w:t>Confirm the BDOI intranet location for the published PDFs and the link from the Help Center</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201"/>
            <w:tcMar>
              <w:top w:w="50" w:type="dxa"/>
              <w:bottom w:w="50" w:type="dxa"/>
              <w:left w:w="90" w:type="dxa"/>
              <w:right w:w="90" w:type="dxa"/>
            </w:tcMar>
            <w:shd w:val="clear" w:color="auto" w:fill="E5F5FF"/>
          </w:tcPr>
          <w:p>
            <w:pPr>
              <w:pStyle w:val="BDOITable"/>
            </w:pPr>
            <w:r>
              <w:rPr>
                <w:sz w:val="17"/>
              </w:rPr>
              <w:t>30-Sep-2027</w:t>
            </w:r>
          </w:p>
        </w:tc>
        <w:tc>
          <w:tcPr>
            <w:tcW w:type="dxa" w:w="961"/>
            <w:tcMar>
              <w:top w:w="50" w:type="dxa"/>
              <w:bottom w:w="50" w:type="dxa"/>
              <w:left w:w="90" w:type="dxa"/>
              <w:right w:w="90" w:type="dxa"/>
            </w:tcMar>
            <w:shd w:val="clear" w:color="auto" w:fill="E5F5FF"/>
          </w:tcPr>
          <w:p>
            <w:pPr>
              <w:pStyle w:val="BDOITable"/>
            </w:pPr>
            <w:r>
              <w:rPr>
                <w:sz w:val="17"/>
              </w:rPr>
              <w:t>-</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BIBS User Manual Framework</w:t>
    </w:r>
    <w:r>
      <w:rPr>
        <w:color w:val="656565"/>
        <w:sz w:val="16"/>
      </w:rPr>
      <w:t xml:space="preserve">   User Manual Framework</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User Manual Framework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