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2232000" cy="454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5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  <w:pBdr>
          <w:bottom w:val="single" w:sz="12" w:space="1" w:color="FDB913"/>
        </w:pBdr>
      </w:pPr>
    </w:p>
    <w:p>
      <w:pPr>
        <w:spacing w:before="1600" w:after="0"/>
      </w:pPr>
    </w:p>
    <w:p>
      <w:pPr>
        <w:spacing w:after="120"/>
      </w:pPr>
      <w:r>
        <w:rPr>
          <w:b/>
          <w:color w:val="0072D8"/>
          <w:sz w:val="22"/>
        </w:rPr>
        <w:t>HYPERCARE PLAN</w:t>
      </w:r>
    </w:p>
    <w:p>
      <w:pPr>
        <w:spacing w:after="80" w:line="240" w:lineRule="auto"/>
      </w:pPr>
      <w:r>
        <w:rPr>
          <w:b/>
          <w:color w:val="004EA8"/>
          <w:sz w:val="56"/>
        </w:rPr>
        <w:t>Hypercare, Warranty and Sign-off Plan</w:t>
      </w:r>
    </w:p>
    <w:p>
      <w:pPr>
        <w:spacing w:after="40"/>
      </w:pPr>
      <w:r>
        <w:rPr>
          <w:color w:val="2E2E2E"/>
          <w:sz w:val="28"/>
        </w:rPr>
        <w:t>Hypercare after the January 2028 go-live, exit criteria, issue targets, handover to steady-state support, warranty and the acceptance certificates</w:t>
      </w:r>
    </w:p>
    <w:p>
      <w:pPr>
        <w:spacing w:after="560"/>
      </w:pPr>
      <w:r>
        <w:rPr>
          <w:color w:val="656565"/>
          <w:sz w:val="24"/>
        </w:rPr>
        <w:t>BIBS – BDOI Broker System</w:t>
      </w:r>
    </w:p>
    <w:tbl>
      <w:tblPr>
        <w:tblW w:type="dxa" w:w="8278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237"/>
      </w:tblGrid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Client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BDO Insurance and Reinsurance Brokers, Inc.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Document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BIBS-GL-HYP-BRD-00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Version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1.0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Date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8 October 2026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Status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Issued for BDOI review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Classification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b/>
                <w:color w:val="2E2E2E"/>
                <w:sz w:val="20"/>
              </w:rPr>
              <w:t>Confidential</w:t>
            </w:r>
          </w:p>
        </w:tc>
      </w:tr>
    </w:tbl>
    <w:p>
      <w:pPr>
        <w:spacing w:before="2600" w:after="0"/>
      </w:pPr>
    </w:p>
    <w:p>
      <w:pPr>
        <w:pBdr>
          <w:top w:val="single" w:sz="4" w:space="6" w:color="C2C2C1"/>
        </w:pBdr>
        <w:tabs>
          <w:tab w:pos="9972" w:val="right"/>
        </w:tabs>
      </w:pPr>
      <w:r>
        <w:rPr>
          <w:color w:val="656565"/>
          <w:sz w:val="18"/>
        </w:rPr>
        <w:t>Prepared by iorta TechNXT for BDOI</w:t>
      </w:r>
      <w:r>
        <w:tab/>
      </w:r>
      <w:r>
        <w:drawing>
          <wp:inline xmlns:a="http://schemas.openxmlformats.org/drawingml/2006/main" xmlns:pic="http://schemas.openxmlformats.org/drawingml/2006/picture">
            <wp:extent cx="977258" cy="2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rta-techn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258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919191"/>
          <w:sz w:val="15"/>
        </w:rPr>
        <w:t>iNXT BrokerVerse. This document is confidential to BDO Insurance and Reinsurance Brokers, Inc. and iorta TechNXT.</w:t>
      </w:r>
    </w:p>
    <w:p>
      <w:pPr>
        <w:pStyle w:val="BDOIFrontHeading"/>
        <w:pageBreakBefore/>
      </w:pPr>
      <w:r>
        <w:t>Document Control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06"/>
        <w:gridCol w:w="1359"/>
        <w:gridCol w:w="1699"/>
        <w:gridCol w:w="1699"/>
        <w:gridCol w:w="1699"/>
        <w:gridCol w:w="2606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6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6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1.0</w:t>
            </w:r>
          </w:p>
        </w:tc>
        <w:tc>
          <w:tcPr>
            <w:tcW w:type="dxa" w:w="136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08 Oct 2026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 Project Manager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 Service Delivery Lead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 Program Manager (pending)</w:t>
            </w:r>
          </w:p>
        </w:tc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First issue. Hypercare from go-live to the January 2028 month-end close, daily stand-up and triage, issue targets, exit criteria, handover to the support model, a 12-month warranty and the certificates C1 UAT acceptance, C2 go-live acceptance and C3 hypercare exit</w:t>
            </w:r>
          </w:p>
        </w:tc>
      </w:tr>
    </w:tbl>
    <w:p>
      <w:pPr>
        <w:pStyle w:val="BDOISpacer"/>
      </w:pPr>
    </w:p>
    <w:p>
      <w:pPr>
        <w:spacing w:after="80"/>
      </w:pPr>
    </w:p>
    <w:p>
      <w:pPr>
        <w:pStyle w:val="BDOIFrontHeading"/>
      </w:pPr>
      <w:r>
        <w:t>Distribution List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606"/>
        <w:gridCol w:w="2266"/>
        <w:gridCol w:w="2266"/>
        <w:gridCol w:w="2833"/>
      </w:tblGrid>
      <w:tr>
        <w:trPr>
          <w:tblHeader w:val="true"/>
          <w:cantSplit w:val="true"/>
        </w:trPr>
        <w:tc>
          <w:tcPr>
            <w:tcW w:type="dxa" w:w="26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 / Unit</w:t>
            </w:r>
          </w:p>
        </w:tc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2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Approver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Hypercare, certificates C2 and C3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Head, BDOI IT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Approver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Handover to steady-state support, warranty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BIBS Product Owner; owners of BRD-1 to BRD-13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Approvers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UAT acceptance per drop (C1)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Heads of Operations, Comptrollership, Marketing; Head of the Renewal processing team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Reviewers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Business checks of hypercare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BIBS Service Owner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Handover and support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Project and support team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Hypercare, fixes, warranty</w:t>
            </w:r>
          </w:p>
        </w:tc>
      </w:tr>
    </w:tbl>
    <w:p>
      <w:pPr>
        <w:pStyle w:val="BDOISpacer"/>
      </w:pPr>
    </w:p>
    <w:p>
      <w:pPr>
        <w:pStyle w:val="BDOIFrontHeading"/>
        <w:pageBreakBefore/>
      </w:pPr>
      <w:r>
        <w:t>Contents</w:t>
      </w:r>
    </w:p>
    <w:p>
      <w:pPr>
        <w:spacing w:after="0"/>
      </w:pP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000101" w:history="1">
        <w:r>
          <w:t xml:space="preserve">1 Introduction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2" w:history="1">
        <w:r>
          <w:t xml:space="preserve">1.1 Purpose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3" w:history="1">
        <w:r>
          <w:t xml:space="preserve">1.2 Audience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4" w:history="1">
        <w:r>
          <w:t xml:space="preserve">1.3 Reference documents</w:t>
        </w:r>
        <w:r>
          <w:t xml:space="preserve">	</w:t>
        </w:r>
        <w:r>
          <w:t xml:space="preserve">4</w:t>
        </w:r>
      </w:hyperlink>
    </w:p>
    <w:p>
      <w:pPr>
        <w:pStyle w:val="toc1"/>
      </w:pPr>
      <w:hyperlink w:anchor="_Toc000105" w:history="1">
        <w:r>
          <w:t xml:space="preserve">2 From UAT to steady state</w:t>
        </w:r>
        <w:r>
          <w:t xml:space="preserve">	</w:t>
        </w:r>
        <w:r>
          <w:t xml:space="preserve">5</w:t>
        </w:r>
      </w:hyperlink>
    </w:p>
    <w:p>
      <w:pPr>
        <w:pStyle w:val="toc1"/>
      </w:pPr>
      <w:hyperlink w:anchor="_Toc000106" w:history="1">
        <w:r>
          <w:t xml:space="preserve">3 Hypercare</w:t>
        </w:r>
        <w:r>
          <w:t xml:space="preserve">	</w:t>
        </w:r>
        <w:r>
          <w:t xml:space="preserve">6</w:t>
        </w:r>
      </w:hyperlink>
    </w:p>
    <w:p>
      <w:pPr>
        <w:pStyle w:val="toc2"/>
      </w:pPr>
      <w:hyperlink w:anchor="_Toc000107" w:history="1">
        <w:r>
          <w:t xml:space="preserve">3.1 Duration</w:t>
        </w:r>
        <w:r>
          <w:t xml:space="preserve">	</w:t>
        </w:r>
        <w:r>
          <w:t xml:space="preserve">6</w:t>
        </w:r>
      </w:hyperlink>
    </w:p>
    <w:p>
      <w:pPr>
        <w:pStyle w:val="toc2"/>
      </w:pPr>
      <w:hyperlink w:anchor="_Toc000108" w:history="1">
        <w:r>
          <w:t xml:space="preserve">3.2 Organisation and roster</w:t>
        </w:r>
        <w:r>
          <w:t xml:space="preserve">	</w:t>
        </w:r>
        <w:r>
          <w:t xml:space="preserve">6</w:t>
        </w:r>
      </w:hyperlink>
    </w:p>
    <w:p>
      <w:pPr>
        <w:pStyle w:val="toc2"/>
      </w:pPr>
      <w:hyperlink w:anchor="_Toc000109" w:history="1">
        <w:r>
          <w:t xml:space="preserve">3.3 Daily rhythm</w:t>
        </w:r>
        <w:r>
          <w:t xml:space="preserve">	</w:t>
        </w:r>
        <w:r>
          <w:t xml:space="preserve">7</w:t>
        </w:r>
      </w:hyperlink>
    </w:p>
    <w:p>
      <w:pPr>
        <w:pStyle w:val="toc2"/>
      </w:pPr>
      <w:hyperlink w:anchor="_Toc000110" w:history="1">
        <w:r>
          <w:t xml:space="preserve">3.4 Issue management</w:t>
        </w:r>
        <w:r>
          <w:t xml:space="preserve">	</w:t>
        </w:r>
        <w:r>
          <w:t xml:space="preserve">7</w:t>
        </w:r>
      </w:hyperlink>
    </w:p>
    <w:p>
      <w:pPr>
        <w:pStyle w:val="toc2"/>
      </w:pPr>
      <w:hyperlink w:anchor="_Toc000111" w:history="1">
        <w:r>
          <w:t xml:space="preserve">3.5 Issue resolution targets in hypercare</w:t>
        </w:r>
        <w:r>
          <w:t xml:space="preserve">	</w:t>
        </w:r>
        <w:r>
          <w:t xml:space="preserve">7</w:t>
        </w:r>
      </w:hyperlink>
    </w:p>
    <w:p>
      <w:pPr>
        <w:pStyle w:val="toc2"/>
      </w:pPr>
      <w:hyperlink w:anchor="_Toc000112" w:history="1">
        <w:r>
          <w:t xml:space="preserve">3.6 Releases in hypercare</w:t>
        </w:r>
        <w:r>
          <w:t xml:space="preserve">	</w:t>
        </w:r>
        <w:r>
          <w:t xml:space="preserve">8</w:t>
        </w:r>
      </w:hyperlink>
    </w:p>
    <w:p>
      <w:pPr>
        <w:pStyle w:val="toc2"/>
      </w:pPr>
      <w:hyperlink w:anchor="_Toc000113" w:history="1">
        <w:r>
          <w:t xml:space="preserve">3.7 Hypercare reporting</w:t>
        </w:r>
        <w:r>
          <w:t xml:space="preserve">	</w:t>
        </w:r>
        <w:r>
          <w:t xml:space="preserve">8</w:t>
        </w:r>
      </w:hyperlink>
    </w:p>
    <w:p>
      <w:pPr>
        <w:pStyle w:val="toc1"/>
      </w:pPr>
      <w:hyperlink w:anchor="_Toc000114" w:history="1">
        <w:r>
          <w:t xml:space="preserve">4 Exit criteria</w:t>
        </w:r>
        <w:r>
          <w:t xml:space="preserve">	</w:t>
        </w:r>
        <w:r>
          <w:t xml:space="preserve">9</w:t>
        </w:r>
      </w:hyperlink>
    </w:p>
    <w:p>
      <w:pPr>
        <w:pStyle w:val="toc1"/>
      </w:pPr>
      <w:hyperlink w:anchor="_Toc000115" w:history="1">
        <w:r>
          <w:t xml:space="preserve">5 Handover to steady-state support</w:t>
        </w:r>
        <w:r>
          <w:t xml:space="preserve">	</w:t>
        </w:r>
        <w:r>
          <w:t xml:space="preserve">11</w:t>
        </w:r>
      </w:hyperlink>
    </w:p>
    <w:p>
      <w:pPr>
        <w:pStyle w:val="toc2"/>
      </w:pPr>
      <w:hyperlink w:anchor="_Toc000116" w:history="1">
        <w:r>
          <w:t xml:space="preserve">5.1 Steps</w:t>
        </w:r>
        <w:r>
          <w:t xml:space="preserve">	</w:t>
        </w:r>
        <w:r>
          <w:t xml:space="preserve">11</w:t>
        </w:r>
      </w:hyperlink>
    </w:p>
    <w:p>
      <w:pPr>
        <w:pStyle w:val="toc2"/>
      </w:pPr>
      <w:hyperlink w:anchor="_Toc000117" w:history="1">
        <w:r>
          <w:t xml:space="preserve">5.2 What changes at handover</w:t>
        </w:r>
        <w:r>
          <w:t xml:space="preserve">	</w:t>
        </w:r>
        <w:r>
          <w:t xml:space="preserve">11</w:t>
        </w:r>
      </w:hyperlink>
    </w:p>
    <w:p>
      <w:pPr>
        <w:pStyle w:val="toc1"/>
      </w:pPr>
      <w:hyperlink w:anchor="_Toc000118" w:history="1">
        <w:r>
          <w:t xml:space="preserve">6 Warranty</w:t>
        </w:r>
        <w:r>
          <w:t xml:space="preserve">	</w:t>
        </w:r>
        <w:r>
          <w:t xml:space="preserve">12</w:t>
        </w:r>
      </w:hyperlink>
    </w:p>
    <w:p>
      <w:pPr>
        <w:pStyle w:val="toc2"/>
      </w:pPr>
      <w:hyperlink w:anchor="_Toc000119" w:history="1">
        <w:r>
          <w:t xml:space="preserve">6.1 Period</w:t>
        </w:r>
        <w:r>
          <w:t xml:space="preserve">	</w:t>
        </w:r>
        <w:r>
          <w:t xml:space="preserve">12</w:t>
        </w:r>
      </w:hyperlink>
    </w:p>
    <w:p>
      <w:pPr>
        <w:pStyle w:val="toc2"/>
      </w:pPr>
      <w:hyperlink w:anchor="_Toc000120" w:history="1">
        <w:r>
          <w:t xml:space="preserve">6.2 Scope</w:t>
        </w:r>
        <w:r>
          <w:t xml:space="preserve">	</w:t>
        </w:r>
        <w:r>
          <w:t xml:space="preserve">12</w:t>
        </w:r>
      </w:hyperlink>
    </w:p>
    <w:p>
      <w:pPr>
        <w:pStyle w:val="toc2"/>
      </w:pPr>
      <w:hyperlink w:anchor="_Toc000121" w:history="1">
        <w:r>
          <w:t xml:space="preserve">6.3 How a warranty issue is handled</w:t>
        </w:r>
        <w:r>
          <w:t xml:space="preserve">	</w:t>
        </w:r>
        <w:r>
          <w:t xml:space="preserve">12</w:t>
        </w:r>
      </w:hyperlink>
    </w:p>
    <w:p>
      <w:pPr>
        <w:pStyle w:val="toc1"/>
      </w:pPr>
      <w:hyperlink w:anchor="_Toc000122" w:history="1">
        <w:r>
          <w:t xml:space="preserve">7 Sign-off certificates</w:t>
        </w:r>
        <w:r>
          <w:t xml:space="preserve">	</w:t>
        </w:r>
        <w:r>
          <w:t xml:space="preserve">13</w:t>
        </w:r>
      </w:hyperlink>
    </w:p>
    <w:p>
      <w:pPr>
        <w:pStyle w:val="toc2"/>
      </w:pPr>
      <w:hyperlink w:anchor="_Toc000123" w:history="1">
        <w:r>
          <w:t xml:space="preserve">7.1 C1 UAT acceptance certificate (one per drop)</w:t>
        </w:r>
        <w:r>
          <w:t xml:space="preserve">	</w:t>
        </w:r>
        <w:r>
          <w:t xml:space="preserve">13</w:t>
        </w:r>
      </w:hyperlink>
    </w:p>
    <w:p>
      <w:pPr>
        <w:pStyle w:val="toc2"/>
      </w:pPr>
      <w:hyperlink w:anchor="_Toc000124" w:history="1">
        <w:r>
          <w:t xml:space="preserve">7.2 C2 Go-live acceptance certificate</w:t>
        </w:r>
        <w:r>
          <w:t xml:space="preserve">	</w:t>
        </w:r>
        <w:r>
          <w:t xml:space="preserve">14</w:t>
        </w:r>
      </w:hyperlink>
    </w:p>
    <w:p>
      <w:pPr>
        <w:pStyle w:val="toc2"/>
      </w:pPr>
      <w:hyperlink w:anchor="_Toc000125" w:history="1">
        <w:r>
          <w:t xml:space="preserve">7.3 C3 Hypercare exit and handover certificate</w:t>
        </w:r>
        <w:r>
          <w:t xml:space="preserve">	</w:t>
        </w:r>
        <w:r>
          <w:t xml:space="preserve">14</w:t>
        </w:r>
      </w:hyperlink>
    </w:p>
    <w:p>
      <w:pPr>
        <w:pStyle w:val="toc1"/>
      </w:pPr>
      <w:hyperlink w:anchor="_Toc000126" w:history="1">
        <w:r>
          <w:t xml:space="preserve">Decisions and open points for BDOI</w:t>
        </w:r>
        <w:r>
          <w:t xml:space="preserve">	</w:t>
        </w:r>
        <w:r>
          <w:t xml:space="preserve">16</w:t>
        </w:r>
      </w:hyperlink>
    </w:p>
    <w:p>
      <w:pPr>
        <w:pStyle w:val="toc1"/>
      </w:pPr>
      <w:hyperlink w:anchor="_Toc000127" w:history="1">
        <w:r>
          <w:t xml:space="preserve">Glossary</w:t>
        </w:r>
        <w:r>
          <w:t xml:space="preserve">	</w:t>
        </w:r>
        <w:r>
          <w:t xml:space="preserve">17</w:t>
        </w:r>
      </w:hyperlink>
    </w:p>
    <w:p>
      <w:pPr>
        <w:pStyle w:val="toc1"/>
      </w:pPr>
      <w:hyperlink w:anchor="_Toc000128" w:history="1">
        <w:r>
          <w:t xml:space="preserve">Sign-off</w:t>
        </w:r>
        <w:r>
          <w:t xml:space="preserve">	</w:t>
        </w:r>
        <w:r>
          <w:t xml:space="preserve">18</w:t>
        </w:r>
      </w:hyperlink>
      <w:r>
        <w:fldChar w:fldCharType="end"/>
      </w:r>
    </w:p>
    <w:p>
      <w:pPr>
        <w:pStyle w:val="Heading1"/>
        <w:pageBreakBefore/>
        <w:pBdr>
          <w:bottom w:val="single" w:sz="4" w:space="4" w:color="99C1E7"/>
        </w:pBdr>
      </w:pPr>
      <w:bookmarkStart w:id="101" w:name="_Toc000101"/>
      <w:r>
        <w:rPr/>
        <w:t>1 Introduction</w:t>
      </w:r>
      <w:bookmarkEnd w:id="101"/>
    </w:p>
    <w:p>
      <w:pPr>
        <w:pStyle w:val="Heading2"/>
      </w:pPr>
      <w:bookmarkStart w:id="102" w:name="_Toc000102"/>
      <w:r>
        <w:rPr/>
        <w:t>1.1 Purpose</w:t>
      </w:r>
      <w:bookmarkEnd w:id="102"/>
    </w:p>
    <w:p>
      <w:r>
        <w:rPr/>
        <w:t>This plan covers the time from UAT acceptance to steady-state support: how BIBS is accepted for go-live, how the project team supports it closely after the go-live of January 2028 (hypercare), when hypercare ends, how support passes to the support model, what the warranty covers, and the certificates that BDOI signs at each step.</w:t>
      </w:r>
    </w:p>
    <w:p>
      <w:pPr>
        <w:pStyle w:val="Heading2"/>
      </w:pPr>
      <w:bookmarkStart w:id="103" w:name="_Toc000103"/>
      <w:r>
        <w:rPr/>
        <w:t>1.2 Audience</w:t>
      </w:r>
      <w:bookmarkEnd w:id="103"/>
    </w:p>
    <w:p>
      <w:r>
        <w:rPr/>
        <w:t>The go / no-go board and the Program Manager; the business owners of the BRDs, who sign the UAT acceptance; the BIBS Service Owner, BDOI application support and the BDO service desk, who take over support; the iorta TechNXT project and support teams.</w:t>
      </w:r>
    </w:p>
    <w:p>
      <w:pPr>
        <w:pStyle w:val="Heading2"/>
      </w:pPr>
      <w:bookmarkStart w:id="104" w:name="_Toc000104"/>
      <w:r>
        <w:rPr/>
        <w:t>1.3 Reference documents</w:t>
      </w:r>
      <w:bookmarkEnd w:id="104"/>
    </w:p>
    <w:p>
      <w:pPr>
        <w:pStyle w:val="Caption"/>
        <w:keepNext/>
        <w:spacing w:after="60"/>
      </w:pPr>
      <w:r>
        <w:rPr>
          <w:b/>
          <w:i w:val="0"/>
        </w:rPr>
        <w:t xml:space="preserve">Table 1: </w:t>
      </w:r>
      <w:r>
        <w:rPr/>
        <w:t>Reference documents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600"/>
        <w:gridCol w:w="4445"/>
        <w:gridCol w:w="4926"/>
      </w:tblGrid>
      <w:tr>
        <w:trPr>
          <w:tblHeader w:val="true"/>
          <w:cantSplit w:val="true"/>
        </w:trPr>
        <w:tc>
          <w:tcPr>
            <w:tcW w:type="dxa" w:w="60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444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92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Go-Live, Cutover and Data Migration Plan v1.0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Go-live sequence, GNG-3, point of no return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Data Migration Handbook BRD-13 v2.1, Part D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Hypercare roster, daily checks, exit criteria, true-ups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Support Model and Support Guide v1.0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Severities, steady-state service levels, L1 guide, handover target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Operations Runbook and Observability v1.0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Daily operations check, alerts, jobs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R5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Production Readiness Checklist v1.0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Criteria carried into hypercare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R6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Test plans of BRD-1 to BRD-13 (release set files 04 and 05) and the UAT plans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UAT scope and results per drop</w:t>
            </w:r>
          </w:p>
        </w:tc>
      </w:tr>
      <w:tr>
        <w:trPr>
          <w:cantSplit w:val="true"/>
        </w:trPr>
        <w:tc>
          <w:tcPr>
            <w:tcW w:type="dxa" w:w="6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R7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Change Management Register v1.0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Changes after acceptance</w:t>
            </w: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05" w:name="_Toc000105"/>
      <w:r>
        <w:rPr/>
        <w:t>2 From UAT to steady state</w:t>
      </w:r>
      <w:bookmarkEnd w:id="105"/>
    </w:p>
    <w:p>
      <w:r>
        <w:rPr/>
        <w:t>Figure 1 shows the path from UAT acceptance to steady-state support and the three certificates.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34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_phases_93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i w:val="0"/>
        </w:rPr>
        <w:t xml:space="preserve">Figure 1: </w:t>
      </w:r>
      <w:r>
        <w:rPr/>
        <w:t>From UAT acceptance to steady-state support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2: </w:t>
      </w:r>
      <w:r>
        <w:rPr/>
        <w:t>Milestones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042"/>
        <w:gridCol w:w="2523"/>
        <w:gridCol w:w="5407"/>
      </w:tblGrid>
      <w:tr>
        <w:trPr>
          <w:tblHeader w:val="true"/>
          <w:cantSplit w:val="true"/>
        </w:trPr>
        <w:tc>
          <w:tcPr>
            <w:tcW w:type="dxa" w:w="20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52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0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UAT acceptance Drop 2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By 30 Nov 2027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Certificate C1 (Drop 2)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UAT acceptance Drop 0 and Drop 1 (end to end, on migrated data)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By 15 Dec 2027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Certificate C1 (Drop 0 and Drop 1)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Go / no-go GNG-3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Sun 2 Jan 2028, 18:00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Decision recorded with every criterion (R1)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Go-live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Mon 3 Jan 2028, 08:00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Go-live notice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Point of no return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Mon 3 Jan 2028, 18:00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Board decision (CT-069)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Go-live acceptance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Week-1 review, Mon 10 Jan 2028 (T+7)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Certificate C2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Hypercare mid-point review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Mon 17 Jan 2028 (T+14)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Criteria status (CT-079)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Hypercare exit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Wed 2 Feb 2028 (T+30), after the January month-end close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Certificate C3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End of warranty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Tue 2 Jan 2029</w:t>
            </w:r>
          </w:p>
        </w:tc>
        <w:tc>
          <w:tcPr>
            <w:tcW w:type="dxa" w:w="54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Warranty closure note; annual maintenance from 3 Jan 2029</w:t>
            </w: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06" w:name="_Toc000106"/>
      <w:r>
        <w:rPr/>
        <w:t>3 Hypercare</w:t>
      </w:r>
      <w:bookmarkEnd w:id="106"/>
    </w:p>
    <w:p>
      <w:pPr>
        <w:pStyle w:val="Heading2"/>
      </w:pPr>
      <w:bookmarkStart w:id="107" w:name="_Toc000107"/>
      <w:r>
        <w:rPr/>
        <w:t>3.1 Duration</w:t>
      </w:r>
      <w:bookmarkEnd w:id="107"/>
    </w:p>
    <w:p>
      <w:r>
        <w:rPr/>
        <w:t>Hypercare runs from go-live, Monday 3 January 2028, to the first month-end close with the legacy control accounts, planned for Wednesday 2 February 2028 (T+30), in two stages: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3: </w:t>
      </w:r>
      <w:r>
        <w:rPr/>
        <w:t>Stages of hypercare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042"/>
        <w:gridCol w:w="2162"/>
        <w:gridCol w:w="5767"/>
      </w:tblGrid>
      <w:tr>
        <w:trPr>
          <w:tblHeader w:val="true"/>
          <w:cantSplit w:val="true"/>
        </w:trPr>
        <w:tc>
          <w:tcPr>
            <w:tcW w:type="dxa" w:w="20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16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576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Set-up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Intensive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 to T+5 (3 to 8 Jan 2028)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Command centre open 07:00-20:00; infrastructure on call 24 x 7; floor support in every department and the main branches; status calls 08:00 and 17:00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Stabilise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T+6 to T+30 (9 Jan to 2 Feb 2028)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Daily stand-up and twice-daily triage; daily 17:00 call; support levels of the support model working beside the project team</w:t>
            </w:r>
          </w:p>
        </w:tc>
      </w:tr>
    </w:tbl>
    <w:p>
      <w:pPr>
        <w:pStyle w:val="BDOISpacer"/>
      </w:pPr>
    </w:p>
    <w:p>
      <w:r>
        <w:rPr>
          <w:b/>
        </w:rPr>
        <w:t>Extension.</w:t>
      </w:r>
      <w:r>
        <w:rPr/>
        <w:t xml:space="preserve"> If the exit criteria are not met at T+30, hypercare continues to the February 2028 month-end close (exit decision on Friday 3 March 2028, T+60) at no extra charge to BDOI. A second extension is decided by the Steering Committee with a recovery plan.</w:t>
      </w:r>
    </w:p>
    <w:p>
      <w:pPr>
        <w:pStyle w:val="Heading2"/>
      </w:pPr>
      <w:bookmarkStart w:id="108" w:name="_Toc000108"/>
      <w:r>
        <w:rPr/>
        <w:t>3.2 Organisation and roster</w:t>
      </w:r>
      <w:bookmarkEnd w:id="108"/>
    </w:p>
    <w:p>
      <w:r>
        <w:rPr/>
        <w:t>The roster of the cutover plan applies (R2). The names and telephone numbers are fixed at T-29 (CT-003).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4: </w:t>
      </w:r>
      <w:r>
        <w:rPr/>
        <w:t>Hypercare roster (Data Migration Handbook, Part D)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042"/>
        <w:gridCol w:w="3244"/>
        <w:gridCol w:w="3003"/>
        <w:gridCol w:w="1682"/>
      </w:tblGrid>
      <w:tr>
        <w:trPr>
          <w:tblHeader w:val="true"/>
          <w:cantSplit w:val="true"/>
        </w:trPr>
        <w:tc>
          <w:tcPr>
            <w:tcW w:type="dxa" w:w="20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24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Who</w:t>
            </w:r>
          </w:p>
        </w:tc>
        <w:tc>
          <w:tcPr>
            <w:tcW w:type="dxa" w:w="300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Hours</w:t>
            </w:r>
          </w:p>
        </w:tc>
        <w:tc>
          <w:tcPr>
            <w:tcW w:type="dxa" w:w="168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Reports to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Command centre lead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Project Manager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07:00-20:00 T to T+5; 08:00-18:00 after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Migration and reconciliation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Migration Lead; Migration Operator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07:00-22:00 T to T+5; business hours after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Project Manager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Application support (L2 / L3)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developers - Operations, Accounting, CRM, Renewal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07:00-20:00 T to T+5; on call to 22:00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Project Manager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Infrastructure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infrastructure team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24 x 7 on call T-3 to T+5; business hours after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Project Manager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Business floor support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super-users per department (Cashiering, Remittance, Collections, Accounting, Marketing)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Branch hours T to T+10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Migration Lead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Comptrollership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Reconciliation approver; GL lead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Daily 16:00 check T to first month-end; true-ups T+15 to T+120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Head, Comptrollership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Renewal processing team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Head of the Renewal processing team; makers and checkers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08:00-20:00 T to T+10 on the day-1 queue; P03 resubmissions on T-2 and T-1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Legacy systems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IT legacy administrator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Business hours; on call T-3 to T+1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IT head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Service desk (L1)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service desk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Service hours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 head</w:t>
            </w:r>
          </w:p>
        </w:tc>
      </w:tr>
    </w:tbl>
    <w:p>
      <w:pPr>
        <w:pStyle w:val="BDOISpacer"/>
      </w:pPr>
    </w:p>
    <w:p>
      <w:r>
        <w:rPr/>
        <w:t>Ticket routing during hypercare: users call the BDOI service desk (L1) or the floor support of their department; L1 logs every call; L2 and the iorta TechNXT application team triage together in the command centre; fixes follow section 3.5.</w:t>
      </w:r>
    </w:p>
    <w:p>
      <w:pPr>
        <w:pStyle w:val="Heading2"/>
      </w:pPr>
      <w:bookmarkStart w:id="109" w:name="_Toc000109"/>
      <w:r>
        <w:rPr/>
        <w:t>3.3 Daily rhythm</w:t>
      </w:r>
      <w:bookmarkEnd w:id="109"/>
    </w:p>
    <w:p>
      <w:pPr>
        <w:pStyle w:val="Caption"/>
        <w:keepNext/>
        <w:spacing w:after="60"/>
      </w:pPr>
      <w:r>
        <w:rPr>
          <w:b/>
          <w:i w:val="0"/>
        </w:rPr>
        <w:t xml:space="preserve">Table 5: </w:t>
      </w:r>
      <w:r>
        <w:rPr/>
        <w:t>Daily rhythm of hypercare (business days)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321"/>
        <w:gridCol w:w="2523"/>
        <w:gridCol w:w="4566"/>
        <w:gridCol w:w="1562"/>
      </w:tblGrid>
      <w:tr>
        <w:trPr>
          <w:tblHeader w:val="true"/>
          <w:cantSplit w:val="true"/>
        </w:trPr>
        <w:tc>
          <w:tcPr>
            <w:tcW w:type="dxa" w:w="13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252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Meeting or task</w:t>
            </w:r>
          </w:p>
        </w:tc>
        <w:tc>
          <w:tcPr>
            <w:tcW w:type="dxa" w:w="456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Lead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07:00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Daily operations check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Night batch, alerts, backups, replication, certificates (R4, section 7.2)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infrastructure team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07:30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Daily hypercare check (CT-071)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Migration Clearing 0.00 per branch and currency; legacy control accounts against their sub-ledgers; automatch results; exception queues; URGENT January renewals without an RA or insurer request; failed jobs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Migration Lead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08:30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Daily stand-up (15 minutes)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Overnight results; open P1 and P2; today's risks (deadlines, month-end, insurer due dates); help needed from the business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Project Manager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10:00 and 16:00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Triage (CT-072)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New issues: severity, category, owner, target; fixes ready for release; workarounds to publish to L1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QA lead with Operations, Comptrollership, Renewal and L2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12:00 (T to T+5)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Midday check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Queues, Migration Clearing, legacy posting check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Migration Lead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17:00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Status call and daily hypercare report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Issues opened and closed by severity and department; checks; decisions needed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Project Manager</w:t>
            </w:r>
          </w:p>
        </w:tc>
      </w:tr>
      <w:tr>
        <w:trPr>
          <w:cantSplit w:val="true"/>
        </w:trP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Weekly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Board review (T+7, T+14, T+21, T+30)</w:t>
            </w:r>
          </w:p>
        </w:tc>
        <w:tc>
          <w:tcPr>
            <w:tcW w:type="dxa" w:w="45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Issues, volumes, performance, renewal queue, user feedback, exit criteria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0" w:name="_Toc000110"/>
      <w:r>
        <w:rPr/>
        <w:t>3.4 Issue management</w:t>
      </w:r>
      <w:bookmarkEnd w:id="110"/>
    </w:p>
    <w:p>
      <w:r>
        <w:rPr/>
        <w:t>Every call and finding is an issue in the hypercare log in the ITSM tool, with: severity (P1 to P4 as in the support model), category, module, department and branch, the user, the record number, the evidence and the owner. Categories: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6: </w:t>
      </w:r>
      <w:r>
        <w:rPr/>
        <w:t>Issue categories in hypercare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162"/>
        <w:gridCol w:w="4806"/>
        <w:gridCol w:w="3003"/>
      </w:tblGrid>
      <w:tr>
        <w:trPr>
          <w:tblHeader w:val="true"/>
          <w:cantSplit w:val="true"/>
        </w:trPr>
        <w:tc>
          <w:tcPr>
            <w:tcW w:type="dxa" w:w="216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8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00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Handled by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Application fault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BIBS does not behave as the signed FRS and the accepted test cases say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(fix and release)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Migrated data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 migrated record is wrong or missing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Data Migration Lead and data owner decide; correction through the BIBS functions or a data correction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 parameter, list, rule, workflow or role is set wrongly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business administrator or L2 (standard change)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Access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 user lacks a role or a data scope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User access request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How-to and training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The user needs guidance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Floor support and L1; knowledge article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Change request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 new or different requirement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Change Management Register; not a hypercare fix</w:t>
            </w:r>
          </w:p>
        </w:tc>
      </w:tr>
      <w:tr>
        <w:trPr>
          <w:cantSplit w:val="true"/>
        </w:trPr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Interface or platform</w:t>
            </w:r>
          </w:p>
        </w:tc>
        <w:tc>
          <w:tcPr>
            <w:tcW w:type="dxa" w:w="48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 BDO system, AWS or the network</w:t>
            </w:r>
          </w:p>
        </w:tc>
        <w:tc>
          <w:tcPr>
            <w:tcW w:type="dxa" w:w="30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 or BDO Cloud Operations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1" w:name="_Toc000111"/>
      <w:r>
        <w:rPr/>
        <w:t>3.5 Issue resolution targets in hypercare</w:t>
      </w:r>
      <w:bookmarkEnd w:id="111"/>
    </w:p>
    <w:p>
      <w:r>
        <w:rPr/>
        <w:t>The targets are shorter than in steady state because the project team is on hand.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7: </w:t>
      </w:r>
      <w:r>
        <w:rPr/>
        <w:t>Issue targets in hypercare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61"/>
        <w:gridCol w:w="1802"/>
        <w:gridCol w:w="1802"/>
        <w:gridCol w:w="2162"/>
        <w:gridCol w:w="3244"/>
      </w:tblGrid>
      <w:tr>
        <w:trPr>
          <w:tblHeader w:val="true"/>
          <w:cantSplit w:val="true"/>
        </w:trPr>
        <w:tc>
          <w:tcPr>
            <w:tcW w:type="dxa" w:w="96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Response</w:t>
            </w:r>
          </w:p>
        </w:tc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Workaround</w:t>
            </w:r>
          </w:p>
        </w:tc>
        <w:tc>
          <w:tcPr>
            <w:tcW w:type="dxa" w:w="216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Fix in production</w:t>
            </w:r>
          </w:p>
        </w:tc>
        <w:tc>
          <w:tcPr>
            <w:tcW w:type="dxa" w:w="324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Updates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15 minutes (24 x 7 in the intensive stage)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2 hours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Hotfix within 24 hours, approved by the go / no-go board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Every hour on the bridge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30 minutes in service hours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 service hours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 business days, in a hotfix or the next hypercare release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At each triage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4 service hours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2 business days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10 business days, in a hypercare release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Daily report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1 business day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-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Planned with the Product Owner after hypercare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Weekly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2" w:name="_Toc000112"/>
      <w:r>
        <w:rPr/>
        <w:t>3.6 Releases in hypercare</w:t>
      </w:r>
      <w:bookmarkEnd w:id="112"/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From T-7 to T+14 production releases are frozen; only a hotfix of a Critical (P1) issue approved by the go / no-go board is deployed (R2, freeze windows).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The first planned hypercare release is in the window of Sunday 23 January 2028, 00:00-04:00 (T+20), with the P2 and P3 fixes accepted by the key users in UAT.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No release from 27 January to 3 February 2028 (January close), except a hotfix approved by the board.</w:t>
      </w:r>
    </w:p>
    <w:p>
      <w:pPr>
        <w:tabs>
          <w:tab w:pos="312" w:val="left"/>
        </w:tabs>
        <w:spacing w:after="120"/>
        <w:ind w:left="312" w:hanging="283"/>
      </w:pPr>
      <w:r>
        <w:rPr>
          <w:color w:val="004EA8"/>
        </w:rPr>
        <w:t>•</w:t>
        <w:tab/>
      </w:r>
      <w:r>
        <w:rPr/>
        <w:t>Every fix goes through UAT with the key user who raised the issue, then Pre-Prod, then production (Support Model, releases).</w:t>
      </w:r>
    </w:p>
    <w:p>
      <w:pPr>
        <w:pStyle w:val="Heading2"/>
      </w:pPr>
      <w:bookmarkStart w:id="113" w:name="_Toc000113"/>
      <w:r>
        <w:rPr/>
        <w:t>3.7 Hypercare reporting</w:t>
      </w:r>
      <w:bookmarkEnd w:id="113"/>
    </w:p>
    <w:p>
      <w:r>
        <w:rPr/>
        <w:t>The daily hypercare report (17:00) and the weekly board review show: tickets opened, closed and open by severity, category and department; P1 and P2 with status; the daily checks; the night batch; availability and response times against the SLOs; the URGENT January renewals with an RA sent or an insurer request; true-up 1 status (due T+18, 21 Jan 2028); and the status of each exit criterion.</w:t>
      </w:r>
    </w:p>
    <w:p>
      <w:pPr>
        <w:pStyle w:val="Heading1"/>
        <w:pageBreakBefore/>
        <w:pBdr>
          <w:bottom w:val="single" w:sz="4" w:space="4" w:color="99C1E7"/>
        </w:pBdr>
      </w:pPr>
      <w:bookmarkStart w:id="114" w:name="_Toc000114"/>
      <w:r>
        <w:rPr/>
        <w:t>4 Exit criteria</w:t>
      </w:r>
      <w:bookmarkEnd w:id="114"/>
    </w:p>
    <w:p>
      <w:r>
        <w:rPr/>
        <w:t>Hypercare ends when every criterion below is met, or waived by the go / no-go board with a dated plan. The cutover plan sets the business and migration criteria; this plan adds the support handover criteria.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8: </w:t>
      </w:r>
      <w:r>
        <w:rPr/>
        <w:t>Exit criteria of the cutover plan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41"/>
        <w:gridCol w:w="6969"/>
        <w:gridCol w:w="2162"/>
      </w:tblGrid>
      <w:tr>
        <w:trPr>
          <w:tblHeader w:val="true"/>
          <w:cantSplit w:val="true"/>
        </w:trPr>
        <w:tc>
          <w:tcPr>
            <w:tcW w:type="dxa" w:w="84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type="dxa" w:w="696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16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HX-01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No open Critical or High issue; Medium issues have an agreed fix date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HX-02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Migration Clearing 0.00 and legacy control accounts equal their sub-ledgers on 10 consecutive business days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HX-03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First month-end close completed with the ACSL GL-SL reconciliation (context LEGACY) without difference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HX-04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Payment files, automatch, remittance, DPPR / PR2307 batches and endorsements on legacy invoices each processed at least once in production without incident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HX-05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Staging and extract files of production purged within 5 days of sign-off (purge log)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HX-06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True-up 1 posted, reconciled and signed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HX-07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Every URGENT January renewal has an RA sent or an insurer request made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HX-08</w:t>
            </w:r>
          </w:p>
        </w:tc>
        <w:tc>
          <w:tcPr>
            <w:tcW w:type="dxa" w:w="69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Service desk ticket volume back to the level agreed in the support model; production support runbook (deliverable 24) accepted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Data Migration Handbook, Part D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9: </w:t>
      </w:r>
      <w:r>
        <w:rPr/>
        <w:t>Support handover criteria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41"/>
        <w:gridCol w:w="4926"/>
        <w:gridCol w:w="4205"/>
      </w:tblGrid>
      <w:tr>
        <w:trPr>
          <w:tblHeader w:val="true"/>
          <w:cantSplit w:val="true"/>
        </w:trPr>
        <w:tc>
          <w:tcPr>
            <w:tcW w:type="dxa" w:w="84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type="dxa" w:w="492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420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HX-09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No open P1 or P2 issue; every P3 has an agreed fix date and a workaround known to L1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Hypercare log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HX-10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New tickets below 40 a business day for 5 consecutive business days, with no rising trend (about 3 per 100 named users)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Ticket report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HX-11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SLOs met for 10 consecutive business days: availability 99.9 %, 95 % of screen requests within 2 seconds, night batch class A finished before 06:00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SLO dashboard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HX-12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Known errors and workarounds of hypercare published in the knowledge base; L1 guide updated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Knowledge base index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HX-13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L1 analysts and L2 analysts handled tickets alone for the last 5 business days (project team in support only)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Ticket assignment report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HX-14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Monitoring and alert routing working; first monthly restore spot check passed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Alert test; restore record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HX-15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Configuration baseline of production recorded; environment documentation current (versions, release, addresses, backups, secrets inventory without values)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Baseline export; environment sheet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HX-16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Migration roles removed; non-production staging data of the migration purged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User Access report; purge log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HX-17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Contacts and escalation matrix of the support model confirmed by a call test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Call test record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HX-18</w:t>
            </w:r>
          </w:p>
        </w:tc>
        <w:tc>
          <w:tcPr>
            <w:tcW w:type="dxa" w:w="492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Open P3 and P4 issues and approved change requests moved to the support backlog and the Change Management Register with their history</w:t>
            </w:r>
          </w:p>
        </w:tc>
        <w:tc>
          <w:tcPr>
            <w:tcW w:type="dxa" w:w="420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Transfer list</w:t>
            </w: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15" w:name="_Toc000115"/>
      <w:r>
        <w:rPr/>
        <w:t>5 Handover to steady-state support</w:t>
      </w:r>
      <w:bookmarkEnd w:id="115"/>
    </w:p>
    <w:p>
      <w:pPr>
        <w:pStyle w:val="Heading2"/>
      </w:pPr>
      <w:bookmarkStart w:id="116" w:name="_Toc000116"/>
      <w:r>
        <w:rPr/>
        <w:t>5.1 Steps</w:t>
      </w:r>
      <w:bookmarkEnd w:id="116"/>
    </w:p>
    <w:p>
      <w:pPr>
        <w:pStyle w:val="Caption"/>
        <w:keepNext/>
        <w:spacing w:after="60"/>
      </w:pPr>
      <w:r>
        <w:rPr>
          <w:b/>
          <w:i w:val="0"/>
        </w:rPr>
        <w:t xml:space="preserve">Table 10: </w:t>
      </w:r>
      <w:r>
        <w:rPr/>
        <w:t>Handover steps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841"/>
        <w:gridCol w:w="1802"/>
        <w:gridCol w:w="5166"/>
        <w:gridCol w:w="2162"/>
      </w:tblGrid>
      <w:tr>
        <w:trPr>
          <w:tblHeader w:val="true"/>
          <w:cantSplit w:val="true"/>
        </w:trPr>
        <w:tc>
          <w:tcPr>
            <w:tcW w:type="dxa" w:w="84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51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16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H1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T+14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Mid-point review against the exit criteria; gaps planned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H2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T+15 to T+25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L1 and L2 take every ticket first; the project team supports from the second line only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BIBS Service Owner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H3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T+20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Knowledge transfer sessions on the fixes and known errors of hypercare; runbook updates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Support Manager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H4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T+28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Transfer list of open issues and change requests prepared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TechNXT Project Manager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H5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T+30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Handover meeting: exit criteria evidence, transfer list, contacts; certificate C3 submitted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Manager; BIBS Service Owner</w:t>
            </w:r>
          </w:p>
        </w:tc>
      </w:tr>
      <w:tr>
        <w:trPr>
          <w:cantSplit w:val="true"/>
        </w:trPr>
        <w:tc>
          <w:tcPr>
            <w:tcW w:type="dxa" w:w="84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H6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T+30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Command centre closed; daily 17:00 call ends; monthly service review starts in March 2028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7" w:name="_Toc000117"/>
      <w:r>
        <w:rPr/>
        <w:t>5.2 What changes at handover</w:t>
      </w:r>
      <w:bookmarkEnd w:id="117"/>
    </w:p>
    <w:p>
      <w:pPr>
        <w:pStyle w:val="Caption"/>
        <w:keepNext/>
        <w:spacing w:after="60"/>
      </w:pPr>
      <w:r>
        <w:rPr>
          <w:b/>
          <w:i w:val="0"/>
        </w:rPr>
        <w:t xml:space="preserve">Table 11: </w:t>
      </w:r>
      <w:r>
        <w:rPr/>
        <w:t>Hypercare and steady state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403"/>
        <w:gridCol w:w="3724"/>
        <w:gridCol w:w="3845"/>
      </w:tblGrid>
      <w:tr>
        <w:trPr>
          <w:tblHeader w:val="true"/>
          <w:cantSplit w:val="true"/>
        </w:trPr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72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Hypercare</w:t>
            </w:r>
          </w:p>
        </w:tc>
        <w:tc>
          <w:tcPr>
            <w:tcW w:type="dxa" w:w="384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Steady state (support model)</w:t>
            </w:r>
          </w:p>
        </w:tc>
      </w:tr>
      <w:tr>
        <w:trPr>
          <w:cantSplit w:val="true"/>
        </w:trPr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First contact</w:t>
            </w:r>
          </w:p>
        </w:tc>
        <w:tc>
          <w:tcPr>
            <w:tcW w:type="dxa" w:w="37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L1 and the floor support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L1 BDOI service desk</w:t>
            </w:r>
          </w:p>
        </w:tc>
      </w:tr>
      <w:tr>
        <w:trPr>
          <w:cantSplit w:val="true"/>
        </w:trPr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Triage</w:t>
            </w:r>
          </w:p>
        </w:tc>
        <w:tc>
          <w:tcPr>
            <w:tcW w:type="dxa" w:w="37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Twice a day in the command centre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L2 at logging; weekly operations review</w:t>
            </w:r>
          </w:p>
        </w:tc>
      </w:tr>
      <w:tr>
        <w:trPr>
          <w:cantSplit w:val="true"/>
        </w:trPr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Targets</w:t>
            </w:r>
          </w:p>
        </w:tc>
        <w:tc>
          <w:tcPr>
            <w:tcW w:type="dxa" w:w="37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Section 3.5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Support Model chapter 4</w:t>
            </w:r>
          </w:p>
        </w:tc>
      </w:tr>
      <w:tr>
        <w:trPr>
          <w:cantSplit w:val="true"/>
        </w:trPr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Releases</w:t>
            </w:r>
          </w:p>
        </w:tc>
        <w:tc>
          <w:tcPr>
            <w:tcW w:type="dxa" w:w="37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Hotfixes and one hypercare release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Monthly planned release; emergency releases</w:t>
            </w:r>
          </w:p>
        </w:tc>
      </w:tr>
      <w:tr>
        <w:trPr>
          <w:cantSplit w:val="true"/>
        </w:trPr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Reporting</w:t>
            </w:r>
          </w:p>
        </w:tc>
        <w:tc>
          <w:tcPr>
            <w:tcW w:type="dxa" w:w="372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Daily report and weekly board review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Monthly service report and review</w:t>
            </w:r>
          </w:p>
        </w:tc>
      </w:tr>
      <w:tr>
        <w:trPr>
          <w:cantSplit w:val="true"/>
        </w:trPr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Governance</w:t>
            </w:r>
          </w:p>
        </w:tc>
        <w:tc>
          <w:tcPr>
            <w:tcW w:type="dxa" w:w="372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Go / no-go board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BIBS Change Advisory Board; Service Owner</w:t>
            </w: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18" w:name="_Toc000118"/>
      <w:r>
        <w:rPr/>
        <w:t>6 Warranty</w:t>
      </w:r>
      <w:bookmarkEnd w:id="118"/>
    </w:p>
    <w:p>
      <w:pPr>
        <w:pStyle w:val="Heading2"/>
      </w:pPr>
      <w:bookmarkStart w:id="119" w:name="_Toc000119"/>
      <w:r>
        <w:rPr/>
        <w:t>6.1 Period</w:t>
      </w:r>
      <w:bookmarkEnd w:id="119"/>
    </w:p>
    <w:p>
      <w:r>
        <w:rPr/>
        <w:t xml:space="preserve">The warranty runs for </w:t>
      </w:r>
      <w:r>
        <w:rPr>
          <w:b/>
        </w:rPr>
        <w:t>12 months from go-live: 3 January 2028 to 2 January 2029</w:t>
      </w:r>
      <w:r>
        <w:rPr/>
        <w:t xml:space="preserve"> (proposal, OP-03). Hypercare is inside the warranty. From 3 January 2029 support continues under the annual maintenance and support agreement.</w:t>
      </w:r>
    </w:p>
    <w:p>
      <w:pPr>
        <w:pStyle w:val="Heading2"/>
      </w:pPr>
      <w:bookmarkStart w:id="120" w:name="_Toc000120"/>
      <w:r>
        <w:rPr/>
        <w:t>6.2 Scope</w:t>
      </w:r>
      <w:bookmarkEnd w:id="120"/>
    </w:p>
    <w:p>
      <w:pPr>
        <w:pStyle w:val="Caption"/>
        <w:keepNext/>
        <w:spacing w:after="60"/>
      </w:pPr>
      <w:r>
        <w:rPr>
          <w:b/>
          <w:i w:val="0"/>
        </w:rPr>
        <w:t xml:space="preserve">Table 12: </w:t>
      </w:r>
      <w:r>
        <w:rPr/>
        <w:t>Warranty scope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498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Covered at no charge</w:t>
            </w:r>
          </w:p>
        </w:tc>
        <w:tc>
          <w:tcPr>
            <w:tcW w:type="dxa" w:w="498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Not covered (handled as noted)</w:t>
            </w:r>
          </w:p>
        </w:tc>
      </w:tr>
      <w:tr>
        <w:trPr>
          <w:cantSplit w:val="true"/>
        </w:trPr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Correction of any non-conformance of BIBS with the signed FRS, as changed by approved change requests, and with the accepted UAT test cases, reported during the warranty</w:t>
            </w:r>
          </w:p>
        </w:tc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New or changed requirements: Change Management Register</w:t>
            </w:r>
          </w:p>
        </w:tc>
      </w:tr>
      <w:tr>
        <w:trPr>
          <w:cantSplit w:val="true"/>
        </w:trPr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Correction of data loaded wrongly by the migration functions of BIBS, where the extract was right</w:t>
            </w:r>
          </w:p>
        </w:tc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Errors in the legacy data or the extracts (BDOI data stewards)</w:t>
            </w:r>
          </w:p>
        </w:tc>
      </w:tr>
      <w:tr>
        <w:trPr>
          <w:cantSplit w:val="true"/>
        </w:trPr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Security vulnerabilities of the BIBS application and its components rated Critical or High</w:t>
            </w:r>
          </w:p>
        </w:tc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 systems on the other side of an interface; AWS managed services; the network</w:t>
            </w:r>
          </w:p>
        </w:tc>
      </w:tr>
      <w:tr>
        <w:trPr>
          <w:cantSplit w:val="true"/>
        </w:trPr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Performance below the SLOs at the volumes of the performance test, when the cause is in BIBS</w:t>
            </w:r>
          </w:p>
        </w:tc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Volumes or users above those tested, until a capacity change is agreed</w:t>
            </w:r>
          </w:p>
        </w:tc>
      </w:tr>
      <w:tr>
        <w:trPr>
          <w:cantSplit w:val="true"/>
        </w:trPr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The fix of a regression caused by a warranty fix</w:t>
            </w:r>
          </w:p>
        </w:tc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Configuration changes made in production without iorta TechNXT's involvement</w:t>
            </w:r>
          </w:p>
        </w:tc>
      </w:tr>
      <w:tr>
        <w:trPr>
          <w:cantSplit w:val="true"/>
        </w:trPr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Updates of the user guides, the runbook and the knowledge articles affected by a fix</w:t>
            </w:r>
          </w:p>
        </w:tc>
        <w:tc>
          <w:tcPr>
            <w:tcW w:type="dxa" w:w="498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Use of BIBS contrary to the user guides; third-party products not delivered by iorta TechNXT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21" w:name="_Toc000121"/>
      <w:r>
        <w:rPr/>
        <w:t>6.3 How a warranty issue is handled</w:t>
      </w:r>
      <w:bookmarkEnd w:id="121"/>
    </w:p>
    <w:p>
      <w:r>
        <w:rPr/>
        <w:t>A warranty issue is a ticket of category Application fault (or Migrated data, when BIBS loaded the data wrongly). It follows the support model: the service levels of the support model apply after hypercare, the fix is delivered in a planned or emergency release, and the monthly service report lists the warranty issues opened and closed. A disagreement on whether an issue is a non-conformance or a change goes to the BIBS Change Advisory Board, then to the Program Manager and the iorta TechNXT account executive.</w:t>
      </w:r>
    </w:p>
    <w:p>
      <w:pPr>
        <w:pStyle w:val="Heading1"/>
        <w:pageBreakBefore/>
        <w:pBdr>
          <w:bottom w:val="single" w:sz="4" w:space="4" w:color="99C1E7"/>
        </w:pBdr>
      </w:pPr>
      <w:bookmarkStart w:id="122" w:name="_Toc000122"/>
      <w:r>
        <w:rPr/>
        <w:t>7 Sign-off certificates</w:t>
      </w:r>
      <w:bookmarkEnd w:id="122"/>
    </w:p>
    <w:p>
      <w:r>
        <w:rPr/>
        <w:t>Each certificate is submitted by iorta TechNXT with its evidence. BDOI signs it, or lists in writing the criteria not met with reasons, within 5 business days of submission. A certificate with open items may be signed with those items listed and dated.</w:t>
      </w:r>
    </w:p>
    <w:p>
      <w:pPr>
        <w:pStyle w:val="Heading2"/>
      </w:pPr>
      <w:bookmarkStart w:id="123" w:name="_Toc000123"/>
      <w:r>
        <w:rPr/>
        <w:t>7.1 C1 UAT acceptance certificate (one per drop)</w:t>
      </w:r>
      <w:bookmarkEnd w:id="123"/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8"/>
        <w:gridCol w:w="7705"/>
      </w:tblGrid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Certificate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C1 - UAT acceptance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Drop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Drop 0 and Drop 1 (end to end) / Drop 2 - one certificate each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BRDs covered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Drop 0: BRD-03, BRD-11, BRD-13; Drop 1: BRD-01, BRD-02, BRD-04, BRD-05, BRD-06, BRD-09, BRD-10, BRD-12; Drop 2: BRD-07, BRD-08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UAT period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Aug-Dec 2027 (Drop 0 and Drop 1); Oct-Nov 2027 (Drop 2)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Due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15 Dec 2027 (Drop 0 and Drop 1); 30 Nov 2027 (Drop 2)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Release accepted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The release package tested in UAT and recorded in the certificate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13: </w:t>
      </w:r>
      <w:r>
        <w:rPr/>
        <w:t>C1 acceptance criteria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5767"/>
        <w:gridCol w:w="1562"/>
        <w:gridCol w:w="1922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6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Met (Yes / No)</w:t>
            </w:r>
          </w:p>
        </w:tc>
        <w:tc>
          <w:tcPr>
            <w:tcW w:type="dxa" w:w="19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Evidence reference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Every UAT test case of the drop executed; at least 98 % passed; every failed case has an issue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UAT results per BRD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No open Critical or High issue; Medium issues with fix dates and workarounds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Issue log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End-to-end scenarios across the drops passed on migrated data (Mock 3 and Mock 4)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Scenario results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Reports, letters and files of the drop checked by their business owners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Checklists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Interfaces of the drop tested end to end with the other systems' owners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Integration test records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User guides of the drop reviewed by the key users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Review sign-off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Change requests raised in UAT recorded in the Change Management Register with a decision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Register extract</w:t>
            </w:r>
          </w:p>
        </w:tc>
      </w:tr>
    </w:tbl>
    <w:p>
      <w:pPr>
        <w:pStyle w:val="BDOISpacer"/>
      </w:pP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6"/>
        <w:gridCol w:w="2379"/>
        <w:gridCol w:w="2379"/>
        <w:gridCol w:w="1813"/>
        <w:gridCol w:w="1133"/>
      </w:tblGrid>
      <w:tr>
        <w:trPr>
          <w:tblHeader w:val="true"/>
          <w:cantSplit w:val="true"/>
        </w:trPr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181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1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Business owner of each BRD of the drop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BIBS Product Owner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</w:tbl>
    <w:p>
      <w:pPr>
        <w:pStyle w:val="BDOISpacer"/>
      </w:pPr>
    </w:p>
    <w:p>
      <w:pPr>
        <w:pStyle w:val="Heading2"/>
      </w:pPr>
      <w:bookmarkStart w:id="124" w:name="_Toc000124"/>
      <w:r>
        <w:rPr/>
        <w:t>7.2 C2 Go-live acceptance certificate</w:t>
      </w:r>
      <w:bookmarkEnd w:id="124"/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8"/>
        <w:gridCol w:w="7705"/>
      </w:tblGrid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Certificate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C2 - Go-live acceptance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Go-live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Monday 3 January 2028, 08:00 PHT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Point of no return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Monday 3 January 2028, 18:00 PHT - continue in BIBS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Signed at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Week-1 review, Monday 10 January 2028 (T+7)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14: </w:t>
      </w:r>
      <w:r>
        <w:rPr/>
        <w:t>C2 acceptance criteria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5767"/>
        <w:gridCol w:w="1562"/>
        <w:gridCol w:w="1922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6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Met (Yes / No)</w:t>
            </w:r>
          </w:p>
        </w:tc>
        <w:tc>
          <w:tcPr>
            <w:tcW w:type="dxa" w:w="19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Evidence reference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GNG-3 passed with every criterion recorded; no waiver of a financial or clearing criterion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Go / No-Go report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Point of no return passed: no Critical issue stopping receipts, payment application, remittance or booking; Migration Clearing 0.00; no legacy posting since the freeze; every branch transacted in BIBS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Board decision CT-069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First BIBS end-of-day runs, payment uploads, automatch, remittance extraction and Collections refresh completed (CT-067, CT-070, CT-073, CT-074)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Run logs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Daily hypercare checks clean since go-live, or each break explained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Daily hypercare reports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URGENT January renewals worked in the day-1 queue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Renewal report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576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Staging data and extract files of the production load purged within 5 days of sign-off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Purge log (CT-075)</w:t>
            </w:r>
          </w:p>
        </w:tc>
      </w:tr>
    </w:tbl>
    <w:p>
      <w:pPr>
        <w:pStyle w:val="BDOISpacer"/>
      </w:pP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6"/>
        <w:gridCol w:w="2379"/>
        <w:gridCol w:w="2379"/>
        <w:gridCol w:w="1813"/>
        <w:gridCol w:w="1133"/>
      </w:tblGrid>
      <w:tr>
        <w:trPr>
          <w:tblHeader w:val="true"/>
          <w:cantSplit w:val="true"/>
        </w:trPr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181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1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 (chair of the go / no-go board)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BDOI IT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Operations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Comptrollership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</w:tbl>
    <w:p>
      <w:pPr>
        <w:pStyle w:val="BDOISpacer"/>
      </w:pPr>
    </w:p>
    <w:p>
      <w:pPr>
        <w:pStyle w:val="Heading2"/>
      </w:pPr>
      <w:bookmarkStart w:id="125" w:name="_Toc000125"/>
      <w:r>
        <w:rPr/>
        <w:t>7.3 C3 Hypercare exit and handover certificate</w:t>
      </w:r>
      <w:bookmarkEnd w:id="125"/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8"/>
        <w:gridCol w:w="7705"/>
      </w:tblGrid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Certificate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C3 - Hypercare exit and handover to support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Hypercare period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3 January 2028 to 2 February 2028 (extended to the February close: yes / no)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Warranty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3 January 2028 to 2 January 2029</w:t>
            </w:r>
          </w:p>
        </w:tc>
      </w:tr>
      <w:tr>
        <w:trPr>
          <w:cantSplit w:val="true"/>
          <w:cantSplit w:val="true"/>
        </w:trPr>
        <w:tc>
          <w:tcPr>
            <w:tcW w:type="dxa" w:w="22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  <w:keepNext/>
            </w:pPr>
            <w:r>
              <w:rPr>
                <w:b/>
                <w:color w:val="004EA8"/>
                <w:sz w:val="18"/>
              </w:rPr>
              <w:t>Support from</w:t>
            </w:r>
          </w:p>
        </w:tc>
        <w:tc>
          <w:tcPr>
            <w:tcW w:type="dxa" w:w="77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  <w:keepNext/>
            </w:pPr>
            <w:r>
              <w:rPr>
                <w:sz w:val="18"/>
              </w:rPr>
              <w:t>The day after signature, under the Support Model and Support Guide</w:t>
            </w:r>
          </w:p>
        </w:tc>
      </w:tr>
    </w:tbl>
    <w:p>
      <w:pPr>
        <w:pStyle w:val="BDOISpacer"/>
      </w:pPr>
    </w:p>
    <w:p>
      <w:pPr>
        <w:pStyle w:val="Caption"/>
        <w:keepNext/>
        <w:spacing w:after="60"/>
      </w:pPr>
      <w:r>
        <w:rPr>
          <w:b/>
          <w:i w:val="0"/>
        </w:rPr>
        <w:t xml:space="preserve">Table 15: </w:t>
      </w:r>
      <w:r>
        <w:rPr/>
        <w:t>C3 exit criteria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61"/>
        <w:gridCol w:w="5527"/>
        <w:gridCol w:w="1562"/>
        <w:gridCol w:w="1922"/>
      </w:tblGrid>
      <w:tr>
        <w:trPr>
          <w:tblHeader w:val="true"/>
          <w:cantSplit w:val="true"/>
        </w:trPr>
        <w:tc>
          <w:tcPr>
            <w:tcW w:type="dxa" w:w="96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type="dxa" w:w="552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Met (Yes / No / Waived)</w:t>
            </w:r>
          </w:p>
        </w:tc>
        <w:tc>
          <w:tcPr>
            <w:tcW w:type="dxa" w:w="19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Evidence reference</w:t>
            </w: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HX-01 to HX-08</w:t>
            </w:r>
          </w:p>
        </w:tc>
        <w:tc>
          <w:tcPr>
            <w:tcW w:type="dxa" w:w="552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Exit criteria of the cutover plan (chapter 4)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HX-09 to HX-18</w:t>
            </w:r>
          </w:p>
        </w:tc>
        <w:tc>
          <w:tcPr>
            <w:tcW w:type="dxa" w:w="5527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Support handover criteria (chapter 4)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-</w:t>
            </w:r>
          </w:p>
        </w:tc>
        <w:tc>
          <w:tcPr>
            <w:tcW w:type="dxa" w:w="552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Open items transferred with owners and dates (attached list)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</w:tbl>
    <w:p>
      <w:pPr>
        <w:pStyle w:val="BDOISpacer"/>
      </w:pP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6"/>
        <w:gridCol w:w="2379"/>
        <w:gridCol w:w="2379"/>
        <w:gridCol w:w="1813"/>
        <w:gridCol w:w="1133"/>
      </w:tblGrid>
      <w:tr>
        <w:trPr>
          <w:tblHeader w:val="true"/>
          <w:cantSplit w:val="true"/>
        </w:trPr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181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1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BDOI IT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BIBS Service Owner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Comptrollership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Support Manager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26" w:name="_Toc000126"/>
      <w:r>
        <w:rPr/>
        <w:t>Decisions and open points for BDOI</w:t>
      </w:r>
      <w:bookmarkEnd w:id="126"/>
    </w:p>
    <w:p>
      <w:pPr>
        <w:pStyle w:val="Caption"/>
        <w:keepNext/>
        <w:spacing w:after="60"/>
      </w:pPr>
      <w:r>
        <w:rPr>
          <w:b/>
          <w:i w:val="0"/>
        </w:rPr>
        <w:t xml:space="preserve">Table 16: </w:t>
      </w:r>
      <w:r>
        <w:rPr/>
        <w:t>Decisions and open points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01"/>
        <w:gridCol w:w="5166"/>
        <w:gridCol w:w="2403"/>
        <w:gridCol w:w="1501"/>
      </w:tblGrid>
      <w:tr>
        <w:trPr>
          <w:tblHeader w:val="true"/>
          <w:cantSplit w:val="true"/>
        </w:trPr>
        <w:tc>
          <w:tcPr>
            <w:tcW w:type="dxa" w:w="90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type="dxa" w:w="51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Point and our proposal</w:t>
            </w:r>
          </w:p>
        </w:tc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5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Needed by</w:t>
            </w:r>
          </w:p>
        </w:tc>
      </w:tr>
      <w:tr>
        <w:trPr>
          <w:cantSplit w:val="true"/>
        </w:trPr>
        <w:tc>
          <w:tcPr>
            <w:tcW w:type="dxa" w:w="9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OP-01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Confirm hypercare from go-live to the January 2028 month-end close (planned exit 2 Feb 2028), with extension to the February close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  <w:tc>
          <w:tcPr>
            <w:tcW w:type="dxa" w:w="15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30 Jun 2027</w:t>
            </w:r>
          </w:p>
        </w:tc>
      </w:tr>
      <w:tr>
        <w:trPr>
          <w:cantSplit w:val="true"/>
        </w:trPr>
        <w:tc>
          <w:tcPr>
            <w:tcW w:type="dxa" w:w="9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OP-02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Confirm the handover ticket level of fewer than 40 new tickets a business day for 5 consecutive business days (HX-10)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BIBS Service Owner</w:t>
            </w:r>
          </w:p>
        </w:tc>
        <w:tc>
          <w:tcPr>
            <w:tcW w:type="dxa" w:w="15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30 Nov 2027</w:t>
            </w:r>
          </w:p>
        </w:tc>
      </w:tr>
      <w:tr>
        <w:trPr>
          <w:cantSplit w:val="true"/>
        </w:trPr>
        <w:tc>
          <w:tcPr>
            <w:tcW w:type="dxa" w:w="9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OP-03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Confirm the 12-month warranty from go-live and its scope, in the support agreement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Head, BDOI IT</w:t>
            </w:r>
          </w:p>
        </w:tc>
        <w:tc>
          <w:tcPr>
            <w:tcW w:type="dxa" w:w="15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30 Jun 2027</w:t>
            </w:r>
          </w:p>
        </w:tc>
      </w:tr>
      <w:tr>
        <w:trPr>
          <w:cantSplit w:val="true"/>
        </w:trPr>
        <w:tc>
          <w:tcPr>
            <w:tcW w:type="dxa" w:w="9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OP-04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Confirm the UAT pass rate of 98 % and the other C1 criteria per drop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BIBS Product Owner with the BRD owners</w:t>
            </w:r>
          </w:p>
        </w:tc>
        <w:tc>
          <w:tcPr>
            <w:tcW w:type="dxa" w:w="15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30 Jun 2027</w:t>
            </w:r>
          </w:p>
        </w:tc>
      </w:tr>
      <w:tr>
        <w:trPr>
          <w:cantSplit w:val="true"/>
        </w:trPr>
        <w:tc>
          <w:tcPr>
            <w:tcW w:type="dxa" w:w="9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7"/>
              </w:rPr>
              <w:t>OP-05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Confirm the signatories of C1 per drop (the approvers of each BRD's approval sheet), C2 and C3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Program Manager</w:t>
            </w:r>
          </w:p>
        </w:tc>
        <w:tc>
          <w:tcPr>
            <w:tcW w:type="dxa" w:w="15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30 Jun 2027</w:t>
            </w:r>
          </w:p>
        </w:tc>
      </w:tr>
      <w:tr>
        <w:trPr>
          <w:cantSplit w:val="true"/>
        </w:trPr>
        <w:tc>
          <w:tcPr>
            <w:tcW w:type="dxa" w:w="9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7"/>
              </w:rPr>
              <w:t>OP-06</w:t>
            </w:r>
          </w:p>
        </w:tc>
        <w:tc>
          <w:tcPr>
            <w:tcW w:type="dxa" w:w="51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Confirm the hypercare release window of Sunday 23 January 2028 and the release freeze over the January close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Head, BDOI IT</w:t>
            </w:r>
          </w:p>
        </w:tc>
        <w:tc>
          <w:tcPr>
            <w:tcW w:type="dxa" w:w="15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30 Nov 2027</w:t>
            </w: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27" w:name="_Toc000127"/>
      <w:r>
        <w:rPr/>
        <w:t>Glossary</w:t>
      </w:r>
      <w:bookmarkEnd w:id="127"/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039"/>
        <w:gridCol w:w="7933"/>
      </w:tblGrid>
      <w:tr>
        <w:trPr>
          <w:tblHeader w:val="true"/>
          <w:cantSplit w:val="true"/>
        </w:trPr>
        <w:tc>
          <w:tcPr>
            <w:tcW w:type="dxa" w:w="204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C1, C2, C3</w:t>
            </w:r>
          </w:p>
        </w:tc>
        <w:tc>
          <w:tcPr>
            <w:tcW w:type="dxa" w:w="793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UAT acceptance, go-live acceptance and hypercare exit certificates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Hotfix</w:t>
            </w:r>
          </w:p>
        </w:tc>
        <w:tc>
          <w:tcPr>
            <w:tcW w:type="dxa" w:w="793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An emergency release of a fix for a P1 issue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Hypercare</w:t>
            </w:r>
          </w:p>
        </w:tc>
        <w:tc>
          <w:tcPr>
            <w:tcW w:type="dxa" w:w="793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Close support by the project team from go-live to the first month-end close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b/>
                <w:sz w:val="18"/>
              </w:rPr>
              <w:t>Key user</w:t>
            </w:r>
          </w:p>
        </w:tc>
        <w:tc>
          <w:tcPr>
            <w:tcW w:type="dxa" w:w="793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The department's trained user who tests fixes and helps colleagues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b/>
                <w:sz w:val="18"/>
              </w:rPr>
              <w:t>Warranty</w:t>
            </w:r>
          </w:p>
        </w:tc>
        <w:tc>
          <w:tcPr>
            <w:tcW w:type="dxa" w:w="793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The period in which iorta TechNXT corrects non-conformances of BIBS at no charge</w:t>
            </w:r>
          </w:p>
        </w:tc>
      </w:tr>
    </w:tbl>
    <w:p>
      <w:pPr>
        <w:pStyle w:val="BDOISpacer"/>
      </w:pPr>
    </w:p>
    <w:p>
      <w:pPr>
        <w:pStyle w:val="Heading1"/>
        <w:pageBreakBefore/>
        <w:pBdr>
          <w:bottom w:val="single" w:sz="4" w:space="4" w:color="99C1E7"/>
        </w:pBdr>
      </w:pPr>
      <w:bookmarkStart w:id="128" w:name="_Toc000128"/>
      <w:r>
        <w:rPr/>
        <w:t>Sign-off</w:t>
      </w:r>
      <w:bookmarkEnd w:id="128"/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266"/>
        <w:gridCol w:w="2379"/>
        <w:gridCol w:w="2379"/>
        <w:gridCol w:w="1813"/>
        <w:gridCol w:w="1133"/>
      </w:tblGrid>
      <w:tr>
        <w:trPr>
          <w:tblHeader w:val="true"/>
          <w:cantSplit w:val="true"/>
        </w:trPr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8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181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1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Program Manager, Business Project Services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 Unibank ESG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Head, BDOI IT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BIBS Product Owner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BIBS Service Owner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  <w:tr>
        <w:trPr>
          <w:cantSplit w:val="true"/>
          <w:trHeight w:val="737" w:hRule="atLeast"/>
        </w:trPr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380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181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  <w:tc>
          <w:tcPr>
            <w:tcW w:type="dxa" w:w="1133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"/>
            </w:pPr>
          </w:p>
        </w:tc>
      </w:tr>
    </w:tbl>
    <w:p>
      <w:pPr>
        <w:pStyle w:val="BDOISpacer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134" w:bottom="1247" w:left="113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986" w:val="center"/>
        <w:tab w:pos="9972" w:val="right"/>
      </w:tabs>
      <w:pBdr>
        <w:top w:val="single" w:sz="4" w:space="4" w:color="C2C2C1"/>
      </w:pBdr>
    </w:pPr>
    <w:r/>
    <w:r>
      <w:rPr>
        <w:color w:val="656565"/>
        <w:sz w:val="16"/>
      </w:rPr>
      <w:t>Confidential – BDOI</w:t>
    </w:r>
    <w:r>
      <w:rPr>
        <w:color w:val="656565"/>
        <w:sz w:val="16"/>
      </w:rPr>
      <w:tab/>
      <w:t xml:space="preserve">Page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PAGE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 xml:space="preserve"> of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NUMPAGES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ab/>
      <w:t>Version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72" w:val="right"/>
      </w:tabs>
      <w:spacing w:after="0"/>
      <w:pBdr>
        <w:bottom w:val="single" w:sz="6" w:space="4" w:color="FDB913"/>
      </w:pBdr>
    </w:pPr>
    <w:r/>
    <w:r>
      <w:rPr>
        <w:b/>
        <w:color w:val="004EA8"/>
        <w:sz w:val="17"/>
      </w:rPr>
      <w:t>Hypercare, Warranty and Sign-off Plan</w:t>
    </w:r>
    <w:r>
      <w:rPr>
        <w:color w:val="656565"/>
        <w:sz w:val="16"/>
      </w:rPr>
      <w:t xml:space="preserve">   Hypercare Plan</w:t>
    </w:r>
    <w:r>
      <w:tab/>
    </w:r>
    <w:r>
      <w:drawing>
        <wp:inline xmlns:a="http://schemas.openxmlformats.org/drawingml/2006/main" xmlns:pic="http://schemas.openxmlformats.org/drawingml/2006/picture">
          <wp:extent cx="1095709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en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709" cy="2232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b w:val="0"/>
      <w:i w:val="0"/>
      <w:color w:val="4B4B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="Arial" w:hAnsi="Arial" w:cs="Arial" w:eastAsia="Arial"/>
      <w:b/>
      <w:bCs/>
      <w:i w:val="0"/>
      <w:color w:val="004E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="Arial" w:hAnsi="Arial" w:cs="Arial" w:eastAsia="Arial"/>
      <w:b/>
      <w:bCs/>
      <w:i w:val="0"/>
      <w:color w:val="004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40" w:lineRule="auto"/>
      <w:outlineLvl w:val="2"/>
    </w:pPr>
    <w:rPr>
      <w:rFonts w:ascii="Arial" w:hAnsi="Arial" w:cs="Arial" w:eastAsia="Arial"/>
      <w:b/>
      <w:bCs/>
      <w:i w:val="0"/>
      <w:color w:val="004E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40" w:lineRule="auto"/>
      <w:outlineLvl w:val="9"/>
    </w:pPr>
    <w:rPr>
      <w:rFonts w:ascii="Arial" w:hAnsi="Arial" w:cs="Arial" w:eastAsia="Arial"/>
      <w:b/>
      <w:bCs/>
      <w:i w:val="0"/>
      <w:iCs/>
      <w:color w:val="2E2E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Arial" w:hAnsi="Arial" w:cs="Arial" w:eastAsia="Arial"/>
      <w:b w:val="0"/>
      <w:bCs/>
      <w:i/>
      <w:color w:val="65656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DOITable">
    <w:name w:val="BDOI Table"/>
    <w:basedOn w:val="Normal"/>
    <w:pPr>
      <w:spacing w:before="0" w:after="0" w:line="252" w:lineRule="auto"/>
    </w:pPr>
    <w:rPr>
      <w:rFonts w:ascii="Arial" w:hAnsi="Arial" w:cs="Arial" w:eastAsia="Arial"/>
      <w:b w:val="0"/>
      <w:i w:val="0"/>
      <w:color w:val="4B4B4B"/>
      <w:sz w:val="18"/>
    </w:rPr>
  </w:style>
  <w:style w:type="paragraph" w:customStyle="1" w:styleId="BDOITableHeader">
    <w:name w:val="BDOI Table Header"/>
    <w:basedOn w:val="Normal"/>
    <w:pPr>
      <w:spacing w:before="0" w:after="0" w:line="252" w:lineRule="auto"/>
    </w:pPr>
    <w:rPr>
      <w:rFonts w:ascii="Arial" w:hAnsi="Arial" w:cs="Arial" w:eastAsia="Arial"/>
      <w:b/>
      <w:i w:val="0"/>
      <w:color w:val="FFFFFF"/>
      <w:sz w:val="18"/>
    </w:rPr>
  </w:style>
  <w:style w:type="paragraph" w:customStyle="1" w:styleId="BDOISmall">
    <w:name w:val="BDOI Small"/>
    <w:basedOn w:val="Normal"/>
    <w:rPr>
      <w:rFonts w:ascii="Arial" w:hAnsi="Arial" w:cs="Arial" w:eastAsia="Arial"/>
      <w:b w:val="0"/>
      <w:i w:val="0"/>
      <w:color w:val="656565"/>
      <w:sz w:val="16"/>
    </w:rPr>
  </w:style>
  <w:style w:type="paragraph" w:customStyle="1" w:styleId="BDOIFrontHeading">
    <w:name w:val="BDOI Front Heading"/>
    <w:basedOn w:val="Normal"/>
    <w:pPr>
      <w:keepNext/>
      <w:spacing w:before="0" w:after="200"/>
    </w:pPr>
    <w:rPr>
      <w:rFonts w:ascii="Arial" w:hAnsi="Arial" w:cs="Arial" w:eastAsia="Arial"/>
      <w:b/>
      <w:i w:val="0"/>
      <w:color w:val="004EA8"/>
      <w:sz w:val="32"/>
    </w:rPr>
  </w:style>
  <w:style w:type="paragraph" w:customStyle="1" w:styleId="BDOILabel">
    <w:name w:val="BDOI Label"/>
    <w:basedOn w:val="Normal"/>
    <w:pPr>
      <w:keepNext/>
      <w:spacing w:before="160" w:after="60"/>
    </w:pPr>
    <w:rPr>
      <w:rFonts w:ascii="Arial" w:hAnsi="Arial" w:cs="Arial" w:eastAsia="Arial"/>
      <w:b/>
      <w:i w:val="0"/>
      <w:color w:val="004EA8"/>
      <w:sz w:val="20"/>
    </w:rPr>
  </w:style>
  <w:style w:type="paragraph" w:customStyle="1" w:styleId="BDOISpacer">
    <w:name w:val="BDOI Spacer"/>
    <w:basedOn w:val="Normal"/>
    <w:pPr>
      <w:spacing w:before="0" w:after="100" w:line="240" w:lineRule="auto"/>
    </w:pPr>
    <w:rPr>
      <w:rFonts w:ascii="Arial" w:hAnsi="Arial" w:cs="Arial" w:eastAsia="Arial"/>
      <w:b w:val="0"/>
      <w:i w:val="0"/>
      <w:color w:val="4B4B4B"/>
      <w:sz w:val="6"/>
    </w:rPr>
  </w:style>
  <w:style w:type="paragraph" w:customStyle="1" w:styleId="toc1">
    <w:name w:val="toc 1"/>
    <w:basedOn w:val="Normal"/>
    <w:pPr>
      <w:tabs>
        <w:tab w:pos="9972" w:val="right" w:leader="dot"/>
      </w:tabs>
      <w:spacing w:before="120" w:after="40" w:line="240" w:lineRule="auto"/>
      <w:ind w:left="0"/>
    </w:pPr>
    <w:rPr>
      <w:rFonts w:ascii="Arial" w:hAnsi="Arial" w:cs="Arial" w:eastAsia="Arial"/>
      <w:b/>
      <w:i w:val="0"/>
      <w:color w:val="2E2E2E"/>
      <w:sz w:val="21"/>
    </w:rPr>
  </w:style>
  <w:style w:type="paragraph" w:customStyle="1" w:styleId="toc2">
    <w:name w:val="toc 2"/>
    <w:basedOn w:val="Normal"/>
    <w:pPr>
      <w:tabs>
        <w:tab w:pos="9972" w:val="right" w:leader="dot"/>
      </w:tabs>
      <w:spacing w:before="0" w:after="40" w:line="240" w:lineRule="auto"/>
      <w:ind w:left="340"/>
    </w:pPr>
    <w:rPr>
      <w:rFonts w:ascii="Arial" w:hAnsi="Arial" w:cs="Arial" w:eastAsia="Arial"/>
      <w:b w:val="0"/>
      <w:i w:val="0"/>
      <w:color w:val="4B4B4B"/>
      <w:sz w:val="20"/>
    </w:rPr>
  </w:style>
  <w:style w:type="paragraph" w:customStyle="1" w:styleId="toc3">
    <w:name w:val="toc 3"/>
    <w:basedOn w:val="Normal"/>
    <w:pPr>
      <w:tabs>
        <w:tab w:pos="9972" w:val="right" w:leader="dot"/>
      </w:tabs>
      <w:spacing w:before="0" w:after="40" w:line="240" w:lineRule="auto"/>
      <w:ind w:left="680"/>
    </w:pPr>
    <w:rPr>
      <w:rFonts w:ascii="Arial" w:hAnsi="Arial" w:cs="Arial" w:eastAsia="Arial"/>
      <w:b w:val="0"/>
      <w:i w:val="0"/>
      <w:color w:val="4B4B4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Hypercare BRD-00 Hypercare Warranty and Sign-off Plan v1.0</dc:title>
  <dc:subject>BDO Insure Brokering System (BIBS)</dc:subject>
  <dc:creator>iorta TechNXT</dc:creator>
  <cp:lastModifiedBy>iorta TechNXT</cp:lastModifiedBy>
  <cp:revision>1</cp:revision>
  <dcterms:created xsi:type="dcterms:W3CDTF">2013-12-23T23:15:00Z</dcterms:created>
  <dcterms:modified xsi:type="dcterms:W3CDTF">2013-12-23T23:15:00Z</dcterms:modified>
</cp:coreProperties>
</file>