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SUPPORT MODEL</w:t>
      </w:r>
    </w:p>
    <w:p>
      <w:pPr>
        <w:spacing w:after="80" w:line="240" w:lineRule="auto"/>
      </w:pPr>
      <w:r>
        <w:rPr>
          <w:b/>
          <w:color w:val="004EA8"/>
          <w:sz w:val="56"/>
        </w:rPr>
        <w:t>Support Model and Support Guide</w:t>
      </w:r>
    </w:p>
    <w:p>
      <w:pPr>
        <w:spacing w:after="40"/>
      </w:pPr>
      <w:r>
        <w:rPr>
          <w:color w:val="2E2E2E"/>
          <w:sz w:val="28"/>
        </w:rPr>
        <w:t>L1, L2 and L3 support of BIBS in production - service levels, processes, escalation and the L1 troubleshooting guide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BIBS-OPS-SUP-BRD-00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Service Delivery Lead</w:t>
            </w:r>
          </w:p>
        </w:tc>
        <w:tc>
          <w:tcPr>
            <w:tcW w:type="dxa" w:w="1700"/>
            <w:tcMar>
              <w:top w:w="50" w:type="dxa"/>
              <w:bottom w:w="50" w:type="dxa"/>
              <w:left w:w="90" w:type="dxa"/>
              <w:right w:w="90" w:type="dxa"/>
            </w:tcMar>
          </w:tcPr>
          <w:p>
            <w:pPr>
              <w:pStyle w:val="BDOITable"/>
            </w:pPr>
            <w:r>
              <w:rPr>
                <w:sz w:val="18"/>
              </w:rPr>
              <w:t>iorta TechNXT Project Manager; iorta TechNXT Solution Architect</w:t>
            </w:r>
          </w:p>
        </w:tc>
        <w:tc>
          <w:tcPr>
            <w:tcW w:type="dxa" w:w="1700"/>
            <w:tcMar>
              <w:top w:w="50" w:type="dxa"/>
              <w:bottom w:w="50" w:type="dxa"/>
              <w:left w:w="90" w:type="dxa"/>
              <w:right w:w="90" w:type="dxa"/>
            </w:tcMar>
          </w:tcPr>
          <w:p>
            <w:pPr>
              <w:pStyle w:val="BDOITable"/>
            </w:pPr>
            <w:r>
              <w:rPr>
                <w:sz w:val="18"/>
              </w:rPr>
              <w:t>Head, BDOI IT (pending)</w:t>
            </w:r>
          </w:p>
        </w:tc>
        <w:tc>
          <w:tcPr>
            <w:tcW w:type="dxa" w:w="2606"/>
            <w:tcMar>
              <w:top w:w="50" w:type="dxa"/>
              <w:bottom w:w="50" w:type="dxa"/>
              <w:left w:w="90" w:type="dxa"/>
              <w:right w:w="90" w:type="dxa"/>
            </w:tcMar>
          </w:tcPr>
          <w:p>
            <w:pPr>
              <w:pStyle w:val="BDOITable"/>
            </w:pPr>
            <w:r>
              <w:rPr>
                <w:sz w:val="18"/>
              </w:rPr>
              <w:t>First issue. Support levels, service hours, severity, SLA and SLO, processes, escalation, tools, reporting and the L1 troubleshooting guide, from the umbrella FRS BRD-00, the discrepancy register (DCR-133 to DCR-138), the Data Migration Handbook Part D and the operations documentation of BIBS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BDOI IT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Support model, L1 and L2 staffing, tools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BIBS 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Service levels and business priorities</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Handover from the programme to support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service desk lead</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L1 procedures, ITSM tool, hours</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Infrastructure resolver group, on-call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Heads of Operations, Comptrollership, Marketing; Compliance</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Severity examples and business escalation</w:t>
            </w:r>
          </w:p>
        </w:tc>
      </w:tr>
      <w:tr>
        <w:trPr>
          <w:cantSplit w:val="true"/>
        </w:trPr>
        <w:tc>
          <w:tcPr>
            <w:tcW w:type="dxa" w:w="2606"/>
            <w:tcMar>
              <w:top w:w="50" w:type="dxa"/>
              <w:bottom w:w="50" w:type="dxa"/>
              <w:left w:w="90" w:type="dxa"/>
              <w:right w:w="90" w:type="dxa"/>
            </w:tcMar>
          </w:tcPr>
          <w:p>
            <w:pPr>
              <w:pStyle w:val="BDOITable"/>
            </w:pPr>
            <w:r>
              <w:rPr>
                <w:sz w:val="18"/>
              </w:rPr>
              <w:t>Information Security Officer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incidents, access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and support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L3 support, releases, knowledge base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1.2 Audience</w:t>
        </w:r>
        <w:r>
          <w:t xml:space="preserve">	</w:t>
        </w:r>
        <w:r>
          <w:t xml:space="preserve">5</w:t>
        </w:r>
      </w:hyperlink>
    </w:p>
    <w:p>
      <w:pPr>
        <w:pStyle w:val="toc2"/>
      </w:pPr>
      <w:hyperlink w:anchor="_Toc000104" w:history="1">
        <w:r>
          <w:t xml:space="preserve">1.3 Scope</w:t>
        </w:r>
        <w:r>
          <w:t xml:space="preserve">	</w:t>
        </w:r>
        <w:r>
          <w:t xml:space="preserve">5</w:t>
        </w:r>
      </w:hyperlink>
    </w:p>
    <w:p>
      <w:pPr>
        <w:pStyle w:val="toc2"/>
      </w:pPr>
      <w:hyperlink w:anchor="_Toc000105" w:history="1">
        <w:r>
          <w:t xml:space="preserve">1.4 Reference documents</w:t>
        </w:r>
        <w:r>
          <w:t xml:space="preserve">	</w:t>
        </w:r>
        <w:r>
          <w:t xml:space="preserve">5</w:t>
        </w:r>
      </w:hyperlink>
    </w:p>
    <w:p>
      <w:pPr>
        <w:pStyle w:val="toc1"/>
      </w:pPr>
      <w:hyperlink w:anchor="_Toc000106" w:history="1">
        <w:r>
          <w:t xml:space="preserve">2 Support model</w:t>
        </w:r>
        <w:r>
          <w:t xml:space="preserve">	</w:t>
        </w:r>
        <w:r>
          <w:t xml:space="preserve">7</w:t>
        </w:r>
      </w:hyperlink>
    </w:p>
    <w:p>
      <w:pPr>
        <w:pStyle w:val="toc2"/>
      </w:pPr>
      <w:hyperlink w:anchor="_Toc000107" w:history="1">
        <w:r>
          <w:t xml:space="preserve">2.1 Three support levels</w:t>
        </w:r>
        <w:r>
          <w:t xml:space="preserve">	</w:t>
        </w:r>
        <w:r>
          <w:t xml:space="preserve">7</w:t>
        </w:r>
      </w:hyperlink>
    </w:p>
    <w:p>
      <w:pPr>
        <w:pStyle w:val="toc2"/>
      </w:pPr>
      <w:hyperlink w:anchor="_Toc000108" w:history="1">
        <w:r>
          <w:t xml:space="preserve">2.2 Roles</w:t>
        </w:r>
        <w:r>
          <w:t xml:space="preserve">	</w:t>
        </w:r>
        <w:r>
          <w:t xml:space="preserve">8</w:t>
        </w:r>
      </w:hyperlink>
    </w:p>
    <w:p>
      <w:pPr>
        <w:pStyle w:val="toc2"/>
      </w:pPr>
      <w:hyperlink w:anchor="_Toc000109" w:history="1">
        <w:r>
          <w:t xml:space="preserve">2.3 RACI</w:t>
        </w:r>
        <w:r>
          <w:t xml:space="preserve">	</w:t>
        </w:r>
        <w:r>
          <w:t xml:space="preserve">8</w:t>
        </w:r>
      </w:hyperlink>
    </w:p>
    <w:p>
      <w:pPr>
        <w:pStyle w:val="toc1"/>
      </w:pPr>
      <w:hyperlink w:anchor="_Toc000110" w:history="1">
        <w:r>
          <w:t xml:space="preserve">3 Service hours</w:t>
        </w:r>
        <w:r>
          <w:t xml:space="preserve">	</w:t>
        </w:r>
        <w:r>
          <w:t xml:space="preserve">9</w:t>
        </w:r>
      </w:hyperlink>
    </w:p>
    <w:p>
      <w:pPr>
        <w:pStyle w:val="toc1"/>
      </w:pPr>
      <w:hyperlink w:anchor="_Toc000111" w:history="1">
        <w:r>
          <w:t xml:space="preserve">4 Severity and service levels</w:t>
        </w:r>
        <w:r>
          <w:t xml:space="preserve">	</w:t>
        </w:r>
        <w:r>
          <w:t xml:space="preserve">10</w:t>
        </w:r>
      </w:hyperlink>
    </w:p>
    <w:p>
      <w:pPr>
        <w:pStyle w:val="toc2"/>
      </w:pPr>
      <w:hyperlink w:anchor="_Toc000112" w:history="1">
        <w:r>
          <w:t xml:space="preserve">4.1 Severity matrix</w:t>
        </w:r>
        <w:r>
          <w:t xml:space="preserve">	</w:t>
        </w:r>
        <w:r>
          <w:t xml:space="preserve">10</w:t>
        </w:r>
      </w:hyperlink>
    </w:p>
    <w:p>
      <w:pPr>
        <w:pStyle w:val="toc2"/>
      </w:pPr>
      <w:hyperlink w:anchor="_Toc000113" w:history="1">
        <w:r>
          <w:t xml:space="preserve">4.2 Service levels (SLA)</w:t>
        </w:r>
        <w:r>
          <w:t xml:space="preserve">	</w:t>
        </w:r>
        <w:r>
          <w:t xml:space="preserve">10</w:t>
        </w:r>
      </w:hyperlink>
    </w:p>
    <w:p>
      <w:pPr>
        <w:pStyle w:val="toc2"/>
      </w:pPr>
      <w:hyperlink w:anchor="_Toc000114" w:history="1">
        <w:r>
          <w:t xml:space="preserve">4.3 Service level objectives (SLO) and error budget</w:t>
        </w:r>
        <w:r>
          <w:t xml:space="preserve">	</w:t>
        </w:r>
        <w:r>
          <w:t xml:space="preserve">11</w:t>
        </w:r>
      </w:hyperlink>
    </w:p>
    <w:p>
      <w:pPr>
        <w:pStyle w:val="toc2"/>
      </w:pPr>
      <w:hyperlink w:anchor="_Toc000115" w:history="1">
        <w:r>
          <w:t xml:space="preserve">4.4 Service level reporting</w:t>
        </w:r>
        <w:r>
          <w:t xml:space="preserve">	</w:t>
        </w:r>
        <w:r>
          <w:t xml:space="preserve">12</w:t>
        </w:r>
      </w:hyperlink>
    </w:p>
    <w:p>
      <w:pPr>
        <w:pStyle w:val="toc1"/>
      </w:pPr>
      <w:hyperlink w:anchor="_Toc000116" w:history="1">
        <w:r>
          <w:t xml:space="preserve">5 Incident management</w:t>
        </w:r>
        <w:r>
          <w:t xml:space="preserve">	</w:t>
        </w:r>
        <w:r>
          <w:t xml:space="preserve">13</w:t>
        </w:r>
      </w:hyperlink>
    </w:p>
    <w:p>
      <w:pPr>
        <w:pStyle w:val="toc2"/>
      </w:pPr>
      <w:hyperlink w:anchor="_Toc000117" w:history="1">
        <w:r>
          <w:t xml:space="preserve">5.1 Process</w:t>
        </w:r>
        <w:r>
          <w:t xml:space="preserve">	</w:t>
        </w:r>
        <w:r>
          <w:t xml:space="preserve">13</w:t>
        </w:r>
      </w:hyperlink>
    </w:p>
    <w:p>
      <w:pPr>
        <w:pStyle w:val="toc2"/>
      </w:pPr>
      <w:hyperlink w:anchor="_Toc000118" w:history="1">
        <w:r>
          <w:t xml:space="preserve">5.2 Minimum content of a ticket</w:t>
        </w:r>
        <w:r>
          <w:t xml:space="preserve">	</w:t>
        </w:r>
        <w:r>
          <w:t xml:space="preserve">13</w:t>
        </w:r>
      </w:hyperlink>
    </w:p>
    <w:p>
      <w:pPr>
        <w:pStyle w:val="toc2"/>
      </w:pPr>
      <w:hyperlink w:anchor="_Toc000119" w:history="1">
        <w:r>
          <w:t xml:space="preserve">5.3 Ticket statuses</w:t>
        </w:r>
        <w:r>
          <w:t xml:space="preserve">	</w:t>
        </w:r>
        <w:r>
          <w:t xml:space="preserve">14</w:t>
        </w:r>
      </w:hyperlink>
    </w:p>
    <w:p>
      <w:pPr>
        <w:pStyle w:val="toc2"/>
      </w:pPr>
      <w:hyperlink w:anchor="_Toc000120" w:history="1">
        <w:r>
          <w:t xml:space="preserve">5.4 Triage steps at L2</w:t>
        </w:r>
        <w:r>
          <w:t xml:space="preserve">	</w:t>
        </w:r>
        <w:r>
          <w:t xml:space="preserve">14</w:t>
        </w:r>
      </w:hyperlink>
    </w:p>
    <w:p>
      <w:pPr>
        <w:pStyle w:val="toc2"/>
      </w:pPr>
      <w:hyperlink w:anchor="_Toc000121" w:history="1">
        <w:r>
          <w:t xml:space="preserve">5.5 Major incident</w:t>
        </w:r>
        <w:r>
          <w:t xml:space="preserve">	</w:t>
        </w:r>
        <w:r>
          <w:t xml:space="preserve">14</w:t>
        </w:r>
      </w:hyperlink>
    </w:p>
    <w:p>
      <w:pPr>
        <w:pStyle w:val="toc2"/>
      </w:pPr>
      <w:hyperlink w:anchor="_Toc000122" w:history="1">
        <w:r>
          <w:t xml:space="preserve">5.6 Security incidents and personal data breaches</w:t>
        </w:r>
        <w:r>
          <w:t xml:space="preserve">	</w:t>
        </w:r>
        <w:r>
          <w:t xml:space="preserve">14</w:t>
        </w:r>
      </w:hyperlink>
    </w:p>
    <w:p>
      <w:pPr>
        <w:pStyle w:val="toc1"/>
      </w:pPr>
      <w:hyperlink w:anchor="_Toc000123" w:history="1">
        <w:r>
          <w:t xml:space="preserve">6 Problem management</w:t>
        </w:r>
        <w:r>
          <w:t xml:space="preserve">	</w:t>
        </w:r>
        <w:r>
          <w:t xml:space="preserve">15</w:t>
        </w:r>
      </w:hyperlink>
    </w:p>
    <w:p>
      <w:pPr>
        <w:pStyle w:val="toc1"/>
      </w:pPr>
      <w:hyperlink w:anchor="_Toc000124" w:history="1">
        <w:r>
          <w:t xml:space="preserve">7 Change and release management</w:t>
        </w:r>
        <w:r>
          <w:t xml:space="preserve">	</w:t>
        </w:r>
        <w:r>
          <w:t xml:space="preserve">16</w:t>
        </w:r>
      </w:hyperlink>
    </w:p>
    <w:p>
      <w:pPr>
        <w:pStyle w:val="toc2"/>
      </w:pPr>
      <w:hyperlink w:anchor="_Toc000125" w:history="1">
        <w:r>
          <w:t xml:space="preserve">7.1 Types of change</w:t>
        </w:r>
        <w:r>
          <w:t xml:space="preserve">	</w:t>
        </w:r>
        <w:r>
          <w:t xml:space="preserve">16</w:t>
        </w:r>
      </w:hyperlink>
    </w:p>
    <w:p>
      <w:pPr>
        <w:pStyle w:val="toc2"/>
      </w:pPr>
      <w:hyperlink w:anchor="_Toc000126" w:history="1">
        <w:r>
          <w:t xml:space="preserve">7.2 Data corrections</w:t>
        </w:r>
        <w:r>
          <w:t xml:space="preserve">	</w:t>
        </w:r>
        <w:r>
          <w:t xml:space="preserve">16</w:t>
        </w:r>
      </w:hyperlink>
    </w:p>
    <w:p>
      <w:pPr>
        <w:pStyle w:val="toc2"/>
      </w:pPr>
      <w:hyperlink w:anchor="_Toc000127" w:history="1">
        <w:r>
          <w:t xml:space="preserve">7.3 Releases</w:t>
        </w:r>
        <w:r>
          <w:t xml:space="preserve">	</w:t>
        </w:r>
        <w:r>
          <w:t xml:space="preserve">16</w:t>
        </w:r>
      </w:hyperlink>
    </w:p>
    <w:p>
      <w:pPr>
        <w:pStyle w:val="toc2"/>
      </w:pPr>
      <w:hyperlink w:anchor="_Toc000128" w:history="1">
        <w:r>
          <w:t xml:space="preserve">7.4 Patching</w:t>
        </w:r>
        <w:r>
          <w:t xml:space="preserve">	</w:t>
        </w:r>
        <w:r>
          <w:t xml:space="preserve">17</w:t>
        </w:r>
      </w:hyperlink>
    </w:p>
    <w:p>
      <w:pPr>
        <w:pStyle w:val="toc1"/>
      </w:pPr>
      <w:hyperlink w:anchor="_Toc000129" w:history="1">
        <w:r>
          <w:t xml:space="preserve">8 Knowledge management</w:t>
        </w:r>
        <w:r>
          <w:t xml:space="preserve">	</w:t>
        </w:r>
        <w:r>
          <w:t xml:space="preserve">18</w:t>
        </w:r>
      </w:hyperlink>
    </w:p>
    <w:p>
      <w:pPr>
        <w:pStyle w:val="toc1"/>
      </w:pPr>
      <w:hyperlink w:anchor="_Toc000130" w:history="1">
        <w:r>
          <w:t xml:space="preserve">9 Escalation matrix</w:t>
        </w:r>
        <w:r>
          <w:t xml:space="preserve">	</w:t>
        </w:r>
        <w:r>
          <w:t xml:space="preserve">19</w:t>
        </w:r>
      </w:hyperlink>
    </w:p>
    <w:p>
      <w:pPr>
        <w:pStyle w:val="toc1"/>
      </w:pPr>
      <w:hyperlink w:anchor="_Toc000131" w:history="1">
        <w:r>
          <w:t xml:space="preserve">10 Tools</w:t>
        </w:r>
        <w:r>
          <w:t xml:space="preserve">	</w:t>
        </w:r>
        <w:r>
          <w:t xml:space="preserve">20</w:t>
        </w:r>
      </w:hyperlink>
    </w:p>
    <w:p>
      <w:pPr>
        <w:pStyle w:val="toc1"/>
      </w:pPr>
      <w:hyperlink w:anchor="_Toc000132" w:history="1">
        <w:r>
          <w:t xml:space="preserve">11 Service reporting</w:t>
        </w:r>
        <w:r>
          <w:t xml:space="preserve">	</w:t>
        </w:r>
        <w:r>
          <w:t xml:space="preserve">21</w:t>
        </w:r>
      </w:hyperlink>
    </w:p>
    <w:p>
      <w:pPr>
        <w:pStyle w:val="toc2"/>
      </w:pPr>
      <w:hyperlink w:anchor="_Toc000133" w:history="1">
        <w:r>
          <w:t xml:space="preserve">11.1 Monthly service report</w:t>
        </w:r>
        <w:r>
          <w:t xml:space="preserve">	</w:t>
        </w:r>
        <w:r>
          <w:t xml:space="preserve">21</w:t>
        </w:r>
      </w:hyperlink>
    </w:p>
    <w:p>
      <w:pPr>
        <w:pStyle w:val="toc2"/>
      </w:pPr>
      <w:hyperlink w:anchor="_Toc000134" w:history="1">
        <w:r>
          <w:t xml:space="preserve">11.2 KPIs</w:t>
        </w:r>
        <w:r>
          <w:t xml:space="preserve">	</w:t>
        </w:r>
        <w:r>
          <w:t xml:space="preserve">21</w:t>
        </w:r>
      </w:hyperlink>
    </w:p>
    <w:p>
      <w:pPr>
        <w:pStyle w:val="toc1"/>
      </w:pPr>
      <w:hyperlink w:anchor="_Toc000135" w:history="1">
        <w:r>
          <w:t xml:space="preserve">Part B - L1 troubleshooting guide</w:t>
        </w:r>
        <w:r>
          <w:t xml:space="preserve">	</w:t>
        </w:r>
        <w:r>
          <w:t xml:space="preserve">22</w:t>
        </w:r>
      </w:hyperlink>
    </w:p>
    <w:p>
      <w:pPr>
        <w:pStyle w:val="toc1"/>
      </w:pPr>
      <w:hyperlink w:anchor="_Toc000136" w:history="1">
        <w:r>
          <w:t xml:space="preserve">12 L1 troubleshooting guide</w:t>
        </w:r>
        <w:r>
          <w:t xml:space="preserve">	</w:t>
        </w:r>
        <w:r>
          <w:t xml:space="preserve">23</w:t>
        </w:r>
      </w:hyperlink>
    </w:p>
    <w:p>
      <w:pPr>
        <w:pStyle w:val="toc2"/>
      </w:pPr>
      <w:hyperlink w:anchor="_Toc000137" w:history="1">
        <w:r>
          <w:t xml:space="preserve">12.1 How to use this guide</w:t>
        </w:r>
        <w:r>
          <w:t xml:space="preserve">	</w:t>
        </w:r>
        <w:r>
          <w:t xml:space="preserve">23</w:t>
        </w:r>
      </w:hyperlink>
    </w:p>
    <w:p>
      <w:pPr>
        <w:pStyle w:val="toc2"/>
      </w:pPr>
      <w:hyperlink w:anchor="_Toc000138" w:history="1">
        <w:r>
          <w:t xml:space="preserve">12.2 Sign-in</w:t>
        </w:r>
        <w:r>
          <w:t xml:space="preserve">	</w:t>
        </w:r>
        <w:r>
          <w:t xml:space="preserve">23</w:t>
        </w:r>
      </w:hyperlink>
    </w:p>
    <w:p>
      <w:pPr>
        <w:pStyle w:val="toc2"/>
      </w:pPr>
      <w:hyperlink w:anchor="_Toc000139" w:history="1">
        <w:r>
          <w:t xml:space="preserve">12.3 Access</w:t>
        </w:r>
        <w:r>
          <w:t xml:space="preserve">	</w:t>
        </w:r>
        <w:r>
          <w:t xml:space="preserve">24</w:t>
        </w:r>
      </w:hyperlink>
    </w:p>
    <w:p>
      <w:pPr>
        <w:pStyle w:val="toc2"/>
      </w:pPr>
      <w:hyperlink w:anchor="_Toc000140" w:history="1">
        <w:r>
          <w:t xml:space="preserve">12.4 Workflow stuck</w:t>
        </w:r>
        <w:r>
          <w:t xml:space="preserve">	</w:t>
        </w:r>
        <w:r>
          <w:t xml:space="preserve">24</w:t>
        </w:r>
      </w:hyperlink>
    </w:p>
    <w:p>
      <w:pPr>
        <w:pStyle w:val="toc2"/>
      </w:pPr>
      <w:hyperlink w:anchor="_Toc000141" w:history="1">
        <w:r>
          <w:t xml:space="preserve">12.5 Upload errors</w:t>
        </w:r>
        <w:r>
          <w:t xml:space="preserve">	</w:t>
        </w:r>
        <w:r>
          <w:t xml:space="preserve">25</w:t>
        </w:r>
      </w:hyperlink>
    </w:p>
    <w:p>
      <w:pPr>
        <w:pStyle w:val="toc2"/>
      </w:pPr>
      <w:hyperlink w:anchor="_Toc000142" w:history="1">
        <w:r>
          <w:t xml:space="preserve">12.6 Report not received</w:t>
        </w:r>
        <w:r>
          <w:t xml:space="preserve">	</w:t>
        </w:r>
        <w:r>
          <w:t xml:space="preserve">25</w:t>
        </w:r>
      </w:hyperlink>
    </w:p>
    <w:p>
      <w:pPr>
        <w:pStyle w:val="toc2"/>
      </w:pPr>
      <w:hyperlink w:anchor="_Toc000143" w:history="1">
        <w:r>
          <w:t xml:space="preserve">12.7 Period closed</w:t>
        </w:r>
        <w:r>
          <w:t xml:space="preserve">	</w:t>
        </w:r>
        <w:r>
          <w:t xml:space="preserve">26</w:t>
        </w:r>
      </w:hyperlink>
    </w:p>
    <w:p>
      <w:pPr>
        <w:pStyle w:val="toc2"/>
      </w:pPr>
      <w:hyperlink w:anchor="_Toc000144" w:history="1">
        <w:r>
          <w:t xml:space="preserve">12.8 Unexpected error</w:t>
        </w:r>
        <w:r>
          <w:t xml:space="preserve">	</w:t>
        </w:r>
        <w:r>
          <w:t xml:space="preserve">26</w:t>
        </w:r>
      </w:hyperlink>
    </w:p>
    <w:p>
      <w:pPr>
        <w:pStyle w:val="toc1"/>
      </w:pPr>
      <w:hyperlink w:anchor="_Toc000145" w:history="1">
        <w:r>
          <w:t xml:space="preserve">Decisions and open points for BDOI</w:t>
        </w:r>
        <w:r>
          <w:t xml:space="preserve">	</w:t>
        </w:r>
        <w:r>
          <w:t xml:space="preserve">27</w:t>
        </w:r>
      </w:hyperlink>
    </w:p>
    <w:p>
      <w:pPr>
        <w:pStyle w:val="toc1"/>
      </w:pPr>
      <w:hyperlink w:anchor="_Toc000146" w:history="1">
        <w:r>
          <w:t xml:space="preserve">Glossary</w:t>
        </w:r>
        <w:r>
          <w:t xml:space="preserve">	</w:t>
        </w:r>
        <w:r>
          <w:t xml:space="preserve">28</w:t>
        </w:r>
      </w:hyperlink>
    </w:p>
    <w:p>
      <w:pPr>
        <w:pStyle w:val="toc1"/>
      </w:pPr>
      <w:hyperlink w:anchor="_Toc000147" w:history="1">
        <w:r>
          <w:t xml:space="preserve">Sign-off</w:t>
        </w:r>
        <w:r>
          <w:t xml:space="preserve">	</w:t>
        </w:r>
        <w:r>
          <w:t xml:space="preserve">29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sets out how BIBS (BDOI Broker System, on iNXT BrokerVerse) is supported in production from the end of hypercare: who does what at each support level, the service hours, how incidents are classified and how fast they are answered and resolved, the service level objectives of the platform, the incident, problem, change, release and knowledge processes, the escalation matrix, the tools and the service reporting. Its second part is the L1 troubleshooting guide that the BDOI service desk uses on the first call.</w:t>
      </w:r>
    </w:p>
    <w:p>
      <w:r>
        <w:rPr/>
        <w:t>It applies from the hypercare exit, planned for 2 February 2028 after the January 2028 month-end close (Hypercare, Warranty and Sign-off Plan). During hypercare the same levels work with shorter targets and the command centre of the cutover.</w:t>
      </w:r>
    </w:p>
    <w:p>
      <w:pPr>
        <w:pStyle w:val="Heading2"/>
      </w:pPr>
      <w:bookmarkStart w:id="103" w:name="_Toc000103"/>
      <w:r>
        <w:rPr/>
        <w:t>1.2 Audience</w:t>
      </w:r>
      <w:bookmarkEnd w:id="103"/>
    </w:p>
    <w:p>
      <w:pPr>
        <w:pStyle w:val="Caption"/>
        <w:keepNext/>
        <w:spacing w:after="60"/>
      </w:pPr>
      <w:r>
        <w:rPr>
          <w:b/>
          <w:i w:val="0"/>
        </w:rPr>
        <w:t xml:space="preserve">Table 1: </w:t>
      </w:r>
      <w:r>
        <w:rPr/>
        <w:t>Audience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Uses this document for</w:t>
            </w:r>
          </w:p>
        </w:tc>
      </w:tr>
      <w:tr>
        <w:trPr>
          <w:cantSplit w:val="true"/>
        </w:trPr>
        <w:tc>
          <w:tcPr>
            <w:tcW w:type="dxa" w:w="2763"/>
            <w:tcMar>
              <w:top w:w="50" w:type="dxa"/>
              <w:bottom w:w="50" w:type="dxa"/>
              <w:left w:w="90" w:type="dxa"/>
              <w:right w:w="90" w:type="dxa"/>
            </w:tcMar>
          </w:tcPr>
          <w:p>
            <w:pPr>
              <w:pStyle w:val="BDOITable"/>
            </w:pPr>
            <w:r>
              <w:rPr>
                <w:b/>
                <w:sz w:val="18"/>
              </w:rPr>
              <w:t>BDOI service desk (L1)</w:t>
            </w:r>
          </w:p>
        </w:tc>
        <w:tc>
          <w:tcPr>
            <w:tcW w:type="dxa" w:w="7209"/>
            <w:tcMar>
              <w:top w:w="50" w:type="dxa"/>
              <w:bottom w:w="50" w:type="dxa"/>
              <w:left w:w="90" w:type="dxa"/>
              <w:right w:w="90" w:type="dxa"/>
            </w:tcMar>
          </w:tcPr>
          <w:p>
            <w:pPr>
              <w:pStyle w:val="BDOITable"/>
            </w:pPr>
            <w:r>
              <w:rPr>
                <w:sz w:val="18"/>
              </w:rPr>
              <w:t>Logging and classifying tickets, the first fix from chapter 12, when to escalate</w:t>
            </w:r>
          </w:p>
        </w:tc>
      </w:tr>
      <w:tr>
        <w:trPr>
          <w:cantSplit w:val="true"/>
        </w:trPr>
        <w:tc>
          <w:tcPr>
            <w:tcW w:type="dxa" w:w="2763"/>
            <w:tcMar>
              <w:top w:w="50" w:type="dxa"/>
              <w:bottom w:w="50" w:type="dxa"/>
              <w:left w:w="90" w:type="dxa"/>
              <w:right w:w="90" w:type="dxa"/>
            </w:tcMar>
            <w:shd w:val="clear" w:color="auto" w:fill="E5F5FF"/>
          </w:tcPr>
          <w:p>
            <w:pPr>
              <w:pStyle w:val="BDOITable"/>
            </w:pPr>
            <w:r>
              <w:rPr>
                <w:b/>
                <w:sz w:val="18"/>
              </w:rPr>
              <w:t>BDOI application support (L2)</w:t>
            </w:r>
          </w:p>
        </w:tc>
        <w:tc>
          <w:tcPr>
            <w:tcW w:type="dxa" w:w="7209"/>
            <w:tcMar>
              <w:top w:w="50" w:type="dxa"/>
              <w:bottom w:w="50" w:type="dxa"/>
              <w:left w:w="90" w:type="dxa"/>
              <w:right w:w="90" w:type="dxa"/>
            </w:tcMar>
            <w:shd w:val="clear" w:color="auto" w:fill="E5F5FF"/>
          </w:tcPr>
          <w:p>
            <w:pPr>
              <w:pStyle w:val="BDOITable"/>
            </w:pPr>
            <w:r>
              <w:rPr>
                <w:sz w:val="18"/>
              </w:rPr>
              <w:t>Triage, configuration and data checks, job reruns, problem records, contact with the business</w:t>
            </w:r>
          </w:p>
        </w:tc>
      </w:tr>
      <w:tr>
        <w:trPr>
          <w:cantSplit w:val="true"/>
        </w:trPr>
        <w:tc>
          <w:tcPr>
            <w:tcW w:type="dxa" w:w="2763"/>
            <w:tcMar>
              <w:top w:w="50" w:type="dxa"/>
              <w:bottom w:w="50" w:type="dxa"/>
              <w:left w:w="90" w:type="dxa"/>
              <w:right w:w="90" w:type="dxa"/>
            </w:tcMar>
          </w:tcPr>
          <w:p>
            <w:pPr>
              <w:pStyle w:val="BDOITable"/>
            </w:pPr>
            <w:r>
              <w:rPr>
                <w:b/>
                <w:sz w:val="18"/>
              </w:rPr>
              <w:t>iorta TechNXT support (L3)</w:t>
            </w:r>
          </w:p>
        </w:tc>
        <w:tc>
          <w:tcPr>
            <w:tcW w:type="dxa" w:w="7209"/>
            <w:tcMar>
              <w:top w:w="50" w:type="dxa"/>
              <w:bottom w:w="50" w:type="dxa"/>
              <w:left w:w="90" w:type="dxa"/>
              <w:right w:w="90" w:type="dxa"/>
            </w:tcMar>
          </w:tcPr>
          <w:p>
            <w:pPr>
              <w:pStyle w:val="BDOITable"/>
            </w:pPr>
            <w:r>
              <w:rPr>
                <w:sz w:val="18"/>
              </w:rPr>
              <w:t>Service levels, on-call, fixes, releases, root-cause analysis</w:t>
            </w:r>
          </w:p>
        </w:tc>
      </w:tr>
      <w:tr>
        <w:trPr>
          <w:cantSplit w:val="true"/>
        </w:trPr>
        <w:tc>
          <w:tcPr>
            <w:tcW w:type="dxa" w:w="2763"/>
            <w:tcMar>
              <w:top w:w="50" w:type="dxa"/>
              <w:bottom w:w="50" w:type="dxa"/>
              <w:left w:w="90" w:type="dxa"/>
              <w:right w:w="90" w:type="dxa"/>
            </w:tcMar>
            <w:shd w:val="clear" w:color="auto" w:fill="E5F5FF"/>
          </w:tcPr>
          <w:p>
            <w:pPr>
              <w:pStyle w:val="BDOITable"/>
            </w:pPr>
            <w:r>
              <w:rPr>
                <w:b/>
                <w:sz w:val="18"/>
              </w:rPr>
              <w:t>BDO Cloud Operations</w:t>
            </w:r>
          </w:p>
        </w:tc>
        <w:tc>
          <w:tcPr>
            <w:tcW w:type="dxa" w:w="7209"/>
            <w:tcMar>
              <w:top w:w="50" w:type="dxa"/>
              <w:bottom w:w="50" w:type="dxa"/>
              <w:left w:w="90" w:type="dxa"/>
              <w:right w:w="90" w:type="dxa"/>
            </w:tcMar>
            <w:shd w:val="clear" w:color="auto" w:fill="E5F5FF"/>
          </w:tcPr>
          <w:p>
            <w:pPr>
              <w:pStyle w:val="BDOITable"/>
            </w:pPr>
            <w:r>
              <w:rPr>
                <w:sz w:val="18"/>
              </w:rPr>
              <w:t>Infrastructure incidents, platform changes and on-call</w:t>
            </w:r>
          </w:p>
        </w:tc>
      </w:tr>
      <w:tr>
        <w:trPr>
          <w:cantSplit w:val="true"/>
        </w:trPr>
        <w:tc>
          <w:tcPr>
            <w:tcW w:type="dxa" w:w="2763"/>
            <w:tcMar>
              <w:top w:w="50" w:type="dxa"/>
              <w:bottom w:w="50" w:type="dxa"/>
              <w:left w:w="90" w:type="dxa"/>
              <w:right w:w="90" w:type="dxa"/>
            </w:tcMar>
          </w:tcPr>
          <w:p>
            <w:pPr>
              <w:pStyle w:val="BDOITable"/>
            </w:pPr>
            <w:r>
              <w:rPr>
                <w:b/>
                <w:sz w:val="18"/>
              </w:rPr>
              <w:t>BDOI business process owners</w:t>
            </w:r>
          </w:p>
        </w:tc>
        <w:tc>
          <w:tcPr>
            <w:tcW w:type="dxa" w:w="7209"/>
            <w:tcMar>
              <w:top w:w="50" w:type="dxa"/>
              <w:bottom w:w="50" w:type="dxa"/>
              <w:left w:w="90" w:type="dxa"/>
              <w:right w:w="90" w:type="dxa"/>
            </w:tcMar>
          </w:tcPr>
          <w:p>
            <w:pPr>
              <w:pStyle w:val="BDOITable"/>
            </w:pPr>
            <w:r>
              <w:rPr>
                <w:sz w:val="18"/>
              </w:rPr>
              <w:t>Severity of business impact, decisions, service reports</w:t>
            </w:r>
          </w:p>
        </w:tc>
      </w:tr>
      <w:tr>
        <w:trPr>
          <w:cantSplit w:val="true"/>
        </w:trPr>
        <w:tc>
          <w:tcPr>
            <w:tcW w:type="dxa" w:w="2763"/>
            <w:tcMar>
              <w:top w:w="50" w:type="dxa"/>
              <w:bottom w:w="50" w:type="dxa"/>
              <w:left w:w="90" w:type="dxa"/>
              <w:right w:w="90" w:type="dxa"/>
            </w:tcMar>
            <w:shd w:val="clear" w:color="auto" w:fill="E5F5FF"/>
          </w:tcPr>
          <w:p>
            <w:pPr>
              <w:pStyle w:val="BDOITable"/>
            </w:pPr>
            <w:r>
              <w:rPr>
                <w:b/>
                <w:sz w:val="18"/>
              </w:rPr>
              <w:t>Head, BDOI IT and the BIBS Product Owner</w:t>
            </w:r>
          </w:p>
        </w:tc>
        <w:tc>
          <w:tcPr>
            <w:tcW w:type="dxa" w:w="7209"/>
            <w:tcMar>
              <w:top w:w="50" w:type="dxa"/>
              <w:bottom w:w="50" w:type="dxa"/>
              <w:left w:w="90" w:type="dxa"/>
              <w:right w:w="90" w:type="dxa"/>
            </w:tcMar>
            <w:shd w:val="clear" w:color="auto" w:fill="E5F5FF"/>
          </w:tcPr>
          <w:p>
            <w:pPr>
              <w:pStyle w:val="BDOITable"/>
            </w:pPr>
            <w:r>
              <w:rPr>
                <w:sz w:val="18"/>
              </w:rPr>
              <w:t>Approval of the model, the service levels and the tools</w:t>
            </w:r>
          </w:p>
        </w:tc>
      </w:tr>
    </w:tbl>
    <w:p>
      <w:pPr>
        <w:pStyle w:val="BDOISpacer"/>
      </w:pPr>
    </w:p>
    <w:p>
      <w:pPr>
        <w:pStyle w:val="Heading2"/>
      </w:pPr>
      <w:bookmarkStart w:id="104" w:name="_Toc000104"/>
      <w:r>
        <w:rPr/>
        <w:t>1.3 Scope</w:t>
      </w:r>
      <w:bookmarkEnd w:id="104"/>
    </w:p>
    <w:p>
      <w:r>
        <w:rPr/>
        <w:t>In scope: BIBS in production in AWS ap-southeast-1, all modules of Drops 0, 1 and 2 that go live together in January 2028, the integrations listed in the Integration Inventory, the migrated legacy data and the Legacy Inquiry archive. Out of scope: the legacy systems (EBIX, QPS, ISYS, CMS) after the freeze, supported by BDOI IT until their decommissioning; the BDO systems on the other side of each interface (EIAM, UIDM-ISC, Apigee X, CCM, ECM, bank channels, EGL, EDP), supported by their owners; the ReInsurance module, which is phase 2.</w:t>
      </w:r>
    </w:p>
    <w:p>
      <w:pPr>
        <w:pStyle w:val="Heading2"/>
      </w:pPr>
      <w:bookmarkStart w:id="105" w:name="_Toc000105"/>
      <w:r>
        <w:rPr/>
        <w:t>1.4 Reference documents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4205"/>
        <w:gridCol w:w="5166"/>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601"/>
            <w:tcMar>
              <w:top w:w="50" w:type="dxa"/>
              <w:bottom w:w="50" w:type="dxa"/>
              <w:left w:w="90" w:type="dxa"/>
              <w:right w:w="90" w:type="dxa"/>
            </w:tcMar>
          </w:tcPr>
          <w:p>
            <w:pPr>
              <w:pStyle w:val="BDOITable"/>
            </w:pPr>
            <w:r>
              <w:rPr>
                <w:b/>
                <w:sz w:val="18"/>
              </w:rPr>
              <w:t>R1</w:t>
            </w:r>
          </w:p>
        </w:tc>
        <w:tc>
          <w:tcPr>
            <w:tcW w:type="dxa" w:w="4205"/>
            <w:tcMar>
              <w:top w:w="50" w:type="dxa"/>
              <w:bottom w:w="50" w:type="dxa"/>
              <w:left w:w="90" w:type="dxa"/>
              <w:right w:w="90" w:type="dxa"/>
            </w:tcMar>
          </w:tcPr>
          <w:p>
            <w:pPr>
              <w:pStyle w:val="BDOITable"/>
            </w:pPr>
            <w:r>
              <w:rPr>
                <w:sz w:val="18"/>
              </w:rPr>
              <w:t>FRS BRD-00 Core Replacement v1.0 (umbrella), chapter Non-functional requirements</w:t>
            </w:r>
          </w:p>
        </w:tc>
        <w:tc>
          <w:tcPr>
            <w:tcW w:type="dxa" w:w="5166"/>
            <w:tcMar>
              <w:top w:w="50" w:type="dxa"/>
              <w:bottom w:w="50" w:type="dxa"/>
              <w:left w:w="90" w:type="dxa"/>
              <w:right w:w="90" w:type="dxa"/>
            </w:tcMar>
          </w:tcPr>
          <w:p>
            <w:pPr>
              <w:pStyle w:val="BDOITable"/>
            </w:pPr>
            <w:r>
              <w:rPr>
                <w:sz w:val="18"/>
              </w:rPr>
              <w:t>Users, response time, availability, retention, backup</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R2</w:t>
            </w:r>
          </w:p>
        </w:tc>
        <w:tc>
          <w:tcPr>
            <w:tcW w:type="dxa" w:w="4205"/>
            <w:tcMar>
              <w:top w:w="50" w:type="dxa"/>
              <w:bottom w:w="50" w:type="dxa"/>
              <w:left w:w="90" w:type="dxa"/>
              <w:right w:w="90" w:type="dxa"/>
            </w:tcMar>
            <w:shd w:val="clear" w:color="auto" w:fill="E5F5FF"/>
          </w:tcPr>
          <w:p>
            <w:pPr>
              <w:pStyle w:val="BDOITable"/>
            </w:pPr>
            <w:r>
              <w:rPr>
                <w:sz w:val="18"/>
              </w:rPr>
              <w:t>BRD Discrepancy and Clarification Register v1.2, items DCR-133 to DCR-140, DCR-166, DCR-224, DCR-225</w:t>
            </w:r>
          </w:p>
        </w:tc>
        <w:tc>
          <w:tcPr>
            <w:tcW w:type="dxa" w:w="5166"/>
            <w:tcMar>
              <w:top w:w="50" w:type="dxa"/>
              <w:bottom w:w="50" w:type="dxa"/>
              <w:left w:w="90" w:type="dxa"/>
              <w:right w:w="90" w:type="dxa"/>
            </w:tcMar>
            <w:shd w:val="clear" w:color="auto" w:fill="E5F5FF"/>
          </w:tcPr>
          <w:p>
            <w:pPr>
              <w:pStyle w:val="BDOITable"/>
            </w:pPr>
            <w:r>
              <w:rPr>
                <w:sz w:val="18"/>
              </w:rPr>
              <w:t>Service window, availability, RPO and RTO, response time, maintenance window, monitoring stack</w:t>
            </w:r>
          </w:p>
        </w:tc>
      </w:tr>
      <w:tr>
        <w:trPr>
          <w:cantSplit w:val="true"/>
        </w:trPr>
        <w:tc>
          <w:tcPr>
            <w:tcW w:type="dxa" w:w="601"/>
            <w:tcMar>
              <w:top w:w="50" w:type="dxa"/>
              <w:bottom w:w="50" w:type="dxa"/>
              <w:left w:w="90" w:type="dxa"/>
              <w:right w:w="90" w:type="dxa"/>
            </w:tcMar>
          </w:tcPr>
          <w:p>
            <w:pPr>
              <w:pStyle w:val="BDOITable"/>
            </w:pPr>
            <w:r>
              <w:rPr>
                <w:b/>
                <w:sz w:val="18"/>
              </w:rPr>
              <w:t>R3</w:t>
            </w:r>
          </w:p>
        </w:tc>
        <w:tc>
          <w:tcPr>
            <w:tcW w:type="dxa" w:w="4205"/>
            <w:tcMar>
              <w:top w:w="50" w:type="dxa"/>
              <w:bottom w:w="50" w:type="dxa"/>
              <w:left w:w="90" w:type="dxa"/>
              <w:right w:w="90" w:type="dxa"/>
            </w:tcMar>
          </w:tcPr>
          <w:p>
            <w:pPr>
              <w:pStyle w:val="BDOITable"/>
            </w:pPr>
            <w:r>
              <w:rPr>
                <w:sz w:val="18"/>
              </w:rPr>
              <w:t>Programme Alignment - Drops, Integrations and Infrastructure v1.0 and the Integration Inventory</w:t>
            </w:r>
          </w:p>
        </w:tc>
        <w:tc>
          <w:tcPr>
            <w:tcW w:type="dxa" w:w="5166"/>
            <w:tcMar>
              <w:top w:w="50" w:type="dxa"/>
              <w:bottom w:w="50" w:type="dxa"/>
              <w:left w:w="90" w:type="dxa"/>
              <w:right w:w="90" w:type="dxa"/>
            </w:tcMar>
          </w:tcPr>
          <w:p>
            <w:pPr>
              <w:pStyle w:val="BDOITable"/>
            </w:pPr>
            <w:r>
              <w:rPr>
                <w:sz w:val="18"/>
              </w:rPr>
              <w:t>Integrations and their owners, environments, component baseline of 8 October 2026</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R4</w:t>
            </w:r>
          </w:p>
        </w:tc>
        <w:tc>
          <w:tcPr>
            <w:tcW w:type="dxa" w:w="4205"/>
            <w:tcMar>
              <w:top w:w="50" w:type="dxa"/>
              <w:bottom w:w="50" w:type="dxa"/>
              <w:left w:w="90" w:type="dxa"/>
              <w:right w:w="90" w:type="dxa"/>
            </w:tcMar>
            <w:shd w:val="clear" w:color="auto" w:fill="E5F5FF"/>
          </w:tcPr>
          <w:p>
            <w:pPr>
              <w:pStyle w:val="BDOITable"/>
            </w:pPr>
            <w:r>
              <w:rPr>
                <w:sz w:val="18"/>
              </w:rPr>
              <w:t>Data Migration Handbook BRD-13 v2.1, Part D</w:t>
            </w:r>
          </w:p>
        </w:tc>
        <w:tc>
          <w:tcPr>
            <w:tcW w:type="dxa" w:w="5166"/>
            <w:tcMar>
              <w:top w:w="50" w:type="dxa"/>
              <w:bottom w:w="50" w:type="dxa"/>
              <w:left w:w="90" w:type="dxa"/>
              <w:right w:w="90" w:type="dxa"/>
            </w:tcMar>
            <w:shd w:val="clear" w:color="auto" w:fill="E5F5FF"/>
          </w:tcPr>
          <w:p>
            <w:pPr>
              <w:pStyle w:val="BDOITable"/>
            </w:pPr>
            <w:r>
              <w:rPr>
                <w:sz w:val="18"/>
              </w:rPr>
              <w:t>Command centre, hypercare roster, hypercare exit criteria</w:t>
            </w:r>
          </w:p>
        </w:tc>
      </w:tr>
      <w:tr>
        <w:trPr>
          <w:cantSplit w:val="true"/>
        </w:trPr>
        <w:tc>
          <w:tcPr>
            <w:tcW w:type="dxa" w:w="601"/>
            <w:tcMar>
              <w:top w:w="50" w:type="dxa"/>
              <w:bottom w:w="50" w:type="dxa"/>
              <w:left w:w="90" w:type="dxa"/>
              <w:right w:w="90" w:type="dxa"/>
            </w:tcMar>
          </w:tcPr>
          <w:p>
            <w:pPr>
              <w:pStyle w:val="BDOITable"/>
            </w:pPr>
            <w:r>
              <w:rPr>
                <w:b/>
                <w:sz w:val="18"/>
              </w:rPr>
              <w:t>R5</w:t>
            </w:r>
          </w:p>
        </w:tc>
        <w:tc>
          <w:tcPr>
            <w:tcW w:type="dxa" w:w="4205"/>
            <w:tcMar>
              <w:top w:w="50" w:type="dxa"/>
              <w:bottom w:w="50" w:type="dxa"/>
              <w:left w:w="90" w:type="dxa"/>
              <w:right w:w="90" w:type="dxa"/>
            </w:tcMar>
          </w:tcPr>
          <w:p>
            <w:pPr>
              <w:pStyle w:val="BDOITable"/>
            </w:pPr>
            <w:r>
              <w:rPr>
                <w:sz w:val="18"/>
              </w:rPr>
              <w:t>Operations Runbook and Observability v1.0</w:t>
            </w:r>
          </w:p>
        </w:tc>
        <w:tc>
          <w:tcPr>
            <w:tcW w:type="dxa" w:w="5166"/>
            <w:tcMar>
              <w:top w:w="50" w:type="dxa"/>
              <w:bottom w:w="50" w:type="dxa"/>
              <w:left w:w="90" w:type="dxa"/>
              <w:right w:w="90" w:type="dxa"/>
            </w:tcMar>
          </w:tcPr>
          <w:p>
            <w:pPr>
              <w:pStyle w:val="BDOITable"/>
            </w:pPr>
            <w:r>
              <w:rPr>
                <w:sz w:val="18"/>
              </w:rPr>
              <w:t>Monitoring, alert catalogue, scheduled jobs, standard procedures</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R6</w:t>
            </w:r>
          </w:p>
        </w:tc>
        <w:tc>
          <w:tcPr>
            <w:tcW w:type="dxa" w:w="4205"/>
            <w:tcMar>
              <w:top w:w="50" w:type="dxa"/>
              <w:bottom w:w="50" w:type="dxa"/>
              <w:left w:w="90" w:type="dxa"/>
              <w:right w:w="90" w:type="dxa"/>
            </w:tcMar>
            <w:shd w:val="clear" w:color="auto" w:fill="E5F5FF"/>
          </w:tcPr>
          <w:p>
            <w:pPr>
              <w:pStyle w:val="BDOITable"/>
            </w:pPr>
            <w:r>
              <w:rPr>
                <w:sz w:val="18"/>
              </w:rPr>
              <w:t>Disaster Recovery and Business Continuity Plan v1.0</w:t>
            </w:r>
          </w:p>
        </w:tc>
        <w:tc>
          <w:tcPr>
            <w:tcW w:type="dxa" w:w="5166"/>
            <w:tcMar>
              <w:top w:w="50" w:type="dxa"/>
              <w:bottom w:w="50" w:type="dxa"/>
              <w:left w:w="90" w:type="dxa"/>
              <w:right w:w="90" w:type="dxa"/>
            </w:tcMar>
            <w:shd w:val="clear" w:color="auto" w:fill="E5F5FF"/>
          </w:tcPr>
          <w:p>
            <w:pPr>
              <w:pStyle w:val="BDOITable"/>
            </w:pPr>
            <w:r>
              <w:rPr>
                <w:sz w:val="18"/>
              </w:rPr>
              <w:t>Recovery objectives, failover, manual workarounds</w:t>
            </w:r>
          </w:p>
        </w:tc>
      </w:tr>
      <w:tr>
        <w:trPr>
          <w:cantSplit w:val="true"/>
        </w:trPr>
        <w:tc>
          <w:tcPr>
            <w:tcW w:type="dxa" w:w="601"/>
            <w:tcMar>
              <w:top w:w="50" w:type="dxa"/>
              <w:bottom w:w="50" w:type="dxa"/>
              <w:left w:w="90" w:type="dxa"/>
              <w:right w:w="90" w:type="dxa"/>
            </w:tcMar>
          </w:tcPr>
          <w:p>
            <w:pPr>
              <w:pStyle w:val="BDOITable"/>
            </w:pPr>
            <w:r>
              <w:rPr>
                <w:b/>
                <w:sz w:val="18"/>
              </w:rPr>
              <w:t>R7</w:t>
            </w:r>
          </w:p>
        </w:tc>
        <w:tc>
          <w:tcPr>
            <w:tcW w:type="dxa" w:w="4205"/>
            <w:tcMar>
              <w:top w:w="50" w:type="dxa"/>
              <w:bottom w:w="50" w:type="dxa"/>
              <w:left w:w="90" w:type="dxa"/>
              <w:right w:w="90" w:type="dxa"/>
            </w:tcMar>
          </w:tcPr>
          <w:p>
            <w:pPr>
              <w:pStyle w:val="BDOITable"/>
            </w:pPr>
            <w:r>
              <w:rPr>
                <w:sz w:val="18"/>
              </w:rPr>
              <w:t>Hypercare, Warranty and Sign-off Plan v1.0</w:t>
            </w:r>
          </w:p>
        </w:tc>
        <w:tc>
          <w:tcPr>
            <w:tcW w:type="dxa" w:w="5166"/>
            <w:tcMar>
              <w:top w:w="50" w:type="dxa"/>
              <w:bottom w:w="50" w:type="dxa"/>
              <w:left w:w="90" w:type="dxa"/>
              <w:right w:w="90" w:type="dxa"/>
            </w:tcMar>
          </w:tcPr>
          <w:p>
            <w:pPr>
              <w:pStyle w:val="BDOITable"/>
            </w:pPr>
            <w:r>
              <w:rPr>
                <w:sz w:val="18"/>
              </w:rPr>
              <w:t>Hypercare targets, handover to this model, warranty</w:t>
            </w:r>
          </w:p>
        </w:tc>
      </w:tr>
      <w:tr>
        <w:trPr>
          <w:cantSplit w:val="true"/>
        </w:trPr>
        <w:tc>
          <w:tcPr>
            <w:tcW w:type="dxa" w:w="601"/>
            <w:tcMar>
              <w:top w:w="50" w:type="dxa"/>
              <w:bottom w:w="50" w:type="dxa"/>
              <w:left w:w="90" w:type="dxa"/>
              <w:right w:w="90" w:type="dxa"/>
            </w:tcMar>
            <w:shd w:val="clear" w:color="auto" w:fill="E5F5FF"/>
          </w:tcPr>
          <w:p>
            <w:pPr>
              <w:pStyle w:val="BDOITable"/>
            </w:pPr>
            <w:r>
              <w:rPr>
                <w:b/>
                <w:sz w:val="18"/>
              </w:rPr>
              <w:t>R8</w:t>
            </w:r>
          </w:p>
        </w:tc>
        <w:tc>
          <w:tcPr>
            <w:tcW w:type="dxa" w:w="4205"/>
            <w:tcMar>
              <w:top w:w="50" w:type="dxa"/>
              <w:bottom w:w="50" w:type="dxa"/>
              <w:left w:w="90" w:type="dxa"/>
              <w:right w:w="90" w:type="dxa"/>
            </w:tcMar>
            <w:shd w:val="clear" w:color="auto" w:fill="E5F5FF"/>
          </w:tcPr>
          <w:p>
            <w:pPr>
              <w:pStyle w:val="BDOITable"/>
            </w:pPr>
            <w:r>
              <w:rPr>
                <w:sz w:val="18"/>
              </w:rPr>
              <w:t>FRS of BRD-1 to BRD-13 and the user guides of the sign-off sets</w:t>
            </w:r>
          </w:p>
        </w:tc>
        <w:tc>
          <w:tcPr>
            <w:tcW w:type="dxa" w:w="5166"/>
            <w:tcMar>
              <w:top w:w="50" w:type="dxa"/>
              <w:bottom w:w="50" w:type="dxa"/>
              <w:left w:w="90" w:type="dxa"/>
              <w:right w:w="90" w:type="dxa"/>
            </w:tcMar>
            <w:shd w:val="clear" w:color="auto" w:fill="E5F5FF"/>
          </w:tcPr>
          <w:p>
            <w:pPr>
              <w:pStyle w:val="BDOITable"/>
            </w:pPr>
            <w:r>
              <w:rPr>
                <w:sz w:val="18"/>
              </w:rPr>
              <w:t>Expected behaviour of each screen, messages, roles</w:t>
            </w:r>
          </w:p>
        </w:tc>
      </w:tr>
      <w:tr>
        <w:trPr>
          <w:cantSplit w:val="true"/>
        </w:trPr>
        <w:tc>
          <w:tcPr>
            <w:tcW w:type="dxa" w:w="601"/>
            <w:tcMar>
              <w:top w:w="50" w:type="dxa"/>
              <w:bottom w:w="50" w:type="dxa"/>
              <w:left w:w="90" w:type="dxa"/>
              <w:right w:w="90" w:type="dxa"/>
            </w:tcMar>
          </w:tcPr>
          <w:p>
            <w:pPr>
              <w:pStyle w:val="BDOITable"/>
            </w:pPr>
            <w:r>
              <w:rPr>
                <w:b/>
                <w:sz w:val="18"/>
              </w:rPr>
              <w:t>R9</w:t>
            </w:r>
          </w:p>
        </w:tc>
        <w:tc>
          <w:tcPr>
            <w:tcW w:type="dxa" w:w="4205"/>
            <w:tcMar>
              <w:top w:w="50" w:type="dxa"/>
              <w:bottom w:w="50" w:type="dxa"/>
              <w:left w:w="90" w:type="dxa"/>
              <w:right w:w="90" w:type="dxa"/>
            </w:tcMar>
          </w:tcPr>
          <w:p>
            <w:pPr>
              <w:pStyle w:val="BDOITable"/>
            </w:pPr>
            <w:r>
              <w:rPr>
                <w:sz w:val="18"/>
              </w:rPr>
              <w:t>Change Management Register v1.0</w:t>
            </w:r>
          </w:p>
        </w:tc>
        <w:tc>
          <w:tcPr>
            <w:tcW w:type="dxa" w:w="5166"/>
            <w:tcMar>
              <w:top w:w="50" w:type="dxa"/>
              <w:bottom w:w="50" w:type="dxa"/>
              <w:left w:w="90" w:type="dxa"/>
              <w:right w:w="90" w:type="dxa"/>
            </w:tcMar>
          </w:tcPr>
          <w:p>
            <w:pPr>
              <w:pStyle w:val="BDOITable"/>
            </w:pPr>
            <w:r>
              <w:rPr>
                <w:sz w:val="18"/>
              </w:rPr>
              <w:t>Change requests against the signed FRS</w:t>
            </w:r>
          </w:p>
        </w:tc>
      </w:tr>
    </w:tbl>
    <w:p>
      <w:pPr>
        <w:pStyle w:val="BDOISpacer"/>
      </w:pPr>
    </w:p>
    <w:p>
      <w:pPr>
        <w:pStyle w:val="Heading1"/>
        <w:pageBreakBefore/>
        <w:pBdr>
          <w:bottom w:val="single" w:sz="4" w:space="4" w:color="99C1E7"/>
        </w:pBdr>
      </w:pPr>
      <w:bookmarkStart w:id="106" w:name="_Toc000106"/>
      <w:r>
        <w:rPr/>
        <w:t>2 Support model</w:t>
      </w:r>
      <w:bookmarkEnd w:id="106"/>
    </w:p>
    <w:p>
      <w:pPr>
        <w:pStyle w:val="Heading2"/>
      </w:pPr>
      <w:bookmarkStart w:id="107" w:name="_Toc000107"/>
      <w:r>
        <w:rPr/>
        <w:t>2.1 Three support levels</w:t>
      </w:r>
      <w:bookmarkEnd w:id="107"/>
    </w:p>
    <w:p>
      <w:r>
        <w:rPr/>
        <w:t>BIBS is supported on three levels. BDOI runs the first two; iorta TechNXT is the third. BDO Cloud Operations and the owners of the other BDO systems are resolver groups that L2 and L3 call on (Figure 1).</w:t>
      </w:r>
    </w:p>
    <w:p>
      <w:pPr>
        <w:keepNext/>
        <w:spacing w:before="80" w:after="0"/>
        <w:jc w:val="center"/>
      </w:pPr>
      <w:r>
        <w:drawing>
          <wp:inline xmlns:a="http://schemas.openxmlformats.org/drawingml/2006/main" xmlns:pic="http://schemas.openxmlformats.org/drawingml/2006/picture">
            <wp:extent cx="5400000" cy="2476570"/>
            <wp:docPr id="3" name="Picture 3"/>
            <wp:cNvGraphicFramePr>
              <a:graphicFrameLocks noChangeAspect="1"/>
            </wp:cNvGraphicFramePr>
            <a:graphic>
              <a:graphicData uri="http://schemas.openxmlformats.org/drawingml/2006/picture">
                <pic:pic>
                  <pic:nvPicPr>
                    <pic:cNvPr id="0" name="sup_tiers_1003.jpg"/>
                    <pic:cNvPicPr/>
                  </pic:nvPicPr>
                  <pic:blipFill>
                    <a:blip r:embed="rId15"/>
                    <a:stretch>
                      <a:fillRect/>
                    </a:stretch>
                  </pic:blipFill>
                  <pic:spPr>
                    <a:xfrm>
                      <a:off x="0" y="0"/>
                      <a:ext cx="5400000" cy="2476570"/>
                    </a:xfrm>
                    <a:prstGeom prst="rect"/>
                  </pic:spPr>
                </pic:pic>
              </a:graphicData>
            </a:graphic>
          </wp:inline>
        </w:drawing>
      </w:r>
    </w:p>
    <w:p>
      <w:pPr>
        <w:pStyle w:val="Caption"/>
        <w:jc w:val="center"/>
      </w:pPr>
      <w:r>
        <w:rPr>
          <w:b/>
          <w:i w:val="0"/>
        </w:rPr>
        <w:t xml:space="preserve">Figure 1: </w:t>
      </w:r>
      <w:r>
        <w:rPr/>
        <w:t>Support levels of BIBS and the resolver groups around them</w:t>
      </w:r>
    </w:p>
    <w:p>
      <w:pPr>
        <w:pStyle w:val="Caption"/>
        <w:keepNext/>
        <w:spacing w:after="60"/>
      </w:pPr>
      <w:r>
        <w:rPr>
          <w:b/>
          <w:i w:val="0"/>
        </w:rPr>
        <w:t xml:space="preserve">Table 3: </w:t>
      </w:r>
      <w:r>
        <w:rPr/>
        <w:t>Support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2042"/>
        <w:gridCol w:w="3965"/>
        <w:gridCol w:w="2523"/>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Does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Does not</w:t>
            </w:r>
          </w:p>
        </w:tc>
      </w:tr>
      <w:tr>
        <w:trPr>
          <w:cantSplit w:val="true"/>
        </w:trPr>
        <w:tc>
          <w:tcPr>
            <w:tcW w:type="dxa" w:w="1442"/>
            <w:tcMar>
              <w:top w:w="50" w:type="dxa"/>
              <w:bottom w:w="50" w:type="dxa"/>
              <w:left w:w="90" w:type="dxa"/>
              <w:right w:w="90" w:type="dxa"/>
            </w:tcMar>
          </w:tcPr>
          <w:p>
            <w:pPr>
              <w:pStyle w:val="BDOITable"/>
            </w:pPr>
            <w:r>
              <w:rPr>
                <w:b/>
                <w:sz w:val="17"/>
              </w:rPr>
              <w:t>L1</w:t>
            </w:r>
          </w:p>
        </w:tc>
        <w:tc>
          <w:tcPr>
            <w:tcW w:type="dxa" w:w="2042"/>
            <w:tcMar>
              <w:top w:w="50" w:type="dxa"/>
              <w:bottom w:w="50" w:type="dxa"/>
              <w:left w:w="90" w:type="dxa"/>
              <w:right w:w="90" w:type="dxa"/>
            </w:tcMar>
          </w:tcPr>
          <w:p>
            <w:pPr>
              <w:pStyle w:val="BDOITable"/>
            </w:pPr>
            <w:r>
              <w:rPr>
                <w:sz w:val="17"/>
              </w:rPr>
              <w:t>BDOI service desk (BDO Unibank IT service desk, BIBS queue)</w:t>
            </w:r>
          </w:p>
        </w:tc>
        <w:tc>
          <w:tcPr>
            <w:tcW w:type="dxa" w:w="3965"/>
            <w:tcMar>
              <w:top w:w="50" w:type="dxa"/>
              <w:bottom w:w="50" w:type="dxa"/>
              <w:left w:w="90" w:type="dxa"/>
              <w:right w:w="90" w:type="dxa"/>
            </w:tcMar>
          </w:tcPr>
          <w:p>
            <w:pPr>
              <w:pStyle w:val="BDOITable"/>
            </w:pPr>
            <w:r>
              <w:rPr>
                <w:sz w:val="17"/>
              </w:rPr>
              <w:t>Takes every call, e-mail and portal request; logs the ticket with the minimum content (section 5.2); proposes the severity; solves with the L1 guide (chapter 12): sign-in, second factor, access, uploads, reports, periods, how-to; raises access requests; keeps the user informed; closes the ticket</w:t>
            </w:r>
          </w:p>
        </w:tc>
        <w:tc>
          <w:tcPr>
            <w:tcW w:type="dxa" w:w="2523"/>
            <w:tcMar>
              <w:top w:w="50" w:type="dxa"/>
              <w:bottom w:w="50" w:type="dxa"/>
              <w:left w:w="90" w:type="dxa"/>
              <w:right w:w="90" w:type="dxa"/>
            </w:tcMar>
          </w:tcPr>
          <w:p>
            <w:pPr>
              <w:pStyle w:val="BDOITable"/>
            </w:pPr>
            <w:r>
              <w:rPr>
                <w:sz w:val="17"/>
              </w:rPr>
              <w:t>Change configuration, run jobs, correct data, decide on business rules</w:t>
            </w:r>
          </w:p>
        </w:tc>
      </w:tr>
      <w:tr>
        <w:trPr>
          <w:cantSplit w:val="true"/>
        </w:trPr>
        <w:tc>
          <w:tcPr>
            <w:tcW w:type="dxa" w:w="1442"/>
            <w:tcMar>
              <w:top w:w="50" w:type="dxa"/>
              <w:bottom w:w="50" w:type="dxa"/>
              <w:left w:w="90" w:type="dxa"/>
              <w:right w:w="90" w:type="dxa"/>
            </w:tcMar>
            <w:shd w:val="clear" w:color="auto" w:fill="E5F5FF"/>
          </w:tcPr>
          <w:p>
            <w:pPr>
              <w:pStyle w:val="BDOITable"/>
            </w:pPr>
            <w:r>
              <w:rPr>
                <w:b/>
                <w:sz w:val="17"/>
              </w:rPr>
              <w:t>L2</w:t>
            </w:r>
          </w:p>
        </w:tc>
        <w:tc>
          <w:tcPr>
            <w:tcW w:type="dxa" w:w="2042"/>
            <w:tcMar>
              <w:top w:w="50" w:type="dxa"/>
              <w:bottom w:w="50" w:type="dxa"/>
              <w:left w:w="90" w:type="dxa"/>
              <w:right w:w="90" w:type="dxa"/>
            </w:tcMar>
            <w:shd w:val="clear" w:color="auto" w:fill="E5F5FF"/>
          </w:tcPr>
          <w:p>
            <w:pPr>
              <w:pStyle w:val="BDOITable"/>
            </w:pPr>
            <w:r>
              <w:rPr>
                <w:sz w:val="17"/>
              </w:rPr>
              <w:t>BDOI application support (BIBS team in BDOI IT, with one key user per department)</w:t>
            </w:r>
          </w:p>
        </w:tc>
        <w:tc>
          <w:tcPr>
            <w:tcW w:type="dxa" w:w="3965"/>
            <w:tcMar>
              <w:top w:w="50" w:type="dxa"/>
              <w:bottom w:w="50" w:type="dxa"/>
              <w:left w:w="90" w:type="dxa"/>
              <w:right w:w="90" w:type="dxa"/>
            </w:tcMar>
            <w:shd w:val="clear" w:color="auto" w:fill="E5F5FF"/>
          </w:tcPr>
          <w:p>
            <w:pPr>
              <w:pStyle w:val="BDOITable"/>
            </w:pPr>
            <w:r>
              <w:rPr>
                <w:sz w:val="17"/>
              </w:rPr>
              <w:t>Triage and severity; checks configuration, master data, workflow and approval queues, scheduled jobs, alerts and integration events on the BIBS screens; reruns jobs; clears caches; applies standard changes; finds workarounds; owns problem records; reproduces in UAT; works with BDO Cloud Operations and the interface owners</w:t>
            </w:r>
          </w:p>
        </w:tc>
        <w:tc>
          <w:tcPr>
            <w:tcW w:type="dxa" w:w="2523"/>
            <w:tcMar>
              <w:top w:w="50" w:type="dxa"/>
              <w:bottom w:w="50" w:type="dxa"/>
              <w:left w:w="90" w:type="dxa"/>
              <w:right w:w="90" w:type="dxa"/>
            </w:tcMar>
            <w:shd w:val="clear" w:color="auto" w:fill="E5F5FF"/>
          </w:tcPr>
          <w:p>
            <w:pPr>
              <w:pStyle w:val="BDOITable"/>
            </w:pPr>
            <w:r>
              <w:rPr>
                <w:sz w:val="17"/>
              </w:rPr>
              <w:t>Change the application, run a data correction script, release</w:t>
            </w:r>
          </w:p>
        </w:tc>
      </w:tr>
      <w:tr>
        <w:trPr>
          <w:cantSplit w:val="true"/>
        </w:trPr>
        <w:tc>
          <w:tcPr>
            <w:tcW w:type="dxa" w:w="1442"/>
            <w:tcMar>
              <w:top w:w="50" w:type="dxa"/>
              <w:bottom w:w="50" w:type="dxa"/>
              <w:left w:w="90" w:type="dxa"/>
              <w:right w:w="90" w:type="dxa"/>
            </w:tcMar>
          </w:tcPr>
          <w:p>
            <w:pPr>
              <w:pStyle w:val="BDOITable"/>
            </w:pPr>
            <w:r>
              <w:rPr>
                <w:b/>
                <w:sz w:val="17"/>
              </w:rPr>
              <w:t>L3</w:t>
            </w:r>
          </w:p>
        </w:tc>
        <w:tc>
          <w:tcPr>
            <w:tcW w:type="dxa" w:w="2042"/>
            <w:tcMar>
              <w:top w:w="50" w:type="dxa"/>
              <w:bottom w:w="50" w:type="dxa"/>
              <w:left w:w="90" w:type="dxa"/>
              <w:right w:w="90" w:type="dxa"/>
            </w:tcMar>
          </w:tcPr>
          <w:p>
            <w:pPr>
              <w:pStyle w:val="BDOITable"/>
            </w:pPr>
            <w:r>
              <w:rPr>
                <w:sz w:val="17"/>
              </w:rPr>
              <w:t>iorta TechNXT support (application support engineers, developers, DevOps)</w:t>
            </w:r>
          </w:p>
        </w:tc>
        <w:tc>
          <w:tcPr>
            <w:tcW w:type="dxa" w:w="3965"/>
            <w:tcMar>
              <w:top w:w="50" w:type="dxa"/>
              <w:bottom w:w="50" w:type="dxa"/>
              <w:left w:w="90" w:type="dxa"/>
              <w:right w:w="90" w:type="dxa"/>
            </w:tcMar>
          </w:tcPr>
          <w:p>
            <w:pPr>
              <w:pStyle w:val="BDOITable"/>
            </w:pPr>
            <w:r>
              <w:rPr>
                <w:sz w:val="17"/>
              </w:rPr>
              <w:t>Faults in BIBS: analysis from logs and traces, fixes, emergency and planned releases, data corrections through an approved change, performance, root-cause analysis, knowledge articles for L1 and L2</w:t>
            </w:r>
          </w:p>
        </w:tc>
        <w:tc>
          <w:tcPr>
            <w:tcW w:type="dxa" w:w="2523"/>
            <w:tcMar>
              <w:top w:w="50" w:type="dxa"/>
              <w:bottom w:w="50" w:type="dxa"/>
              <w:left w:w="90" w:type="dxa"/>
              <w:right w:w="90" w:type="dxa"/>
            </w:tcMar>
          </w:tcPr>
          <w:p>
            <w:pPr>
              <w:pStyle w:val="BDOITable"/>
            </w:pPr>
            <w:r>
              <w:rPr>
                <w:sz w:val="17"/>
              </w:rPr>
              <w:t>Change BDOI business configuration without a ticket and BDOI's written approval</w:t>
            </w:r>
          </w:p>
        </w:tc>
      </w:tr>
      <w:tr>
        <w:trPr>
          <w:cantSplit w:val="true"/>
        </w:trPr>
        <w:tc>
          <w:tcPr>
            <w:tcW w:type="dxa" w:w="1442"/>
            <w:tcMar>
              <w:top w:w="50" w:type="dxa"/>
              <w:bottom w:w="50" w:type="dxa"/>
              <w:left w:w="90" w:type="dxa"/>
              <w:right w:w="90" w:type="dxa"/>
            </w:tcMar>
            <w:shd w:val="clear" w:color="auto" w:fill="E5F5FF"/>
          </w:tcPr>
          <w:p>
            <w:pPr>
              <w:pStyle w:val="BDOITable"/>
            </w:pPr>
            <w:r>
              <w:rPr>
                <w:b/>
                <w:sz w:val="17"/>
              </w:rPr>
              <w:t>Resolver</w:t>
            </w:r>
          </w:p>
        </w:tc>
        <w:tc>
          <w:tcPr>
            <w:tcW w:type="dxa" w:w="2042"/>
            <w:tcMar>
              <w:top w:w="50" w:type="dxa"/>
              <w:bottom w:w="50" w:type="dxa"/>
              <w:left w:w="90" w:type="dxa"/>
              <w:right w:w="90" w:type="dxa"/>
            </w:tcMar>
            <w:shd w:val="clear" w:color="auto" w:fill="E5F5FF"/>
          </w:tcPr>
          <w:p>
            <w:pPr>
              <w:pStyle w:val="BDOITable"/>
            </w:pPr>
            <w:r>
              <w:rPr>
                <w:sz w:val="17"/>
              </w:rPr>
              <w:t>BDO Cloud Operations (Cloud and Digital Operations Engineering)</w:t>
            </w:r>
          </w:p>
        </w:tc>
        <w:tc>
          <w:tcPr>
            <w:tcW w:type="dxa" w:w="3965"/>
            <w:tcMar>
              <w:top w:w="50" w:type="dxa"/>
              <w:bottom w:w="50" w:type="dxa"/>
              <w:left w:w="90" w:type="dxa"/>
              <w:right w:w="90" w:type="dxa"/>
            </w:tcMar>
            <w:shd w:val="clear" w:color="auto" w:fill="E5F5FF"/>
          </w:tcPr>
          <w:p>
            <w:pPr>
              <w:pStyle w:val="BDOITable"/>
            </w:pPr>
            <w:r>
              <w:rPr>
                <w:sz w:val="17"/>
              </w:rPr>
              <w:t>AWS account, EKS, RDS, ElastiCache for Valkey, MSK, S3, network, WAF and Gateway, certificates of the BDO PKI, backups and restores, DR failover</w:t>
            </w:r>
          </w:p>
        </w:tc>
        <w:tc>
          <w:tcPr>
            <w:tcW w:type="dxa" w:w="2523"/>
            <w:tcMar>
              <w:top w:w="50" w:type="dxa"/>
              <w:bottom w:w="50" w:type="dxa"/>
              <w:left w:w="90" w:type="dxa"/>
              <w:right w:w="90" w:type="dxa"/>
            </w:tcMar>
            <w:shd w:val="clear" w:color="auto" w:fill="E5F5FF"/>
          </w:tcPr>
          <w:p>
            <w:pPr>
              <w:pStyle w:val="BDOITable"/>
            </w:pPr>
            <w:r>
              <w:rPr>
                <w:sz w:val="17"/>
              </w:rPr>
              <w:t>Application changes</w:t>
            </w:r>
          </w:p>
        </w:tc>
      </w:tr>
      <w:tr>
        <w:trPr>
          <w:cantSplit w:val="true"/>
        </w:trPr>
        <w:tc>
          <w:tcPr>
            <w:tcW w:type="dxa" w:w="1442"/>
            <w:tcMar>
              <w:top w:w="50" w:type="dxa"/>
              <w:bottom w:w="50" w:type="dxa"/>
              <w:left w:w="90" w:type="dxa"/>
              <w:right w:w="90" w:type="dxa"/>
            </w:tcMar>
          </w:tcPr>
          <w:p>
            <w:pPr>
              <w:pStyle w:val="BDOITable"/>
            </w:pPr>
            <w:r>
              <w:rPr>
                <w:b/>
                <w:sz w:val="17"/>
              </w:rPr>
              <w:t>Resolver</w:t>
            </w:r>
          </w:p>
        </w:tc>
        <w:tc>
          <w:tcPr>
            <w:tcW w:type="dxa" w:w="2042"/>
            <w:tcMar>
              <w:top w:w="50" w:type="dxa"/>
              <w:bottom w:w="50" w:type="dxa"/>
              <w:left w:w="90" w:type="dxa"/>
              <w:right w:w="90" w:type="dxa"/>
            </w:tcMar>
          </w:tcPr>
          <w:p>
            <w:pPr>
              <w:pStyle w:val="BDOITable"/>
            </w:pPr>
            <w:r>
              <w:rPr>
                <w:sz w:val="17"/>
              </w:rPr>
              <w:t>BDOI IT system owners</w:t>
            </w:r>
          </w:p>
        </w:tc>
        <w:tc>
          <w:tcPr>
            <w:tcW w:type="dxa" w:w="3965"/>
            <w:tcMar>
              <w:top w:w="50" w:type="dxa"/>
              <w:bottom w:w="50" w:type="dxa"/>
              <w:left w:w="90" w:type="dxa"/>
              <w:right w:w="90" w:type="dxa"/>
            </w:tcMar>
          </w:tcPr>
          <w:p>
            <w:pPr>
              <w:pStyle w:val="BDOITable"/>
            </w:pPr>
            <w:r>
              <w:rPr>
                <w:sz w:val="17"/>
              </w:rPr>
              <w:t>EIAM (Entra ID), UIDM-ISC, Apigee X, CCM, ECM, M365, bank channels (CMS / New BOB, OBPCS, Old BOB, PMS), EGL, EDP, HL-LOAS, LMS, LFS SaaS, Bridger Insight XG</w:t>
            </w:r>
          </w:p>
        </w:tc>
        <w:tc>
          <w:tcPr>
            <w:tcW w:type="dxa" w:w="2523"/>
            <w:tcMar>
              <w:top w:w="50" w:type="dxa"/>
              <w:bottom w:w="50" w:type="dxa"/>
              <w:left w:w="90" w:type="dxa"/>
              <w:right w:w="90" w:type="dxa"/>
            </w:tcMar>
          </w:tcPr>
          <w:p>
            <w:pPr>
              <w:pStyle w:val="BDOITable"/>
            </w:pPr>
            <w:r>
              <w:rPr>
                <w:sz w:val="17"/>
              </w:rPr>
              <w:t>BIBS changes</w:t>
            </w:r>
          </w:p>
        </w:tc>
      </w:tr>
    </w:tbl>
    <w:p>
      <w:pPr>
        <w:pStyle w:val="BDOISpacer"/>
      </w:pPr>
    </w:p>
    <w:p>
      <w:pPr>
        <w:pStyle w:val="Heading2"/>
      </w:pPr>
      <w:bookmarkStart w:id="108" w:name="_Toc000108"/>
      <w:r>
        <w:rPr/>
        <w:t>2.2 Roles</w:t>
      </w:r>
      <w:bookmarkEnd w:id="108"/>
    </w:p>
    <w:p>
      <w:pPr>
        <w:pStyle w:val="Caption"/>
        <w:keepNext/>
        <w:spacing w:after="60"/>
      </w:pPr>
      <w:r>
        <w:rPr>
          <w:b/>
          <w:i w:val="0"/>
        </w:rPr>
        <w:t xml:space="preserve">Table 4: </w:t>
      </w:r>
      <w:r>
        <w:rPr/>
        <w:t>Named roles of the support organisation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1802"/>
        <w:gridCol w:w="5527"/>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Organisation</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Responsibility</w:t>
            </w:r>
          </w:p>
        </w:tc>
      </w:tr>
      <w:tr>
        <w:trPr>
          <w:cantSplit w:val="true"/>
        </w:trPr>
        <w:tc>
          <w:tcPr>
            <w:tcW w:type="dxa" w:w="2643"/>
            <w:tcMar>
              <w:top w:w="50" w:type="dxa"/>
              <w:bottom w:w="50" w:type="dxa"/>
              <w:left w:w="90" w:type="dxa"/>
              <w:right w:w="90" w:type="dxa"/>
            </w:tcMar>
          </w:tcPr>
          <w:p>
            <w:pPr>
              <w:pStyle w:val="BDOITable"/>
            </w:pPr>
            <w:r>
              <w:rPr>
                <w:b/>
                <w:sz w:val="17"/>
              </w:rPr>
              <w:t>BIBS Service Owner</w:t>
            </w:r>
          </w:p>
        </w:tc>
        <w:tc>
          <w:tcPr>
            <w:tcW w:type="dxa" w:w="1802"/>
            <w:tcMar>
              <w:top w:w="50" w:type="dxa"/>
              <w:bottom w:w="50" w:type="dxa"/>
              <w:left w:w="90" w:type="dxa"/>
              <w:right w:w="90" w:type="dxa"/>
            </w:tcMar>
          </w:tcPr>
          <w:p>
            <w:pPr>
              <w:pStyle w:val="BDOITable"/>
            </w:pPr>
            <w:r>
              <w:rPr>
                <w:sz w:val="17"/>
              </w:rPr>
              <w:t>BDOI IT</w:t>
            </w:r>
          </w:p>
        </w:tc>
        <w:tc>
          <w:tcPr>
            <w:tcW w:type="dxa" w:w="5527"/>
            <w:tcMar>
              <w:top w:w="50" w:type="dxa"/>
              <w:bottom w:w="50" w:type="dxa"/>
              <w:left w:w="90" w:type="dxa"/>
              <w:right w:w="90" w:type="dxa"/>
            </w:tcMar>
          </w:tcPr>
          <w:p>
            <w:pPr>
              <w:pStyle w:val="BDOITable"/>
            </w:pPr>
            <w:r>
              <w:rPr>
                <w:sz w:val="17"/>
              </w:rPr>
              <w:t>Accountable for the BIBS service; chairs the monthly service review; approves the service report</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BIBS Product Owner</w:t>
            </w:r>
          </w:p>
        </w:tc>
        <w:tc>
          <w:tcPr>
            <w:tcW w:type="dxa" w:w="1802"/>
            <w:tcMar>
              <w:top w:w="50" w:type="dxa"/>
              <w:bottom w:w="50" w:type="dxa"/>
              <w:left w:w="90" w:type="dxa"/>
              <w:right w:w="90" w:type="dxa"/>
            </w:tcMar>
            <w:shd w:val="clear" w:color="auto" w:fill="E5F5FF"/>
          </w:tcPr>
          <w:p>
            <w:pPr>
              <w:pStyle w:val="BDOITable"/>
            </w:pPr>
            <w:r>
              <w:rPr>
                <w:sz w:val="17"/>
              </w:rPr>
              <w:t>BDOI (Marketing Business System)</w:t>
            </w:r>
          </w:p>
        </w:tc>
        <w:tc>
          <w:tcPr>
            <w:tcW w:type="dxa" w:w="5527"/>
            <w:tcMar>
              <w:top w:w="50" w:type="dxa"/>
              <w:bottom w:w="50" w:type="dxa"/>
              <w:left w:w="90" w:type="dxa"/>
              <w:right w:w="90" w:type="dxa"/>
            </w:tcMar>
            <w:shd w:val="clear" w:color="auto" w:fill="E5F5FF"/>
          </w:tcPr>
          <w:p>
            <w:pPr>
              <w:pStyle w:val="BDOITable"/>
            </w:pPr>
            <w:r>
              <w:rPr>
                <w:sz w:val="17"/>
              </w:rPr>
              <w:t>Business priority of problems and changes; chairs the BIBS Change Advisory Board (CAB)</w:t>
            </w:r>
          </w:p>
        </w:tc>
      </w:tr>
      <w:tr>
        <w:trPr>
          <w:cantSplit w:val="true"/>
        </w:trPr>
        <w:tc>
          <w:tcPr>
            <w:tcW w:type="dxa" w:w="2643"/>
            <w:tcMar>
              <w:top w:w="50" w:type="dxa"/>
              <w:bottom w:w="50" w:type="dxa"/>
              <w:left w:w="90" w:type="dxa"/>
              <w:right w:w="90" w:type="dxa"/>
            </w:tcMar>
          </w:tcPr>
          <w:p>
            <w:pPr>
              <w:pStyle w:val="BDOITable"/>
            </w:pPr>
            <w:r>
              <w:rPr>
                <w:b/>
                <w:sz w:val="17"/>
              </w:rPr>
              <w:t>L1 team lead</w:t>
            </w:r>
          </w:p>
        </w:tc>
        <w:tc>
          <w:tcPr>
            <w:tcW w:type="dxa" w:w="1802"/>
            <w:tcMar>
              <w:top w:w="50" w:type="dxa"/>
              <w:bottom w:w="50" w:type="dxa"/>
              <w:left w:w="90" w:type="dxa"/>
              <w:right w:w="90" w:type="dxa"/>
            </w:tcMar>
          </w:tcPr>
          <w:p>
            <w:pPr>
              <w:pStyle w:val="BDOITable"/>
            </w:pPr>
            <w:r>
              <w:rPr>
                <w:sz w:val="17"/>
              </w:rPr>
              <w:t>BDO service desk</w:t>
            </w:r>
          </w:p>
        </w:tc>
        <w:tc>
          <w:tcPr>
            <w:tcW w:type="dxa" w:w="5527"/>
            <w:tcMar>
              <w:top w:w="50" w:type="dxa"/>
              <w:bottom w:w="50" w:type="dxa"/>
              <w:left w:w="90" w:type="dxa"/>
              <w:right w:w="90" w:type="dxa"/>
            </w:tcMar>
          </w:tcPr>
          <w:p>
            <w:pPr>
              <w:pStyle w:val="BDOITable"/>
            </w:pPr>
            <w:r>
              <w:rPr>
                <w:sz w:val="17"/>
              </w:rPr>
              <w:t>L1 staffing, quality of tickets, use of the L1 guide, first-contact resolution</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L2 lead</w:t>
            </w:r>
          </w:p>
        </w:tc>
        <w:tc>
          <w:tcPr>
            <w:tcW w:type="dxa" w:w="1802"/>
            <w:tcMar>
              <w:top w:w="50" w:type="dxa"/>
              <w:bottom w:w="50" w:type="dxa"/>
              <w:left w:w="90" w:type="dxa"/>
              <w:right w:w="90" w:type="dxa"/>
            </w:tcMar>
            <w:shd w:val="clear" w:color="auto" w:fill="E5F5FF"/>
          </w:tcPr>
          <w:p>
            <w:pPr>
              <w:pStyle w:val="BDOITable"/>
            </w:pPr>
            <w:r>
              <w:rPr>
                <w:sz w:val="17"/>
              </w:rPr>
              <w:t>BDOI IT</w:t>
            </w:r>
          </w:p>
        </w:tc>
        <w:tc>
          <w:tcPr>
            <w:tcW w:type="dxa" w:w="5527"/>
            <w:tcMar>
              <w:top w:w="50" w:type="dxa"/>
              <w:bottom w:w="50" w:type="dxa"/>
              <w:left w:w="90" w:type="dxa"/>
              <w:right w:w="90" w:type="dxa"/>
            </w:tcMar>
            <w:shd w:val="clear" w:color="auto" w:fill="E5F5FF"/>
          </w:tcPr>
          <w:p>
            <w:pPr>
              <w:pStyle w:val="BDOITable"/>
            </w:pPr>
            <w:r>
              <w:rPr>
                <w:sz w:val="17"/>
              </w:rPr>
              <w:t>Triage quality, problem records, standard changes, contact with BDO Cloud Operations and the interface owners</w:t>
            </w:r>
          </w:p>
        </w:tc>
      </w:tr>
      <w:tr>
        <w:trPr>
          <w:cantSplit w:val="true"/>
        </w:trPr>
        <w:tc>
          <w:tcPr>
            <w:tcW w:type="dxa" w:w="2643"/>
            <w:tcMar>
              <w:top w:w="50" w:type="dxa"/>
              <w:bottom w:w="50" w:type="dxa"/>
              <w:left w:w="90" w:type="dxa"/>
              <w:right w:w="90" w:type="dxa"/>
            </w:tcMar>
          </w:tcPr>
          <w:p>
            <w:pPr>
              <w:pStyle w:val="BDOITable"/>
            </w:pPr>
            <w:r>
              <w:rPr>
                <w:b/>
                <w:sz w:val="17"/>
              </w:rPr>
              <w:t>Key users (super users)</w:t>
            </w:r>
          </w:p>
        </w:tc>
        <w:tc>
          <w:tcPr>
            <w:tcW w:type="dxa" w:w="1802"/>
            <w:tcMar>
              <w:top w:w="50" w:type="dxa"/>
              <w:bottom w:w="50" w:type="dxa"/>
              <w:left w:w="90" w:type="dxa"/>
              <w:right w:w="90" w:type="dxa"/>
            </w:tcMar>
          </w:tcPr>
          <w:p>
            <w:pPr>
              <w:pStyle w:val="BDOITable"/>
            </w:pPr>
            <w:r>
              <w:rPr>
                <w:sz w:val="17"/>
              </w:rPr>
              <w:t>Each BDOI department</w:t>
            </w:r>
          </w:p>
        </w:tc>
        <w:tc>
          <w:tcPr>
            <w:tcW w:type="dxa" w:w="5527"/>
            <w:tcMar>
              <w:top w:w="50" w:type="dxa"/>
              <w:bottom w:w="50" w:type="dxa"/>
              <w:left w:w="90" w:type="dxa"/>
              <w:right w:w="90" w:type="dxa"/>
            </w:tcMar>
          </w:tcPr>
          <w:p>
            <w:pPr>
              <w:pStyle w:val="BDOITable"/>
            </w:pPr>
            <w:r>
              <w:rPr>
                <w:sz w:val="17"/>
              </w:rPr>
              <w:t>Answer how-to questions in their team; confirm business impact and the fix; test releases in UAT</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Information Security Officer</w:t>
            </w:r>
          </w:p>
        </w:tc>
        <w:tc>
          <w:tcPr>
            <w:tcW w:type="dxa" w:w="1802"/>
            <w:tcMar>
              <w:top w:w="50" w:type="dxa"/>
              <w:bottom w:w="50" w:type="dxa"/>
              <w:left w:w="90" w:type="dxa"/>
              <w:right w:w="90" w:type="dxa"/>
            </w:tcMar>
            <w:shd w:val="clear" w:color="auto" w:fill="E5F5FF"/>
          </w:tcPr>
          <w:p>
            <w:pPr>
              <w:pStyle w:val="BDOITable"/>
            </w:pPr>
            <w:r>
              <w:rPr>
                <w:sz w:val="17"/>
              </w:rPr>
              <w:t>BDOI</w:t>
            </w:r>
          </w:p>
        </w:tc>
        <w:tc>
          <w:tcPr>
            <w:tcW w:type="dxa" w:w="5527"/>
            <w:tcMar>
              <w:top w:w="50" w:type="dxa"/>
              <w:bottom w:w="50" w:type="dxa"/>
              <w:left w:w="90" w:type="dxa"/>
              <w:right w:w="90" w:type="dxa"/>
            </w:tcMar>
            <w:shd w:val="clear" w:color="auto" w:fill="E5F5FF"/>
          </w:tcPr>
          <w:p>
            <w:pPr>
              <w:pStyle w:val="BDOITable"/>
            </w:pPr>
            <w:r>
              <w:rPr>
                <w:sz w:val="17"/>
              </w:rPr>
              <w:t>Security incidents, privileged access, access reviews, legal holds</w:t>
            </w:r>
          </w:p>
        </w:tc>
      </w:tr>
      <w:tr>
        <w:trPr>
          <w:cantSplit w:val="true"/>
        </w:trPr>
        <w:tc>
          <w:tcPr>
            <w:tcW w:type="dxa" w:w="2643"/>
            <w:tcMar>
              <w:top w:w="50" w:type="dxa"/>
              <w:bottom w:w="50" w:type="dxa"/>
              <w:left w:w="90" w:type="dxa"/>
              <w:right w:w="90" w:type="dxa"/>
            </w:tcMar>
          </w:tcPr>
          <w:p>
            <w:pPr>
              <w:pStyle w:val="BDOITable"/>
            </w:pPr>
            <w:r>
              <w:rPr>
                <w:b/>
                <w:sz w:val="17"/>
              </w:rPr>
              <w:t>Data Protection Officer</w:t>
            </w:r>
          </w:p>
        </w:tc>
        <w:tc>
          <w:tcPr>
            <w:tcW w:type="dxa" w:w="1802"/>
            <w:tcMar>
              <w:top w:w="50" w:type="dxa"/>
              <w:bottom w:w="50" w:type="dxa"/>
              <w:left w:w="90" w:type="dxa"/>
              <w:right w:w="90" w:type="dxa"/>
            </w:tcMar>
          </w:tcPr>
          <w:p>
            <w:pPr>
              <w:pStyle w:val="BDOITable"/>
            </w:pPr>
            <w:r>
              <w:rPr>
                <w:sz w:val="17"/>
              </w:rPr>
              <w:t>BDOI</w:t>
            </w:r>
          </w:p>
        </w:tc>
        <w:tc>
          <w:tcPr>
            <w:tcW w:type="dxa" w:w="5527"/>
            <w:tcMar>
              <w:top w:w="50" w:type="dxa"/>
              <w:bottom w:w="50" w:type="dxa"/>
              <w:left w:w="90" w:type="dxa"/>
              <w:right w:w="90" w:type="dxa"/>
            </w:tcMar>
          </w:tcPr>
          <w:p>
            <w:pPr>
              <w:pStyle w:val="BDOITable"/>
            </w:pPr>
            <w:r>
              <w:rPr>
                <w:sz w:val="17"/>
              </w:rPr>
              <w:t>Personal data breaches (notification to the National Privacy Commission within 72 hours of knowledge)</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iorta TechNXT Support Manager</w:t>
            </w:r>
          </w:p>
        </w:tc>
        <w:tc>
          <w:tcPr>
            <w:tcW w:type="dxa" w:w="1802"/>
            <w:tcMar>
              <w:top w:w="50" w:type="dxa"/>
              <w:bottom w:w="50" w:type="dxa"/>
              <w:left w:w="90" w:type="dxa"/>
              <w:right w:w="90" w:type="dxa"/>
            </w:tcMar>
            <w:shd w:val="clear" w:color="auto" w:fill="E5F5FF"/>
          </w:tcPr>
          <w:p>
            <w:pPr>
              <w:pStyle w:val="BDOITable"/>
            </w:pPr>
            <w:r>
              <w:rPr>
                <w:sz w:val="17"/>
              </w:rPr>
              <w:t>iorta TechNXT</w:t>
            </w:r>
          </w:p>
        </w:tc>
        <w:tc>
          <w:tcPr>
            <w:tcW w:type="dxa" w:w="5527"/>
            <w:tcMar>
              <w:top w:w="50" w:type="dxa"/>
              <w:bottom w:w="50" w:type="dxa"/>
              <w:left w:w="90" w:type="dxa"/>
              <w:right w:w="90" w:type="dxa"/>
            </w:tcMar>
            <w:shd w:val="clear" w:color="auto" w:fill="E5F5FF"/>
          </w:tcPr>
          <w:p>
            <w:pPr>
              <w:pStyle w:val="BDOITable"/>
            </w:pPr>
            <w:r>
              <w:rPr>
                <w:sz w:val="17"/>
              </w:rPr>
              <w:t>L3 service levels, on-call roster, root-cause analysis reports, monthly service report</w:t>
            </w:r>
          </w:p>
        </w:tc>
      </w:tr>
      <w:tr>
        <w:trPr>
          <w:cantSplit w:val="true"/>
        </w:trPr>
        <w:tc>
          <w:tcPr>
            <w:tcW w:type="dxa" w:w="2643"/>
            <w:tcMar>
              <w:top w:w="50" w:type="dxa"/>
              <w:bottom w:w="50" w:type="dxa"/>
              <w:left w:w="90" w:type="dxa"/>
              <w:right w:w="90" w:type="dxa"/>
            </w:tcMar>
          </w:tcPr>
          <w:p>
            <w:pPr>
              <w:pStyle w:val="BDOITable"/>
            </w:pPr>
            <w:r>
              <w:rPr>
                <w:b/>
                <w:sz w:val="17"/>
              </w:rPr>
              <w:t>iorta TechNXT L3 on-call engineer</w:t>
            </w:r>
          </w:p>
        </w:tc>
        <w:tc>
          <w:tcPr>
            <w:tcW w:type="dxa" w:w="1802"/>
            <w:tcMar>
              <w:top w:w="50" w:type="dxa"/>
              <w:bottom w:w="50" w:type="dxa"/>
              <w:left w:w="90" w:type="dxa"/>
              <w:right w:w="90" w:type="dxa"/>
            </w:tcMar>
          </w:tcPr>
          <w:p>
            <w:pPr>
              <w:pStyle w:val="BDOITable"/>
            </w:pPr>
            <w:r>
              <w:rPr>
                <w:sz w:val="17"/>
              </w:rPr>
              <w:t>iorta TechNXT</w:t>
            </w:r>
          </w:p>
        </w:tc>
        <w:tc>
          <w:tcPr>
            <w:tcW w:type="dxa" w:w="5527"/>
            <w:tcMar>
              <w:top w:w="50" w:type="dxa"/>
              <w:bottom w:w="50" w:type="dxa"/>
              <w:left w:w="90" w:type="dxa"/>
              <w:right w:w="90" w:type="dxa"/>
            </w:tcMar>
          </w:tcPr>
          <w:p>
            <w:pPr>
              <w:pStyle w:val="BDOITable"/>
            </w:pPr>
            <w:r>
              <w:rPr>
                <w:sz w:val="17"/>
              </w:rPr>
              <w:t>First L3 responder for P1 and paged alerts</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Cloud Operations on-call</w:t>
            </w:r>
          </w:p>
        </w:tc>
        <w:tc>
          <w:tcPr>
            <w:tcW w:type="dxa" w:w="1802"/>
            <w:tcMar>
              <w:top w:w="50" w:type="dxa"/>
              <w:bottom w:w="50" w:type="dxa"/>
              <w:left w:w="90" w:type="dxa"/>
              <w:right w:w="90" w:type="dxa"/>
            </w:tcMar>
            <w:shd w:val="clear" w:color="auto" w:fill="E5F5FF"/>
          </w:tcPr>
          <w:p>
            <w:pPr>
              <w:pStyle w:val="BDOITable"/>
            </w:pPr>
            <w:r>
              <w:rPr>
                <w:sz w:val="17"/>
              </w:rPr>
              <w:t>BDO Unibank IT</w:t>
            </w:r>
          </w:p>
        </w:tc>
        <w:tc>
          <w:tcPr>
            <w:tcW w:type="dxa" w:w="5527"/>
            <w:tcMar>
              <w:top w:w="50" w:type="dxa"/>
              <w:bottom w:w="50" w:type="dxa"/>
              <w:left w:w="90" w:type="dxa"/>
              <w:right w:w="90" w:type="dxa"/>
            </w:tcMar>
            <w:shd w:val="clear" w:color="auto" w:fill="E5F5FF"/>
          </w:tcPr>
          <w:p>
            <w:pPr>
              <w:pStyle w:val="BDOITable"/>
            </w:pPr>
            <w:r>
              <w:rPr>
                <w:sz w:val="17"/>
              </w:rPr>
              <w:t>First responder for platform alerts and DR</w:t>
            </w:r>
          </w:p>
        </w:tc>
      </w:tr>
    </w:tbl>
    <w:p>
      <w:pPr>
        <w:pStyle w:val="BDOISpacer"/>
      </w:pPr>
    </w:p>
    <w:p>
      <w:pPr>
        <w:pStyle w:val="Heading2"/>
      </w:pPr>
      <w:bookmarkStart w:id="109" w:name="_Toc000109"/>
      <w:r>
        <w:rPr/>
        <w:t>2.3 RACI</w:t>
      </w:r>
      <w:bookmarkEnd w:id="109"/>
    </w:p>
    <w:p>
      <w:r>
        <w:rPr/>
        <w:t>R = responsible, A = accountable, C = consulted, I = informed.</w:t>
      </w:r>
    </w:p>
    <w:p>
      <w:pPr>
        <w:pStyle w:val="Caption"/>
        <w:keepNext/>
        <w:spacing w:after="60"/>
      </w:pPr>
      <w:r>
        <w:rPr>
          <w:b/>
          <w:i w:val="0"/>
        </w:rPr>
        <w:t xml:space="preserve">Table 5: </w:t>
      </w:r>
      <w:r>
        <w:rPr/>
        <w:t>RACI of support activities. SO = BIBS Service Owner; PO = BIBS Product Owner; CO = BDO Cloud Operations; BU = business process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01"/>
        <w:gridCol w:w="831"/>
        <w:gridCol w:w="831"/>
        <w:gridCol w:w="831"/>
        <w:gridCol w:w="969"/>
        <w:gridCol w:w="969"/>
        <w:gridCol w:w="969"/>
        <w:gridCol w:w="969"/>
      </w:tblGrid>
      <w:tr>
        <w:trPr>
          <w:tblHeader w:val="true"/>
          <w:cantSplit w:val="true"/>
        </w:trPr>
        <w:tc>
          <w:tcPr>
            <w:tcW w:type="dxa" w:w="3601"/>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6"/>
              </w:rPr>
              <w:t>L1</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6"/>
              </w:rPr>
              <w:t>L2</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6"/>
              </w:rPr>
              <w:t>L3</w:t>
            </w:r>
          </w:p>
        </w:tc>
        <w:tc>
          <w:tcPr>
            <w:tcW w:type="dxa" w:w="969"/>
            <w:shd w:val="clear" w:color="auto" w:fill="004EA8"/>
            <w:tcMar>
              <w:top w:w="50" w:type="dxa"/>
              <w:bottom w:w="50" w:type="dxa"/>
              <w:left w:w="90" w:type="dxa"/>
              <w:right w:w="90" w:type="dxa"/>
            </w:tcMar>
            <w:vAlign w:val="center"/>
          </w:tcPr>
          <w:p>
            <w:pPr>
              <w:pStyle w:val="BDOITableHeader"/>
            </w:pPr>
            <w:r>
              <w:rPr>
                <w:b/>
                <w:color w:val="FFFFFF"/>
                <w:sz w:val="16"/>
              </w:rPr>
              <w:t>CO</w:t>
            </w:r>
          </w:p>
        </w:tc>
        <w:tc>
          <w:tcPr>
            <w:tcW w:type="dxa" w:w="969"/>
            <w:shd w:val="clear" w:color="auto" w:fill="004EA8"/>
            <w:tcMar>
              <w:top w:w="50" w:type="dxa"/>
              <w:bottom w:w="50" w:type="dxa"/>
              <w:left w:w="90" w:type="dxa"/>
              <w:right w:w="90" w:type="dxa"/>
            </w:tcMar>
            <w:vAlign w:val="center"/>
          </w:tcPr>
          <w:p>
            <w:pPr>
              <w:pStyle w:val="BDOITableHeader"/>
            </w:pPr>
            <w:r>
              <w:rPr>
                <w:b/>
                <w:color w:val="FFFFFF"/>
                <w:sz w:val="16"/>
              </w:rPr>
              <w:t>SO</w:t>
            </w:r>
          </w:p>
        </w:tc>
        <w:tc>
          <w:tcPr>
            <w:tcW w:type="dxa" w:w="969"/>
            <w:shd w:val="clear" w:color="auto" w:fill="004EA8"/>
            <w:tcMar>
              <w:top w:w="50" w:type="dxa"/>
              <w:bottom w:w="50" w:type="dxa"/>
              <w:left w:w="90" w:type="dxa"/>
              <w:right w:w="90" w:type="dxa"/>
            </w:tcMar>
            <w:vAlign w:val="center"/>
          </w:tcPr>
          <w:p>
            <w:pPr>
              <w:pStyle w:val="BDOITableHeader"/>
            </w:pPr>
            <w:r>
              <w:rPr>
                <w:b/>
                <w:color w:val="FFFFFF"/>
                <w:sz w:val="16"/>
              </w:rPr>
              <w:t>PO</w:t>
            </w:r>
          </w:p>
        </w:tc>
        <w:tc>
          <w:tcPr>
            <w:tcW w:type="dxa" w:w="969"/>
            <w:shd w:val="clear" w:color="auto" w:fill="004EA8"/>
            <w:tcMar>
              <w:top w:w="50" w:type="dxa"/>
              <w:bottom w:w="50" w:type="dxa"/>
              <w:left w:w="90" w:type="dxa"/>
              <w:right w:w="90" w:type="dxa"/>
            </w:tcMar>
            <w:vAlign w:val="center"/>
          </w:tcPr>
          <w:p>
            <w:pPr>
              <w:pStyle w:val="BDOITableHeader"/>
            </w:pPr>
            <w:r>
              <w:rPr>
                <w:b/>
                <w:color w:val="FFFFFF"/>
                <w:sz w:val="16"/>
              </w:rPr>
              <w:t>BU</w:t>
            </w:r>
          </w:p>
        </w:tc>
      </w:tr>
      <w:tr>
        <w:trPr>
          <w:cantSplit w:val="true"/>
        </w:trPr>
        <w:tc>
          <w:tcPr>
            <w:tcW w:type="dxa" w:w="3601"/>
            <w:tcMar>
              <w:top w:w="50" w:type="dxa"/>
              <w:bottom w:w="50" w:type="dxa"/>
              <w:left w:w="90" w:type="dxa"/>
              <w:right w:w="90" w:type="dxa"/>
            </w:tcMar>
          </w:tcPr>
          <w:p>
            <w:pPr>
              <w:pStyle w:val="BDOITable"/>
            </w:pPr>
            <w:r>
              <w:rPr>
                <w:sz w:val="16"/>
              </w:rPr>
              <w:t>Log, classify and keep users informed</w:t>
            </w:r>
          </w:p>
        </w:tc>
        <w:tc>
          <w:tcPr>
            <w:tcW w:type="dxa" w:w="831"/>
            <w:tcMar>
              <w:top w:w="50" w:type="dxa"/>
              <w:bottom w:w="50" w:type="dxa"/>
              <w:left w:w="90" w:type="dxa"/>
              <w:right w:w="90" w:type="dxa"/>
            </w:tcMar>
          </w:tcPr>
          <w:p>
            <w:pPr>
              <w:pStyle w:val="BDOITable"/>
            </w:pPr>
            <w:r>
              <w:rPr>
                <w:sz w:val="16"/>
              </w:rPr>
              <w:t>R</w:t>
            </w:r>
          </w:p>
        </w:tc>
        <w:tc>
          <w:tcPr>
            <w:tcW w:type="dxa" w:w="831"/>
            <w:tcMar>
              <w:top w:w="50" w:type="dxa"/>
              <w:bottom w:w="50" w:type="dxa"/>
              <w:left w:w="90" w:type="dxa"/>
              <w:right w:w="90" w:type="dxa"/>
            </w:tcMar>
          </w:tcPr>
          <w:p>
            <w:pPr>
              <w:pStyle w:val="BDOITable"/>
            </w:pPr>
            <w:r>
              <w:rPr>
                <w:sz w:val="16"/>
              </w:rPr>
              <w:t>C</w:t>
            </w:r>
          </w:p>
        </w:tc>
        <w:tc>
          <w:tcPr>
            <w:tcW w:type="dxa" w:w="831"/>
            <w:tcMar>
              <w:top w:w="50" w:type="dxa"/>
              <w:bottom w:w="50" w:type="dxa"/>
              <w:left w:w="90" w:type="dxa"/>
              <w:right w:w="90" w:type="dxa"/>
            </w:tcMar>
          </w:tcPr>
          <w:p>
            <w:pPr>
              <w:pStyle w:val="BDOITable"/>
            </w:pPr>
            <w:r>
              <w:rPr>
                <w:sz w:val="16"/>
              </w:rPr>
              <w:t>I</w:t>
            </w:r>
          </w:p>
        </w:tc>
        <w:tc>
          <w:tcPr>
            <w:tcW w:type="dxa" w:w="969"/>
            <w:tcMar>
              <w:top w:w="50" w:type="dxa"/>
              <w:bottom w:w="50" w:type="dxa"/>
              <w:left w:w="90" w:type="dxa"/>
              <w:right w:w="90" w:type="dxa"/>
            </w:tcMar>
          </w:tcPr>
          <w:p>
            <w:pPr>
              <w:pStyle w:val="BDOITable"/>
            </w:pPr>
            <w:r>
              <w:rPr>
                <w:sz w:val="16"/>
              </w:rPr>
              <w:t>-</w:t>
            </w:r>
          </w:p>
        </w:tc>
        <w:tc>
          <w:tcPr>
            <w:tcW w:type="dxa" w:w="969"/>
            <w:tcMar>
              <w:top w:w="50" w:type="dxa"/>
              <w:bottom w:w="50" w:type="dxa"/>
              <w:left w:w="90" w:type="dxa"/>
              <w:right w:w="90" w:type="dxa"/>
            </w:tcMar>
          </w:tcPr>
          <w:p>
            <w:pPr>
              <w:pStyle w:val="BDOITable"/>
            </w:pPr>
            <w:r>
              <w:rPr>
                <w:sz w:val="16"/>
              </w:rPr>
              <w:t>A</w:t>
            </w:r>
          </w:p>
        </w:tc>
        <w:tc>
          <w:tcPr>
            <w:tcW w:type="dxa" w:w="969"/>
            <w:tcMar>
              <w:top w:w="50" w:type="dxa"/>
              <w:bottom w:w="50" w:type="dxa"/>
              <w:left w:w="90" w:type="dxa"/>
              <w:right w:w="90" w:type="dxa"/>
            </w:tcMar>
          </w:tcPr>
          <w:p>
            <w:pPr>
              <w:pStyle w:val="BDOITable"/>
            </w:pPr>
            <w:r>
              <w:rPr>
                <w:sz w:val="16"/>
              </w:rPr>
              <w:t>-</w:t>
            </w:r>
          </w:p>
        </w:tc>
        <w:tc>
          <w:tcPr>
            <w:tcW w:type="dxa" w:w="969"/>
            <w:tcMar>
              <w:top w:w="50" w:type="dxa"/>
              <w:bottom w:w="50" w:type="dxa"/>
              <w:left w:w="90" w:type="dxa"/>
              <w:right w:w="90" w:type="dxa"/>
            </w:tcMar>
          </w:tcPr>
          <w:p>
            <w:pPr>
              <w:pStyle w:val="BDOITable"/>
            </w:pPr>
            <w:r>
              <w:rPr>
                <w:sz w:val="16"/>
              </w:rPr>
              <w:t>I</w:t>
            </w:r>
          </w:p>
        </w:tc>
      </w:tr>
      <w:tr>
        <w:trPr>
          <w:cantSplit w:val="true"/>
        </w:trPr>
        <w:tc>
          <w:tcPr>
            <w:tcW w:type="dxa" w:w="3601"/>
            <w:tcMar>
              <w:top w:w="50" w:type="dxa"/>
              <w:bottom w:w="50" w:type="dxa"/>
              <w:left w:w="90" w:type="dxa"/>
              <w:right w:w="90" w:type="dxa"/>
            </w:tcMar>
            <w:shd w:val="clear" w:color="auto" w:fill="E5F5FF"/>
          </w:tcPr>
          <w:p>
            <w:pPr>
              <w:pStyle w:val="BDOITable"/>
            </w:pPr>
            <w:r>
              <w:rPr>
                <w:sz w:val="16"/>
              </w:rPr>
              <w:t>Triage and confirm severity</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A</w:t>
            </w:r>
          </w:p>
        </w:tc>
        <w:tc>
          <w:tcPr>
            <w:tcW w:type="dxa" w:w="969"/>
            <w:tcMar>
              <w:top w:w="50" w:type="dxa"/>
              <w:bottom w:w="50" w:type="dxa"/>
              <w:left w:w="90" w:type="dxa"/>
              <w:right w:w="90" w:type="dxa"/>
            </w:tcMar>
            <w:shd w:val="clear" w:color="auto" w:fill="E5F5FF"/>
          </w:tcPr>
          <w:p>
            <w:pPr>
              <w:pStyle w:val="BDOITable"/>
            </w:pPr>
            <w:r>
              <w:rPr>
                <w:sz w:val="16"/>
              </w:rPr>
              <w:t>I</w:t>
            </w:r>
          </w:p>
        </w:tc>
        <w:tc>
          <w:tcPr>
            <w:tcW w:type="dxa" w:w="969"/>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601"/>
            <w:tcMar>
              <w:top w:w="50" w:type="dxa"/>
              <w:bottom w:w="50" w:type="dxa"/>
              <w:left w:w="90" w:type="dxa"/>
              <w:right w:w="90" w:type="dxa"/>
            </w:tcMar>
          </w:tcPr>
          <w:p>
            <w:pPr>
              <w:pStyle w:val="BDOITable"/>
            </w:pPr>
            <w:r>
              <w:rPr>
                <w:sz w:val="16"/>
              </w:rPr>
              <w:t>Restore service (application)</w:t>
            </w:r>
          </w:p>
        </w:tc>
        <w:tc>
          <w:tcPr>
            <w:tcW w:type="dxa" w:w="831"/>
            <w:tcMar>
              <w:top w:w="50" w:type="dxa"/>
              <w:bottom w:w="50" w:type="dxa"/>
              <w:left w:w="90" w:type="dxa"/>
              <w:right w:w="90" w:type="dxa"/>
            </w:tcMar>
          </w:tcPr>
          <w:p>
            <w:pPr>
              <w:pStyle w:val="BDOITable"/>
            </w:pPr>
            <w:r>
              <w:rPr>
                <w:sz w:val="16"/>
              </w:rPr>
              <w:t>I</w:t>
            </w:r>
          </w:p>
        </w:tc>
        <w:tc>
          <w:tcPr>
            <w:tcW w:type="dxa" w:w="831"/>
            <w:tcMar>
              <w:top w:w="50" w:type="dxa"/>
              <w:bottom w:w="50" w:type="dxa"/>
              <w:left w:w="90" w:type="dxa"/>
              <w:right w:w="90" w:type="dxa"/>
            </w:tcMar>
          </w:tcPr>
          <w:p>
            <w:pPr>
              <w:pStyle w:val="BDOITable"/>
            </w:pPr>
            <w:r>
              <w:rPr>
                <w:sz w:val="16"/>
              </w:rPr>
              <w:t>R</w:t>
            </w:r>
          </w:p>
        </w:tc>
        <w:tc>
          <w:tcPr>
            <w:tcW w:type="dxa" w:w="831"/>
            <w:tcMar>
              <w:top w:w="50" w:type="dxa"/>
              <w:bottom w:w="50" w:type="dxa"/>
              <w:left w:w="90" w:type="dxa"/>
              <w:right w:w="90" w:type="dxa"/>
            </w:tcMar>
          </w:tcPr>
          <w:p>
            <w:pPr>
              <w:pStyle w:val="BDOITable"/>
            </w:pPr>
            <w:r>
              <w:rPr>
                <w:sz w:val="16"/>
              </w:rPr>
              <w:t>R</w:t>
            </w:r>
          </w:p>
        </w:tc>
        <w:tc>
          <w:tcPr>
            <w:tcW w:type="dxa" w:w="969"/>
            <w:tcMar>
              <w:top w:w="50" w:type="dxa"/>
              <w:bottom w:w="50" w:type="dxa"/>
              <w:left w:w="90" w:type="dxa"/>
              <w:right w:w="90" w:type="dxa"/>
            </w:tcMar>
          </w:tcPr>
          <w:p>
            <w:pPr>
              <w:pStyle w:val="BDOITable"/>
            </w:pPr>
            <w:r>
              <w:rPr>
                <w:sz w:val="16"/>
              </w:rPr>
              <w:t>C</w:t>
            </w:r>
          </w:p>
        </w:tc>
        <w:tc>
          <w:tcPr>
            <w:tcW w:type="dxa" w:w="969"/>
            <w:tcMar>
              <w:top w:w="50" w:type="dxa"/>
              <w:bottom w:w="50" w:type="dxa"/>
              <w:left w:w="90" w:type="dxa"/>
              <w:right w:w="90" w:type="dxa"/>
            </w:tcMar>
          </w:tcPr>
          <w:p>
            <w:pPr>
              <w:pStyle w:val="BDOITable"/>
            </w:pPr>
            <w:r>
              <w:rPr>
                <w:sz w:val="16"/>
              </w:rPr>
              <w:t>A</w:t>
            </w:r>
          </w:p>
        </w:tc>
        <w:tc>
          <w:tcPr>
            <w:tcW w:type="dxa" w:w="969"/>
            <w:tcMar>
              <w:top w:w="50" w:type="dxa"/>
              <w:bottom w:w="50" w:type="dxa"/>
              <w:left w:w="90" w:type="dxa"/>
              <w:right w:w="90" w:type="dxa"/>
            </w:tcMar>
          </w:tcPr>
          <w:p>
            <w:pPr>
              <w:pStyle w:val="BDOITable"/>
            </w:pPr>
            <w:r>
              <w:rPr>
                <w:sz w:val="16"/>
              </w:rPr>
              <w:t>I</w:t>
            </w:r>
          </w:p>
        </w:tc>
        <w:tc>
          <w:tcPr>
            <w:tcW w:type="dxa" w:w="969"/>
            <w:tcMar>
              <w:top w:w="50" w:type="dxa"/>
              <w:bottom w:w="50" w:type="dxa"/>
              <w:left w:w="90" w:type="dxa"/>
              <w:right w:w="90" w:type="dxa"/>
            </w:tcMar>
          </w:tcPr>
          <w:p>
            <w:pPr>
              <w:pStyle w:val="BDOITable"/>
            </w:pPr>
            <w:r>
              <w:rPr>
                <w:sz w:val="16"/>
              </w:rPr>
              <w:t>I</w:t>
            </w:r>
          </w:p>
        </w:tc>
      </w:tr>
      <w:tr>
        <w:trPr>
          <w:cantSplit w:val="true"/>
        </w:trPr>
        <w:tc>
          <w:tcPr>
            <w:tcW w:type="dxa" w:w="3601"/>
            <w:tcMar>
              <w:top w:w="50" w:type="dxa"/>
              <w:bottom w:w="50" w:type="dxa"/>
              <w:left w:w="90" w:type="dxa"/>
              <w:right w:w="90" w:type="dxa"/>
            </w:tcMar>
            <w:shd w:val="clear" w:color="auto" w:fill="E5F5FF"/>
          </w:tcPr>
          <w:p>
            <w:pPr>
              <w:pStyle w:val="BDOITable"/>
            </w:pPr>
            <w:r>
              <w:rPr>
                <w:sz w:val="16"/>
              </w:rPr>
              <w:t>Restore service (infrastructure)</w:t>
            </w:r>
          </w:p>
        </w:tc>
        <w:tc>
          <w:tcPr>
            <w:tcW w:type="dxa" w:w="831"/>
            <w:tcMar>
              <w:top w:w="50" w:type="dxa"/>
              <w:bottom w:w="50" w:type="dxa"/>
              <w:left w:w="90" w:type="dxa"/>
              <w:right w:w="90" w:type="dxa"/>
            </w:tcMar>
            <w:shd w:val="clear" w:color="auto" w:fill="E5F5FF"/>
          </w:tcPr>
          <w:p>
            <w:pPr>
              <w:pStyle w:val="BDOITable"/>
            </w:pPr>
            <w:r>
              <w:rPr>
                <w:sz w:val="16"/>
              </w:rPr>
              <w:t>I</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R</w:t>
            </w:r>
          </w:p>
        </w:tc>
        <w:tc>
          <w:tcPr>
            <w:tcW w:type="dxa" w:w="969"/>
            <w:tcMar>
              <w:top w:w="50" w:type="dxa"/>
              <w:bottom w:w="50" w:type="dxa"/>
              <w:left w:w="90" w:type="dxa"/>
              <w:right w:w="90" w:type="dxa"/>
            </w:tcMar>
            <w:shd w:val="clear" w:color="auto" w:fill="E5F5FF"/>
          </w:tcPr>
          <w:p>
            <w:pPr>
              <w:pStyle w:val="BDOITable"/>
            </w:pPr>
            <w:r>
              <w:rPr>
                <w:sz w:val="16"/>
              </w:rPr>
              <w:t>A</w:t>
            </w:r>
          </w:p>
        </w:tc>
        <w:tc>
          <w:tcPr>
            <w:tcW w:type="dxa" w:w="969"/>
            <w:tcMar>
              <w:top w:w="50" w:type="dxa"/>
              <w:bottom w:w="50" w:type="dxa"/>
              <w:left w:w="90" w:type="dxa"/>
              <w:right w:w="90" w:type="dxa"/>
            </w:tcMar>
            <w:shd w:val="clear" w:color="auto" w:fill="E5F5FF"/>
          </w:tcPr>
          <w:p>
            <w:pPr>
              <w:pStyle w:val="BDOITable"/>
            </w:pPr>
            <w:r>
              <w:rPr>
                <w:sz w:val="16"/>
              </w:rPr>
              <w:t>I</w:t>
            </w:r>
          </w:p>
        </w:tc>
        <w:tc>
          <w:tcPr>
            <w:tcW w:type="dxa" w:w="969"/>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601"/>
            <w:tcMar>
              <w:top w:w="50" w:type="dxa"/>
              <w:bottom w:w="50" w:type="dxa"/>
              <w:left w:w="90" w:type="dxa"/>
              <w:right w:w="90" w:type="dxa"/>
            </w:tcMar>
          </w:tcPr>
          <w:p>
            <w:pPr>
              <w:pStyle w:val="BDOITable"/>
            </w:pPr>
            <w:r>
              <w:rPr>
                <w:sz w:val="16"/>
              </w:rPr>
              <w:t>Data correction</w:t>
            </w:r>
          </w:p>
        </w:tc>
        <w:tc>
          <w:tcPr>
            <w:tcW w:type="dxa" w:w="831"/>
            <w:tcMar>
              <w:top w:w="50" w:type="dxa"/>
              <w:bottom w:w="50" w:type="dxa"/>
              <w:left w:w="90" w:type="dxa"/>
              <w:right w:w="90" w:type="dxa"/>
            </w:tcMar>
          </w:tcPr>
          <w:p>
            <w:pPr>
              <w:pStyle w:val="BDOITable"/>
            </w:pPr>
            <w:r>
              <w:rPr>
                <w:sz w:val="16"/>
              </w:rPr>
              <w:t>I</w:t>
            </w:r>
          </w:p>
        </w:tc>
        <w:tc>
          <w:tcPr>
            <w:tcW w:type="dxa" w:w="831"/>
            <w:tcMar>
              <w:top w:w="50" w:type="dxa"/>
              <w:bottom w:w="50" w:type="dxa"/>
              <w:left w:w="90" w:type="dxa"/>
              <w:right w:w="90" w:type="dxa"/>
            </w:tcMar>
          </w:tcPr>
          <w:p>
            <w:pPr>
              <w:pStyle w:val="BDOITable"/>
            </w:pPr>
            <w:r>
              <w:rPr>
                <w:sz w:val="16"/>
              </w:rPr>
              <w:t>R</w:t>
            </w:r>
          </w:p>
        </w:tc>
        <w:tc>
          <w:tcPr>
            <w:tcW w:type="dxa" w:w="831"/>
            <w:tcMar>
              <w:top w:w="50" w:type="dxa"/>
              <w:bottom w:w="50" w:type="dxa"/>
              <w:left w:w="90" w:type="dxa"/>
              <w:right w:w="90" w:type="dxa"/>
            </w:tcMar>
          </w:tcPr>
          <w:p>
            <w:pPr>
              <w:pStyle w:val="BDOITable"/>
            </w:pPr>
            <w:r>
              <w:rPr>
                <w:sz w:val="16"/>
              </w:rPr>
              <w:t>R</w:t>
            </w:r>
          </w:p>
        </w:tc>
        <w:tc>
          <w:tcPr>
            <w:tcW w:type="dxa" w:w="969"/>
            <w:tcMar>
              <w:top w:w="50" w:type="dxa"/>
              <w:bottom w:w="50" w:type="dxa"/>
              <w:left w:w="90" w:type="dxa"/>
              <w:right w:w="90" w:type="dxa"/>
            </w:tcMar>
          </w:tcPr>
          <w:p>
            <w:pPr>
              <w:pStyle w:val="BDOITable"/>
            </w:pPr>
            <w:r>
              <w:rPr>
                <w:sz w:val="16"/>
              </w:rPr>
              <w:t>-</w:t>
            </w:r>
          </w:p>
        </w:tc>
        <w:tc>
          <w:tcPr>
            <w:tcW w:type="dxa" w:w="969"/>
            <w:tcMar>
              <w:top w:w="50" w:type="dxa"/>
              <w:bottom w:w="50" w:type="dxa"/>
              <w:left w:w="90" w:type="dxa"/>
              <w:right w:w="90" w:type="dxa"/>
            </w:tcMar>
          </w:tcPr>
          <w:p>
            <w:pPr>
              <w:pStyle w:val="BDOITable"/>
            </w:pPr>
            <w:r>
              <w:rPr>
                <w:sz w:val="16"/>
              </w:rPr>
              <w:t>A</w:t>
            </w:r>
          </w:p>
        </w:tc>
        <w:tc>
          <w:tcPr>
            <w:tcW w:type="dxa" w:w="969"/>
            <w:tcMar>
              <w:top w:w="50" w:type="dxa"/>
              <w:bottom w:w="50" w:type="dxa"/>
              <w:left w:w="90" w:type="dxa"/>
              <w:right w:w="90" w:type="dxa"/>
            </w:tcMar>
          </w:tcPr>
          <w:p>
            <w:pPr>
              <w:pStyle w:val="BDOITable"/>
            </w:pPr>
            <w:r>
              <w:rPr>
                <w:sz w:val="16"/>
              </w:rPr>
              <w:t>C</w:t>
            </w:r>
          </w:p>
        </w:tc>
        <w:tc>
          <w:tcPr>
            <w:tcW w:type="dxa" w:w="969"/>
            <w:tcMar>
              <w:top w:w="50" w:type="dxa"/>
              <w:bottom w:w="50" w:type="dxa"/>
              <w:left w:w="90" w:type="dxa"/>
              <w:right w:w="90" w:type="dxa"/>
            </w:tcMar>
          </w:tcPr>
          <w:p>
            <w:pPr>
              <w:pStyle w:val="BDOITable"/>
            </w:pPr>
            <w:r>
              <w:rPr>
                <w:sz w:val="16"/>
              </w:rPr>
              <w:t>A</w:t>
            </w:r>
          </w:p>
        </w:tc>
      </w:tr>
      <w:tr>
        <w:trPr>
          <w:cantSplit w:val="true"/>
        </w:trPr>
        <w:tc>
          <w:tcPr>
            <w:tcW w:type="dxa" w:w="3601"/>
            <w:tcMar>
              <w:top w:w="50" w:type="dxa"/>
              <w:bottom w:w="50" w:type="dxa"/>
              <w:left w:w="90" w:type="dxa"/>
              <w:right w:w="90" w:type="dxa"/>
            </w:tcMar>
            <w:shd w:val="clear" w:color="auto" w:fill="E5F5FF"/>
          </w:tcPr>
          <w:p>
            <w:pPr>
              <w:pStyle w:val="BDOITable"/>
            </w:pPr>
            <w:r>
              <w:rPr>
                <w:sz w:val="16"/>
              </w:rPr>
              <w:t>Problem management and RCA</w:t>
            </w:r>
          </w:p>
        </w:tc>
        <w:tc>
          <w:tcPr>
            <w:tcW w:type="dxa" w:w="831"/>
            <w:tcMar>
              <w:top w:w="50" w:type="dxa"/>
              <w:bottom w:w="50" w:type="dxa"/>
              <w:left w:w="90" w:type="dxa"/>
              <w:right w:w="90" w:type="dxa"/>
            </w:tcMar>
            <w:shd w:val="clear" w:color="auto" w:fill="E5F5FF"/>
          </w:tcPr>
          <w:p>
            <w:pPr>
              <w:pStyle w:val="BDOITable"/>
            </w:pPr>
            <w:r>
              <w:rPr>
                <w:sz w:val="16"/>
              </w:rPr>
              <w:t>I</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969"/>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A</w:t>
            </w:r>
          </w:p>
        </w:tc>
        <w:tc>
          <w:tcPr>
            <w:tcW w:type="dxa" w:w="969"/>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601"/>
            <w:tcMar>
              <w:top w:w="50" w:type="dxa"/>
              <w:bottom w:w="50" w:type="dxa"/>
              <w:left w:w="90" w:type="dxa"/>
              <w:right w:w="90" w:type="dxa"/>
            </w:tcMar>
          </w:tcPr>
          <w:p>
            <w:pPr>
              <w:pStyle w:val="BDOITable"/>
            </w:pPr>
            <w:r>
              <w:rPr>
                <w:sz w:val="16"/>
              </w:rPr>
              <w:t>Standard change</w:t>
            </w:r>
          </w:p>
        </w:tc>
        <w:tc>
          <w:tcPr>
            <w:tcW w:type="dxa" w:w="831"/>
            <w:tcMar>
              <w:top w:w="50" w:type="dxa"/>
              <w:bottom w:w="50" w:type="dxa"/>
              <w:left w:w="90" w:type="dxa"/>
              <w:right w:w="90" w:type="dxa"/>
            </w:tcMar>
          </w:tcPr>
          <w:p>
            <w:pPr>
              <w:pStyle w:val="BDOITable"/>
            </w:pPr>
            <w:r>
              <w:rPr>
                <w:sz w:val="16"/>
              </w:rPr>
              <w:t>-</w:t>
            </w:r>
          </w:p>
        </w:tc>
        <w:tc>
          <w:tcPr>
            <w:tcW w:type="dxa" w:w="831"/>
            <w:tcMar>
              <w:top w:w="50" w:type="dxa"/>
              <w:bottom w:w="50" w:type="dxa"/>
              <w:left w:w="90" w:type="dxa"/>
              <w:right w:w="90" w:type="dxa"/>
            </w:tcMar>
          </w:tcPr>
          <w:p>
            <w:pPr>
              <w:pStyle w:val="BDOITable"/>
            </w:pPr>
            <w:r>
              <w:rPr>
                <w:sz w:val="16"/>
              </w:rPr>
              <w:t>R</w:t>
            </w:r>
          </w:p>
        </w:tc>
        <w:tc>
          <w:tcPr>
            <w:tcW w:type="dxa" w:w="831"/>
            <w:tcMar>
              <w:top w:w="50" w:type="dxa"/>
              <w:bottom w:w="50" w:type="dxa"/>
              <w:left w:w="90" w:type="dxa"/>
              <w:right w:w="90" w:type="dxa"/>
            </w:tcMar>
          </w:tcPr>
          <w:p>
            <w:pPr>
              <w:pStyle w:val="BDOITable"/>
            </w:pPr>
            <w:r>
              <w:rPr>
                <w:sz w:val="16"/>
              </w:rPr>
              <w:t>I</w:t>
            </w:r>
          </w:p>
        </w:tc>
        <w:tc>
          <w:tcPr>
            <w:tcW w:type="dxa" w:w="969"/>
            <w:tcMar>
              <w:top w:w="50" w:type="dxa"/>
              <w:bottom w:w="50" w:type="dxa"/>
              <w:left w:w="90" w:type="dxa"/>
              <w:right w:w="90" w:type="dxa"/>
            </w:tcMar>
          </w:tcPr>
          <w:p>
            <w:pPr>
              <w:pStyle w:val="BDOITable"/>
            </w:pPr>
            <w:r>
              <w:rPr>
                <w:sz w:val="16"/>
              </w:rPr>
              <w:t>I</w:t>
            </w:r>
          </w:p>
        </w:tc>
        <w:tc>
          <w:tcPr>
            <w:tcW w:type="dxa" w:w="969"/>
            <w:tcMar>
              <w:top w:w="50" w:type="dxa"/>
              <w:bottom w:w="50" w:type="dxa"/>
              <w:left w:w="90" w:type="dxa"/>
              <w:right w:w="90" w:type="dxa"/>
            </w:tcMar>
          </w:tcPr>
          <w:p>
            <w:pPr>
              <w:pStyle w:val="BDOITable"/>
            </w:pPr>
            <w:r>
              <w:rPr>
                <w:sz w:val="16"/>
              </w:rPr>
              <w:t>A</w:t>
            </w:r>
          </w:p>
        </w:tc>
        <w:tc>
          <w:tcPr>
            <w:tcW w:type="dxa" w:w="969"/>
            <w:tcMar>
              <w:top w:w="50" w:type="dxa"/>
              <w:bottom w:w="50" w:type="dxa"/>
              <w:left w:w="90" w:type="dxa"/>
              <w:right w:w="90" w:type="dxa"/>
            </w:tcMar>
          </w:tcPr>
          <w:p>
            <w:pPr>
              <w:pStyle w:val="BDOITable"/>
            </w:pPr>
            <w:r>
              <w:rPr>
                <w:sz w:val="16"/>
              </w:rPr>
              <w:t>I</w:t>
            </w:r>
          </w:p>
        </w:tc>
        <w:tc>
          <w:tcPr>
            <w:tcW w:type="dxa" w:w="969"/>
            <w:tcMar>
              <w:top w:w="50" w:type="dxa"/>
              <w:bottom w:w="50" w:type="dxa"/>
              <w:left w:w="90" w:type="dxa"/>
              <w:right w:w="90" w:type="dxa"/>
            </w:tcMar>
          </w:tcPr>
          <w:p>
            <w:pPr>
              <w:pStyle w:val="BDOITable"/>
            </w:pPr>
            <w:r>
              <w:rPr>
                <w:sz w:val="16"/>
              </w:rPr>
              <w:t>I</w:t>
            </w:r>
          </w:p>
        </w:tc>
      </w:tr>
      <w:tr>
        <w:trPr>
          <w:cantSplit w:val="true"/>
        </w:trPr>
        <w:tc>
          <w:tcPr>
            <w:tcW w:type="dxa" w:w="3601"/>
            <w:tcMar>
              <w:top w:w="50" w:type="dxa"/>
              <w:bottom w:w="50" w:type="dxa"/>
              <w:left w:w="90" w:type="dxa"/>
              <w:right w:w="90" w:type="dxa"/>
            </w:tcMar>
            <w:shd w:val="clear" w:color="auto" w:fill="E5F5FF"/>
          </w:tcPr>
          <w:p>
            <w:pPr>
              <w:pStyle w:val="BDOITable"/>
            </w:pPr>
            <w:r>
              <w:rPr>
                <w:sz w:val="16"/>
              </w:rPr>
              <w:t>Normal change and release</w:t>
            </w:r>
          </w:p>
        </w:tc>
        <w:tc>
          <w:tcPr>
            <w:tcW w:type="dxa" w:w="831"/>
            <w:tcMar>
              <w:top w:w="50" w:type="dxa"/>
              <w:bottom w:w="50" w:type="dxa"/>
              <w:left w:w="90" w:type="dxa"/>
              <w:right w:w="90" w:type="dxa"/>
            </w:tcMar>
            <w:shd w:val="clear" w:color="auto" w:fill="E5F5FF"/>
          </w:tcPr>
          <w:p>
            <w:pPr>
              <w:pStyle w:val="BDOITable"/>
            </w:pPr>
            <w:r>
              <w:rPr>
                <w:sz w:val="16"/>
              </w:rPr>
              <w:t>I</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969"/>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A</w:t>
            </w:r>
          </w:p>
        </w:tc>
        <w:tc>
          <w:tcPr>
            <w:tcW w:type="dxa" w:w="969"/>
            <w:tcMar>
              <w:top w:w="50" w:type="dxa"/>
              <w:bottom w:w="50" w:type="dxa"/>
              <w:left w:w="90" w:type="dxa"/>
              <w:right w:w="90" w:type="dxa"/>
            </w:tcMar>
            <w:shd w:val="clear" w:color="auto" w:fill="E5F5FF"/>
          </w:tcPr>
          <w:p>
            <w:pPr>
              <w:pStyle w:val="BDOITable"/>
            </w:pPr>
            <w:r>
              <w:rPr>
                <w:sz w:val="16"/>
              </w:rPr>
              <w:t>A</w:t>
            </w:r>
          </w:p>
        </w:tc>
        <w:tc>
          <w:tcPr>
            <w:tcW w:type="dxa" w:w="969"/>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601"/>
            <w:tcMar>
              <w:top w:w="50" w:type="dxa"/>
              <w:bottom w:w="50" w:type="dxa"/>
              <w:left w:w="90" w:type="dxa"/>
              <w:right w:w="90" w:type="dxa"/>
            </w:tcMar>
          </w:tcPr>
          <w:p>
            <w:pPr>
              <w:pStyle w:val="BDOITable"/>
            </w:pPr>
            <w:r>
              <w:rPr>
                <w:sz w:val="16"/>
              </w:rPr>
              <w:t>Emergency change</w:t>
            </w:r>
          </w:p>
        </w:tc>
        <w:tc>
          <w:tcPr>
            <w:tcW w:type="dxa" w:w="831"/>
            <w:tcMar>
              <w:top w:w="50" w:type="dxa"/>
              <w:bottom w:w="50" w:type="dxa"/>
              <w:left w:w="90" w:type="dxa"/>
              <w:right w:w="90" w:type="dxa"/>
            </w:tcMar>
          </w:tcPr>
          <w:p>
            <w:pPr>
              <w:pStyle w:val="BDOITable"/>
            </w:pPr>
            <w:r>
              <w:rPr>
                <w:sz w:val="16"/>
              </w:rPr>
              <w:t>I</w:t>
            </w:r>
          </w:p>
        </w:tc>
        <w:tc>
          <w:tcPr>
            <w:tcW w:type="dxa" w:w="831"/>
            <w:tcMar>
              <w:top w:w="50" w:type="dxa"/>
              <w:bottom w:w="50" w:type="dxa"/>
              <w:left w:w="90" w:type="dxa"/>
              <w:right w:w="90" w:type="dxa"/>
            </w:tcMar>
          </w:tcPr>
          <w:p>
            <w:pPr>
              <w:pStyle w:val="BDOITable"/>
            </w:pPr>
            <w:r>
              <w:rPr>
                <w:sz w:val="16"/>
              </w:rPr>
              <w:t>C</w:t>
            </w:r>
          </w:p>
        </w:tc>
        <w:tc>
          <w:tcPr>
            <w:tcW w:type="dxa" w:w="831"/>
            <w:tcMar>
              <w:top w:w="50" w:type="dxa"/>
              <w:bottom w:w="50" w:type="dxa"/>
              <w:left w:w="90" w:type="dxa"/>
              <w:right w:w="90" w:type="dxa"/>
            </w:tcMar>
          </w:tcPr>
          <w:p>
            <w:pPr>
              <w:pStyle w:val="BDOITable"/>
            </w:pPr>
            <w:r>
              <w:rPr>
                <w:sz w:val="16"/>
              </w:rPr>
              <w:t>R</w:t>
            </w:r>
          </w:p>
        </w:tc>
        <w:tc>
          <w:tcPr>
            <w:tcW w:type="dxa" w:w="969"/>
            <w:tcMar>
              <w:top w:w="50" w:type="dxa"/>
              <w:bottom w:w="50" w:type="dxa"/>
              <w:left w:w="90" w:type="dxa"/>
              <w:right w:w="90" w:type="dxa"/>
            </w:tcMar>
          </w:tcPr>
          <w:p>
            <w:pPr>
              <w:pStyle w:val="BDOITable"/>
            </w:pPr>
            <w:r>
              <w:rPr>
                <w:sz w:val="16"/>
              </w:rPr>
              <w:t>C</w:t>
            </w:r>
          </w:p>
        </w:tc>
        <w:tc>
          <w:tcPr>
            <w:tcW w:type="dxa" w:w="969"/>
            <w:tcMar>
              <w:top w:w="50" w:type="dxa"/>
              <w:bottom w:w="50" w:type="dxa"/>
              <w:left w:w="90" w:type="dxa"/>
              <w:right w:w="90" w:type="dxa"/>
            </w:tcMar>
          </w:tcPr>
          <w:p>
            <w:pPr>
              <w:pStyle w:val="BDOITable"/>
            </w:pPr>
            <w:r>
              <w:rPr>
                <w:sz w:val="16"/>
              </w:rPr>
              <w:t>A</w:t>
            </w:r>
          </w:p>
        </w:tc>
        <w:tc>
          <w:tcPr>
            <w:tcW w:type="dxa" w:w="969"/>
            <w:tcMar>
              <w:top w:w="50" w:type="dxa"/>
              <w:bottom w:w="50" w:type="dxa"/>
              <w:left w:w="90" w:type="dxa"/>
              <w:right w:w="90" w:type="dxa"/>
            </w:tcMar>
          </w:tcPr>
          <w:p>
            <w:pPr>
              <w:pStyle w:val="BDOITable"/>
            </w:pPr>
            <w:r>
              <w:rPr>
                <w:sz w:val="16"/>
              </w:rPr>
              <w:t>C</w:t>
            </w:r>
          </w:p>
        </w:tc>
        <w:tc>
          <w:tcPr>
            <w:tcW w:type="dxa" w:w="969"/>
            <w:tcMar>
              <w:top w:w="50" w:type="dxa"/>
              <w:bottom w:w="50" w:type="dxa"/>
              <w:left w:w="90" w:type="dxa"/>
              <w:right w:w="90" w:type="dxa"/>
            </w:tcMar>
          </w:tcPr>
          <w:p>
            <w:pPr>
              <w:pStyle w:val="BDOITable"/>
            </w:pPr>
            <w:r>
              <w:rPr>
                <w:sz w:val="16"/>
              </w:rPr>
              <w:t>I</w:t>
            </w:r>
          </w:p>
        </w:tc>
      </w:tr>
      <w:tr>
        <w:trPr>
          <w:cantSplit w:val="true"/>
        </w:trPr>
        <w:tc>
          <w:tcPr>
            <w:tcW w:type="dxa" w:w="3601"/>
            <w:tcMar>
              <w:top w:w="50" w:type="dxa"/>
              <w:bottom w:w="50" w:type="dxa"/>
              <w:left w:w="90" w:type="dxa"/>
              <w:right w:w="90" w:type="dxa"/>
            </w:tcMar>
            <w:shd w:val="clear" w:color="auto" w:fill="E5F5FF"/>
          </w:tcPr>
          <w:p>
            <w:pPr>
              <w:pStyle w:val="BDOITable"/>
            </w:pPr>
            <w:r>
              <w:rPr>
                <w:sz w:val="16"/>
              </w:rPr>
              <w:t>Knowledge base</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969"/>
            <w:tcMar>
              <w:top w:w="50" w:type="dxa"/>
              <w:bottom w:w="50" w:type="dxa"/>
              <w:left w:w="90" w:type="dxa"/>
              <w:right w:w="90" w:type="dxa"/>
            </w:tcMar>
            <w:shd w:val="clear" w:color="auto" w:fill="E5F5FF"/>
          </w:tcPr>
          <w:p>
            <w:pPr>
              <w:pStyle w:val="BDOITable"/>
            </w:pPr>
            <w:r>
              <w:rPr>
                <w:sz w:val="16"/>
              </w:rPr>
              <w:t>C</w:t>
            </w:r>
          </w:p>
        </w:tc>
        <w:tc>
          <w:tcPr>
            <w:tcW w:type="dxa" w:w="969"/>
            <w:tcMar>
              <w:top w:w="50" w:type="dxa"/>
              <w:bottom w:w="50" w:type="dxa"/>
              <w:left w:w="90" w:type="dxa"/>
              <w:right w:w="90" w:type="dxa"/>
            </w:tcMar>
            <w:shd w:val="clear" w:color="auto" w:fill="E5F5FF"/>
          </w:tcPr>
          <w:p>
            <w:pPr>
              <w:pStyle w:val="BDOITable"/>
            </w:pPr>
            <w:r>
              <w:rPr>
                <w:sz w:val="16"/>
              </w:rPr>
              <w:t>A</w:t>
            </w:r>
          </w:p>
        </w:tc>
        <w:tc>
          <w:tcPr>
            <w:tcW w:type="dxa" w:w="969"/>
            <w:tcMar>
              <w:top w:w="50" w:type="dxa"/>
              <w:bottom w:w="50" w:type="dxa"/>
              <w:left w:w="90" w:type="dxa"/>
              <w:right w:w="90" w:type="dxa"/>
            </w:tcMar>
            <w:shd w:val="clear" w:color="auto" w:fill="E5F5FF"/>
          </w:tcPr>
          <w:p>
            <w:pPr>
              <w:pStyle w:val="BDOITable"/>
            </w:pPr>
            <w:r>
              <w:rPr>
                <w:sz w:val="16"/>
              </w:rPr>
              <w:t>I</w:t>
            </w:r>
          </w:p>
        </w:tc>
        <w:tc>
          <w:tcPr>
            <w:tcW w:type="dxa" w:w="969"/>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601"/>
            <w:tcMar>
              <w:top w:w="50" w:type="dxa"/>
              <w:bottom w:w="50" w:type="dxa"/>
              <w:left w:w="90" w:type="dxa"/>
              <w:right w:w="90" w:type="dxa"/>
            </w:tcMar>
          </w:tcPr>
          <w:p>
            <w:pPr>
              <w:pStyle w:val="BDOITable"/>
            </w:pPr>
            <w:r>
              <w:rPr>
                <w:sz w:val="16"/>
              </w:rPr>
              <w:t>Monthly service report and review</w:t>
            </w:r>
          </w:p>
        </w:tc>
        <w:tc>
          <w:tcPr>
            <w:tcW w:type="dxa" w:w="831"/>
            <w:tcMar>
              <w:top w:w="50" w:type="dxa"/>
              <w:bottom w:w="50" w:type="dxa"/>
              <w:left w:w="90" w:type="dxa"/>
              <w:right w:w="90" w:type="dxa"/>
            </w:tcMar>
          </w:tcPr>
          <w:p>
            <w:pPr>
              <w:pStyle w:val="BDOITable"/>
            </w:pPr>
            <w:r>
              <w:rPr>
                <w:sz w:val="16"/>
              </w:rPr>
              <w:t>I</w:t>
            </w:r>
          </w:p>
        </w:tc>
        <w:tc>
          <w:tcPr>
            <w:tcW w:type="dxa" w:w="831"/>
            <w:tcMar>
              <w:top w:w="50" w:type="dxa"/>
              <w:bottom w:w="50" w:type="dxa"/>
              <w:left w:w="90" w:type="dxa"/>
              <w:right w:w="90" w:type="dxa"/>
            </w:tcMar>
          </w:tcPr>
          <w:p>
            <w:pPr>
              <w:pStyle w:val="BDOITable"/>
            </w:pPr>
            <w:r>
              <w:rPr>
                <w:sz w:val="16"/>
              </w:rPr>
              <w:t>C</w:t>
            </w:r>
          </w:p>
        </w:tc>
        <w:tc>
          <w:tcPr>
            <w:tcW w:type="dxa" w:w="831"/>
            <w:tcMar>
              <w:top w:w="50" w:type="dxa"/>
              <w:bottom w:w="50" w:type="dxa"/>
              <w:left w:w="90" w:type="dxa"/>
              <w:right w:w="90" w:type="dxa"/>
            </w:tcMar>
          </w:tcPr>
          <w:p>
            <w:pPr>
              <w:pStyle w:val="BDOITable"/>
            </w:pPr>
            <w:r>
              <w:rPr>
                <w:sz w:val="16"/>
              </w:rPr>
              <w:t>R</w:t>
            </w:r>
          </w:p>
        </w:tc>
        <w:tc>
          <w:tcPr>
            <w:tcW w:type="dxa" w:w="969"/>
            <w:tcMar>
              <w:top w:w="50" w:type="dxa"/>
              <w:bottom w:w="50" w:type="dxa"/>
              <w:left w:w="90" w:type="dxa"/>
              <w:right w:w="90" w:type="dxa"/>
            </w:tcMar>
          </w:tcPr>
          <w:p>
            <w:pPr>
              <w:pStyle w:val="BDOITable"/>
            </w:pPr>
            <w:r>
              <w:rPr>
                <w:sz w:val="16"/>
              </w:rPr>
              <w:t>C</w:t>
            </w:r>
          </w:p>
        </w:tc>
        <w:tc>
          <w:tcPr>
            <w:tcW w:type="dxa" w:w="969"/>
            <w:tcMar>
              <w:top w:w="50" w:type="dxa"/>
              <w:bottom w:w="50" w:type="dxa"/>
              <w:left w:w="90" w:type="dxa"/>
              <w:right w:w="90" w:type="dxa"/>
            </w:tcMar>
          </w:tcPr>
          <w:p>
            <w:pPr>
              <w:pStyle w:val="BDOITable"/>
            </w:pPr>
            <w:r>
              <w:rPr>
                <w:sz w:val="16"/>
              </w:rPr>
              <w:t>A</w:t>
            </w:r>
          </w:p>
        </w:tc>
        <w:tc>
          <w:tcPr>
            <w:tcW w:type="dxa" w:w="969"/>
            <w:tcMar>
              <w:top w:w="50" w:type="dxa"/>
              <w:bottom w:w="50" w:type="dxa"/>
              <w:left w:w="90" w:type="dxa"/>
              <w:right w:w="90" w:type="dxa"/>
            </w:tcMar>
          </w:tcPr>
          <w:p>
            <w:pPr>
              <w:pStyle w:val="BDOITable"/>
            </w:pPr>
            <w:r>
              <w:rPr>
                <w:sz w:val="16"/>
              </w:rPr>
              <w:t>C</w:t>
            </w:r>
          </w:p>
        </w:tc>
        <w:tc>
          <w:tcPr>
            <w:tcW w:type="dxa" w:w="969"/>
            <w:tcMar>
              <w:top w:w="50" w:type="dxa"/>
              <w:bottom w:w="50" w:type="dxa"/>
              <w:left w:w="90" w:type="dxa"/>
              <w:right w:w="90" w:type="dxa"/>
            </w:tcMar>
          </w:tcPr>
          <w:p>
            <w:pPr>
              <w:pStyle w:val="BDOITable"/>
            </w:pPr>
            <w:r>
              <w:rPr>
                <w:sz w:val="16"/>
              </w:rPr>
              <w:t>I</w:t>
            </w:r>
          </w:p>
        </w:tc>
      </w:tr>
      <w:tr>
        <w:trPr>
          <w:cantSplit w:val="true"/>
        </w:trPr>
        <w:tc>
          <w:tcPr>
            <w:tcW w:type="dxa" w:w="3601"/>
            <w:tcMar>
              <w:top w:w="50" w:type="dxa"/>
              <w:bottom w:w="50" w:type="dxa"/>
              <w:left w:w="90" w:type="dxa"/>
              <w:right w:w="90" w:type="dxa"/>
            </w:tcMar>
            <w:shd w:val="clear" w:color="auto" w:fill="E5F5FF"/>
          </w:tcPr>
          <w:p>
            <w:pPr>
              <w:pStyle w:val="BDOITable"/>
            </w:pPr>
            <w:r>
              <w:rPr>
                <w:sz w:val="16"/>
              </w:rPr>
              <w:t>Access requests (BRD-11)</w:t>
            </w:r>
          </w:p>
        </w:tc>
        <w:tc>
          <w:tcPr>
            <w:tcW w:type="dxa" w:w="831"/>
            <w:tcMar>
              <w:top w:w="50" w:type="dxa"/>
              <w:bottom w:w="50" w:type="dxa"/>
              <w:left w:w="90" w:type="dxa"/>
              <w:right w:w="90" w:type="dxa"/>
            </w:tcMar>
            <w:shd w:val="clear" w:color="auto" w:fill="E5F5FF"/>
          </w:tcPr>
          <w:p>
            <w:pPr>
              <w:pStyle w:val="BDOITable"/>
            </w:pPr>
            <w:r>
              <w:rPr>
                <w:sz w:val="16"/>
              </w:rPr>
              <w:t>R</w:t>
            </w:r>
          </w:p>
        </w:tc>
        <w:tc>
          <w:tcPr>
            <w:tcW w:type="dxa" w:w="831"/>
            <w:tcMar>
              <w:top w:w="50" w:type="dxa"/>
              <w:bottom w:w="50" w:type="dxa"/>
              <w:left w:w="90" w:type="dxa"/>
              <w:right w:w="90" w:type="dxa"/>
            </w:tcMar>
            <w:shd w:val="clear" w:color="auto" w:fill="E5F5FF"/>
          </w:tcPr>
          <w:p>
            <w:pPr>
              <w:pStyle w:val="BDOITable"/>
            </w:pPr>
            <w:r>
              <w:rPr>
                <w:sz w:val="16"/>
              </w:rPr>
              <w:t>C</w:t>
            </w:r>
          </w:p>
        </w:tc>
        <w:tc>
          <w:tcPr>
            <w:tcW w:type="dxa" w:w="831"/>
            <w:tcMar>
              <w:top w:w="50" w:type="dxa"/>
              <w:bottom w:w="50" w:type="dxa"/>
              <w:left w:w="90" w:type="dxa"/>
              <w:right w:w="90" w:type="dxa"/>
            </w:tcMar>
            <w:shd w:val="clear" w:color="auto" w:fill="E5F5FF"/>
          </w:tcPr>
          <w:p>
            <w:pPr>
              <w:pStyle w:val="BDOITable"/>
            </w:pPr>
            <w:r>
              <w:rPr>
                <w:sz w:val="16"/>
              </w:rPr>
              <w:t>-</w:t>
            </w:r>
          </w:p>
        </w:tc>
        <w:tc>
          <w:tcPr>
            <w:tcW w:type="dxa" w:w="969"/>
            <w:tcMar>
              <w:top w:w="50" w:type="dxa"/>
              <w:bottom w:w="50" w:type="dxa"/>
              <w:left w:w="90" w:type="dxa"/>
              <w:right w:w="90" w:type="dxa"/>
            </w:tcMar>
            <w:shd w:val="clear" w:color="auto" w:fill="E5F5FF"/>
          </w:tcPr>
          <w:p>
            <w:pPr>
              <w:pStyle w:val="BDOITable"/>
            </w:pPr>
            <w:r>
              <w:rPr>
                <w:sz w:val="16"/>
              </w:rPr>
              <w:t>-</w:t>
            </w:r>
          </w:p>
        </w:tc>
        <w:tc>
          <w:tcPr>
            <w:tcW w:type="dxa" w:w="969"/>
            <w:tcMar>
              <w:top w:w="50" w:type="dxa"/>
              <w:bottom w:w="50" w:type="dxa"/>
              <w:left w:w="90" w:type="dxa"/>
              <w:right w:w="90" w:type="dxa"/>
            </w:tcMar>
            <w:shd w:val="clear" w:color="auto" w:fill="E5F5FF"/>
          </w:tcPr>
          <w:p>
            <w:pPr>
              <w:pStyle w:val="BDOITable"/>
            </w:pPr>
            <w:r>
              <w:rPr>
                <w:sz w:val="16"/>
              </w:rPr>
              <w:t>I</w:t>
            </w:r>
          </w:p>
        </w:tc>
        <w:tc>
          <w:tcPr>
            <w:tcW w:type="dxa" w:w="969"/>
            <w:tcMar>
              <w:top w:w="50" w:type="dxa"/>
              <w:bottom w:w="50" w:type="dxa"/>
              <w:left w:w="90" w:type="dxa"/>
              <w:right w:w="90" w:type="dxa"/>
            </w:tcMar>
            <w:shd w:val="clear" w:color="auto" w:fill="E5F5FF"/>
          </w:tcPr>
          <w:p>
            <w:pPr>
              <w:pStyle w:val="BDOITable"/>
            </w:pPr>
            <w:r>
              <w:rPr>
                <w:sz w:val="16"/>
              </w:rPr>
              <w:t>-</w:t>
            </w:r>
          </w:p>
        </w:tc>
        <w:tc>
          <w:tcPr>
            <w:tcW w:type="dxa" w:w="969"/>
            <w:tcMar>
              <w:top w:w="50" w:type="dxa"/>
              <w:bottom w:w="50" w:type="dxa"/>
              <w:left w:w="90" w:type="dxa"/>
              <w:right w:w="90" w:type="dxa"/>
            </w:tcMar>
            <w:shd w:val="clear" w:color="auto" w:fill="E5F5FF"/>
          </w:tcPr>
          <w:p>
            <w:pPr>
              <w:pStyle w:val="BDOITable"/>
            </w:pPr>
            <w:r>
              <w:rPr>
                <w:sz w:val="16"/>
              </w:rPr>
              <w:t>A</w:t>
            </w:r>
          </w:p>
        </w:tc>
      </w:tr>
    </w:tbl>
    <w:p>
      <w:pPr>
        <w:pStyle w:val="BDOISpacer"/>
      </w:pPr>
    </w:p>
    <w:p>
      <w:pPr>
        <w:pStyle w:val="Heading1"/>
        <w:pageBreakBefore/>
        <w:pBdr>
          <w:bottom w:val="single" w:sz="4" w:space="4" w:color="99C1E7"/>
        </w:pBdr>
      </w:pPr>
      <w:bookmarkStart w:id="110" w:name="_Toc000110"/>
      <w:r>
        <w:rPr/>
        <w:t>3 Service hours</w:t>
      </w:r>
      <w:bookmarkEnd w:id="110"/>
    </w:p>
    <w:p>
      <w:r>
        <w:rPr/>
        <w:t>The service window of BIBS is the window in which users work and in which the availability objective is measured. It is one window for all modules (DCR-133, proposal for confirmation).</w:t>
      </w:r>
    </w:p>
    <w:p>
      <w:pPr>
        <w:pStyle w:val="Caption"/>
        <w:keepNext/>
        <w:spacing w:after="60"/>
      </w:pPr>
      <w:r>
        <w:rPr>
          <w:b/>
          <w:i w:val="0"/>
        </w:rPr>
        <w:t xml:space="preserve">Table 6: </w:t>
      </w:r>
      <w:r>
        <w:rPr/>
        <w:t>Service hours (Philippine time,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124"/>
        <w:gridCol w:w="4325"/>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Service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Hours</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Remarks</w:t>
            </w:r>
          </w:p>
        </w:tc>
      </w:tr>
      <w:tr>
        <w:trPr>
          <w:cantSplit w:val="true"/>
        </w:trPr>
        <w:tc>
          <w:tcPr>
            <w:tcW w:type="dxa" w:w="2523"/>
            <w:tcMar>
              <w:top w:w="50" w:type="dxa"/>
              <w:bottom w:w="50" w:type="dxa"/>
              <w:left w:w="90" w:type="dxa"/>
              <w:right w:w="90" w:type="dxa"/>
            </w:tcMar>
          </w:tcPr>
          <w:p>
            <w:pPr>
              <w:pStyle w:val="BDOITable"/>
            </w:pPr>
            <w:r>
              <w:rPr>
                <w:b/>
                <w:sz w:val="17"/>
              </w:rPr>
              <w:t>BIBS service window</w:t>
            </w:r>
          </w:p>
        </w:tc>
        <w:tc>
          <w:tcPr>
            <w:tcW w:type="dxa" w:w="3124"/>
            <w:tcMar>
              <w:top w:w="50" w:type="dxa"/>
              <w:bottom w:w="50" w:type="dxa"/>
              <w:left w:w="90" w:type="dxa"/>
              <w:right w:w="90" w:type="dxa"/>
            </w:tcMar>
          </w:tcPr>
          <w:p>
            <w:pPr>
              <w:pStyle w:val="BDOITable"/>
            </w:pPr>
            <w:r>
              <w:rPr>
                <w:sz w:val="17"/>
              </w:rPr>
              <w:t>06:00-22:00 Monday to Saturday, and 06:00-22:00 on a Sunday or holiday that is a month-end closing day</w:t>
            </w:r>
          </w:p>
        </w:tc>
        <w:tc>
          <w:tcPr>
            <w:tcW w:type="dxa" w:w="4325"/>
            <w:tcMar>
              <w:top w:w="50" w:type="dxa"/>
              <w:bottom w:w="50" w:type="dxa"/>
              <w:left w:w="90" w:type="dxa"/>
              <w:right w:w="90" w:type="dxa"/>
            </w:tcMar>
          </w:tcPr>
          <w:p>
            <w:pPr>
              <w:pStyle w:val="BDOITable"/>
            </w:pPr>
            <w:r>
              <w:rPr>
                <w:sz w:val="17"/>
              </w:rPr>
              <w:t>Availability measured here (section 4.3)</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Batch window</w:t>
            </w:r>
          </w:p>
        </w:tc>
        <w:tc>
          <w:tcPr>
            <w:tcW w:type="dxa" w:w="3124"/>
            <w:tcMar>
              <w:top w:w="50" w:type="dxa"/>
              <w:bottom w:w="50" w:type="dxa"/>
              <w:left w:w="90" w:type="dxa"/>
              <w:right w:w="90" w:type="dxa"/>
            </w:tcMar>
            <w:shd w:val="clear" w:color="auto" w:fill="E5F5FF"/>
          </w:tcPr>
          <w:p>
            <w:pPr>
              <w:pStyle w:val="BDOITable"/>
            </w:pPr>
            <w:r>
              <w:rPr>
                <w:sz w:val="17"/>
              </w:rPr>
              <w:t>22:00-06:00 every day</w:t>
            </w:r>
          </w:p>
        </w:tc>
        <w:tc>
          <w:tcPr>
            <w:tcW w:type="dxa" w:w="4325"/>
            <w:tcMar>
              <w:top w:w="50" w:type="dxa"/>
              <w:bottom w:w="50" w:type="dxa"/>
              <w:left w:w="90" w:type="dxa"/>
              <w:right w:w="90" w:type="dxa"/>
            </w:tcMar>
            <w:shd w:val="clear" w:color="auto" w:fill="E5F5FF"/>
          </w:tcPr>
          <w:p>
            <w:pPr>
              <w:pStyle w:val="BDOITable"/>
            </w:pPr>
            <w:r>
              <w:rPr>
                <w:sz w:val="17"/>
              </w:rPr>
              <w:t>Night jobs (Operations Runbook, scheduled jobs catalogue); the service stays available to users</w:t>
            </w:r>
          </w:p>
        </w:tc>
      </w:tr>
      <w:tr>
        <w:trPr>
          <w:cantSplit w:val="true"/>
        </w:trPr>
        <w:tc>
          <w:tcPr>
            <w:tcW w:type="dxa" w:w="2523"/>
            <w:tcMar>
              <w:top w:w="50" w:type="dxa"/>
              <w:bottom w:w="50" w:type="dxa"/>
              <w:left w:w="90" w:type="dxa"/>
              <w:right w:w="90" w:type="dxa"/>
            </w:tcMar>
          </w:tcPr>
          <w:p>
            <w:pPr>
              <w:pStyle w:val="BDOITable"/>
            </w:pPr>
            <w:r>
              <w:rPr>
                <w:b/>
                <w:sz w:val="17"/>
              </w:rPr>
              <w:t>Planned maintenance window</w:t>
            </w:r>
          </w:p>
        </w:tc>
        <w:tc>
          <w:tcPr>
            <w:tcW w:type="dxa" w:w="3124"/>
            <w:tcMar>
              <w:top w:w="50" w:type="dxa"/>
              <w:bottom w:w="50" w:type="dxa"/>
              <w:left w:w="90" w:type="dxa"/>
              <w:right w:w="90" w:type="dxa"/>
            </w:tcMar>
          </w:tcPr>
          <w:p>
            <w:pPr>
              <w:pStyle w:val="BDOITable"/>
            </w:pPr>
            <w:r>
              <w:rPr>
                <w:sz w:val="17"/>
              </w:rPr>
              <w:t>Sunday 00:00-04:00, at most twice a month; announced 5 business days ahead</w:t>
            </w:r>
          </w:p>
        </w:tc>
        <w:tc>
          <w:tcPr>
            <w:tcW w:type="dxa" w:w="4325"/>
            <w:tcMar>
              <w:top w:w="50" w:type="dxa"/>
              <w:bottom w:w="50" w:type="dxa"/>
              <w:left w:w="90" w:type="dxa"/>
              <w:right w:w="90" w:type="dxa"/>
            </w:tcMar>
          </w:tcPr>
          <w:p>
            <w:pPr>
              <w:pStyle w:val="BDOITable"/>
            </w:pPr>
            <w:r>
              <w:rPr>
                <w:sz w:val="17"/>
              </w:rPr>
              <w:t>Releases, patching, DR drills; not counted as downtime. No maintenance in the month-end freeze (last 2 and first 3 business days of a month)</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L1 BDOI service desk</w:t>
            </w:r>
          </w:p>
        </w:tc>
        <w:tc>
          <w:tcPr>
            <w:tcW w:type="dxa" w:w="3124"/>
            <w:tcMar>
              <w:top w:w="50" w:type="dxa"/>
              <w:bottom w:w="50" w:type="dxa"/>
              <w:left w:w="90" w:type="dxa"/>
              <w:right w:w="90" w:type="dxa"/>
            </w:tcMar>
            <w:shd w:val="clear" w:color="auto" w:fill="E5F5FF"/>
          </w:tcPr>
          <w:p>
            <w:pPr>
              <w:pStyle w:val="BDOITable"/>
            </w:pPr>
            <w:r>
              <w:rPr>
                <w:sz w:val="17"/>
              </w:rPr>
              <w:t>06:00-22:00 Monday to Saturday and month-end Sundays; P1 outside these hours through the BDO IT 24 x 7 hotline</w:t>
            </w:r>
          </w:p>
        </w:tc>
        <w:tc>
          <w:tcPr>
            <w:tcW w:type="dxa" w:w="4325"/>
            <w:tcMar>
              <w:top w:w="50" w:type="dxa"/>
              <w:bottom w:w="50" w:type="dxa"/>
              <w:left w:w="90" w:type="dxa"/>
              <w:right w:w="90" w:type="dxa"/>
            </w:tcMar>
            <w:shd w:val="clear" w:color="auto" w:fill="E5F5FF"/>
          </w:tcPr>
          <w:p>
            <w:pPr>
              <w:pStyle w:val="BDOITable"/>
            </w:pPr>
            <w:r>
              <w:rPr>
                <w:sz w:val="17"/>
              </w:rPr>
              <w:t>Telephone, e-mail and ITSM portal</w:t>
            </w:r>
          </w:p>
        </w:tc>
      </w:tr>
      <w:tr>
        <w:trPr>
          <w:cantSplit w:val="true"/>
        </w:trPr>
        <w:tc>
          <w:tcPr>
            <w:tcW w:type="dxa" w:w="2523"/>
            <w:tcMar>
              <w:top w:w="50" w:type="dxa"/>
              <w:bottom w:w="50" w:type="dxa"/>
              <w:left w:w="90" w:type="dxa"/>
              <w:right w:w="90" w:type="dxa"/>
            </w:tcMar>
          </w:tcPr>
          <w:p>
            <w:pPr>
              <w:pStyle w:val="BDOITable"/>
            </w:pPr>
            <w:r>
              <w:rPr>
                <w:b/>
                <w:sz w:val="17"/>
              </w:rPr>
              <w:t>L2 BDOI application support</w:t>
            </w:r>
          </w:p>
        </w:tc>
        <w:tc>
          <w:tcPr>
            <w:tcW w:type="dxa" w:w="3124"/>
            <w:tcMar>
              <w:top w:w="50" w:type="dxa"/>
              <w:bottom w:w="50" w:type="dxa"/>
              <w:left w:w="90" w:type="dxa"/>
              <w:right w:w="90" w:type="dxa"/>
            </w:tcMar>
          </w:tcPr>
          <w:p>
            <w:pPr>
              <w:pStyle w:val="BDOITable"/>
            </w:pPr>
            <w:r>
              <w:rPr>
                <w:sz w:val="17"/>
              </w:rPr>
              <w:t>07:00-20:00 Monday to Saturday; on call 20:00-07:00 and Sundays for P1 and for failures of class A jobs</w:t>
            </w:r>
          </w:p>
        </w:tc>
        <w:tc>
          <w:tcPr>
            <w:tcW w:type="dxa" w:w="4325"/>
            <w:tcMar>
              <w:top w:w="50" w:type="dxa"/>
              <w:bottom w:w="50" w:type="dxa"/>
              <w:left w:w="90" w:type="dxa"/>
              <w:right w:w="90" w:type="dxa"/>
            </w:tcMar>
          </w:tcPr>
          <w:p>
            <w:pPr>
              <w:pStyle w:val="BDOITable"/>
            </w:pPr>
            <w:r>
              <w:rPr>
                <w:sz w:val="17"/>
              </w:rPr>
              <w:t>Two analysts per shift proposed; one on call</w:t>
            </w:r>
          </w:p>
        </w:tc>
      </w:tr>
      <w:tr>
        <w:trPr>
          <w:cantSplit w:val="true"/>
        </w:trPr>
        <w:tc>
          <w:tcPr>
            <w:tcW w:type="dxa" w:w="2523"/>
            <w:tcMar>
              <w:top w:w="50" w:type="dxa"/>
              <w:bottom w:w="50" w:type="dxa"/>
              <w:left w:w="90" w:type="dxa"/>
              <w:right w:w="90" w:type="dxa"/>
            </w:tcMar>
            <w:shd w:val="clear" w:color="auto" w:fill="E5F5FF"/>
          </w:tcPr>
          <w:p>
            <w:pPr>
              <w:pStyle w:val="BDOITable"/>
            </w:pPr>
            <w:r>
              <w:rPr>
                <w:b/>
                <w:sz w:val="17"/>
              </w:rPr>
              <w:t>L3 iorta TechNXT</w:t>
            </w:r>
          </w:p>
        </w:tc>
        <w:tc>
          <w:tcPr>
            <w:tcW w:type="dxa" w:w="3124"/>
            <w:tcMar>
              <w:top w:w="50" w:type="dxa"/>
              <w:bottom w:w="50" w:type="dxa"/>
              <w:left w:w="90" w:type="dxa"/>
              <w:right w:w="90" w:type="dxa"/>
            </w:tcMar>
            <w:shd w:val="clear" w:color="auto" w:fill="E5F5FF"/>
          </w:tcPr>
          <w:p>
            <w:pPr>
              <w:pStyle w:val="BDOITable"/>
            </w:pPr>
            <w:r>
              <w:rPr>
                <w:sz w:val="17"/>
              </w:rPr>
              <w:t>08:00-18:00 Monday to Friday (business days); 24 x 7 on call for P1; P2 also 07:00-22:00 on Saturdays and month-end Sundays</w:t>
            </w:r>
          </w:p>
        </w:tc>
        <w:tc>
          <w:tcPr>
            <w:tcW w:type="dxa" w:w="4325"/>
            <w:tcMar>
              <w:top w:w="50" w:type="dxa"/>
              <w:bottom w:w="50" w:type="dxa"/>
              <w:left w:w="90" w:type="dxa"/>
              <w:right w:w="90" w:type="dxa"/>
            </w:tcMar>
            <w:shd w:val="clear" w:color="auto" w:fill="E5F5FF"/>
          </w:tcPr>
          <w:p>
            <w:pPr>
              <w:pStyle w:val="BDOITable"/>
            </w:pPr>
            <w:r>
              <w:rPr>
                <w:sz w:val="17"/>
              </w:rPr>
              <w:t>On-call engineer reached by page and telephone</w:t>
            </w:r>
          </w:p>
        </w:tc>
      </w:tr>
      <w:tr>
        <w:trPr>
          <w:cantSplit w:val="true"/>
        </w:trPr>
        <w:tc>
          <w:tcPr>
            <w:tcW w:type="dxa" w:w="2523"/>
            <w:tcMar>
              <w:top w:w="50" w:type="dxa"/>
              <w:bottom w:w="50" w:type="dxa"/>
              <w:left w:w="90" w:type="dxa"/>
              <w:right w:w="90" w:type="dxa"/>
            </w:tcMar>
          </w:tcPr>
          <w:p>
            <w:pPr>
              <w:pStyle w:val="BDOITable"/>
            </w:pPr>
            <w:r>
              <w:rPr>
                <w:b/>
                <w:sz w:val="17"/>
              </w:rPr>
              <w:t>BDO Cloud Operations</w:t>
            </w:r>
          </w:p>
        </w:tc>
        <w:tc>
          <w:tcPr>
            <w:tcW w:type="dxa" w:w="3124"/>
            <w:tcMar>
              <w:top w:w="50" w:type="dxa"/>
              <w:bottom w:w="50" w:type="dxa"/>
              <w:left w:w="90" w:type="dxa"/>
              <w:right w:w="90" w:type="dxa"/>
            </w:tcMar>
          </w:tcPr>
          <w:p>
            <w:pPr>
              <w:pStyle w:val="BDOITable"/>
            </w:pPr>
            <w:r>
              <w:rPr>
                <w:sz w:val="17"/>
              </w:rPr>
              <w:t>24 x 7</w:t>
            </w:r>
          </w:p>
        </w:tc>
        <w:tc>
          <w:tcPr>
            <w:tcW w:type="dxa" w:w="4325"/>
            <w:tcMar>
              <w:top w:w="50" w:type="dxa"/>
              <w:bottom w:w="50" w:type="dxa"/>
              <w:left w:w="90" w:type="dxa"/>
              <w:right w:w="90" w:type="dxa"/>
            </w:tcMar>
          </w:tcPr>
          <w:p>
            <w:pPr>
              <w:pStyle w:val="BDOITable"/>
            </w:pPr>
            <w:r>
              <w:rPr>
                <w:sz w:val="17"/>
              </w:rPr>
              <w:t>BDO standard</w:t>
            </w:r>
          </w:p>
        </w:tc>
      </w:tr>
    </w:tbl>
    <w:p>
      <w:pPr>
        <w:pStyle w:val="BDOISpacer"/>
      </w:pPr>
    </w:p>
    <w:p>
      <w:r>
        <w:rPr/>
        <w:t>Times of service levels count service hours of the level that holds the ticket, except P1, which counts elapsed time.</w:t>
      </w:r>
    </w:p>
    <w:p>
      <w:pPr>
        <w:pStyle w:val="Heading1"/>
        <w:pageBreakBefore/>
        <w:pBdr>
          <w:bottom w:val="single" w:sz="4" w:space="4" w:color="99C1E7"/>
        </w:pBdr>
      </w:pPr>
      <w:bookmarkStart w:id="111" w:name="_Toc000111"/>
      <w:r>
        <w:rPr/>
        <w:t>4 Severity and service levels</w:t>
      </w:r>
      <w:bookmarkEnd w:id="111"/>
    </w:p>
    <w:p>
      <w:pPr>
        <w:pStyle w:val="Heading2"/>
      </w:pPr>
      <w:bookmarkStart w:id="112" w:name="_Toc000112"/>
      <w:r>
        <w:rPr/>
        <w:t>4.1 Severity matrix</w:t>
      </w:r>
      <w:bookmarkEnd w:id="112"/>
    </w:p>
    <w:p>
      <w:r>
        <w:rPr/>
        <w:t>The severity follows the business impact and the urgency. L1 proposes it when logging the ticket; L2 confirms or changes it at triage and records why.</w:t>
      </w:r>
    </w:p>
    <w:p>
      <w:pPr>
        <w:pStyle w:val="Caption"/>
        <w:keepNext/>
        <w:spacing w:after="60"/>
      </w:pPr>
      <w:r>
        <w:rPr>
          <w:b/>
          <w:i w:val="0"/>
        </w:rPr>
        <w:t xml:space="preserve">Table 7: </w:t>
      </w:r>
      <w:r>
        <w:rPr/>
        <w:t>Severity levels with BIBS examples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3124"/>
        <w:gridCol w:w="5527"/>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Definition</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BIBS examples</w:t>
            </w:r>
          </w:p>
        </w:tc>
      </w:tr>
      <w:tr>
        <w:trPr>
          <w:cantSplit w:val="true"/>
        </w:trPr>
        <w:tc>
          <w:tcPr>
            <w:tcW w:type="dxa" w:w="1322"/>
            <w:tcMar>
              <w:top w:w="50" w:type="dxa"/>
              <w:bottom w:w="50" w:type="dxa"/>
              <w:left w:w="90" w:type="dxa"/>
              <w:right w:w="90" w:type="dxa"/>
            </w:tcMar>
          </w:tcPr>
          <w:p>
            <w:pPr>
              <w:pStyle w:val="BDOITable"/>
            </w:pPr>
            <w:r>
              <w:rPr>
                <w:b/>
                <w:sz w:val="17"/>
              </w:rPr>
              <w:t>P1 Critical</w:t>
            </w:r>
          </w:p>
        </w:tc>
        <w:tc>
          <w:tcPr>
            <w:tcW w:type="dxa" w:w="3124"/>
            <w:tcMar>
              <w:top w:w="50" w:type="dxa"/>
              <w:bottom w:w="50" w:type="dxa"/>
              <w:left w:w="90" w:type="dxa"/>
              <w:right w:w="90" w:type="dxa"/>
            </w:tcMar>
          </w:tcPr>
          <w:p>
            <w:pPr>
              <w:pStyle w:val="BDOITable"/>
            </w:pPr>
            <w:r>
              <w:rPr>
                <w:sz w:val="17"/>
              </w:rPr>
              <w:t>BIBS or a core process is down for all users or for all branches, financial data is wrong at scale, or a security or personal data breach is suspected</w:t>
            </w:r>
          </w:p>
        </w:tc>
        <w:tc>
          <w:tcPr>
            <w:tcW w:type="dxa" w:w="5527"/>
            <w:tcMar>
              <w:top w:w="50" w:type="dxa"/>
              <w:bottom w:w="50" w:type="dxa"/>
              <w:left w:w="90" w:type="dxa"/>
              <w:right w:w="90" w:type="dxa"/>
            </w:tcMar>
          </w:tcPr>
          <w:p>
            <w:pPr>
              <w:pStyle w:val="BDOITable"/>
            </w:pPr>
            <w:r>
              <w:rPr>
                <w:sz w:val="17"/>
              </w:rPr>
              <w:t>Nobody can sign in (EIAM or BIBS); receipts cannot be issued in any branch; the remittance extraction fails on a remittance due date; journals post wrong amounts; the month-end close is blocked on its last day; the platform is unavailable; personal data exposed</w:t>
            </w:r>
          </w:p>
        </w:tc>
      </w:tr>
      <w:tr>
        <w:trPr>
          <w:cantSplit w:val="true"/>
        </w:trPr>
        <w:tc>
          <w:tcPr>
            <w:tcW w:type="dxa" w:w="1322"/>
            <w:tcMar>
              <w:top w:w="50" w:type="dxa"/>
              <w:bottom w:w="50" w:type="dxa"/>
              <w:left w:w="90" w:type="dxa"/>
              <w:right w:w="90" w:type="dxa"/>
            </w:tcMar>
            <w:shd w:val="clear" w:color="auto" w:fill="E5F5FF"/>
          </w:tcPr>
          <w:p>
            <w:pPr>
              <w:pStyle w:val="BDOITable"/>
            </w:pPr>
            <w:r>
              <w:rPr>
                <w:b/>
                <w:sz w:val="17"/>
              </w:rPr>
              <w:t>P2 High</w:t>
            </w:r>
          </w:p>
        </w:tc>
        <w:tc>
          <w:tcPr>
            <w:tcW w:type="dxa" w:w="3124"/>
            <w:tcMar>
              <w:top w:w="50" w:type="dxa"/>
              <w:bottom w:w="50" w:type="dxa"/>
              <w:left w:w="90" w:type="dxa"/>
              <w:right w:w="90" w:type="dxa"/>
            </w:tcMar>
            <w:shd w:val="clear" w:color="auto" w:fill="E5F5FF"/>
          </w:tcPr>
          <w:p>
            <w:pPr>
              <w:pStyle w:val="BDOITable"/>
            </w:pPr>
            <w:r>
              <w:rPr>
                <w:sz w:val="17"/>
              </w:rPr>
              <w:t>A core process is down for one department or branch, or seriously degraded, with no workaround; a class A job failed</w:t>
            </w:r>
          </w:p>
        </w:tc>
        <w:tc>
          <w:tcPr>
            <w:tcW w:type="dxa" w:w="5527"/>
            <w:tcMar>
              <w:top w:w="50" w:type="dxa"/>
              <w:bottom w:w="50" w:type="dxa"/>
              <w:left w:w="90" w:type="dxa"/>
              <w:right w:w="90" w:type="dxa"/>
            </w:tcMar>
            <w:shd w:val="clear" w:color="auto" w:fill="E5F5FF"/>
          </w:tcPr>
          <w:p>
            <w:pPr>
              <w:pStyle w:val="BDOITable"/>
            </w:pPr>
            <w:r>
              <w:rPr>
                <w:sz w:val="17"/>
              </w:rPr>
              <w:t>One branch cannot issue receipts; payment uploads of one bank channel are refused; the renewal extraction failed (RNW_EXTRACTION); the watchlist ingestion failed; the For Application To Invoice file was not produced by 06:00; screens slower than 5 seconds for many users</w:t>
            </w:r>
          </w:p>
        </w:tc>
      </w:tr>
      <w:tr>
        <w:trPr>
          <w:cantSplit w:val="true"/>
        </w:trPr>
        <w:tc>
          <w:tcPr>
            <w:tcW w:type="dxa" w:w="1322"/>
            <w:tcMar>
              <w:top w:w="50" w:type="dxa"/>
              <w:bottom w:w="50" w:type="dxa"/>
              <w:left w:w="90" w:type="dxa"/>
              <w:right w:w="90" w:type="dxa"/>
            </w:tcMar>
          </w:tcPr>
          <w:p>
            <w:pPr>
              <w:pStyle w:val="BDOITable"/>
            </w:pPr>
            <w:r>
              <w:rPr>
                <w:b/>
                <w:sz w:val="17"/>
              </w:rPr>
              <w:t>P3 Medium</w:t>
            </w:r>
          </w:p>
        </w:tc>
        <w:tc>
          <w:tcPr>
            <w:tcW w:type="dxa" w:w="3124"/>
            <w:tcMar>
              <w:top w:w="50" w:type="dxa"/>
              <w:bottom w:w="50" w:type="dxa"/>
              <w:left w:w="90" w:type="dxa"/>
              <w:right w:w="90" w:type="dxa"/>
            </w:tcMar>
          </w:tcPr>
          <w:p>
            <w:pPr>
              <w:pStyle w:val="BDOITable"/>
            </w:pPr>
            <w:r>
              <w:rPr>
                <w:sz w:val="17"/>
              </w:rPr>
              <w:t>A function fails or gives a wrong result and a workaround exists, or few users are affected</w:t>
            </w:r>
          </w:p>
        </w:tc>
        <w:tc>
          <w:tcPr>
            <w:tcW w:type="dxa" w:w="5527"/>
            <w:tcMar>
              <w:top w:w="50" w:type="dxa"/>
              <w:bottom w:w="50" w:type="dxa"/>
              <w:left w:w="90" w:type="dxa"/>
              <w:right w:w="90" w:type="dxa"/>
            </w:tcMar>
          </w:tcPr>
          <w:p>
            <w:pPr>
              <w:pStyle w:val="BDOITable"/>
            </w:pPr>
            <w:r>
              <w:rPr>
                <w:sz w:val="17"/>
              </w:rPr>
              <w:t>One report column wrong; an upload refuses one valid row; a letter layout problem; one user cannot see a menu that the role should give</w:t>
            </w:r>
          </w:p>
        </w:tc>
      </w:tr>
      <w:tr>
        <w:trPr>
          <w:cantSplit w:val="true"/>
        </w:trPr>
        <w:tc>
          <w:tcPr>
            <w:tcW w:type="dxa" w:w="1322"/>
            <w:tcMar>
              <w:top w:w="50" w:type="dxa"/>
              <w:bottom w:w="50" w:type="dxa"/>
              <w:left w:w="90" w:type="dxa"/>
              <w:right w:w="90" w:type="dxa"/>
            </w:tcMar>
            <w:shd w:val="clear" w:color="auto" w:fill="E5F5FF"/>
          </w:tcPr>
          <w:p>
            <w:pPr>
              <w:pStyle w:val="BDOITable"/>
            </w:pPr>
            <w:r>
              <w:rPr>
                <w:b/>
                <w:sz w:val="17"/>
              </w:rPr>
              <w:t>P4 Low</w:t>
            </w:r>
          </w:p>
        </w:tc>
        <w:tc>
          <w:tcPr>
            <w:tcW w:type="dxa" w:w="3124"/>
            <w:tcMar>
              <w:top w:w="50" w:type="dxa"/>
              <w:bottom w:w="50" w:type="dxa"/>
              <w:left w:w="90" w:type="dxa"/>
              <w:right w:w="90" w:type="dxa"/>
            </w:tcMar>
            <w:shd w:val="clear" w:color="auto" w:fill="E5F5FF"/>
          </w:tcPr>
          <w:p>
            <w:pPr>
              <w:pStyle w:val="BDOITable"/>
            </w:pPr>
            <w:r>
              <w:rPr>
                <w:sz w:val="17"/>
              </w:rPr>
              <w:t>Question, cosmetic issue, documentation, or request for a change</w:t>
            </w:r>
          </w:p>
        </w:tc>
        <w:tc>
          <w:tcPr>
            <w:tcW w:type="dxa" w:w="5527"/>
            <w:tcMar>
              <w:top w:w="50" w:type="dxa"/>
              <w:bottom w:w="50" w:type="dxa"/>
              <w:left w:w="90" w:type="dxa"/>
              <w:right w:w="90" w:type="dxa"/>
            </w:tcMar>
            <w:shd w:val="clear" w:color="auto" w:fill="E5F5FF"/>
          </w:tcPr>
          <w:p>
            <w:pPr>
              <w:pStyle w:val="BDOITable"/>
            </w:pPr>
            <w:r>
              <w:rPr>
                <w:sz w:val="17"/>
              </w:rPr>
              <w:t>Wording on a screen; how-to question; new report request (goes to change management)</w:t>
            </w:r>
          </w:p>
        </w:tc>
      </w:tr>
    </w:tbl>
    <w:p>
      <w:pPr>
        <w:pStyle w:val="BDOISpacer"/>
      </w:pPr>
    </w:p>
    <w:p>
      <w:pPr>
        <w:pStyle w:val="Caption"/>
        <w:keepNext/>
        <w:spacing w:after="60"/>
      </w:pPr>
      <w:r>
        <w:rPr>
          <w:b/>
          <w:i w:val="0"/>
        </w:rPr>
        <w:t xml:space="preserve">Table 8: </w:t>
      </w:r>
      <w:r>
        <w:rPr/>
        <w:t>Impact and urgency to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5"/>
        <w:gridCol w:w="2599"/>
        <w:gridCol w:w="2599"/>
        <w:gridCol w:w="2599"/>
      </w:tblGrid>
      <w:tr>
        <w:trPr>
          <w:tblHeader w:val="true"/>
          <w:cantSplit w:val="true"/>
        </w:trPr>
        <w:tc>
          <w:tcPr>
            <w:tcW w:type="dxa" w:w="2176"/>
            <w:shd w:val="clear" w:color="auto" w:fill="004EA8"/>
            <w:tcMar>
              <w:top w:w="50" w:type="dxa"/>
              <w:bottom w:w="50" w:type="dxa"/>
              <w:left w:w="90" w:type="dxa"/>
              <w:right w:w="90" w:type="dxa"/>
            </w:tcMar>
            <w:vAlign w:val="center"/>
          </w:tcPr>
          <w:p>
            <w:pPr>
              <w:pStyle w:val="BDOITableHeader"/>
            </w:pPr>
            <w:r>
              <w:rPr>
                <w:b/>
                <w:color w:val="FFFFFF"/>
                <w:sz w:val="17"/>
              </w:rPr>
              <w:t>Impact / urgency</w:t>
            </w:r>
          </w:p>
        </w:tc>
        <w:tc>
          <w:tcPr>
            <w:tcW w:type="dxa" w:w="2599"/>
            <w:shd w:val="clear" w:color="auto" w:fill="004EA8"/>
            <w:tcMar>
              <w:top w:w="50" w:type="dxa"/>
              <w:bottom w:w="50" w:type="dxa"/>
              <w:left w:w="90" w:type="dxa"/>
              <w:right w:w="90" w:type="dxa"/>
            </w:tcMar>
            <w:vAlign w:val="center"/>
          </w:tcPr>
          <w:p>
            <w:pPr>
              <w:pStyle w:val="BDOITableHeader"/>
            </w:pPr>
            <w:r>
              <w:rPr>
                <w:b/>
                <w:color w:val="FFFFFF"/>
                <w:sz w:val="17"/>
              </w:rPr>
              <w:t>Urgent (deadline today, money or compliance at risk)</w:t>
            </w:r>
          </w:p>
        </w:tc>
        <w:tc>
          <w:tcPr>
            <w:tcW w:type="dxa" w:w="2599"/>
            <w:shd w:val="clear" w:color="auto" w:fill="004EA8"/>
            <w:tcMar>
              <w:top w:w="50" w:type="dxa"/>
              <w:bottom w:w="50" w:type="dxa"/>
              <w:left w:w="90" w:type="dxa"/>
              <w:right w:w="90" w:type="dxa"/>
            </w:tcMar>
            <w:vAlign w:val="center"/>
          </w:tcPr>
          <w:p>
            <w:pPr>
              <w:pStyle w:val="BDOITableHeader"/>
            </w:pPr>
            <w:r>
              <w:rPr>
                <w:b/>
                <w:color w:val="FFFFFF"/>
                <w:sz w:val="17"/>
              </w:rPr>
              <w:t>Normal</w:t>
            </w:r>
          </w:p>
        </w:tc>
        <w:tc>
          <w:tcPr>
            <w:tcW w:type="dxa" w:w="2599"/>
            <w:shd w:val="clear" w:color="auto" w:fill="004EA8"/>
            <w:tcMar>
              <w:top w:w="50" w:type="dxa"/>
              <w:bottom w:w="50" w:type="dxa"/>
              <w:left w:w="90" w:type="dxa"/>
              <w:right w:w="90" w:type="dxa"/>
            </w:tcMar>
            <w:vAlign w:val="center"/>
          </w:tcPr>
          <w:p>
            <w:pPr>
              <w:pStyle w:val="BDOITableHeader"/>
            </w:pPr>
            <w:r>
              <w:rPr>
                <w:b/>
                <w:color w:val="FFFFFF"/>
                <w:sz w:val="17"/>
              </w:rPr>
              <w:t>Low</w:t>
            </w:r>
          </w:p>
        </w:tc>
      </w:tr>
      <w:tr>
        <w:trPr>
          <w:cantSplit w:val="true"/>
        </w:trPr>
        <w:tc>
          <w:tcPr>
            <w:tcW w:type="dxa" w:w="2176"/>
            <w:tcMar>
              <w:top w:w="50" w:type="dxa"/>
              <w:bottom w:w="50" w:type="dxa"/>
              <w:left w:w="90" w:type="dxa"/>
              <w:right w:w="90" w:type="dxa"/>
            </w:tcMar>
          </w:tcPr>
          <w:p>
            <w:pPr>
              <w:pStyle w:val="BDOITable"/>
            </w:pPr>
            <w:r>
              <w:rPr>
                <w:b/>
                <w:sz w:val="17"/>
              </w:rPr>
              <w:t>All users or all branches</w:t>
            </w:r>
          </w:p>
        </w:tc>
        <w:tc>
          <w:tcPr>
            <w:tcW w:type="dxa" w:w="2599"/>
            <w:tcMar>
              <w:top w:w="50" w:type="dxa"/>
              <w:bottom w:w="50" w:type="dxa"/>
              <w:left w:w="90" w:type="dxa"/>
              <w:right w:w="90" w:type="dxa"/>
            </w:tcMar>
          </w:tcPr>
          <w:p>
            <w:pPr>
              <w:pStyle w:val="BDOITable"/>
            </w:pPr>
            <w:r>
              <w:rPr>
                <w:sz w:val="17"/>
              </w:rPr>
              <w:t>P1</w:t>
            </w:r>
          </w:p>
        </w:tc>
        <w:tc>
          <w:tcPr>
            <w:tcW w:type="dxa" w:w="2599"/>
            <w:tcMar>
              <w:top w:w="50" w:type="dxa"/>
              <w:bottom w:w="50" w:type="dxa"/>
              <w:left w:w="90" w:type="dxa"/>
              <w:right w:w="90" w:type="dxa"/>
            </w:tcMar>
          </w:tcPr>
          <w:p>
            <w:pPr>
              <w:pStyle w:val="BDOITable"/>
            </w:pPr>
            <w:r>
              <w:rPr>
                <w:sz w:val="17"/>
              </w:rPr>
              <w:t>P1</w:t>
            </w:r>
          </w:p>
        </w:tc>
        <w:tc>
          <w:tcPr>
            <w:tcW w:type="dxa" w:w="2599"/>
            <w:tcMar>
              <w:top w:w="50" w:type="dxa"/>
              <w:bottom w:w="50" w:type="dxa"/>
              <w:left w:w="90" w:type="dxa"/>
              <w:right w:w="90" w:type="dxa"/>
            </w:tcMar>
          </w:tcPr>
          <w:p>
            <w:pPr>
              <w:pStyle w:val="BDOITable"/>
            </w:pPr>
            <w:r>
              <w:rPr>
                <w:sz w:val="17"/>
              </w:rPr>
              <w:t>P2</w:t>
            </w:r>
          </w:p>
        </w:tc>
      </w:tr>
      <w:tr>
        <w:trPr>
          <w:cantSplit w:val="true"/>
        </w:trPr>
        <w:tc>
          <w:tcPr>
            <w:tcW w:type="dxa" w:w="2176"/>
            <w:tcMar>
              <w:top w:w="50" w:type="dxa"/>
              <w:bottom w:w="50" w:type="dxa"/>
              <w:left w:w="90" w:type="dxa"/>
              <w:right w:w="90" w:type="dxa"/>
            </w:tcMar>
            <w:shd w:val="clear" w:color="auto" w:fill="E5F5FF"/>
          </w:tcPr>
          <w:p>
            <w:pPr>
              <w:pStyle w:val="BDOITable"/>
            </w:pPr>
            <w:r>
              <w:rPr>
                <w:b/>
                <w:sz w:val="17"/>
              </w:rPr>
              <w:t>One department, branch or process</w:t>
            </w:r>
          </w:p>
        </w:tc>
        <w:tc>
          <w:tcPr>
            <w:tcW w:type="dxa" w:w="2599"/>
            <w:tcMar>
              <w:top w:w="50" w:type="dxa"/>
              <w:bottom w:w="50" w:type="dxa"/>
              <w:left w:w="90" w:type="dxa"/>
              <w:right w:w="90" w:type="dxa"/>
            </w:tcMar>
            <w:shd w:val="clear" w:color="auto" w:fill="E5F5FF"/>
          </w:tcPr>
          <w:p>
            <w:pPr>
              <w:pStyle w:val="BDOITable"/>
            </w:pPr>
            <w:r>
              <w:rPr>
                <w:sz w:val="17"/>
              </w:rPr>
              <w:t>P1</w:t>
            </w:r>
          </w:p>
        </w:tc>
        <w:tc>
          <w:tcPr>
            <w:tcW w:type="dxa" w:w="2599"/>
            <w:tcMar>
              <w:top w:w="50" w:type="dxa"/>
              <w:bottom w:w="50" w:type="dxa"/>
              <w:left w:w="90" w:type="dxa"/>
              <w:right w:w="90" w:type="dxa"/>
            </w:tcMar>
            <w:shd w:val="clear" w:color="auto" w:fill="E5F5FF"/>
          </w:tcPr>
          <w:p>
            <w:pPr>
              <w:pStyle w:val="BDOITable"/>
            </w:pPr>
            <w:r>
              <w:rPr>
                <w:sz w:val="17"/>
              </w:rPr>
              <w:t>P2</w:t>
            </w:r>
          </w:p>
        </w:tc>
        <w:tc>
          <w:tcPr>
            <w:tcW w:type="dxa" w:w="2599"/>
            <w:tcMar>
              <w:top w:w="50" w:type="dxa"/>
              <w:bottom w:w="50" w:type="dxa"/>
              <w:left w:w="90" w:type="dxa"/>
              <w:right w:w="90" w:type="dxa"/>
            </w:tcMar>
            <w:shd w:val="clear" w:color="auto" w:fill="E5F5FF"/>
          </w:tcPr>
          <w:p>
            <w:pPr>
              <w:pStyle w:val="BDOITable"/>
            </w:pPr>
            <w:r>
              <w:rPr>
                <w:sz w:val="17"/>
              </w:rPr>
              <w:t>P3</w:t>
            </w:r>
          </w:p>
        </w:tc>
      </w:tr>
      <w:tr>
        <w:trPr>
          <w:cantSplit w:val="true"/>
        </w:trPr>
        <w:tc>
          <w:tcPr>
            <w:tcW w:type="dxa" w:w="2176"/>
            <w:tcMar>
              <w:top w:w="50" w:type="dxa"/>
              <w:bottom w:w="50" w:type="dxa"/>
              <w:left w:w="90" w:type="dxa"/>
              <w:right w:w="90" w:type="dxa"/>
            </w:tcMar>
          </w:tcPr>
          <w:p>
            <w:pPr>
              <w:pStyle w:val="BDOITable"/>
            </w:pPr>
            <w:r>
              <w:rPr>
                <w:b/>
                <w:sz w:val="17"/>
              </w:rPr>
              <w:t>One or a few users</w:t>
            </w:r>
          </w:p>
        </w:tc>
        <w:tc>
          <w:tcPr>
            <w:tcW w:type="dxa" w:w="2599"/>
            <w:tcMar>
              <w:top w:w="50" w:type="dxa"/>
              <w:bottom w:w="50" w:type="dxa"/>
              <w:left w:w="90" w:type="dxa"/>
              <w:right w:w="90" w:type="dxa"/>
            </w:tcMar>
          </w:tcPr>
          <w:p>
            <w:pPr>
              <w:pStyle w:val="BDOITable"/>
            </w:pPr>
            <w:r>
              <w:rPr>
                <w:sz w:val="17"/>
              </w:rPr>
              <w:t>P2</w:t>
            </w:r>
          </w:p>
        </w:tc>
        <w:tc>
          <w:tcPr>
            <w:tcW w:type="dxa" w:w="2599"/>
            <w:tcMar>
              <w:top w:w="50" w:type="dxa"/>
              <w:bottom w:w="50" w:type="dxa"/>
              <w:left w:w="90" w:type="dxa"/>
              <w:right w:w="90" w:type="dxa"/>
            </w:tcMar>
          </w:tcPr>
          <w:p>
            <w:pPr>
              <w:pStyle w:val="BDOITable"/>
            </w:pPr>
            <w:r>
              <w:rPr>
                <w:sz w:val="17"/>
              </w:rPr>
              <w:t>P3</w:t>
            </w:r>
          </w:p>
        </w:tc>
        <w:tc>
          <w:tcPr>
            <w:tcW w:type="dxa" w:w="2599"/>
            <w:tcMar>
              <w:top w:w="50" w:type="dxa"/>
              <w:bottom w:w="50" w:type="dxa"/>
              <w:left w:w="90" w:type="dxa"/>
              <w:right w:w="90" w:type="dxa"/>
            </w:tcMar>
          </w:tcPr>
          <w:p>
            <w:pPr>
              <w:pStyle w:val="BDOITable"/>
            </w:pPr>
            <w:r>
              <w:rPr>
                <w:sz w:val="17"/>
              </w:rPr>
              <w:t>P4</w:t>
            </w:r>
          </w:p>
        </w:tc>
      </w:tr>
    </w:tbl>
    <w:p>
      <w:pPr>
        <w:pStyle w:val="BDOISpacer"/>
      </w:pPr>
    </w:p>
    <w:p>
      <w:r>
        <w:rPr/>
        <w:t>Security events are at least P2. A suspected personal data breach is P1 and also follows the BDOI data breach procedure (section 5.6).</w:t>
      </w:r>
    </w:p>
    <w:p>
      <w:pPr>
        <w:pStyle w:val="Heading2"/>
      </w:pPr>
      <w:bookmarkStart w:id="113" w:name="_Toc000113"/>
      <w:r>
        <w:rPr/>
        <w:t>4.2 Service levels (SLA)</w:t>
      </w:r>
      <w:bookmarkEnd w:id="113"/>
    </w:p>
    <w:p>
      <w:r>
        <w:rPr/>
        <w:t>The targets below are the proposal of iorta TechNXT for the BIBS support agreement. They become binding when BDOI signs the agreement.</w:t>
      </w:r>
    </w:p>
    <w:p>
      <w:pPr>
        <w:pStyle w:val="Caption"/>
        <w:keepNext/>
        <w:spacing w:after="60"/>
      </w:pPr>
      <w:r>
        <w:rPr>
          <w:b/>
          <w:i w:val="0"/>
        </w:rPr>
        <w:t xml:space="preserve">Table 9: </w:t>
      </w:r>
      <w:r>
        <w:rPr/>
        <w:t>Response and resolution targets after hypercare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1562"/>
        <w:gridCol w:w="1562"/>
        <w:gridCol w:w="1802"/>
        <w:gridCol w:w="1922"/>
        <w:gridCol w:w="216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L1 logs and answers the user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L2 / L3 response (engaged on the ticket)</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Updates to the user</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Restore service or workaround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Permanent resolution</w:t>
            </w:r>
          </w:p>
        </w:tc>
      </w:tr>
      <w:tr>
        <w:trPr>
          <w:cantSplit w:val="true"/>
        </w:trPr>
        <w:tc>
          <w:tcPr>
            <w:tcW w:type="dxa" w:w="961"/>
            <w:tcMar>
              <w:top w:w="50" w:type="dxa"/>
              <w:bottom w:w="50" w:type="dxa"/>
              <w:left w:w="90" w:type="dxa"/>
              <w:right w:w="90" w:type="dxa"/>
            </w:tcMar>
          </w:tcPr>
          <w:p>
            <w:pPr>
              <w:pStyle w:val="BDOITable"/>
            </w:pPr>
            <w:r>
              <w:rPr>
                <w:b/>
                <w:sz w:val="17"/>
              </w:rPr>
              <w:t>P1</w:t>
            </w:r>
          </w:p>
        </w:tc>
        <w:tc>
          <w:tcPr>
            <w:tcW w:type="dxa" w:w="1562"/>
            <w:tcMar>
              <w:top w:w="50" w:type="dxa"/>
              <w:bottom w:w="50" w:type="dxa"/>
              <w:left w:w="90" w:type="dxa"/>
              <w:right w:w="90" w:type="dxa"/>
            </w:tcMar>
          </w:tcPr>
          <w:p>
            <w:pPr>
              <w:pStyle w:val="BDOITable"/>
            </w:pPr>
            <w:r>
              <w:rPr>
                <w:sz w:val="17"/>
              </w:rPr>
              <w:t>10 minutes</w:t>
            </w:r>
          </w:p>
        </w:tc>
        <w:tc>
          <w:tcPr>
            <w:tcW w:type="dxa" w:w="1562"/>
            <w:tcMar>
              <w:top w:w="50" w:type="dxa"/>
              <w:bottom w:w="50" w:type="dxa"/>
              <w:left w:w="90" w:type="dxa"/>
              <w:right w:w="90" w:type="dxa"/>
            </w:tcMar>
          </w:tcPr>
          <w:p>
            <w:pPr>
              <w:pStyle w:val="BDOITable"/>
            </w:pPr>
            <w:r>
              <w:rPr>
                <w:sz w:val="17"/>
              </w:rPr>
              <w:t>15 minutes (L3 on-call within 30 minutes)</w:t>
            </w:r>
          </w:p>
        </w:tc>
        <w:tc>
          <w:tcPr>
            <w:tcW w:type="dxa" w:w="1802"/>
            <w:tcMar>
              <w:top w:w="50" w:type="dxa"/>
              <w:bottom w:w="50" w:type="dxa"/>
              <w:left w:w="90" w:type="dxa"/>
              <w:right w:w="90" w:type="dxa"/>
            </w:tcMar>
          </w:tcPr>
          <w:p>
            <w:pPr>
              <w:pStyle w:val="BDOITable"/>
            </w:pPr>
            <w:r>
              <w:rPr>
                <w:sz w:val="17"/>
              </w:rPr>
              <w:t>Every 60 minutes</w:t>
            </w:r>
          </w:p>
        </w:tc>
        <w:tc>
          <w:tcPr>
            <w:tcW w:type="dxa" w:w="1922"/>
            <w:tcMar>
              <w:top w:w="50" w:type="dxa"/>
              <w:bottom w:w="50" w:type="dxa"/>
              <w:left w:w="90" w:type="dxa"/>
              <w:right w:w="90" w:type="dxa"/>
            </w:tcMar>
          </w:tcPr>
          <w:p>
            <w:pPr>
              <w:pStyle w:val="BDOITable"/>
            </w:pPr>
            <w:r>
              <w:rPr>
                <w:sz w:val="17"/>
              </w:rPr>
              <w:t>4 hours elapsed</w:t>
            </w:r>
          </w:p>
        </w:tc>
        <w:tc>
          <w:tcPr>
            <w:tcW w:type="dxa" w:w="2163"/>
            <w:tcMar>
              <w:top w:w="50" w:type="dxa"/>
              <w:bottom w:w="50" w:type="dxa"/>
              <w:left w:w="90" w:type="dxa"/>
              <w:right w:w="90" w:type="dxa"/>
            </w:tcMar>
          </w:tcPr>
          <w:p>
            <w:pPr>
              <w:pStyle w:val="BDOITable"/>
            </w:pPr>
            <w:r>
              <w:rPr>
                <w:sz w:val="17"/>
              </w:rPr>
              <w:t>Root cause in 5 business days; fix in an emergency release or the next planned release</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P2</w:t>
            </w:r>
          </w:p>
        </w:tc>
        <w:tc>
          <w:tcPr>
            <w:tcW w:type="dxa" w:w="1562"/>
            <w:tcMar>
              <w:top w:w="50" w:type="dxa"/>
              <w:bottom w:w="50" w:type="dxa"/>
              <w:left w:w="90" w:type="dxa"/>
              <w:right w:w="90" w:type="dxa"/>
            </w:tcMar>
            <w:shd w:val="clear" w:color="auto" w:fill="E5F5FF"/>
          </w:tcPr>
          <w:p>
            <w:pPr>
              <w:pStyle w:val="BDOITable"/>
            </w:pPr>
            <w:r>
              <w:rPr>
                <w:sz w:val="17"/>
              </w:rPr>
              <w:t>15 minutes</w:t>
            </w:r>
          </w:p>
        </w:tc>
        <w:tc>
          <w:tcPr>
            <w:tcW w:type="dxa" w:w="1562"/>
            <w:tcMar>
              <w:top w:w="50" w:type="dxa"/>
              <w:bottom w:w="50" w:type="dxa"/>
              <w:left w:w="90" w:type="dxa"/>
              <w:right w:w="90" w:type="dxa"/>
            </w:tcMar>
            <w:shd w:val="clear" w:color="auto" w:fill="E5F5FF"/>
          </w:tcPr>
          <w:p>
            <w:pPr>
              <w:pStyle w:val="BDOITable"/>
            </w:pPr>
            <w:r>
              <w:rPr>
                <w:sz w:val="17"/>
              </w:rPr>
              <w:t>30 minutes</w:t>
            </w:r>
          </w:p>
        </w:tc>
        <w:tc>
          <w:tcPr>
            <w:tcW w:type="dxa" w:w="1802"/>
            <w:tcMar>
              <w:top w:w="50" w:type="dxa"/>
              <w:bottom w:w="50" w:type="dxa"/>
              <w:left w:w="90" w:type="dxa"/>
              <w:right w:w="90" w:type="dxa"/>
            </w:tcMar>
            <w:shd w:val="clear" w:color="auto" w:fill="E5F5FF"/>
          </w:tcPr>
          <w:p>
            <w:pPr>
              <w:pStyle w:val="BDOITable"/>
            </w:pPr>
            <w:r>
              <w:rPr>
                <w:sz w:val="17"/>
              </w:rPr>
              <w:t>Every 4 service hours</w:t>
            </w:r>
          </w:p>
        </w:tc>
        <w:tc>
          <w:tcPr>
            <w:tcW w:type="dxa" w:w="1922"/>
            <w:tcMar>
              <w:top w:w="50" w:type="dxa"/>
              <w:bottom w:w="50" w:type="dxa"/>
              <w:left w:w="90" w:type="dxa"/>
              <w:right w:w="90" w:type="dxa"/>
            </w:tcMar>
            <w:shd w:val="clear" w:color="auto" w:fill="E5F5FF"/>
          </w:tcPr>
          <w:p>
            <w:pPr>
              <w:pStyle w:val="BDOITable"/>
            </w:pPr>
            <w:r>
              <w:rPr>
                <w:sz w:val="17"/>
              </w:rPr>
              <w:t>8 service hours</w:t>
            </w:r>
          </w:p>
        </w:tc>
        <w:tc>
          <w:tcPr>
            <w:tcW w:type="dxa" w:w="2163"/>
            <w:tcMar>
              <w:top w:w="50" w:type="dxa"/>
              <w:bottom w:w="50" w:type="dxa"/>
              <w:left w:w="90" w:type="dxa"/>
              <w:right w:w="90" w:type="dxa"/>
            </w:tcMar>
            <w:shd w:val="clear" w:color="auto" w:fill="E5F5FF"/>
          </w:tcPr>
          <w:p>
            <w:pPr>
              <w:pStyle w:val="BDOITable"/>
            </w:pPr>
            <w:r>
              <w:rPr>
                <w:sz w:val="17"/>
              </w:rPr>
              <w:t>Next planned release, at most 20 business days</w:t>
            </w:r>
          </w:p>
        </w:tc>
      </w:tr>
      <w:tr>
        <w:trPr>
          <w:cantSplit w:val="true"/>
        </w:trPr>
        <w:tc>
          <w:tcPr>
            <w:tcW w:type="dxa" w:w="961"/>
            <w:tcMar>
              <w:top w:w="50" w:type="dxa"/>
              <w:bottom w:w="50" w:type="dxa"/>
              <w:left w:w="90" w:type="dxa"/>
              <w:right w:w="90" w:type="dxa"/>
            </w:tcMar>
          </w:tcPr>
          <w:p>
            <w:pPr>
              <w:pStyle w:val="BDOITable"/>
            </w:pPr>
            <w:r>
              <w:rPr>
                <w:b/>
                <w:sz w:val="17"/>
              </w:rPr>
              <w:t>P3</w:t>
            </w:r>
          </w:p>
        </w:tc>
        <w:tc>
          <w:tcPr>
            <w:tcW w:type="dxa" w:w="1562"/>
            <w:tcMar>
              <w:top w:w="50" w:type="dxa"/>
              <w:bottom w:w="50" w:type="dxa"/>
              <w:left w:w="90" w:type="dxa"/>
              <w:right w:w="90" w:type="dxa"/>
            </w:tcMar>
          </w:tcPr>
          <w:p>
            <w:pPr>
              <w:pStyle w:val="BDOITable"/>
            </w:pPr>
            <w:r>
              <w:rPr>
                <w:sz w:val="17"/>
              </w:rPr>
              <w:t>30 minutes</w:t>
            </w:r>
          </w:p>
        </w:tc>
        <w:tc>
          <w:tcPr>
            <w:tcW w:type="dxa" w:w="1562"/>
            <w:tcMar>
              <w:top w:w="50" w:type="dxa"/>
              <w:bottom w:w="50" w:type="dxa"/>
              <w:left w:w="90" w:type="dxa"/>
              <w:right w:w="90" w:type="dxa"/>
            </w:tcMar>
          </w:tcPr>
          <w:p>
            <w:pPr>
              <w:pStyle w:val="BDOITable"/>
            </w:pPr>
            <w:r>
              <w:rPr>
                <w:sz w:val="17"/>
              </w:rPr>
              <w:t>4 service hours</w:t>
            </w:r>
          </w:p>
        </w:tc>
        <w:tc>
          <w:tcPr>
            <w:tcW w:type="dxa" w:w="1802"/>
            <w:tcMar>
              <w:top w:w="50" w:type="dxa"/>
              <w:bottom w:w="50" w:type="dxa"/>
              <w:left w:w="90" w:type="dxa"/>
              <w:right w:w="90" w:type="dxa"/>
            </w:tcMar>
          </w:tcPr>
          <w:p>
            <w:pPr>
              <w:pStyle w:val="BDOITable"/>
            </w:pPr>
            <w:r>
              <w:rPr>
                <w:sz w:val="17"/>
              </w:rPr>
              <w:t>Every 2 business days</w:t>
            </w:r>
          </w:p>
        </w:tc>
        <w:tc>
          <w:tcPr>
            <w:tcW w:type="dxa" w:w="1922"/>
            <w:tcMar>
              <w:top w:w="50" w:type="dxa"/>
              <w:bottom w:w="50" w:type="dxa"/>
              <w:left w:w="90" w:type="dxa"/>
              <w:right w:w="90" w:type="dxa"/>
            </w:tcMar>
          </w:tcPr>
          <w:p>
            <w:pPr>
              <w:pStyle w:val="BDOITable"/>
            </w:pPr>
            <w:r>
              <w:rPr>
                <w:sz w:val="17"/>
              </w:rPr>
              <w:t>5 business days</w:t>
            </w:r>
          </w:p>
        </w:tc>
        <w:tc>
          <w:tcPr>
            <w:tcW w:type="dxa" w:w="2163"/>
            <w:tcMar>
              <w:top w:w="50" w:type="dxa"/>
              <w:bottom w:w="50" w:type="dxa"/>
              <w:left w:w="90" w:type="dxa"/>
              <w:right w:w="90" w:type="dxa"/>
            </w:tcMar>
          </w:tcPr>
          <w:p>
            <w:pPr>
              <w:pStyle w:val="BDOITable"/>
            </w:pPr>
            <w:r>
              <w:rPr>
                <w:sz w:val="17"/>
              </w:rPr>
              <w:t>Planned release agreed with the Product Owner</w:t>
            </w:r>
          </w:p>
        </w:tc>
      </w:tr>
      <w:tr>
        <w:trPr>
          <w:cantSplit w:val="true"/>
        </w:trPr>
        <w:tc>
          <w:tcPr>
            <w:tcW w:type="dxa" w:w="961"/>
            <w:tcMar>
              <w:top w:w="50" w:type="dxa"/>
              <w:bottom w:w="50" w:type="dxa"/>
              <w:left w:w="90" w:type="dxa"/>
              <w:right w:w="90" w:type="dxa"/>
            </w:tcMar>
            <w:shd w:val="clear" w:color="auto" w:fill="E5F5FF"/>
          </w:tcPr>
          <w:p>
            <w:pPr>
              <w:pStyle w:val="BDOITable"/>
            </w:pPr>
            <w:r>
              <w:rPr>
                <w:b/>
                <w:sz w:val="17"/>
              </w:rPr>
              <w:t>P4</w:t>
            </w:r>
          </w:p>
        </w:tc>
        <w:tc>
          <w:tcPr>
            <w:tcW w:type="dxa" w:w="1562"/>
            <w:tcMar>
              <w:top w:w="50" w:type="dxa"/>
              <w:bottom w:w="50" w:type="dxa"/>
              <w:left w:w="90" w:type="dxa"/>
              <w:right w:w="90" w:type="dxa"/>
            </w:tcMar>
            <w:shd w:val="clear" w:color="auto" w:fill="E5F5FF"/>
          </w:tcPr>
          <w:p>
            <w:pPr>
              <w:pStyle w:val="BDOITable"/>
            </w:pPr>
            <w:r>
              <w:rPr>
                <w:sz w:val="17"/>
              </w:rPr>
              <w:t>1 business day</w:t>
            </w:r>
          </w:p>
        </w:tc>
        <w:tc>
          <w:tcPr>
            <w:tcW w:type="dxa" w:w="1562"/>
            <w:tcMar>
              <w:top w:w="50" w:type="dxa"/>
              <w:bottom w:w="50" w:type="dxa"/>
              <w:left w:w="90" w:type="dxa"/>
              <w:right w:w="90" w:type="dxa"/>
            </w:tcMar>
            <w:shd w:val="clear" w:color="auto" w:fill="E5F5FF"/>
          </w:tcPr>
          <w:p>
            <w:pPr>
              <w:pStyle w:val="BDOITable"/>
            </w:pPr>
            <w:r>
              <w:rPr>
                <w:sz w:val="17"/>
              </w:rPr>
              <w:t>2 business days</w:t>
            </w:r>
          </w:p>
        </w:tc>
        <w:tc>
          <w:tcPr>
            <w:tcW w:type="dxa" w:w="1802"/>
            <w:tcMar>
              <w:top w:w="50" w:type="dxa"/>
              <w:bottom w:w="50" w:type="dxa"/>
              <w:left w:w="90" w:type="dxa"/>
              <w:right w:w="90" w:type="dxa"/>
            </w:tcMar>
            <w:shd w:val="clear" w:color="auto" w:fill="E5F5FF"/>
          </w:tcPr>
          <w:p>
            <w:pPr>
              <w:pStyle w:val="BDOITable"/>
            </w:pPr>
            <w:r>
              <w:rPr>
                <w:sz w:val="17"/>
              </w:rPr>
              <w:t>Weekly</w:t>
            </w:r>
          </w:p>
        </w:tc>
        <w:tc>
          <w:tcPr>
            <w:tcW w:type="dxa" w:w="1922"/>
            <w:tcMar>
              <w:top w:w="50" w:type="dxa"/>
              <w:bottom w:w="50" w:type="dxa"/>
              <w:left w:w="90" w:type="dxa"/>
              <w:right w:w="90" w:type="dxa"/>
            </w:tcMar>
            <w:shd w:val="clear" w:color="auto" w:fill="E5F5FF"/>
          </w:tcPr>
          <w:p>
            <w:pPr>
              <w:pStyle w:val="BDOITable"/>
            </w:pPr>
            <w:r>
              <w:rPr>
                <w:sz w:val="17"/>
              </w:rPr>
              <w:t>Not applicable</w:t>
            </w:r>
          </w:p>
        </w:tc>
        <w:tc>
          <w:tcPr>
            <w:tcW w:type="dxa" w:w="2163"/>
            <w:tcMar>
              <w:top w:w="50" w:type="dxa"/>
              <w:bottom w:w="50" w:type="dxa"/>
              <w:left w:w="90" w:type="dxa"/>
              <w:right w:w="90" w:type="dxa"/>
            </w:tcMar>
            <w:shd w:val="clear" w:color="auto" w:fill="E5F5FF"/>
          </w:tcPr>
          <w:p>
            <w:pPr>
              <w:pStyle w:val="BDOITable"/>
            </w:pPr>
            <w:r>
              <w:rPr>
                <w:sz w:val="17"/>
              </w:rPr>
              <w:t>By agreement or as a change request</w:t>
            </w:r>
          </w:p>
        </w:tc>
      </w:tr>
    </w:tbl>
    <w:p>
      <w:pPr>
        <w:pStyle w:val="BDOISpacer"/>
      </w:pPr>
    </w:p>
    <w:p>
      <w:r>
        <w:rPr/>
        <w:t>Clock rules: the clock starts when the ticket holds the minimum content; it stops while the ticket waits for BDOI (status Awaiting user) or for a third party outside BIBS that is not under the support agreement (status Awaiting third party), and ends when service is restored or a workaround is given. A ticket meets its SLA when both the response and the restore targets are met.</w:t>
      </w:r>
    </w:p>
    <w:p>
      <w:pPr>
        <w:pStyle w:val="Heading2"/>
      </w:pPr>
      <w:bookmarkStart w:id="114" w:name="_Toc000114"/>
      <w:r>
        <w:rPr/>
        <w:t>4.3 Service level objectives (SLO) and error budget</w:t>
      </w:r>
      <w:bookmarkEnd w:id="114"/>
    </w:p>
    <w:p>
      <w:r>
        <w:rPr/>
        <w:t>The SLOs measure the platform, not the tickets. They take the non-functional targets of the umbrella FRS (R1) and the register proposals (DCR-134, DCR-137) that BDOI is asked to confirm.</w:t>
      </w:r>
    </w:p>
    <w:p>
      <w:pPr>
        <w:pStyle w:val="Caption"/>
        <w:keepNext/>
        <w:spacing w:after="60"/>
      </w:pPr>
      <w:r>
        <w:rPr>
          <w:b/>
          <w:i w:val="0"/>
        </w:rPr>
        <w:t xml:space="preserve">Table 10: </w:t>
      </w:r>
      <w:r>
        <w:rPr/>
        <w:t>Service level objectives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604"/>
        <w:gridCol w:w="2042"/>
        <w:gridCol w:w="228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SLO</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Objective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Measured by</w:t>
            </w:r>
          </w:p>
        </w:tc>
      </w:tr>
      <w:tr>
        <w:trPr>
          <w:cantSplit w:val="true"/>
        </w:trPr>
        <w:tc>
          <w:tcPr>
            <w:tcW w:type="dxa" w:w="2042"/>
            <w:tcMar>
              <w:top w:w="50" w:type="dxa"/>
              <w:bottom w:w="50" w:type="dxa"/>
              <w:left w:w="90" w:type="dxa"/>
              <w:right w:w="90" w:type="dxa"/>
            </w:tcMar>
          </w:tcPr>
          <w:p>
            <w:pPr>
              <w:pStyle w:val="BDOITable"/>
            </w:pPr>
            <w:r>
              <w:rPr>
                <w:b/>
                <w:sz w:val="17"/>
              </w:rPr>
              <w:t>Availability</w:t>
            </w:r>
          </w:p>
        </w:tc>
        <w:tc>
          <w:tcPr>
            <w:tcW w:type="dxa" w:w="3604"/>
            <w:tcMar>
              <w:top w:w="50" w:type="dxa"/>
              <w:bottom w:w="50" w:type="dxa"/>
              <w:left w:w="90" w:type="dxa"/>
              <w:right w:w="90" w:type="dxa"/>
            </w:tcMar>
          </w:tcPr>
          <w:p>
            <w:pPr>
              <w:pStyle w:val="BDOITable"/>
            </w:pPr>
            <w:r>
              <w:rPr>
                <w:sz w:val="17"/>
              </w:rPr>
              <w:t>Minutes in the service window in which the synthetic sign-in and a read of the Dashboard succeed, divided by the minutes of the service window, per calendar month; planned maintenance excluded</w:t>
            </w:r>
          </w:p>
        </w:tc>
        <w:tc>
          <w:tcPr>
            <w:tcW w:type="dxa" w:w="2042"/>
            <w:tcMar>
              <w:top w:w="50" w:type="dxa"/>
              <w:bottom w:w="50" w:type="dxa"/>
              <w:left w:w="90" w:type="dxa"/>
              <w:right w:w="90" w:type="dxa"/>
            </w:tcMar>
          </w:tcPr>
          <w:p>
            <w:pPr>
              <w:pStyle w:val="BDOITable"/>
            </w:pPr>
            <w:r>
              <w:rPr>
                <w:sz w:val="17"/>
              </w:rPr>
              <w:t>99.9 %</w:t>
            </w:r>
          </w:p>
        </w:tc>
        <w:tc>
          <w:tcPr>
            <w:tcW w:type="dxa" w:w="2283"/>
            <w:tcMar>
              <w:top w:w="50" w:type="dxa"/>
              <w:bottom w:w="50" w:type="dxa"/>
              <w:left w:w="90" w:type="dxa"/>
              <w:right w:w="90" w:type="dxa"/>
            </w:tcMar>
          </w:tcPr>
          <w:p>
            <w:pPr>
              <w:pStyle w:val="BDOITable"/>
            </w:pPr>
            <w:r>
              <w:rPr>
                <w:sz w:val="17"/>
              </w:rPr>
              <w:t>Synthetic check every minute (Dynatrace)</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Screen latency</w:t>
            </w:r>
          </w:p>
        </w:tc>
        <w:tc>
          <w:tcPr>
            <w:tcW w:type="dxa" w:w="3604"/>
            <w:tcMar>
              <w:top w:w="50" w:type="dxa"/>
              <w:bottom w:w="50" w:type="dxa"/>
              <w:left w:w="90" w:type="dxa"/>
              <w:right w:w="90" w:type="dxa"/>
            </w:tcMar>
            <w:shd w:val="clear" w:color="auto" w:fill="E5F5FF"/>
          </w:tcPr>
          <w:p>
            <w:pPr>
              <w:pStyle w:val="BDOITable"/>
            </w:pPr>
            <w:r>
              <w:rPr>
                <w:sz w:val="17"/>
              </w:rPr>
              <w:t>Share of screen requests and single-record actions answered within 2 seconds, per hour of the service window</w:t>
            </w:r>
          </w:p>
        </w:tc>
        <w:tc>
          <w:tcPr>
            <w:tcW w:type="dxa" w:w="2042"/>
            <w:tcMar>
              <w:top w:w="50" w:type="dxa"/>
              <w:bottom w:w="50" w:type="dxa"/>
              <w:left w:w="90" w:type="dxa"/>
              <w:right w:w="90" w:type="dxa"/>
            </w:tcMar>
            <w:shd w:val="clear" w:color="auto" w:fill="E5F5FF"/>
          </w:tcPr>
          <w:p>
            <w:pPr>
              <w:pStyle w:val="BDOITable"/>
            </w:pPr>
            <w:r>
              <w:rPr>
                <w:sz w:val="17"/>
              </w:rPr>
              <w:t>95 % within 2 s; 99 % within 5 s</w:t>
            </w:r>
          </w:p>
        </w:tc>
        <w:tc>
          <w:tcPr>
            <w:tcW w:type="dxa" w:w="2283"/>
            <w:tcMar>
              <w:top w:w="50" w:type="dxa"/>
              <w:bottom w:w="50" w:type="dxa"/>
              <w:left w:w="90" w:type="dxa"/>
              <w:right w:w="90" w:type="dxa"/>
            </w:tcMar>
            <w:shd w:val="clear" w:color="auto" w:fill="E5F5FF"/>
          </w:tcPr>
          <w:p>
            <w:pPr>
              <w:pStyle w:val="BDOITable"/>
            </w:pPr>
            <w:r>
              <w:rPr>
                <w:sz w:val="17"/>
              </w:rPr>
              <w:t>Request metrics of bibs-web</w:t>
            </w:r>
          </w:p>
        </w:tc>
      </w:tr>
      <w:tr>
        <w:trPr>
          <w:cantSplit w:val="true"/>
        </w:trPr>
        <w:tc>
          <w:tcPr>
            <w:tcW w:type="dxa" w:w="2042"/>
            <w:tcMar>
              <w:top w:w="50" w:type="dxa"/>
              <w:bottom w:w="50" w:type="dxa"/>
              <w:left w:w="90" w:type="dxa"/>
              <w:right w:w="90" w:type="dxa"/>
            </w:tcMar>
          </w:tcPr>
          <w:p>
            <w:pPr>
              <w:pStyle w:val="BDOITable"/>
            </w:pPr>
            <w:r>
              <w:rPr>
                <w:b/>
                <w:sz w:val="17"/>
              </w:rPr>
              <w:t>Reports</w:t>
            </w:r>
          </w:p>
        </w:tc>
        <w:tc>
          <w:tcPr>
            <w:tcW w:type="dxa" w:w="3604"/>
            <w:tcMar>
              <w:top w:w="50" w:type="dxa"/>
              <w:bottom w:w="50" w:type="dxa"/>
              <w:left w:w="90" w:type="dxa"/>
              <w:right w:w="90" w:type="dxa"/>
            </w:tcMar>
          </w:tcPr>
          <w:p>
            <w:pPr>
              <w:pStyle w:val="BDOITable"/>
            </w:pPr>
            <w:r>
              <w:rPr>
                <w:sz w:val="17"/>
              </w:rPr>
              <w:t>Interactive reports answered within 20 seconds; longer reports run as jobs with progress</w:t>
            </w:r>
          </w:p>
        </w:tc>
        <w:tc>
          <w:tcPr>
            <w:tcW w:type="dxa" w:w="2042"/>
            <w:tcMar>
              <w:top w:w="50" w:type="dxa"/>
              <w:bottom w:w="50" w:type="dxa"/>
              <w:left w:w="90" w:type="dxa"/>
              <w:right w:w="90" w:type="dxa"/>
            </w:tcMar>
          </w:tcPr>
          <w:p>
            <w:pPr>
              <w:pStyle w:val="BDOITable"/>
            </w:pPr>
            <w:r>
              <w:rPr>
                <w:sz w:val="17"/>
              </w:rPr>
              <w:t>90 % within 20 s</w:t>
            </w:r>
          </w:p>
        </w:tc>
        <w:tc>
          <w:tcPr>
            <w:tcW w:type="dxa" w:w="2283"/>
            <w:tcMar>
              <w:top w:w="50" w:type="dxa"/>
              <w:bottom w:w="50" w:type="dxa"/>
              <w:left w:w="90" w:type="dxa"/>
              <w:right w:w="90" w:type="dxa"/>
            </w:tcMar>
          </w:tcPr>
          <w:p>
            <w:pPr>
              <w:pStyle w:val="BDOITable"/>
            </w:pPr>
            <w:r>
              <w:rPr>
                <w:sz w:val="17"/>
              </w:rPr>
              <w:t>Report run log</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Error rate</w:t>
            </w:r>
          </w:p>
        </w:tc>
        <w:tc>
          <w:tcPr>
            <w:tcW w:type="dxa" w:w="3604"/>
            <w:tcMar>
              <w:top w:w="50" w:type="dxa"/>
              <w:bottom w:w="50" w:type="dxa"/>
              <w:left w:w="90" w:type="dxa"/>
              <w:right w:w="90" w:type="dxa"/>
            </w:tcMar>
            <w:shd w:val="clear" w:color="auto" w:fill="E5F5FF"/>
          </w:tcPr>
          <w:p>
            <w:pPr>
              <w:pStyle w:val="BDOITable"/>
            </w:pPr>
            <w:r>
              <w:rPr>
                <w:sz w:val="17"/>
              </w:rPr>
              <w:t>Share of user requests that end in a server error, per day</w:t>
            </w:r>
          </w:p>
        </w:tc>
        <w:tc>
          <w:tcPr>
            <w:tcW w:type="dxa" w:w="2042"/>
            <w:tcMar>
              <w:top w:w="50" w:type="dxa"/>
              <w:bottom w:w="50" w:type="dxa"/>
              <w:left w:w="90" w:type="dxa"/>
              <w:right w:w="90" w:type="dxa"/>
            </w:tcMar>
            <w:shd w:val="clear" w:color="auto" w:fill="E5F5FF"/>
          </w:tcPr>
          <w:p>
            <w:pPr>
              <w:pStyle w:val="BDOITable"/>
            </w:pPr>
            <w:r>
              <w:rPr>
                <w:sz w:val="17"/>
              </w:rPr>
              <w:t>Below 0.5 %</w:t>
            </w:r>
          </w:p>
        </w:tc>
        <w:tc>
          <w:tcPr>
            <w:tcW w:type="dxa" w:w="2283"/>
            <w:tcMar>
              <w:top w:w="50" w:type="dxa"/>
              <w:bottom w:w="50" w:type="dxa"/>
              <w:left w:w="90" w:type="dxa"/>
              <w:right w:w="90" w:type="dxa"/>
            </w:tcMar>
            <w:shd w:val="clear" w:color="auto" w:fill="E5F5FF"/>
          </w:tcPr>
          <w:p>
            <w:pPr>
              <w:pStyle w:val="BDOITable"/>
            </w:pPr>
            <w:r>
              <w:rPr>
                <w:sz w:val="17"/>
              </w:rPr>
              <w:t>Request metrics; error log</w:t>
            </w:r>
          </w:p>
        </w:tc>
      </w:tr>
      <w:tr>
        <w:trPr>
          <w:cantSplit w:val="true"/>
        </w:trPr>
        <w:tc>
          <w:tcPr>
            <w:tcW w:type="dxa" w:w="2042"/>
            <w:tcMar>
              <w:top w:w="50" w:type="dxa"/>
              <w:bottom w:w="50" w:type="dxa"/>
              <w:left w:w="90" w:type="dxa"/>
              <w:right w:w="90" w:type="dxa"/>
            </w:tcMar>
          </w:tcPr>
          <w:p>
            <w:pPr>
              <w:pStyle w:val="BDOITable"/>
            </w:pPr>
            <w:r>
              <w:rPr>
                <w:b/>
                <w:sz w:val="17"/>
              </w:rPr>
              <w:t>Night batch</w:t>
            </w:r>
          </w:p>
        </w:tc>
        <w:tc>
          <w:tcPr>
            <w:tcW w:type="dxa" w:w="3604"/>
            <w:tcMar>
              <w:top w:w="50" w:type="dxa"/>
              <w:bottom w:w="50" w:type="dxa"/>
              <w:left w:w="90" w:type="dxa"/>
              <w:right w:w="90" w:type="dxa"/>
            </w:tcMar>
          </w:tcPr>
          <w:p>
            <w:pPr>
              <w:pStyle w:val="BDOITable"/>
            </w:pPr>
            <w:r>
              <w:rPr>
                <w:sz w:val="17"/>
              </w:rPr>
              <w:t>Class A jobs finished before 06:00</w:t>
            </w:r>
          </w:p>
        </w:tc>
        <w:tc>
          <w:tcPr>
            <w:tcW w:type="dxa" w:w="2042"/>
            <w:tcMar>
              <w:top w:w="50" w:type="dxa"/>
              <w:bottom w:w="50" w:type="dxa"/>
              <w:left w:w="90" w:type="dxa"/>
              <w:right w:w="90" w:type="dxa"/>
            </w:tcMar>
          </w:tcPr>
          <w:p>
            <w:pPr>
              <w:pStyle w:val="BDOITable"/>
            </w:pPr>
            <w:r>
              <w:rPr>
                <w:sz w:val="17"/>
              </w:rPr>
              <w:t>99 % of business days</w:t>
            </w:r>
          </w:p>
        </w:tc>
        <w:tc>
          <w:tcPr>
            <w:tcW w:type="dxa" w:w="2283"/>
            <w:tcMar>
              <w:top w:w="50" w:type="dxa"/>
              <w:bottom w:w="50" w:type="dxa"/>
              <w:left w:w="90" w:type="dxa"/>
              <w:right w:w="90" w:type="dxa"/>
            </w:tcMar>
          </w:tcPr>
          <w:p>
            <w:pPr>
              <w:pStyle w:val="BDOITable"/>
            </w:pPr>
            <w:r>
              <w:rPr>
                <w:sz w:val="17"/>
              </w:rPr>
              <w:t>Scheduled Jobs history</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Integration events</w:t>
            </w:r>
          </w:p>
        </w:tc>
        <w:tc>
          <w:tcPr>
            <w:tcW w:type="dxa" w:w="3604"/>
            <w:tcMar>
              <w:top w:w="50" w:type="dxa"/>
              <w:bottom w:w="50" w:type="dxa"/>
              <w:left w:w="90" w:type="dxa"/>
              <w:right w:w="90" w:type="dxa"/>
            </w:tcMar>
            <w:shd w:val="clear" w:color="auto" w:fill="E5F5FF"/>
          </w:tcPr>
          <w:p>
            <w:pPr>
              <w:pStyle w:val="BDOITable"/>
            </w:pPr>
            <w:r>
              <w:rPr>
                <w:sz w:val="17"/>
              </w:rPr>
              <w:t>Events delivered to Kafka within 5 minutes of the business transaction</w:t>
            </w:r>
          </w:p>
        </w:tc>
        <w:tc>
          <w:tcPr>
            <w:tcW w:type="dxa" w:w="2042"/>
            <w:tcMar>
              <w:top w:w="50" w:type="dxa"/>
              <w:bottom w:w="50" w:type="dxa"/>
              <w:left w:w="90" w:type="dxa"/>
              <w:right w:w="90" w:type="dxa"/>
            </w:tcMar>
            <w:shd w:val="clear" w:color="auto" w:fill="E5F5FF"/>
          </w:tcPr>
          <w:p>
            <w:pPr>
              <w:pStyle w:val="BDOITable"/>
            </w:pPr>
            <w:r>
              <w:rPr>
                <w:sz w:val="17"/>
              </w:rPr>
              <w:t>99 %</w:t>
            </w:r>
          </w:p>
        </w:tc>
        <w:tc>
          <w:tcPr>
            <w:tcW w:type="dxa" w:w="2283"/>
            <w:tcMar>
              <w:top w:w="50" w:type="dxa"/>
              <w:bottom w:w="50" w:type="dxa"/>
              <w:left w:w="90" w:type="dxa"/>
              <w:right w:w="90" w:type="dxa"/>
            </w:tcMar>
            <w:shd w:val="clear" w:color="auto" w:fill="E5F5FF"/>
          </w:tcPr>
          <w:p>
            <w:pPr>
              <w:pStyle w:val="BDOITable"/>
            </w:pPr>
            <w:r>
              <w:rPr>
                <w:sz w:val="17"/>
              </w:rPr>
              <w:t>Outbox age</w:t>
            </w:r>
          </w:p>
        </w:tc>
      </w:tr>
      <w:tr>
        <w:trPr>
          <w:cantSplit w:val="true"/>
        </w:trPr>
        <w:tc>
          <w:tcPr>
            <w:tcW w:type="dxa" w:w="2042"/>
            <w:tcMar>
              <w:top w:w="50" w:type="dxa"/>
              <w:bottom w:w="50" w:type="dxa"/>
              <w:left w:w="90" w:type="dxa"/>
              <w:right w:w="90" w:type="dxa"/>
            </w:tcMar>
          </w:tcPr>
          <w:p>
            <w:pPr>
              <w:pStyle w:val="BDOITable"/>
            </w:pPr>
            <w:r>
              <w:rPr>
                <w:b/>
                <w:sz w:val="17"/>
              </w:rPr>
              <w:t>E-mail</w:t>
            </w:r>
          </w:p>
        </w:tc>
        <w:tc>
          <w:tcPr>
            <w:tcW w:type="dxa" w:w="3604"/>
            <w:tcMar>
              <w:top w:w="50" w:type="dxa"/>
              <w:bottom w:w="50" w:type="dxa"/>
              <w:left w:w="90" w:type="dxa"/>
              <w:right w:w="90" w:type="dxa"/>
            </w:tcMar>
          </w:tcPr>
          <w:p>
            <w:pPr>
              <w:pStyle w:val="BDOITable"/>
            </w:pPr>
            <w:r>
              <w:rPr>
                <w:sz w:val="17"/>
              </w:rPr>
              <w:t>E-mails handed to CCM within 15 minutes of being queued</w:t>
            </w:r>
          </w:p>
        </w:tc>
        <w:tc>
          <w:tcPr>
            <w:tcW w:type="dxa" w:w="2042"/>
            <w:tcMar>
              <w:top w:w="50" w:type="dxa"/>
              <w:bottom w:w="50" w:type="dxa"/>
              <w:left w:w="90" w:type="dxa"/>
              <w:right w:w="90" w:type="dxa"/>
            </w:tcMar>
          </w:tcPr>
          <w:p>
            <w:pPr>
              <w:pStyle w:val="BDOITable"/>
            </w:pPr>
            <w:r>
              <w:rPr>
                <w:sz w:val="17"/>
              </w:rPr>
              <w:t>99 %</w:t>
            </w:r>
          </w:p>
        </w:tc>
        <w:tc>
          <w:tcPr>
            <w:tcW w:type="dxa" w:w="2283"/>
            <w:tcMar>
              <w:top w:w="50" w:type="dxa"/>
              <w:bottom w:w="50" w:type="dxa"/>
              <w:left w:w="90" w:type="dxa"/>
              <w:right w:w="90" w:type="dxa"/>
            </w:tcMar>
          </w:tcPr>
          <w:p>
            <w:pPr>
              <w:pStyle w:val="BDOITable"/>
            </w:pPr>
            <w:r>
              <w:rPr>
                <w:sz w:val="17"/>
              </w:rPr>
              <w:t>Mail queue age</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Sign-in</w:t>
            </w:r>
          </w:p>
        </w:tc>
        <w:tc>
          <w:tcPr>
            <w:tcW w:type="dxa" w:w="3604"/>
            <w:tcMar>
              <w:top w:w="50" w:type="dxa"/>
              <w:bottom w:w="50" w:type="dxa"/>
              <w:left w:w="90" w:type="dxa"/>
              <w:right w:w="90" w:type="dxa"/>
            </w:tcMar>
            <w:shd w:val="clear" w:color="auto" w:fill="E5F5FF"/>
          </w:tcPr>
          <w:p>
            <w:pPr>
              <w:pStyle w:val="BDOITable"/>
            </w:pPr>
            <w:r>
              <w:rPr>
                <w:sz w:val="17"/>
              </w:rPr>
              <w:t>Sign-ins through EIAM completed without a BIBS error</w:t>
            </w:r>
          </w:p>
        </w:tc>
        <w:tc>
          <w:tcPr>
            <w:tcW w:type="dxa" w:w="2042"/>
            <w:tcMar>
              <w:top w:w="50" w:type="dxa"/>
              <w:bottom w:w="50" w:type="dxa"/>
              <w:left w:w="90" w:type="dxa"/>
              <w:right w:w="90" w:type="dxa"/>
            </w:tcMar>
            <w:shd w:val="clear" w:color="auto" w:fill="E5F5FF"/>
          </w:tcPr>
          <w:p>
            <w:pPr>
              <w:pStyle w:val="BDOITable"/>
            </w:pPr>
            <w:r>
              <w:rPr>
                <w:sz w:val="17"/>
              </w:rPr>
              <w:t>99.5 %</w:t>
            </w:r>
          </w:p>
        </w:tc>
        <w:tc>
          <w:tcPr>
            <w:tcW w:type="dxa" w:w="2283"/>
            <w:tcMar>
              <w:top w:w="50" w:type="dxa"/>
              <w:bottom w:w="50" w:type="dxa"/>
              <w:left w:w="90" w:type="dxa"/>
              <w:right w:w="90" w:type="dxa"/>
            </w:tcMar>
            <w:shd w:val="clear" w:color="auto" w:fill="E5F5FF"/>
          </w:tcPr>
          <w:p>
            <w:pPr>
              <w:pStyle w:val="BDOITable"/>
            </w:pPr>
            <w:r>
              <w:rPr>
                <w:sz w:val="17"/>
              </w:rPr>
              <w:t>Sign-in audit and SSO error count</w:t>
            </w:r>
          </w:p>
        </w:tc>
      </w:tr>
    </w:tbl>
    <w:p>
      <w:pPr>
        <w:pStyle w:val="BDOISpacer"/>
      </w:pPr>
    </w:p>
    <w:p>
      <w:r>
        <w:rPr>
          <w:b/>
        </w:rPr>
        <w:t>Error budget.</w:t>
      </w:r>
      <w:r>
        <w:rPr/>
        <w:t xml:space="preserve"> An objective of 99.9 % leaves 0.1 % of the service window as budget. With 16 hours a day on about 26 days, the month has about 24,960 service minutes, so the budget is about </w:t>
      </w:r>
      <w:r>
        <w:rPr>
          <w:b/>
        </w:rPr>
        <w:t>25 minutes of unavailability a month</w:t>
      </w:r>
      <w:r>
        <w:rPr/>
        <w:t>. The latency budget is 5 % of screen requests above 2 seconds.</w:t>
      </w:r>
    </w:p>
    <w:p>
      <w:pPr>
        <w:pStyle w:val="Caption"/>
        <w:keepNext/>
        <w:spacing w:after="60"/>
      </w:pPr>
      <w:r>
        <w:rPr>
          <w:b/>
          <w:i w:val="0"/>
        </w:rPr>
        <w:t xml:space="preserve">Table 11: </w:t>
      </w:r>
      <w:r>
        <w:rPr/>
        <w:t>Error budget policy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Budget used in the month</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7"/>
              </w:rPr>
              <w:t>Action</w:t>
            </w:r>
          </w:p>
        </w:tc>
      </w:tr>
      <w:tr>
        <w:trPr>
          <w:cantSplit w:val="true"/>
        </w:trPr>
        <w:tc>
          <w:tcPr>
            <w:tcW w:type="dxa" w:w="2763"/>
            <w:tcMar>
              <w:top w:w="50" w:type="dxa"/>
              <w:bottom w:w="50" w:type="dxa"/>
              <w:left w:w="90" w:type="dxa"/>
              <w:right w:w="90" w:type="dxa"/>
            </w:tcMar>
          </w:tcPr>
          <w:p>
            <w:pPr>
              <w:pStyle w:val="BDOITable"/>
            </w:pPr>
            <w:r>
              <w:rPr>
                <w:b/>
                <w:sz w:val="17"/>
              </w:rPr>
              <w:t>Up to 50 %</w:t>
            </w:r>
          </w:p>
        </w:tc>
        <w:tc>
          <w:tcPr>
            <w:tcW w:type="dxa" w:w="7209"/>
            <w:tcMar>
              <w:top w:w="50" w:type="dxa"/>
              <w:bottom w:w="50" w:type="dxa"/>
              <w:left w:w="90" w:type="dxa"/>
              <w:right w:w="90" w:type="dxa"/>
            </w:tcMar>
          </w:tcPr>
          <w:p>
            <w:pPr>
              <w:pStyle w:val="BDOITable"/>
            </w:pPr>
            <w:r>
              <w:rPr>
                <w:sz w:val="17"/>
              </w:rPr>
              <w:t>Normal change and release calendar</w:t>
            </w:r>
          </w:p>
        </w:tc>
      </w:tr>
      <w:tr>
        <w:trPr>
          <w:cantSplit w:val="true"/>
        </w:trPr>
        <w:tc>
          <w:tcPr>
            <w:tcW w:type="dxa" w:w="2763"/>
            <w:tcMar>
              <w:top w:w="50" w:type="dxa"/>
              <w:bottom w:w="50" w:type="dxa"/>
              <w:left w:w="90" w:type="dxa"/>
              <w:right w:w="90" w:type="dxa"/>
            </w:tcMar>
            <w:shd w:val="clear" w:color="auto" w:fill="E5F5FF"/>
          </w:tcPr>
          <w:p>
            <w:pPr>
              <w:pStyle w:val="BDOITable"/>
            </w:pPr>
            <w:r>
              <w:rPr>
                <w:b/>
                <w:sz w:val="17"/>
              </w:rPr>
              <w:t>50 % to 100 %</w:t>
            </w:r>
          </w:p>
        </w:tc>
        <w:tc>
          <w:tcPr>
            <w:tcW w:type="dxa" w:w="7209"/>
            <w:tcMar>
              <w:top w:w="50" w:type="dxa"/>
              <w:bottom w:w="50" w:type="dxa"/>
              <w:left w:w="90" w:type="dxa"/>
              <w:right w:w="90" w:type="dxa"/>
            </w:tcMar>
            <w:shd w:val="clear" w:color="auto" w:fill="E5F5FF"/>
          </w:tcPr>
          <w:p>
            <w:pPr>
              <w:pStyle w:val="BDOITable"/>
            </w:pPr>
            <w:r>
              <w:rPr>
                <w:sz w:val="17"/>
              </w:rPr>
              <w:t>Only fixes and low-risk changes in the next window; root cause of each incident that used the budget reviewed at the weekly operations review</w:t>
            </w:r>
          </w:p>
        </w:tc>
      </w:tr>
      <w:tr>
        <w:trPr>
          <w:cantSplit w:val="true"/>
        </w:trPr>
        <w:tc>
          <w:tcPr>
            <w:tcW w:type="dxa" w:w="2763"/>
            <w:tcMar>
              <w:top w:w="50" w:type="dxa"/>
              <w:bottom w:w="50" w:type="dxa"/>
              <w:left w:w="90" w:type="dxa"/>
              <w:right w:w="90" w:type="dxa"/>
            </w:tcMar>
          </w:tcPr>
          <w:p>
            <w:pPr>
              <w:pStyle w:val="BDOITable"/>
            </w:pPr>
            <w:r>
              <w:rPr>
                <w:b/>
                <w:sz w:val="17"/>
              </w:rPr>
              <w:t>Above 100 %</w:t>
            </w:r>
          </w:p>
        </w:tc>
        <w:tc>
          <w:tcPr>
            <w:tcW w:type="dxa" w:w="7209"/>
            <w:tcMar>
              <w:top w:w="50" w:type="dxa"/>
              <w:bottom w:w="50" w:type="dxa"/>
              <w:left w:w="90" w:type="dxa"/>
              <w:right w:w="90" w:type="dxa"/>
            </w:tcMar>
          </w:tcPr>
          <w:p>
            <w:pPr>
              <w:pStyle w:val="BDOITable"/>
            </w:pPr>
            <w:r>
              <w:rPr>
                <w:sz w:val="17"/>
              </w:rPr>
              <w:t>Change freeze for anything but fixes and security patches until the actions of the root-cause analyses are done; the Service Owner informs the Head of BDOI IT and the BIBS Product Owner</w:t>
            </w:r>
          </w:p>
        </w:tc>
      </w:tr>
    </w:tbl>
    <w:p>
      <w:pPr>
        <w:pStyle w:val="BDOISpacer"/>
      </w:pPr>
    </w:p>
    <w:p>
      <w:pPr>
        <w:pStyle w:val="Heading2"/>
      </w:pPr>
      <w:bookmarkStart w:id="115" w:name="_Toc000115"/>
      <w:r>
        <w:rPr/>
        <w:t>4.4 Service level reporting</w:t>
      </w:r>
      <w:bookmarkEnd w:id="115"/>
    </w:p>
    <w:p>
      <w:r>
        <w:rPr/>
        <w:t>SLA and SLO results are reported monthly (chapter 11). A missed P1 or P2 target is explained in the report with its cause and action.</w:t>
      </w:r>
    </w:p>
    <w:p>
      <w:pPr>
        <w:pStyle w:val="Heading1"/>
        <w:pageBreakBefore/>
        <w:pBdr>
          <w:bottom w:val="single" w:sz="4" w:space="4" w:color="99C1E7"/>
        </w:pBdr>
      </w:pPr>
      <w:bookmarkStart w:id="116" w:name="_Toc000116"/>
      <w:r>
        <w:rPr/>
        <w:t>5 Incident management</w:t>
      </w:r>
      <w:bookmarkEnd w:id="116"/>
    </w:p>
    <w:p>
      <w:pPr>
        <w:pStyle w:val="Heading2"/>
      </w:pPr>
      <w:bookmarkStart w:id="117" w:name="_Toc000117"/>
      <w:r>
        <w:rPr/>
        <w:t>5.1 Process</w:t>
      </w:r>
      <w:bookmarkEnd w:id="117"/>
    </w:p>
    <w:p>
      <w:r>
        <w:rPr/>
        <w:t>Figure 2 shows how a ticket moves through incident, problem, change and release management.</w:t>
      </w:r>
    </w:p>
    <w:p>
      <w:pPr>
        <w:keepNext/>
        <w:spacing w:before="80" w:after="0"/>
        <w:jc w:val="center"/>
      </w:pPr>
      <w:r>
        <w:drawing>
          <wp:inline xmlns:a="http://schemas.openxmlformats.org/drawingml/2006/main" xmlns:pic="http://schemas.openxmlformats.org/drawingml/2006/picture">
            <wp:extent cx="4860000" cy="3584452"/>
            <wp:docPr id="4" name="Picture 4"/>
            <wp:cNvGraphicFramePr>
              <a:graphicFrameLocks noChangeAspect="1"/>
            </wp:cNvGraphicFramePr>
            <a:graphic>
              <a:graphicData uri="http://schemas.openxmlformats.org/drawingml/2006/picture">
                <pic:pic>
                  <pic:nvPicPr>
                    <pic:cNvPr id="0" name="sup_incident_903.jpg"/>
                    <pic:cNvPicPr/>
                  </pic:nvPicPr>
                  <pic:blipFill>
                    <a:blip r:embed="rId16"/>
                    <a:stretch>
                      <a:fillRect/>
                    </a:stretch>
                  </pic:blipFill>
                  <pic:spPr>
                    <a:xfrm>
                      <a:off x="0" y="0"/>
                      <a:ext cx="4860000" cy="3584452"/>
                    </a:xfrm>
                    <a:prstGeom prst="rect"/>
                  </pic:spPr>
                </pic:pic>
              </a:graphicData>
            </a:graphic>
          </wp:inline>
        </w:drawing>
      </w:r>
    </w:p>
    <w:p>
      <w:pPr>
        <w:pStyle w:val="Caption"/>
        <w:jc w:val="center"/>
      </w:pPr>
      <w:r>
        <w:rPr>
          <w:b/>
          <w:i w:val="0"/>
        </w:rPr>
        <w:t xml:space="preserve">Figure 2: </w:t>
      </w:r>
      <w:r>
        <w:rPr/>
        <w:t>Incident, problem, change and release</w:t>
      </w:r>
    </w:p>
    <w:p>
      <w:pPr>
        <w:pStyle w:val="Heading2"/>
      </w:pPr>
      <w:bookmarkStart w:id="118" w:name="_Toc000118"/>
      <w:r>
        <w:rPr/>
        <w:t>5.2 Minimum content of a ticket</w:t>
      </w:r>
      <w:bookmarkEnd w:id="118"/>
    </w:p>
    <w:p>
      <w:r>
        <w:rPr/>
        <w:t>L1 does not pass a ticket to L2 without:</w:t>
      </w:r>
    </w:p>
    <w:p>
      <w:pPr>
        <w:tabs>
          <w:tab w:pos="312" w:val="left"/>
        </w:tabs>
        <w:spacing w:after="40"/>
        <w:ind w:left="312" w:hanging="283"/>
      </w:pPr>
      <w:r>
        <w:rPr>
          <w:color w:val="004EA8"/>
        </w:rPr>
        <w:t>•</w:t>
        <w:tab/>
      </w:r>
      <w:r>
        <w:rPr/>
        <w:t>the user's name, department and branch, and the role used (never the password or a second-factor code);</w:t>
      </w:r>
    </w:p>
    <w:p>
      <w:pPr>
        <w:tabs>
          <w:tab w:pos="312" w:val="left"/>
        </w:tabs>
        <w:spacing w:after="40"/>
        <w:ind w:left="312" w:hanging="283"/>
      </w:pPr>
      <w:r>
        <w:rPr>
          <w:color w:val="004EA8"/>
        </w:rPr>
        <w:t>•</w:t>
        <w:tab/>
      </w:r>
      <w:r>
        <w:rPr/>
        <w:t>the screen (menu path) and the record number (client, quotation, account, invoice, receipt, remittance batch, journal, request);</w:t>
      </w:r>
    </w:p>
    <w:p>
      <w:pPr>
        <w:tabs>
          <w:tab w:pos="312" w:val="left"/>
        </w:tabs>
        <w:spacing w:after="40"/>
        <w:ind w:left="312" w:hanging="283"/>
      </w:pPr>
      <w:r>
        <w:rPr>
          <w:color w:val="004EA8"/>
        </w:rPr>
        <w:t>•</w:t>
        <w:tab/>
      </w:r>
      <w:r>
        <w:rPr/>
        <w:t>the date and time to the minute and what the user did, what happened and what was expected;</w:t>
      </w:r>
    </w:p>
    <w:p>
      <w:pPr>
        <w:tabs>
          <w:tab w:pos="312" w:val="left"/>
        </w:tabs>
        <w:spacing w:after="40"/>
        <w:ind w:left="312" w:hanging="283"/>
      </w:pPr>
      <w:r>
        <w:rPr>
          <w:color w:val="004EA8"/>
        </w:rPr>
        <w:t>•</w:t>
        <w:tab/>
      </w:r>
      <w:r>
        <w:rPr/>
        <w:t xml:space="preserve">the message shown, word for word, and the </w:t>
      </w:r>
      <w:r>
        <w:rPr>
          <w:b/>
        </w:rPr>
        <w:t>reference</w:t>
      </w:r>
      <w:r>
        <w:rPr/>
        <w:t xml:space="preserve"> shown under an unexpected error ("The system could not complete the request. Try again; if it continues, contact support with the reference below.");</w:t>
      </w:r>
    </w:p>
    <w:p>
      <w:pPr>
        <w:tabs>
          <w:tab w:pos="312" w:val="left"/>
        </w:tabs>
        <w:spacing w:after="40"/>
        <w:ind w:left="312" w:hanging="283"/>
      </w:pPr>
      <w:r>
        <w:rPr>
          <w:color w:val="004EA8"/>
        </w:rPr>
        <w:t>•</w:t>
        <w:tab/>
      </w:r>
      <w:r>
        <w:rPr/>
        <w:t>a screenshot with the client's personal data covered;</w:t>
      </w:r>
    </w:p>
    <w:p>
      <w:pPr>
        <w:tabs>
          <w:tab w:pos="312" w:val="left"/>
        </w:tabs>
        <w:spacing w:after="120"/>
        <w:ind w:left="312" w:hanging="283"/>
      </w:pPr>
      <w:r>
        <w:rPr>
          <w:color w:val="004EA8"/>
        </w:rPr>
        <w:t>•</w:t>
        <w:tab/>
      </w:r>
      <w:r>
        <w:rPr/>
        <w:t>how many users or branches are affected and whether work can continue.</w:t>
      </w:r>
    </w:p>
    <w:p>
      <w:pPr>
        <w:pStyle w:val="Heading2"/>
      </w:pPr>
      <w:bookmarkStart w:id="119" w:name="_Toc000119"/>
      <w:r>
        <w:rPr/>
        <w:t>5.3 Ticket statuses</w:t>
      </w:r>
      <w:bookmarkEnd w:id="119"/>
    </w:p>
    <w:p>
      <w:pPr>
        <w:pStyle w:val="Caption"/>
        <w:keepNext/>
        <w:spacing w:after="60"/>
      </w:pPr>
      <w:r>
        <w:rPr>
          <w:b/>
          <w:i w:val="0"/>
        </w:rPr>
        <w:t xml:space="preserve">Table 12: </w:t>
      </w:r>
      <w:r>
        <w:rPr/>
        <w:t>Ticket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5647"/>
        <w:gridCol w:w="228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042"/>
            <w:tcMar>
              <w:top w:w="50" w:type="dxa"/>
              <w:bottom w:w="50" w:type="dxa"/>
              <w:left w:w="90" w:type="dxa"/>
              <w:right w:w="90" w:type="dxa"/>
            </w:tcMar>
          </w:tcPr>
          <w:p>
            <w:pPr>
              <w:pStyle w:val="BDOITable"/>
            </w:pPr>
            <w:r>
              <w:rPr>
                <w:b/>
                <w:sz w:val="17"/>
              </w:rPr>
              <w:t>New</w:t>
            </w:r>
          </w:p>
        </w:tc>
        <w:tc>
          <w:tcPr>
            <w:tcW w:type="dxa" w:w="5647"/>
            <w:tcMar>
              <w:top w:w="50" w:type="dxa"/>
              <w:bottom w:w="50" w:type="dxa"/>
              <w:left w:w="90" w:type="dxa"/>
              <w:right w:w="90" w:type="dxa"/>
            </w:tcMar>
          </w:tcPr>
          <w:p>
            <w:pPr>
              <w:pStyle w:val="BDOITable"/>
            </w:pPr>
            <w:r>
              <w:rPr>
                <w:sz w:val="17"/>
              </w:rPr>
              <w:t>Logged by L1 with the minimum content</w:t>
            </w:r>
          </w:p>
        </w:tc>
        <w:tc>
          <w:tcPr>
            <w:tcW w:type="dxa" w:w="2283"/>
            <w:tcMar>
              <w:top w:w="50" w:type="dxa"/>
              <w:bottom w:w="50" w:type="dxa"/>
              <w:left w:w="90" w:type="dxa"/>
              <w:right w:w="90" w:type="dxa"/>
            </w:tcMar>
          </w:tcPr>
          <w:p>
            <w:pPr>
              <w:pStyle w:val="BDOITable"/>
            </w:pPr>
            <w:r>
              <w:rPr>
                <w:sz w:val="17"/>
              </w:rPr>
              <w:t>L1</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Assigned</w:t>
            </w:r>
          </w:p>
        </w:tc>
        <w:tc>
          <w:tcPr>
            <w:tcW w:type="dxa" w:w="5647"/>
            <w:tcMar>
              <w:top w:w="50" w:type="dxa"/>
              <w:bottom w:w="50" w:type="dxa"/>
              <w:left w:w="90" w:type="dxa"/>
              <w:right w:w="90" w:type="dxa"/>
            </w:tcMar>
            <w:shd w:val="clear" w:color="auto" w:fill="E5F5FF"/>
          </w:tcPr>
          <w:p>
            <w:pPr>
              <w:pStyle w:val="BDOITable"/>
            </w:pPr>
            <w:r>
              <w:rPr>
                <w:sz w:val="17"/>
              </w:rPr>
              <w:t>Severity confirmed, owner named, first response sent</w:t>
            </w:r>
          </w:p>
        </w:tc>
        <w:tc>
          <w:tcPr>
            <w:tcW w:type="dxa" w:w="2283"/>
            <w:tcMar>
              <w:top w:w="50" w:type="dxa"/>
              <w:bottom w:w="50" w:type="dxa"/>
              <w:left w:w="90" w:type="dxa"/>
              <w:right w:w="90" w:type="dxa"/>
            </w:tcMar>
            <w:shd w:val="clear" w:color="auto" w:fill="E5F5FF"/>
          </w:tcPr>
          <w:p>
            <w:pPr>
              <w:pStyle w:val="BDOITable"/>
            </w:pPr>
            <w:r>
              <w:rPr>
                <w:sz w:val="17"/>
              </w:rPr>
              <w:t>L2</w:t>
            </w:r>
          </w:p>
        </w:tc>
      </w:tr>
      <w:tr>
        <w:trPr>
          <w:cantSplit w:val="true"/>
        </w:trPr>
        <w:tc>
          <w:tcPr>
            <w:tcW w:type="dxa" w:w="2042"/>
            <w:tcMar>
              <w:top w:w="50" w:type="dxa"/>
              <w:bottom w:w="50" w:type="dxa"/>
              <w:left w:w="90" w:type="dxa"/>
              <w:right w:w="90" w:type="dxa"/>
            </w:tcMar>
          </w:tcPr>
          <w:p>
            <w:pPr>
              <w:pStyle w:val="BDOITable"/>
            </w:pPr>
            <w:r>
              <w:rPr>
                <w:b/>
                <w:sz w:val="17"/>
              </w:rPr>
              <w:t>In progress</w:t>
            </w:r>
          </w:p>
        </w:tc>
        <w:tc>
          <w:tcPr>
            <w:tcW w:type="dxa" w:w="5647"/>
            <w:tcMar>
              <w:top w:w="50" w:type="dxa"/>
              <w:bottom w:w="50" w:type="dxa"/>
              <w:left w:w="90" w:type="dxa"/>
              <w:right w:w="90" w:type="dxa"/>
            </w:tcMar>
          </w:tcPr>
          <w:p>
            <w:pPr>
              <w:pStyle w:val="BDOITable"/>
            </w:pPr>
            <w:r>
              <w:rPr>
                <w:sz w:val="17"/>
              </w:rPr>
              <w:t>Under analysis or being fixed</w:t>
            </w:r>
          </w:p>
        </w:tc>
        <w:tc>
          <w:tcPr>
            <w:tcW w:type="dxa" w:w="2283"/>
            <w:tcMar>
              <w:top w:w="50" w:type="dxa"/>
              <w:bottom w:w="50" w:type="dxa"/>
              <w:left w:w="90" w:type="dxa"/>
              <w:right w:w="90" w:type="dxa"/>
            </w:tcMar>
          </w:tcPr>
          <w:p>
            <w:pPr>
              <w:pStyle w:val="BDOITable"/>
            </w:pPr>
            <w:r>
              <w:rPr>
                <w:sz w:val="17"/>
              </w:rPr>
              <w:t>L2 or L3</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Awaiting user</w:t>
            </w:r>
          </w:p>
        </w:tc>
        <w:tc>
          <w:tcPr>
            <w:tcW w:type="dxa" w:w="5647"/>
            <w:tcMar>
              <w:top w:w="50" w:type="dxa"/>
              <w:bottom w:w="50" w:type="dxa"/>
              <w:left w:w="90" w:type="dxa"/>
              <w:right w:w="90" w:type="dxa"/>
            </w:tcMar>
            <w:shd w:val="clear" w:color="auto" w:fill="E5F5FF"/>
          </w:tcPr>
          <w:p>
            <w:pPr>
              <w:pStyle w:val="BDOITable"/>
            </w:pPr>
            <w:r>
              <w:rPr>
                <w:sz w:val="17"/>
              </w:rPr>
              <w:t>Waiting for information, a test or a decision from BDOI; the clock stops</w:t>
            </w:r>
          </w:p>
        </w:tc>
        <w:tc>
          <w:tcPr>
            <w:tcW w:type="dxa" w:w="2283"/>
            <w:tcMar>
              <w:top w:w="50" w:type="dxa"/>
              <w:bottom w:w="50" w:type="dxa"/>
              <w:left w:w="90" w:type="dxa"/>
              <w:right w:w="90" w:type="dxa"/>
            </w:tcMar>
            <w:shd w:val="clear" w:color="auto" w:fill="E5F5FF"/>
          </w:tcPr>
          <w:p>
            <w:pPr>
              <w:pStyle w:val="BDOITable"/>
            </w:pPr>
            <w:r>
              <w:rPr>
                <w:sz w:val="17"/>
              </w:rPr>
              <w:t>L2 or L3</w:t>
            </w:r>
          </w:p>
        </w:tc>
      </w:tr>
      <w:tr>
        <w:trPr>
          <w:cantSplit w:val="true"/>
        </w:trPr>
        <w:tc>
          <w:tcPr>
            <w:tcW w:type="dxa" w:w="2042"/>
            <w:tcMar>
              <w:top w:w="50" w:type="dxa"/>
              <w:bottom w:w="50" w:type="dxa"/>
              <w:left w:w="90" w:type="dxa"/>
              <w:right w:w="90" w:type="dxa"/>
            </w:tcMar>
          </w:tcPr>
          <w:p>
            <w:pPr>
              <w:pStyle w:val="BDOITable"/>
            </w:pPr>
            <w:r>
              <w:rPr>
                <w:b/>
                <w:sz w:val="17"/>
              </w:rPr>
              <w:t>Awaiting third party</w:t>
            </w:r>
          </w:p>
        </w:tc>
        <w:tc>
          <w:tcPr>
            <w:tcW w:type="dxa" w:w="5647"/>
            <w:tcMar>
              <w:top w:w="50" w:type="dxa"/>
              <w:bottom w:w="50" w:type="dxa"/>
              <w:left w:w="90" w:type="dxa"/>
              <w:right w:w="90" w:type="dxa"/>
            </w:tcMar>
          </w:tcPr>
          <w:p>
            <w:pPr>
              <w:pStyle w:val="BDOITable"/>
            </w:pPr>
            <w:r>
              <w:rPr>
                <w:sz w:val="17"/>
              </w:rPr>
              <w:t>Waiting for a BDO system owner or AWS; the clock stops for L3</w:t>
            </w:r>
          </w:p>
        </w:tc>
        <w:tc>
          <w:tcPr>
            <w:tcW w:type="dxa" w:w="2283"/>
            <w:tcMar>
              <w:top w:w="50" w:type="dxa"/>
              <w:bottom w:w="50" w:type="dxa"/>
              <w:left w:w="90" w:type="dxa"/>
              <w:right w:w="90" w:type="dxa"/>
            </w:tcMar>
          </w:tcPr>
          <w:p>
            <w:pPr>
              <w:pStyle w:val="BDOITable"/>
            </w:pPr>
            <w:r>
              <w:rPr>
                <w:sz w:val="17"/>
              </w:rPr>
              <w:t>L2</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Workaround given</w:t>
            </w:r>
          </w:p>
        </w:tc>
        <w:tc>
          <w:tcPr>
            <w:tcW w:type="dxa" w:w="5647"/>
            <w:tcMar>
              <w:top w:w="50" w:type="dxa"/>
              <w:bottom w:w="50" w:type="dxa"/>
              <w:left w:w="90" w:type="dxa"/>
              <w:right w:w="90" w:type="dxa"/>
            </w:tcMar>
            <w:shd w:val="clear" w:color="auto" w:fill="E5F5FF"/>
          </w:tcPr>
          <w:p>
            <w:pPr>
              <w:pStyle w:val="BDOITable"/>
            </w:pPr>
            <w:r>
              <w:rPr>
                <w:sz w:val="17"/>
              </w:rPr>
              <w:t>Service restored; the permanent fix is tracked on a problem record</w:t>
            </w:r>
          </w:p>
        </w:tc>
        <w:tc>
          <w:tcPr>
            <w:tcW w:type="dxa" w:w="2283"/>
            <w:tcMar>
              <w:top w:w="50" w:type="dxa"/>
              <w:bottom w:w="50" w:type="dxa"/>
              <w:left w:w="90" w:type="dxa"/>
              <w:right w:w="90" w:type="dxa"/>
            </w:tcMar>
            <w:shd w:val="clear" w:color="auto" w:fill="E5F5FF"/>
          </w:tcPr>
          <w:p>
            <w:pPr>
              <w:pStyle w:val="BDOITable"/>
            </w:pPr>
            <w:r>
              <w:rPr>
                <w:sz w:val="17"/>
              </w:rPr>
              <w:t>L2 or L3</w:t>
            </w:r>
          </w:p>
        </w:tc>
      </w:tr>
      <w:tr>
        <w:trPr>
          <w:cantSplit w:val="true"/>
        </w:trPr>
        <w:tc>
          <w:tcPr>
            <w:tcW w:type="dxa" w:w="2042"/>
            <w:tcMar>
              <w:top w:w="50" w:type="dxa"/>
              <w:bottom w:w="50" w:type="dxa"/>
              <w:left w:w="90" w:type="dxa"/>
              <w:right w:w="90" w:type="dxa"/>
            </w:tcMar>
          </w:tcPr>
          <w:p>
            <w:pPr>
              <w:pStyle w:val="BDOITable"/>
            </w:pPr>
            <w:r>
              <w:rPr>
                <w:b/>
                <w:sz w:val="17"/>
              </w:rPr>
              <w:t>Resolved</w:t>
            </w:r>
          </w:p>
        </w:tc>
        <w:tc>
          <w:tcPr>
            <w:tcW w:type="dxa" w:w="5647"/>
            <w:tcMar>
              <w:top w:w="50" w:type="dxa"/>
              <w:bottom w:w="50" w:type="dxa"/>
              <w:left w:w="90" w:type="dxa"/>
              <w:right w:w="90" w:type="dxa"/>
            </w:tcMar>
          </w:tcPr>
          <w:p>
            <w:pPr>
              <w:pStyle w:val="BDOITable"/>
            </w:pPr>
            <w:r>
              <w:rPr>
                <w:sz w:val="17"/>
              </w:rPr>
              <w:t>Fix or answer delivered</w:t>
            </w:r>
          </w:p>
        </w:tc>
        <w:tc>
          <w:tcPr>
            <w:tcW w:type="dxa" w:w="2283"/>
            <w:tcMar>
              <w:top w:w="50" w:type="dxa"/>
              <w:bottom w:w="50" w:type="dxa"/>
              <w:left w:w="90" w:type="dxa"/>
              <w:right w:w="90" w:type="dxa"/>
            </w:tcMar>
          </w:tcPr>
          <w:p>
            <w:pPr>
              <w:pStyle w:val="BDOITable"/>
            </w:pPr>
            <w:r>
              <w:rPr>
                <w:sz w:val="17"/>
              </w:rPr>
              <w:t>L2 or L3</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Closed</w:t>
            </w:r>
          </w:p>
        </w:tc>
        <w:tc>
          <w:tcPr>
            <w:tcW w:type="dxa" w:w="5647"/>
            <w:tcMar>
              <w:top w:w="50" w:type="dxa"/>
              <w:bottom w:w="50" w:type="dxa"/>
              <w:left w:w="90" w:type="dxa"/>
              <w:right w:w="90" w:type="dxa"/>
            </w:tcMar>
            <w:shd w:val="clear" w:color="auto" w:fill="E5F5FF"/>
          </w:tcPr>
          <w:p>
            <w:pPr>
              <w:pStyle w:val="BDOITable"/>
            </w:pPr>
            <w:r>
              <w:rPr>
                <w:sz w:val="17"/>
              </w:rPr>
              <w:t>User confirmed, or no reply within 5 business days of Resolved</w:t>
            </w:r>
          </w:p>
        </w:tc>
        <w:tc>
          <w:tcPr>
            <w:tcW w:type="dxa" w:w="2283"/>
            <w:tcMar>
              <w:top w:w="50" w:type="dxa"/>
              <w:bottom w:w="50" w:type="dxa"/>
              <w:left w:w="90" w:type="dxa"/>
              <w:right w:w="90" w:type="dxa"/>
            </w:tcMar>
            <w:shd w:val="clear" w:color="auto" w:fill="E5F5FF"/>
          </w:tcPr>
          <w:p>
            <w:pPr>
              <w:pStyle w:val="BDOITable"/>
            </w:pPr>
            <w:r>
              <w:rPr>
                <w:sz w:val="17"/>
              </w:rPr>
              <w:t>L1 or the ITSM tool</w:t>
            </w:r>
          </w:p>
        </w:tc>
      </w:tr>
      <w:tr>
        <w:trPr>
          <w:cantSplit w:val="true"/>
        </w:trPr>
        <w:tc>
          <w:tcPr>
            <w:tcW w:type="dxa" w:w="2042"/>
            <w:tcMar>
              <w:top w:w="50" w:type="dxa"/>
              <w:bottom w:w="50" w:type="dxa"/>
              <w:left w:w="90" w:type="dxa"/>
              <w:right w:w="90" w:type="dxa"/>
            </w:tcMar>
          </w:tcPr>
          <w:p>
            <w:pPr>
              <w:pStyle w:val="BDOITable"/>
            </w:pPr>
            <w:r>
              <w:rPr>
                <w:b/>
                <w:sz w:val="17"/>
              </w:rPr>
              <w:t>Reopened</w:t>
            </w:r>
          </w:p>
        </w:tc>
        <w:tc>
          <w:tcPr>
            <w:tcW w:type="dxa" w:w="5647"/>
            <w:tcMar>
              <w:top w:w="50" w:type="dxa"/>
              <w:bottom w:w="50" w:type="dxa"/>
              <w:left w:w="90" w:type="dxa"/>
              <w:right w:w="90" w:type="dxa"/>
            </w:tcMar>
          </w:tcPr>
          <w:p>
            <w:pPr>
              <w:pStyle w:val="BDOITable"/>
            </w:pPr>
            <w:r>
              <w:rPr>
                <w:sz w:val="17"/>
              </w:rPr>
              <w:t>The user reports within 5 business days that the issue remains</w:t>
            </w:r>
          </w:p>
        </w:tc>
        <w:tc>
          <w:tcPr>
            <w:tcW w:type="dxa" w:w="2283"/>
            <w:tcMar>
              <w:top w:w="50" w:type="dxa"/>
              <w:bottom w:w="50" w:type="dxa"/>
              <w:left w:w="90" w:type="dxa"/>
              <w:right w:w="90" w:type="dxa"/>
            </w:tcMar>
          </w:tcPr>
          <w:p>
            <w:pPr>
              <w:pStyle w:val="BDOITable"/>
            </w:pPr>
            <w:r>
              <w:rPr>
                <w:sz w:val="17"/>
              </w:rPr>
              <w:t>L1</w:t>
            </w:r>
          </w:p>
        </w:tc>
      </w:tr>
    </w:tbl>
    <w:p>
      <w:pPr>
        <w:pStyle w:val="BDOISpacer"/>
      </w:pPr>
    </w:p>
    <w:p>
      <w:pPr>
        <w:pStyle w:val="Heading2"/>
      </w:pPr>
      <w:bookmarkStart w:id="120" w:name="_Toc000120"/>
      <w:r>
        <w:rPr/>
        <w:t>5.4 Triage steps at L2</w:t>
      </w:r>
      <w:bookmarkEnd w:id="120"/>
    </w:p>
    <w:p>
      <w:pPr>
        <w:tabs>
          <w:tab w:pos="312" w:val="left"/>
        </w:tabs>
        <w:spacing w:after="40"/>
        <w:ind w:left="312" w:hanging="283"/>
      </w:pPr>
      <w:r>
        <w:rPr>
          <w:color w:val="004EA8"/>
        </w:rPr>
        <w:t>1.</w:t>
        <w:tab/>
      </w:r>
      <w:r>
        <w:rPr/>
        <w:t>Confirm severity and impact with the key user of the department.</w:t>
      </w:r>
    </w:p>
    <w:p>
      <w:pPr>
        <w:tabs>
          <w:tab w:pos="312" w:val="left"/>
        </w:tabs>
        <w:spacing w:after="40"/>
        <w:ind w:left="312" w:hanging="283"/>
      </w:pPr>
      <w:r>
        <w:rPr>
          <w:color w:val="004EA8"/>
        </w:rPr>
        <w:t>2.</w:t>
        <w:tab/>
      </w:r>
      <w:r>
        <w:rPr/>
        <w:t xml:space="preserve">Read the message and the reference; check </w:t>
      </w:r>
      <w:r>
        <w:rPr>
          <w:i/>
        </w:rPr>
        <w:t>Home › Alerts</w:t>
      </w:r>
      <w:r>
        <w:rPr/>
        <w:t xml:space="preserve"> and </w:t>
      </w:r>
      <w:r>
        <w:rPr>
          <w:i/>
        </w:rPr>
        <w:t>Setup &amp; Administration › Administration › Scheduled Jobs</w:t>
      </w:r>
      <w:r>
        <w:rPr/>
        <w:t xml:space="preserve"> for a related alert or failed job.</w:t>
      </w:r>
    </w:p>
    <w:p>
      <w:pPr>
        <w:tabs>
          <w:tab w:pos="312" w:val="left"/>
        </w:tabs>
        <w:spacing w:after="40"/>
        <w:ind w:left="312" w:hanging="283"/>
      </w:pPr>
      <w:r>
        <w:rPr>
          <w:color w:val="004EA8"/>
        </w:rPr>
        <w:t>3.</w:t>
        <w:tab/>
      </w:r>
      <w:r>
        <w:rPr/>
        <w:t>Check configuration before suspecting BIBS: the role and data scope of the user (</w:t>
      </w:r>
      <w:r>
        <w:rPr>
          <w:i/>
        </w:rPr>
        <w:t>Users</w:t>
      </w:r>
      <w:r>
        <w:rPr/>
        <w:t xml:space="preserve">, </w:t>
      </w:r>
      <w:r>
        <w:rPr>
          <w:i/>
        </w:rPr>
        <w:t>User Access Matrix</w:t>
      </w:r>
      <w:r>
        <w:rPr/>
        <w:t xml:space="preserve">), the system parameter or list of values concerned and its history in </w:t>
      </w:r>
      <w:r>
        <w:rPr>
          <w:i/>
        </w:rPr>
        <w:t>Audit Trail</w:t>
      </w:r>
      <w:r>
        <w:rPr/>
        <w:t>, the workflow stage and the approval queue of the record.</w:t>
      </w:r>
    </w:p>
    <w:p>
      <w:pPr>
        <w:tabs>
          <w:tab w:pos="312" w:val="left"/>
        </w:tabs>
        <w:spacing w:after="40"/>
        <w:ind w:left="312" w:hanging="283"/>
      </w:pPr>
      <w:r>
        <w:rPr>
          <w:color w:val="004EA8"/>
        </w:rPr>
        <w:t>4.</w:t>
        <w:tab/>
      </w:r>
      <w:r>
        <w:rPr/>
        <w:t xml:space="preserve">For an interface: </w:t>
      </w:r>
      <w:r>
        <w:rPr>
          <w:i/>
        </w:rPr>
        <w:t>Integration Events</w:t>
      </w:r>
      <w:r>
        <w:rPr/>
        <w:t xml:space="preserve"> (outbox and dead letters), the latest upload or file run, and the status of the other system with its owner.</w:t>
      </w:r>
    </w:p>
    <w:p>
      <w:pPr>
        <w:tabs>
          <w:tab w:pos="312" w:val="left"/>
        </w:tabs>
        <w:spacing w:after="40"/>
        <w:ind w:left="312" w:hanging="283"/>
      </w:pPr>
      <w:r>
        <w:rPr>
          <w:color w:val="004EA8"/>
        </w:rPr>
        <w:t>5.</w:t>
        <w:tab/>
      </w:r>
      <w:r>
        <w:rPr/>
        <w:t>Reproduce in UAT with the same role and comparable data when possible.</w:t>
      </w:r>
    </w:p>
    <w:p>
      <w:pPr>
        <w:tabs>
          <w:tab w:pos="312" w:val="left"/>
        </w:tabs>
        <w:spacing w:after="40"/>
        <w:ind w:left="312" w:hanging="283"/>
      </w:pPr>
      <w:r>
        <w:rPr>
          <w:color w:val="004EA8"/>
        </w:rPr>
        <w:t>6.</w:t>
        <w:tab/>
      </w:r>
      <w:r>
        <w:rPr/>
        <w:t>Classify the cause: user or training, configuration, master or transaction data, BIBS fault, infrastructure, third party.</w:t>
      </w:r>
    </w:p>
    <w:p>
      <w:pPr>
        <w:tabs>
          <w:tab w:pos="312" w:val="left"/>
        </w:tabs>
        <w:spacing w:after="120"/>
        <w:ind w:left="312" w:hanging="283"/>
      </w:pPr>
      <w:r>
        <w:rPr>
          <w:color w:val="004EA8"/>
        </w:rPr>
        <w:t>7.</w:t>
        <w:tab/>
      </w:r>
      <w:r>
        <w:rPr/>
        <w:t>Resolve at L2 (standard change, job rerun, cache clear, data fix through the screens) or pass to L3 with the evidence; for infrastructure open a ticket to BDO Cloud Operations.</w:t>
      </w:r>
    </w:p>
    <w:p>
      <w:pPr>
        <w:pStyle w:val="Heading2"/>
      </w:pPr>
      <w:bookmarkStart w:id="121" w:name="_Toc000121"/>
      <w:r>
        <w:rPr/>
        <w:t>5.5 Major incident</w:t>
      </w:r>
      <w:bookmarkEnd w:id="121"/>
    </w:p>
    <w:p>
      <w:r>
        <w:rPr/>
        <w:t>A P1 is a major incident. The L2 lead opens a bridge within 15 minutes with the L3 on-call engineer and, when the platform is concerned, the Cloud Operations on-call. The iorta TechNXT Support Manager is incident manager until service is restored. L1 sends the first user notice within 30 minutes and an update every hour (templates in the knowledge base). A P1 that cannot be restored within 2 hours in the primary region is assessed for disaster recovery (Disaster Recovery and Business Continuity Plan, chapter 7).</w:t>
      </w:r>
    </w:p>
    <w:p>
      <w:pPr>
        <w:pStyle w:val="Heading2"/>
      </w:pPr>
      <w:bookmarkStart w:id="122" w:name="_Toc000122"/>
      <w:r>
        <w:rPr/>
        <w:t>5.6 Security incidents and personal data breaches</w:t>
      </w:r>
      <w:bookmarkEnd w:id="122"/>
    </w:p>
    <w:p>
      <w:pPr>
        <w:tabs>
          <w:tab w:pos="312" w:val="left"/>
        </w:tabs>
        <w:spacing w:after="40"/>
        <w:ind w:left="312" w:hanging="283"/>
      </w:pPr>
      <w:r>
        <w:rPr>
          <w:color w:val="004EA8"/>
        </w:rPr>
        <w:t>•</w:t>
        <w:tab/>
      </w:r>
      <w:r>
        <w:rPr/>
        <w:t>Every suspected security incident (account misuse, unusual export from Legacy Inquiry, malware found in an upload, a token reuse that the user does not explain) is logged as at least P2 and assigned to the Information Security Officer, with L2 and L3 preserving the evidence (audit trail, sign-in history, logs).</w:t>
      </w:r>
    </w:p>
    <w:p>
      <w:pPr>
        <w:tabs>
          <w:tab w:pos="312" w:val="left"/>
        </w:tabs>
        <w:spacing w:after="120"/>
        <w:ind w:left="312" w:hanging="283"/>
      </w:pPr>
      <w:r>
        <w:rPr>
          <w:color w:val="004EA8"/>
        </w:rPr>
        <w:t>•</w:t>
        <w:tab/>
      </w:r>
      <w:r>
        <w:rPr/>
        <w:t>A suspected personal data breach is P1. The Data Protection Officer decides on notification; the National Privacy Commission is notified within 72 hours of knowledge where required. iorta TechNXT supplies the facts from the logs and the audit trail within 24 hours of the request.</w:t>
      </w:r>
    </w:p>
    <w:p>
      <w:pPr>
        <w:pStyle w:val="Heading1"/>
        <w:pageBreakBefore/>
        <w:pBdr>
          <w:bottom w:val="single" w:sz="4" w:space="4" w:color="99C1E7"/>
        </w:pBdr>
      </w:pPr>
      <w:bookmarkStart w:id="123" w:name="_Toc000123"/>
      <w:r>
        <w:rPr/>
        <w:t>6 Problem management</w:t>
      </w:r>
      <w:bookmarkEnd w:id="123"/>
    </w:p>
    <w:p>
      <w:pPr>
        <w:tabs>
          <w:tab w:pos="312" w:val="left"/>
        </w:tabs>
        <w:spacing w:after="40"/>
        <w:ind w:left="312" w:hanging="283"/>
      </w:pPr>
      <w:r>
        <w:rPr>
          <w:color w:val="004EA8"/>
        </w:rPr>
        <w:t>•</w:t>
        <w:tab/>
      </w:r>
      <w:r>
        <w:rPr/>
        <w:t>A problem record is opened for every P1, for every P2 whose cause is not known when service is restored, and for every cause behind three or more incidents in a calendar month.</w:t>
      </w:r>
    </w:p>
    <w:p>
      <w:pPr>
        <w:tabs>
          <w:tab w:pos="312" w:val="left"/>
        </w:tabs>
        <w:spacing w:after="40"/>
        <w:ind w:left="312" w:hanging="283"/>
      </w:pPr>
      <w:r>
        <w:rPr>
          <w:color w:val="004EA8"/>
        </w:rPr>
        <w:t>•</w:t>
        <w:tab/>
      </w:r>
      <w:r>
        <w:rPr/>
        <w:t>L2 owns the record; L3 writes the root-cause analysis (timeline, impact, cause, why it was not caught, actions with owners and dates) within 5 business days of restore for a P1 and 10 business days for a P2.</w:t>
      </w:r>
    </w:p>
    <w:p>
      <w:pPr>
        <w:tabs>
          <w:tab w:pos="312" w:val="left"/>
        </w:tabs>
        <w:spacing w:after="40"/>
        <w:ind w:left="312" w:hanging="283"/>
      </w:pPr>
      <w:r>
        <w:rPr>
          <w:color w:val="004EA8"/>
        </w:rPr>
        <w:t>•</w:t>
        <w:tab/>
      </w:r>
      <w:r>
        <w:rPr/>
        <w:t>When the workaround is known, a known error (symptom, cause, workaround) is published in the knowledge base for L1 and L2.</w:t>
      </w:r>
    </w:p>
    <w:p>
      <w:pPr>
        <w:tabs>
          <w:tab w:pos="312" w:val="left"/>
        </w:tabs>
        <w:spacing w:after="40"/>
        <w:ind w:left="312" w:hanging="283"/>
      </w:pPr>
      <w:r>
        <w:rPr>
          <w:color w:val="004EA8"/>
        </w:rPr>
        <w:t>•</w:t>
        <w:tab/>
      </w:r>
      <w:r>
        <w:rPr/>
        <w:t>The problem closes when the permanent fix is released and no incident of the same cause occurs for 30 days.</w:t>
      </w:r>
    </w:p>
    <w:p>
      <w:pPr>
        <w:tabs>
          <w:tab w:pos="312" w:val="left"/>
        </w:tabs>
        <w:spacing w:after="120"/>
        <w:ind w:left="312" w:hanging="283"/>
      </w:pPr>
      <w:r>
        <w:rPr>
          <w:color w:val="004EA8"/>
        </w:rPr>
        <w:t>•</w:t>
        <w:tab/>
      </w:r>
      <w:r>
        <w:rPr/>
        <w:t>Open problems are reviewed at the weekly operations review and in the monthly service review.</w:t>
      </w:r>
    </w:p>
    <w:p>
      <w:pPr>
        <w:pStyle w:val="Heading1"/>
        <w:pageBreakBefore/>
        <w:pBdr>
          <w:bottom w:val="single" w:sz="4" w:space="4" w:color="99C1E7"/>
        </w:pBdr>
      </w:pPr>
      <w:bookmarkStart w:id="124" w:name="_Toc000124"/>
      <w:r>
        <w:rPr/>
        <w:t>7 Change and release management</w:t>
      </w:r>
      <w:bookmarkEnd w:id="124"/>
    </w:p>
    <w:p>
      <w:pPr>
        <w:pStyle w:val="Heading2"/>
      </w:pPr>
      <w:bookmarkStart w:id="125" w:name="_Toc000125"/>
      <w:r>
        <w:rPr/>
        <w:t>7.1 Types of change</w:t>
      </w:r>
      <w:bookmarkEnd w:id="125"/>
    </w:p>
    <w:p>
      <w:pPr>
        <w:pStyle w:val="Caption"/>
        <w:keepNext/>
        <w:spacing w:after="60"/>
      </w:pPr>
      <w:r>
        <w:rPr>
          <w:b/>
          <w:i w:val="0"/>
        </w:rPr>
        <w:t xml:space="preserve">Table 13: </w:t>
      </w:r>
      <w:r>
        <w:rPr/>
        <w:t>Types of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926"/>
        <w:gridCol w:w="3604"/>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Type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Examples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Approval</w:t>
            </w:r>
          </w:p>
        </w:tc>
      </w:tr>
      <w:tr>
        <w:trPr>
          <w:cantSplit w:val="true"/>
        </w:trPr>
        <w:tc>
          <w:tcPr>
            <w:tcW w:type="dxa" w:w="1442"/>
            <w:tcMar>
              <w:top w:w="50" w:type="dxa"/>
              <w:bottom w:w="50" w:type="dxa"/>
              <w:left w:w="90" w:type="dxa"/>
              <w:right w:w="90" w:type="dxa"/>
            </w:tcMar>
          </w:tcPr>
          <w:p>
            <w:pPr>
              <w:pStyle w:val="BDOITable"/>
            </w:pPr>
            <w:r>
              <w:rPr>
                <w:b/>
                <w:sz w:val="17"/>
              </w:rPr>
              <w:t>Standard</w:t>
            </w:r>
          </w:p>
        </w:tc>
        <w:tc>
          <w:tcPr>
            <w:tcW w:type="dxa" w:w="4926"/>
            <w:tcMar>
              <w:top w:w="50" w:type="dxa"/>
              <w:bottom w:w="50" w:type="dxa"/>
              <w:left w:w="90" w:type="dxa"/>
              <w:right w:w="90" w:type="dxa"/>
            </w:tcMar>
          </w:tcPr>
          <w:p>
            <w:pPr>
              <w:pStyle w:val="BDOITable"/>
            </w:pPr>
            <w:r>
              <w:rPr>
                <w:sz w:val="17"/>
              </w:rPr>
              <w:t>Unlocking a user; a second-factor reset (two administrators); a user access request approved in BIBS or through UIDM-ISC; a list of values or system parameter that the business maintains with maker-checker; a job rerun; a cache clear</w:t>
            </w:r>
          </w:p>
        </w:tc>
        <w:tc>
          <w:tcPr>
            <w:tcW w:type="dxa" w:w="3604"/>
            <w:tcMar>
              <w:top w:w="50" w:type="dxa"/>
              <w:bottom w:w="50" w:type="dxa"/>
              <w:left w:w="90" w:type="dxa"/>
              <w:right w:w="90" w:type="dxa"/>
            </w:tcMar>
          </w:tcPr>
          <w:p>
            <w:pPr>
              <w:pStyle w:val="BDOITable"/>
            </w:pPr>
            <w:r>
              <w:rPr>
                <w:sz w:val="17"/>
              </w:rPr>
              <w:t>Pre-approved; done by the business administrator or L2; recorded in the ticket and in the BIBS audit trail</w:t>
            </w:r>
          </w:p>
        </w:tc>
      </w:tr>
      <w:tr>
        <w:trPr>
          <w:cantSplit w:val="true"/>
        </w:trPr>
        <w:tc>
          <w:tcPr>
            <w:tcW w:type="dxa" w:w="1442"/>
            <w:tcMar>
              <w:top w:w="50" w:type="dxa"/>
              <w:bottom w:w="50" w:type="dxa"/>
              <w:left w:w="90" w:type="dxa"/>
              <w:right w:w="90" w:type="dxa"/>
            </w:tcMar>
            <w:shd w:val="clear" w:color="auto" w:fill="E5F5FF"/>
          </w:tcPr>
          <w:p>
            <w:pPr>
              <w:pStyle w:val="BDOITable"/>
            </w:pPr>
            <w:r>
              <w:rPr>
                <w:b/>
                <w:sz w:val="17"/>
              </w:rPr>
              <w:t>Normal</w:t>
            </w:r>
          </w:p>
        </w:tc>
        <w:tc>
          <w:tcPr>
            <w:tcW w:type="dxa" w:w="4926"/>
            <w:tcMar>
              <w:top w:w="50" w:type="dxa"/>
              <w:bottom w:w="50" w:type="dxa"/>
              <w:left w:w="90" w:type="dxa"/>
              <w:right w:w="90" w:type="dxa"/>
            </w:tcMar>
            <w:shd w:val="clear" w:color="auto" w:fill="E5F5FF"/>
          </w:tcPr>
          <w:p>
            <w:pPr>
              <w:pStyle w:val="BDOITable"/>
            </w:pPr>
            <w:r>
              <w:rPr>
                <w:sz w:val="17"/>
              </w:rPr>
              <w:t>A release; a change of an accounting rule, workflow, package or business parameter with effect on postings; a data correction; an infrastructure change; a change of an interface</w:t>
            </w:r>
          </w:p>
        </w:tc>
        <w:tc>
          <w:tcPr>
            <w:tcW w:type="dxa" w:w="3604"/>
            <w:tcMar>
              <w:top w:w="50" w:type="dxa"/>
              <w:bottom w:w="50" w:type="dxa"/>
              <w:left w:w="90" w:type="dxa"/>
              <w:right w:w="90" w:type="dxa"/>
            </w:tcMar>
            <w:shd w:val="clear" w:color="auto" w:fill="E5F5FF"/>
          </w:tcPr>
          <w:p>
            <w:pPr>
              <w:pStyle w:val="BDOITable"/>
            </w:pPr>
            <w:r>
              <w:rPr>
                <w:sz w:val="17"/>
              </w:rPr>
              <w:t>Change request with impact, test evidence and back-out; approved by the BIBS CAB</w:t>
            </w:r>
          </w:p>
        </w:tc>
      </w:tr>
      <w:tr>
        <w:trPr>
          <w:cantSplit w:val="true"/>
        </w:trPr>
        <w:tc>
          <w:tcPr>
            <w:tcW w:type="dxa" w:w="1442"/>
            <w:tcMar>
              <w:top w:w="50" w:type="dxa"/>
              <w:bottom w:w="50" w:type="dxa"/>
              <w:left w:w="90" w:type="dxa"/>
              <w:right w:w="90" w:type="dxa"/>
            </w:tcMar>
          </w:tcPr>
          <w:p>
            <w:pPr>
              <w:pStyle w:val="BDOITable"/>
            </w:pPr>
            <w:r>
              <w:rPr>
                <w:b/>
                <w:sz w:val="17"/>
              </w:rPr>
              <w:t>Emergency</w:t>
            </w:r>
          </w:p>
        </w:tc>
        <w:tc>
          <w:tcPr>
            <w:tcW w:type="dxa" w:w="4926"/>
            <w:tcMar>
              <w:top w:w="50" w:type="dxa"/>
              <w:bottom w:w="50" w:type="dxa"/>
              <w:left w:w="90" w:type="dxa"/>
              <w:right w:w="90" w:type="dxa"/>
            </w:tcMar>
          </w:tcPr>
          <w:p>
            <w:pPr>
              <w:pStyle w:val="BDOITable"/>
            </w:pPr>
            <w:r>
              <w:rPr>
                <w:sz w:val="17"/>
              </w:rPr>
              <w:t>Fix for a P1 or a P2 that cannot wait; urgent security patch</w:t>
            </w:r>
          </w:p>
        </w:tc>
        <w:tc>
          <w:tcPr>
            <w:tcW w:type="dxa" w:w="3604"/>
            <w:tcMar>
              <w:top w:w="50" w:type="dxa"/>
              <w:bottom w:w="50" w:type="dxa"/>
              <w:left w:w="90" w:type="dxa"/>
              <w:right w:w="90" w:type="dxa"/>
            </w:tcMar>
          </w:tcPr>
          <w:p>
            <w:pPr>
              <w:pStyle w:val="BDOITable"/>
            </w:pPr>
            <w:r>
              <w:rPr>
                <w:sz w:val="17"/>
              </w:rPr>
              <w:t>Approved by the BIBS Service Owner and the BIBS Product Owner (or deputies) by telephone or e-mail; reviewed at the next CAB</w:t>
            </w:r>
          </w:p>
        </w:tc>
      </w:tr>
    </w:tbl>
    <w:p>
      <w:pPr>
        <w:pStyle w:val="BDOISpacer"/>
      </w:pPr>
    </w:p>
    <w:p>
      <w:r>
        <w:rPr/>
        <w:t>The BIBS CAB meets weekly on Thursday: BIBS Product Owner (chair), BIBS Service Owner, L2 lead, BDO Cloud Operations, Information Security Officer, iorta TechNXT Support Manager, and the business owner of each change on the agenda. Changes to the signed FRS follow the Change Management Register (R9).</w:t>
      </w:r>
    </w:p>
    <w:p>
      <w:pPr>
        <w:pStyle w:val="Heading2"/>
      </w:pPr>
      <w:bookmarkStart w:id="126" w:name="_Toc000126"/>
      <w:r>
        <w:rPr/>
        <w:t>7.2 Data corrections</w:t>
      </w:r>
      <w:bookmarkEnd w:id="126"/>
    </w:p>
    <w:p>
      <w:r>
        <w:rPr/>
        <w:t>A correction of business data that the screens cannot make is a normal change. It needs the ticket, the business owner's written approval of the before and after values, a dry run on a copy of production in Pre-Prod (masked if people without production access use it), a backup point taken just before, and a second person who checks the result. Financial records are never edited: corrections are reversals and new postings through BIBS functions.</w:t>
      </w:r>
    </w:p>
    <w:p>
      <w:pPr>
        <w:pStyle w:val="Heading2"/>
      </w:pPr>
      <w:bookmarkStart w:id="127" w:name="_Toc000127"/>
      <w:r>
        <w:rPr/>
        <w:t>7.3 Releases</w:t>
      </w:r>
      <w:bookmarkEnd w:id="127"/>
    </w:p>
    <w:p>
      <w:pPr>
        <w:pStyle w:val="Caption"/>
        <w:keepNext/>
        <w:spacing w:after="60"/>
      </w:pPr>
      <w:r>
        <w:rPr>
          <w:b/>
          <w:i w:val="0"/>
        </w:rPr>
        <w:t xml:space="preserve">Table 14: </w:t>
      </w:r>
      <w:r>
        <w:rPr/>
        <w:t>Release standard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Standard</w:t>
            </w:r>
          </w:p>
        </w:tc>
      </w:tr>
      <w:tr>
        <w:trPr>
          <w:cantSplit w:val="true"/>
        </w:trPr>
        <w:tc>
          <w:tcPr>
            <w:tcW w:type="dxa" w:w="2042"/>
            <w:tcMar>
              <w:top w:w="50" w:type="dxa"/>
              <w:bottom w:w="50" w:type="dxa"/>
              <w:left w:w="90" w:type="dxa"/>
              <w:right w:w="90" w:type="dxa"/>
            </w:tcMar>
          </w:tcPr>
          <w:p>
            <w:pPr>
              <w:pStyle w:val="BDOITable"/>
            </w:pPr>
            <w:r>
              <w:rPr>
                <w:b/>
                <w:sz w:val="17"/>
              </w:rPr>
              <w:t>Planned release</w:t>
            </w:r>
          </w:p>
        </w:tc>
        <w:tc>
          <w:tcPr>
            <w:tcW w:type="dxa" w:w="7930"/>
            <w:tcMar>
              <w:top w:w="50" w:type="dxa"/>
              <w:bottom w:w="50" w:type="dxa"/>
              <w:left w:w="90" w:type="dxa"/>
              <w:right w:w="90" w:type="dxa"/>
            </w:tcMar>
          </w:tcPr>
          <w:p>
            <w:pPr>
              <w:pStyle w:val="BDOITable"/>
            </w:pPr>
            <w:r>
              <w:rPr>
                <w:sz w:val="17"/>
              </w:rPr>
              <w:t>Monthly, when there are fixes or approved changes; in the maintenance window of Sunday 00:00-04:00</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Emergency release</w:t>
            </w:r>
          </w:p>
        </w:tc>
        <w:tc>
          <w:tcPr>
            <w:tcW w:type="dxa" w:w="7930"/>
            <w:tcMar>
              <w:top w:w="50" w:type="dxa"/>
              <w:bottom w:w="50" w:type="dxa"/>
              <w:left w:w="90" w:type="dxa"/>
              <w:right w:w="90" w:type="dxa"/>
            </w:tcMar>
            <w:shd w:val="clear" w:color="auto" w:fill="E5F5FF"/>
          </w:tcPr>
          <w:p>
            <w:pPr>
              <w:pStyle w:val="BDOITable"/>
            </w:pPr>
            <w:r>
              <w:rPr>
                <w:sz w:val="17"/>
              </w:rPr>
              <w:t>For P1 or P2 fixes and urgent security patches, at the time agreed by the Service Owner</w:t>
            </w:r>
          </w:p>
        </w:tc>
      </w:tr>
      <w:tr>
        <w:trPr>
          <w:cantSplit w:val="true"/>
        </w:trPr>
        <w:tc>
          <w:tcPr>
            <w:tcW w:type="dxa" w:w="2042"/>
            <w:tcMar>
              <w:top w:w="50" w:type="dxa"/>
              <w:bottom w:w="50" w:type="dxa"/>
              <w:left w:w="90" w:type="dxa"/>
              <w:right w:w="90" w:type="dxa"/>
            </w:tcMar>
          </w:tcPr>
          <w:p>
            <w:pPr>
              <w:pStyle w:val="BDOITable"/>
            </w:pPr>
            <w:r>
              <w:rPr>
                <w:b/>
                <w:sz w:val="17"/>
              </w:rPr>
              <w:t>Path</w:t>
            </w:r>
          </w:p>
        </w:tc>
        <w:tc>
          <w:tcPr>
            <w:tcW w:type="dxa" w:w="7930"/>
            <w:tcMar>
              <w:top w:w="50" w:type="dxa"/>
              <w:bottom w:w="50" w:type="dxa"/>
              <w:left w:w="90" w:type="dxa"/>
              <w:right w:w="90" w:type="dxa"/>
            </w:tcMar>
          </w:tcPr>
          <w:p>
            <w:pPr>
              <w:pStyle w:val="BDOITable"/>
            </w:pPr>
            <w:r>
              <w:rPr>
                <w:sz w:val="17"/>
              </w:rPr>
              <w:t>SIT, then UAT (business regression by the key users), then Pre-Prod (rehearsal of the deployment with production-like data), then production. The same release package moves through every environment</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Release notes</w:t>
            </w:r>
          </w:p>
        </w:tc>
        <w:tc>
          <w:tcPr>
            <w:tcW w:type="dxa" w:w="7930"/>
            <w:tcMar>
              <w:top w:w="50" w:type="dxa"/>
              <w:bottom w:w="50" w:type="dxa"/>
              <w:left w:w="90" w:type="dxa"/>
              <w:right w:w="90" w:type="dxa"/>
            </w:tcMar>
            <w:shd w:val="clear" w:color="auto" w:fill="E5F5FF"/>
          </w:tcPr>
          <w:p>
            <w:pPr>
              <w:pStyle w:val="BDOITable"/>
            </w:pPr>
            <w:r>
              <w:rPr>
                <w:sz w:val="17"/>
              </w:rPr>
              <w:t>Fixes, changes, new parameters, the jobs affected, the back-out plan; sent 5 business days ahead</w:t>
            </w:r>
          </w:p>
        </w:tc>
      </w:tr>
      <w:tr>
        <w:trPr>
          <w:cantSplit w:val="true"/>
        </w:trPr>
        <w:tc>
          <w:tcPr>
            <w:tcW w:type="dxa" w:w="2042"/>
            <w:tcMar>
              <w:top w:w="50" w:type="dxa"/>
              <w:bottom w:w="50" w:type="dxa"/>
              <w:left w:w="90" w:type="dxa"/>
              <w:right w:w="90" w:type="dxa"/>
            </w:tcMar>
          </w:tcPr>
          <w:p>
            <w:pPr>
              <w:pStyle w:val="BDOITable"/>
            </w:pPr>
            <w:r>
              <w:rPr>
                <w:b/>
                <w:sz w:val="17"/>
              </w:rPr>
              <w:t>Freeze</w:t>
            </w:r>
          </w:p>
        </w:tc>
        <w:tc>
          <w:tcPr>
            <w:tcW w:type="dxa" w:w="7930"/>
            <w:tcMar>
              <w:top w:w="50" w:type="dxa"/>
              <w:bottom w:w="50" w:type="dxa"/>
              <w:left w:w="90" w:type="dxa"/>
              <w:right w:w="90" w:type="dxa"/>
            </w:tcMar>
          </w:tcPr>
          <w:p>
            <w:pPr>
              <w:pStyle w:val="BDOITable"/>
            </w:pPr>
            <w:r>
              <w:rPr>
                <w:sz w:val="17"/>
              </w:rPr>
              <w:t>No release in the last 2 and first 3 business days of a month, from 15 December to 5 January, and in the 5 business days before a BIR filing deadline that BDOI names, except emergency releases</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Before</w:t>
            </w:r>
          </w:p>
        </w:tc>
        <w:tc>
          <w:tcPr>
            <w:tcW w:type="dxa" w:w="7930"/>
            <w:tcMar>
              <w:top w:w="50" w:type="dxa"/>
              <w:bottom w:w="50" w:type="dxa"/>
              <w:left w:w="90" w:type="dxa"/>
              <w:right w:w="90" w:type="dxa"/>
            </w:tcMar>
            <w:shd w:val="clear" w:color="auto" w:fill="E5F5FF"/>
          </w:tcPr>
          <w:p>
            <w:pPr>
              <w:pStyle w:val="BDOITable"/>
            </w:pPr>
            <w:r>
              <w:rPr>
                <w:sz w:val="17"/>
              </w:rPr>
              <w:t>Database backup point; previous release package kept ready</w:t>
            </w:r>
          </w:p>
        </w:tc>
      </w:tr>
      <w:tr>
        <w:trPr>
          <w:cantSplit w:val="true"/>
        </w:trPr>
        <w:tc>
          <w:tcPr>
            <w:tcW w:type="dxa" w:w="2042"/>
            <w:tcMar>
              <w:top w:w="50" w:type="dxa"/>
              <w:bottom w:w="50" w:type="dxa"/>
              <w:left w:w="90" w:type="dxa"/>
              <w:right w:w="90" w:type="dxa"/>
            </w:tcMar>
          </w:tcPr>
          <w:p>
            <w:pPr>
              <w:pStyle w:val="BDOITable"/>
            </w:pPr>
            <w:r>
              <w:rPr>
                <w:b/>
                <w:sz w:val="17"/>
              </w:rPr>
              <w:t>After</w:t>
            </w:r>
          </w:p>
        </w:tc>
        <w:tc>
          <w:tcPr>
            <w:tcW w:type="dxa" w:w="7930"/>
            <w:tcMar>
              <w:top w:w="50" w:type="dxa"/>
              <w:bottom w:w="50" w:type="dxa"/>
              <w:left w:w="90" w:type="dxa"/>
              <w:right w:w="90" w:type="dxa"/>
            </w:tcMar>
          </w:tcPr>
          <w:p>
            <w:pPr>
              <w:pStyle w:val="BDOITable"/>
            </w:pPr>
            <w:r>
              <w:rPr>
                <w:sz w:val="17"/>
              </w:rPr>
              <w:t>Smoke test by L2 and the key users (sign-in, one transaction per module, a report, the job monitor), within 30 minutes of the end of the deployment</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Back-out</w:t>
            </w:r>
          </w:p>
        </w:tc>
        <w:tc>
          <w:tcPr>
            <w:tcW w:type="dxa" w:w="7930"/>
            <w:tcMar>
              <w:top w:w="50" w:type="dxa"/>
              <w:bottom w:w="50" w:type="dxa"/>
              <w:left w:w="90" w:type="dxa"/>
              <w:right w:w="90" w:type="dxa"/>
            </w:tcMar>
            <w:shd w:val="clear" w:color="auto" w:fill="E5F5FF"/>
          </w:tcPr>
          <w:p>
            <w:pPr>
              <w:pStyle w:val="BDOITable"/>
            </w:pPr>
            <w:r>
              <w:rPr>
                <w:sz w:val="17"/>
              </w:rPr>
              <w:t>Redeploy the previous release package. Database changes of a release are backward compatible with the previous release, so the back-out needs no database restore</w:t>
            </w:r>
          </w:p>
        </w:tc>
      </w:tr>
    </w:tbl>
    <w:p>
      <w:pPr>
        <w:pStyle w:val="BDOISpacer"/>
      </w:pPr>
    </w:p>
    <w:p>
      <w:pPr>
        <w:pStyle w:val="Heading2"/>
      </w:pPr>
      <w:bookmarkStart w:id="128" w:name="_Toc000128"/>
      <w:r>
        <w:rPr/>
        <w:t>7.4 Patching</w:t>
      </w:r>
      <w:bookmarkEnd w:id="128"/>
    </w:p>
    <w:p>
      <w:pPr>
        <w:pStyle w:val="Caption"/>
        <w:keepNext/>
        <w:spacing w:after="60"/>
      </w:pPr>
      <w:r>
        <w:rPr>
          <w:b/>
          <w:i w:val="0"/>
        </w:rPr>
        <w:t xml:space="preserve">Table 15: </w:t>
      </w:r>
      <w:r>
        <w:rPr/>
        <w:t>Patching standard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Component</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7"/>
              </w:rPr>
              <w:t>Standard</w:t>
            </w:r>
          </w:p>
        </w:tc>
      </w:tr>
      <w:tr>
        <w:trPr>
          <w:cantSplit w:val="true"/>
        </w:trPr>
        <w:tc>
          <w:tcPr>
            <w:tcW w:type="dxa" w:w="2403"/>
            <w:tcMar>
              <w:top w:w="50" w:type="dxa"/>
              <w:bottom w:w="50" w:type="dxa"/>
              <w:left w:w="90" w:type="dxa"/>
              <w:right w:w="90" w:type="dxa"/>
            </w:tcMar>
          </w:tcPr>
          <w:p>
            <w:pPr>
              <w:pStyle w:val="BDOITable"/>
            </w:pPr>
            <w:r>
              <w:rPr>
                <w:b/>
                <w:sz w:val="17"/>
              </w:rPr>
              <w:t>BIBS platform components (OpenJDK 21, Spring Boot 3.5, React, nginx) and libraries</w:t>
            </w:r>
          </w:p>
        </w:tc>
        <w:tc>
          <w:tcPr>
            <w:tcW w:type="dxa" w:w="7569"/>
            <w:tcMar>
              <w:top w:w="50" w:type="dxa"/>
              <w:bottom w:w="50" w:type="dxa"/>
              <w:left w:w="90" w:type="dxa"/>
              <w:right w:w="90" w:type="dxa"/>
            </w:tcMar>
          </w:tcPr>
          <w:p>
            <w:pPr>
              <w:pStyle w:val="BDOITable"/>
            </w:pPr>
            <w:r>
              <w:rPr>
                <w:sz w:val="17"/>
              </w:rPr>
              <w:t>Security advisories reviewed monthly; critical and high vulnerabilities fixed within 14 days by an emergency or the next planned release; component baseline reviewed every year (Programme Alignment, component baseline)</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Container base images</w:t>
            </w:r>
          </w:p>
        </w:tc>
        <w:tc>
          <w:tcPr>
            <w:tcW w:type="dxa" w:w="7569"/>
            <w:tcMar>
              <w:top w:w="50" w:type="dxa"/>
              <w:bottom w:w="50" w:type="dxa"/>
              <w:left w:w="90" w:type="dxa"/>
              <w:right w:w="90" w:type="dxa"/>
            </w:tcMar>
            <w:shd w:val="clear" w:color="auto" w:fill="E5F5FF"/>
          </w:tcPr>
          <w:p>
            <w:pPr>
              <w:pStyle w:val="BDOITable"/>
            </w:pPr>
            <w:r>
              <w:rPr>
                <w:sz w:val="17"/>
              </w:rPr>
              <w:t>Refreshed with each planned release and at least every quarter; scanned before release</w:t>
            </w:r>
          </w:p>
        </w:tc>
      </w:tr>
      <w:tr>
        <w:trPr>
          <w:cantSplit w:val="true"/>
        </w:trPr>
        <w:tc>
          <w:tcPr>
            <w:tcW w:type="dxa" w:w="2403"/>
            <w:tcMar>
              <w:top w:w="50" w:type="dxa"/>
              <w:bottom w:w="50" w:type="dxa"/>
              <w:left w:w="90" w:type="dxa"/>
              <w:right w:w="90" w:type="dxa"/>
            </w:tcMar>
          </w:tcPr>
          <w:p>
            <w:pPr>
              <w:pStyle w:val="BDOITable"/>
            </w:pPr>
            <w:r>
              <w:rPr>
                <w:b/>
                <w:sz w:val="17"/>
              </w:rPr>
              <w:t>Managed services (RDS PostgreSQL 16, ElastiCache for Valkey 8, MSK Kafka 3.9, EKS)</w:t>
            </w:r>
          </w:p>
        </w:tc>
        <w:tc>
          <w:tcPr>
            <w:tcW w:type="dxa" w:w="7569"/>
            <w:tcMar>
              <w:top w:w="50" w:type="dxa"/>
              <w:bottom w:w="50" w:type="dxa"/>
              <w:left w:w="90" w:type="dxa"/>
              <w:right w:w="90" w:type="dxa"/>
            </w:tcMar>
          </w:tcPr>
          <w:p>
            <w:pPr>
              <w:pStyle w:val="BDOITable"/>
            </w:pPr>
            <w:r>
              <w:rPr>
                <w:sz w:val="17"/>
              </w:rPr>
              <w:t>Minor versions in the maintenance window by BDO Cloud Operations, after SIT and UAT; major upgrades as projects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Certificates</w:t>
            </w:r>
          </w:p>
        </w:tc>
        <w:tc>
          <w:tcPr>
            <w:tcW w:type="dxa" w:w="7569"/>
            <w:tcMar>
              <w:top w:w="50" w:type="dxa"/>
              <w:bottom w:w="50" w:type="dxa"/>
              <w:left w:w="90" w:type="dxa"/>
              <w:right w:w="90" w:type="dxa"/>
            </w:tcMar>
            <w:shd w:val="clear" w:color="auto" w:fill="E5F5FF"/>
          </w:tcPr>
          <w:p>
            <w:pPr>
              <w:pStyle w:val="BDOITable"/>
            </w:pPr>
            <w:r>
              <w:rPr>
                <w:sz w:val="17"/>
              </w:rPr>
              <w:t>Renewal alarm 30 days before expiry; in-cluster certificates renewed automatically 15 days before expiry</w:t>
            </w:r>
          </w:p>
        </w:tc>
      </w:tr>
    </w:tbl>
    <w:p>
      <w:pPr>
        <w:pStyle w:val="BDOISpacer"/>
      </w:pPr>
    </w:p>
    <w:p>
      <w:pPr>
        <w:pStyle w:val="Heading1"/>
        <w:pageBreakBefore/>
        <w:pBdr>
          <w:bottom w:val="single" w:sz="4" w:space="4" w:color="99C1E7"/>
        </w:pBdr>
      </w:pPr>
      <w:bookmarkStart w:id="129" w:name="_Toc000129"/>
      <w:r>
        <w:rPr/>
        <w:t>8 Knowledge management</w:t>
      </w:r>
      <w:bookmarkEnd w:id="129"/>
    </w:p>
    <w:p>
      <w:pPr>
        <w:tabs>
          <w:tab w:pos="312" w:val="left"/>
        </w:tabs>
        <w:spacing w:after="40"/>
        <w:ind w:left="312" w:hanging="283"/>
      </w:pPr>
      <w:r>
        <w:rPr>
          <w:color w:val="004EA8"/>
        </w:rPr>
        <w:t>•</w:t>
        <w:tab/>
      </w:r>
      <w:r>
        <w:rPr/>
        <w:t>The knowledge base lives in the BDOI ITSM tool and is shared by L1, L2 and L3. Its starting set at hypercare exit is chapter 12 of this document, the user guides of the sign-off sets, the Operations Runbook procedures and the known errors of hypercare.</w:t>
      </w:r>
    </w:p>
    <w:p>
      <w:pPr>
        <w:tabs>
          <w:tab w:pos="312" w:val="left"/>
        </w:tabs>
        <w:spacing w:after="40"/>
        <w:ind w:left="312" w:hanging="283"/>
      </w:pPr>
      <w:r>
        <w:rPr>
          <w:color w:val="004EA8"/>
        </w:rPr>
        <w:t>•</w:t>
        <w:tab/>
      </w:r>
      <w:r>
        <w:rPr/>
        <w:t>Each article names the screen by its menu path, the role, the BIBS release it applies to, the date reviewed and the owner.</w:t>
      </w:r>
    </w:p>
    <w:p>
      <w:pPr>
        <w:tabs>
          <w:tab w:pos="312" w:val="left"/>
        </w:tabs>
        <w:spacing w:after="40"/>
        <w:ind w:left="312" w:hanging="283"/>
      </w:pPr>
      <w:r>
        <w:rPr>
          <w:color w:val="004EA8"/>
        </w:rPr>
        <w:t>•</w:t>
        <w:tab/>
      </w:r>
      <w:r>
        <w:rPr/>
        <w:t>Every resolved ticket is checked for an article (new, updated or none needed); L2 approves articles for L1.</w:t>
      </w:r>
    </w:p>
    <w:p>
      <w:pPr>
        <w:tabs>
          <w:tab w:pos="312" w:val="left"/>
        </w:tabs>
        <w:spacing w:after="120"/>
        <w:ind w:left="312" w:hanging="283"/>
      </w:pPr>
      <w:r>
        <w:rPr>
          <w:color w:val="004EA8"/>
        </w:rPr>
        <w:t>•</w:t>
        <w:tab/>
      </w:r>
      <w:r>
        <w:rPr/>
        <w:t>Articles are reviewed at every planned release and at least twice a year.</w:t>
      </w:r>
    </w:p>
    <w:p>
      <w:pPr>
        <w:pStyle w:val="Heading1"/>
        <w:pageBreakBefore/>
        <w:pBdr>
          <w:bottom w:val="single" w:sz="4" w:space="4" w:color="99C1E7"/>
        </w:pBdr>
      </w:pPr>
      <w:bookmarkStart w:id="130" w:name="_Toc000130"/>
      <w:r>
        <w:rPr/>
        <w:t>9 Escalation matrix</w:t>
      </w:r>
      <w:bookmarkEnd w:id="130"/>
    </w:p>
    <w:p>
      <w:r>
        <w:rPr/>
        <w:t>Functional escalation moves a ticket to the next level; hierarchical escalation brings in management when a target is at risk.</w:t>
      </w:r>
    </w:p>
    <w:p>
      <w:pPr>
        <w:pStyle w:val="Caption"/>
        <w:keepNext/>
        <w:spacing w:after="60"/>
      </w:pPr>
      <w:r>
        <w:rPr>
          <w:b/>
          <w:i w:val="0"/>
        </w:rPr>
        <w:t xml:space="preserve">Table 16: </w:t>
      </w:r>
      <w:r>
        <w:rPr/>
        <w:t>Escalation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364"/>
        <w:gridCol w:w="3604"/>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Trigger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BDOI side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iorta TechNXT and BDO Cloud Operations side</w:t>
            </w:r>
          </w:p>
        </w:tc>
      </w:tr>
      <w:tr>
        <w:trPr>
          <w:cantSplit w:val="true"/>
        </w:trPr>
        <w:tc>
          <w:tcPr>
            <w:tcW w:type="dxa" w:w="3004"/>
            <w:tcMar>
              <w:top w:w="50" w:type="dxa"/>
              <w:bottom w:w="50" w:type="dxa"/>
              <w:left w:w="90" w:type="dxa"/>
              <w:right w:w="90" w:type="dxa"/>
            </w:tcMar>
          </w:tcPr>
          <w:p>
            <w:pPr>
              <w:pStyle w:val="BDOITable"/>
            </w:pPr>
            <w:r>
              <w:rPr>
                <w:b/>
                <w:sz w:val="17"/>
              </w:rPr>
              <w:t>P1 logged</w:t>
            </w:r>
          </w:p>
        </w:tc>
        <w:tc>
          <w:tcPr>
            <w:tcW w:type="dxa" w:w="3364"/>
            <w:tcMar>
              <w:top w:w="50" w:type="dxa"/>
              <w:bottom w:w="50" w:type="dxa"/>
              <w:left w:w="90" w:type="dxa"/>
              <w:right w:w="90" w:type="dxa"/>
            </w:tcMar>
          </w:tcPr>
          <w:p>
            <w:pPr>
              <w:pStyle w:val="BDOITable"/>
            </w:pPr>
            <w:r>
              <w:rPr>
                <w:sz w:val="17"/>
              </w:rPr>
              <w:t>L1 informs the L2 lead at once; L2 lead informs the BIBS Service Owner</w:t>
            </w:r>
          </w:p>
        </w:tc>
        <w:tc>
          <w:tcPr>
            <w:tcW w:type="dxa" w:w="3604"/>
            <w:tcMar>
              <w:top w:w="50" w:type="dxa"/>
              <w:bottom w:w="50" w:type="dxa"/>
              <w:left w:w="90" w:type="dxa"/>
              <w:right w:w="90" w:type="dxa"/>
            </w:tcMar>
          </w:tcPr>
          <w:p>
            <w:pPr>
              <w:pStyle w:val="BDOITable"/>
            </w:pPr>
            <w:r>
              <w:rPr>
                <w:sz w:val="17"/>
              </w:rPr>
              <w:t>L3 on-call and the Support Manager engaged; Cloud Operations on-call paged for platform alerts</w:t>
            </w:r>
          </w:p>
        </w:tc>
      </w:tr>
      <w:tr>
        <w:trPr>
          <w:cantSplit w:val="true"/>
        </w:trPr>
        <w:tc>
          <w:tcPr>
            <w:tcW w:type="dxa" w:w="3004"/>
            <w:tcMar>
              <w:top w:w="50" w:type="dxa"/>
              <w:bottom w:w="50" w:type="dxa"/>
              <w:left w:w="90" w:type="dxa"/>
              <w:right w:w="90" w:type="dxa"/>
            </w:tcMar>
            <w:shd w:val="clear" w:color="auto" w:fill="E5F5FF"/>
          </w:tcPr>
          <w:p>
            <w:pPr>
              <w:pStyle w:val="BDOITable"/>
            </w:pPr>
            <w:r>
              <w:rPr>
                <w:b/>
                <w:sz w:val="17"/>
              </w:rPr>
              <w:t>P1 not restored in 1 hour</w:t>
            </w:r>
          </w:p>
        </w:tc>
        <w:tc>
          <w:tcPr>
            <w:tcW w:type="dxa" w:w="3364"/>
            <w:tcMar>
              <w:top w:w="50" w:type="dxa"/>
              <w:bottom w:w="50" w:type="dxa"/>
              <w:left w:w="90" w:type="dxa"/>
              <w:right w:w="90" w:type="dxa"/>
            </w:tcMar>
            <w:shd w:val="clear" w:color="auto" w:fill="E5F5FF"/>
          </w:tcPr>
          <w:p>
            <w:pPr>
              <w:pStyle w:val="BDOITable"/>
            </w:pPr>
            <w:r>
              <w:rPr>
                <w:sz w:val="17"/>
              </w:rPr>
              <w:t>Service Owner informs the Head of BDOI IT and the BIBS Product Owner</w:t>
            </w:r>
          </w:p>
        </w:tc>
        <w:tc>
          <w:tcPr>
            <w:tcW w:type="dxa" w:w="3604"/>
            <w:tcMar>
              <w:top w:w="50" w:type="dxa"/>
              <w:bottom w:w="50" w:type="dxa"/>
              <w:left w:w="90" w:type="dxa"/>
              <w:right w:w="90" w:type="dxa"/>
            </w:tcMar>
            <w:shd w:val="clear" w:color="auto" w:fill="E5F5FF"/>
          </w:tcPr>
          <w:p>
            <w:pPr>
              <w:pStyle w:val="BDOITable"/>
            </w:pPr>
            <w:r>
              <w:rPr>
                <w:sz w:val="17"/>
              </w:rPr>
              <w:t>Support Manager engages the engineering lead; hourly bridge updates</w:t>
            </w:r>
          </w:p>
        </w:tc>
      </w:tr>
      <w:tr>
        <w:trPr>
          <w:cantSplit w:val="true"/>
        </w:trPr>
        <w:tc>
          <w:tcPr>
            <w:tcW w:type="dxa" w:w="3004"/>
            <w:tcMar>
              <w:top w:w="50" w:type="dxa"/>
              <w:bottom w:w="50" w:type="dxa"/>
              <w:left w:w="90" w:type="dxa"/>
              <w:right w:w="90" w:type="dxa"/>
            </w:tcMar>
          </w:tcPr>
          <w:p>
            <w:pPr>
              <w:pStyle w:val="BDOITable"/>
            </w:pPr>
            <w:r>
              <w:rPr>
                <w:b/>
                <w:sz w:val="17"/>
              </w:rPr>
              <w:t>P1 not restored in 2 hours</w:t>
            </w:r>
          </w:p>
        </w:tc>
        <w:tc>
          <w:tcPr>
            <w:tcW w:type="dxa" w:w="3364"/>
            <w:tcMar>
              <w:top w:w="50" w:type="dxa"/>
              <w:bottom w:w="50" w:type="dxa"/>
              <w:left w:w="90" w:type="dxa"/>
              <w:right w:w="90" w:type="dxa"/>
            </w:tcMar>
          </w:tcPr>
          <w:p>
            <w:pPr>
              <w:pStyle w:val="BDOITable"/>
            </w:pPr>
            <w:r>
              <w:rPr>
                <w:sz w:val="17"/>
              </w:rPr>
              <w:t>Head of BDOI IT informs the business heads concerned; DR assessment (DR plan)</w:t>
            </w:r>
          </w:p>
        </w:tc>
        <w:tc>
          <w:tcPr>
            <w:tcW w:type="dxa" w:w="3604"/>
            <w:tcMar>
              <w:top w:w="50" w:type="dxa"/>
              <w:bottom w:w="50" w:type="dxa"/>
              <w:left w:w="90" w:type="dxa"/>
              <w:right w:w="90" w:type="dxa"/>
            </w:tcMar>
          </w:tcPr>
          <w:p>
            <w:pPr>
              <w:pStyle w:val="BDOITable"/>
            </w:pPr>
            <w:r>
              <w:rPr>
                <w:sz w:val="17"/>
              </w:rPr>
              <w:t>iorta TechNXT head of delivery informed</w:t>
            </w:r>
          </w:p>
        </w:tc>
      </w:tr>
      <w:tr>
        <w:trPr>
          <w:cantSplit w:val="true"/>
        </w:trPr>
        <w:tc>
          <w:tcPr>
            <w:tcW w:type="dxa" w:w="3004"/>
            <w:tcMar>
              <w:top w:w="50" w:type="dxa"/>
              <w:bottom w:w="50" w:type="dxa"/>
              <w:left w:w="90" w:type="dxa"/>
              <w:right w:w="90" w:type="dxa"/>
            </w:tcMar>
            <w:shd w:val="clear" w:color="auto" w:fill="E5F5FF"/>
          </w:tcPr>
          <w:p>
            <w:pPr>
              <w:pStyle w:val="BDOITable"/>
            </w:pPr>
            <w:r>
              <w:rPr>
                <w:b/>
                <w:sz w:val="17"/>
              </w:rPr>
              <w:t>P1 not restored in 4 hours</w:t>
            </w:r>
          </w:p>
        </w:tc>
        <w:tc>
          <w:tcPr>
            <w:tcW w:type="dxa" w:w="3364"/>
            <w:tcMar>
              <w:top w:w="50" w:type="dxa"/>
              <w:bottom w:w="50" w:type="dxa"/>
              <w:left w:w="90" w:type="dxa"/>
              <w:right w:w="90" w:type="dxa"/>
            </w:tcMar>
            <w:shd w:val="clear" w:color="auto" w:fill="E5F5FF"/>
          </w:tcPr>
          <w:p>
            <w:pPr>
              <w:pStyle w:val="BDOITable"/>
            </w:pPr>
            <w:r>
              <w:rPr>
                <w:sz w:val="17"/>
              </w:rPr>
              <w:t>Business continuity procedures of the department in force (DR plan, chapter 10)</w:t>
            </w:r>
          </w:p>
        </w:tc>
        <w:tc>
          <w:tcPr>
            <w:tcW w:type="dxa" w:w="3604"/>
            <w:tcMar>
              <w:top w:w="50" w:type="dxa"/>
              <w:bottom w:w="50" w:type="dxa"/>
              <w:left w:w="90" w:type="dxa"/>
              <w:right w:w="90" w:type="dxa"/>
            </w:tcMar>
            <w:shd w:val="clear" w:color="auto" w:fill="E5F5FF"/>
          </w:tcPr>
          <w:p>
            <w:pPr>
              <w:pStyle w:val="BDOITable"/>
            </w:pPr>
            <w:r>
              <w:rPr>
                <w:sz w:val="17"/>
              </w:rPr>
              <w:t>iorta TechNXT account executive informed; RCA report owed</w:t>
            </w:r>
          </w:p>
        </w:tc>
      </w:tr>
      <w:tr>
        <w:trPr>
          <w:cantSplit w:val="true"/>
        </w:trPr>
        <w:tc>
          <w:tcPr>
            <w:tcW w:type="dxa" w:w="3004"/>
            <w:tcMar>
              <w:top w:w="50" w:type="dxa"/>
              <w:bottom w:w="50" w:type="dxa"/>
              <w:left w:w="90" w:type="dxa"/>
              <w:right w:w="90" w:type="dxa"/>
            </w:tcMar>
          </w:tcPr>
          <w:p>
            <w:pPr>
              <w:pStyle w:val="BDOITable"/>
            </w:pPr>
            <w:r>
              <w:rPr>
                <w:b/>
                <w:sz w:val="17"/>
              </w:rPr>
              <w:t>P2 without response in 30 minutes</w:t>
            </w:r>
          </w:p>
        </w:tc>
        <w:tc>
          <w:tcPr>
            <w:tcW w:type="dxa" w:w="3364"/>
            <w:tcMar>
              <w:top w:w="50" w:type="dxa"/>
              <w:bottom w:w="50" w:type="dxa"/>
              <w:left w:w="90" w:type="dxa"/>
              <w:right w:w="90" w:type="dxa"/>
            </w:tcMar>
          </w:tcPr>
          <w:p>
            <w:pPr>
              <w:pStyle w:val="BDOITable"/>
            </w:pPr>
            <w:r>
              <w:rPr>
                <w:sz w:val="17"/>
              </w:rPr>
              <w:t>L1 calls the L2 lead</w:t>
            </w:r>
          </w:p>
        </w:tc>
        <w:tc>
          <w:tcPr>
            <w:tcW w:type="dxa" w:w="3604"/>
            <w:tcMar>
              <w:top w:w="50" w:type="dxa"/>
              <w:bottom w:w="50" w:type="dxa"/>
              <w:left w:w="90" w:type="dxa"/>
              <w:right w:w="90" w:type="dxa"/>
            </w:tcMar>
          </w:tcPr>
          <w:p>
            <w:pPr>
              <w:pStyle w:val="BDOITable"/>
            </w:pPr>
            <w:r>
              <w:rPr>
                <w:sz w:val="17"/>
              </w:rPr>
              <w:t>L2 lead assigns; Support Manager informed if L3 is needed</w:t>
            </w:r>
          </w:p>
        </w:tc>
      </w:tr>
      <w:tr>
        <w:trPr>
          <w:cantSplit w:val="true"/>
        </w:trPr>
        <w:tc>
          <w:tcPr>
            <w:tcW w:type="dxa" w:w="3004"/>
            <w:tcMar>
              <w:top w:w="50" w:type="dxa"/>
              <w:bottom w:w="50" w:type="dxa"/>
              <w:left w:w="90" w:type="dxa"/>
              <w:right w:w="90" w:type="dxa"/>
            </w:tcMar>
            <w:shd w:val="clear" w:color="auto" w:fill="E5F5FF"/>
          </w:tcPr>
          <w:p>
            <w:pPr>
              <w:pStyle w:val="BDOITable"/>
            </w:pPr>
            <w:r>
              <w:rPr>
                <w:b/>
                <w:sz w:val="17"/>
              </w:rPr>
              <w:t>P2 not restored in 8 service hours</w:t>
            </w:r>
          </w:p>
        </w:tc>
        <w:tc>
          <w:tcPr>
            <w:tcW w:type="dxa" w:w="3364"/>
            <w:tcMar>
              <w:top w:w="50" w:type="dxa"/>
              <w:bottom w:w="50" w:type="dxa"/>
              <w:left w:w="90" w:type="dxa"/>
              <w:right w:w="90" w:type="dxa"/>
            </w:tcMar>
            <w:shd w:val="clear" w:color="auto" w:fill="E5F5FF"/>
          </w:tcPr>
          <w:p>
            <w:pPr>
              <w:pStyle w:val="BDOITable"/>
            </w:pPr>
            <w:r>
              <w:rPr>
                <w:sz w:val="17"/>
              </w:rPr>
              <w:t>Service Owner informed</w:t>
            </w:r>
          </w:p>
        </w:tc>
        <w:tc>
          <w:tcPr>
            <w:tcW w:type="dxa" w:w="3604"/>
            <w:tcMar>
              <w:top w:w="50" w:type="dxa"/>
              <w:bottom w:w="50" w:type="dxa"/>
              <w:left w:w="90" w:type="dxa"/>
              <w:right w:w="90" w:type="dxa"/>
            </w:tcMar>
            <w:shd w:val="clear" w:color="auto" w:fill="E5F5FF"/>
          </w:tcPr>
          <w:p>
            <w:pPr>
              <w:pStyle w:val="BDOITable"/>
            </w:pPr>
            <w:r>
              <w:rPr>
                <w:sz w:val="17"/>
              </w:rPr>
              <w:t>Support Manager sends a plan with dates</w:t>
            </w:r>
          </w:p>
        </w:tc>
      </w:tr>
      <w:tr>
        <w:trPr>
          <w:cantSplit w:val="true"/>
        </w:trPr>
        <w:tc>
          <w:tcPr>
            <w:tcW w:type="dxa" w:w="3004"/>
            <w:tcMar>
              <w:top w:w="50" w:type="dxa"/>
              <w:bottom w:w="50" w:type="dxa"/>
              <w:left w:w="90" w:type="dxa"/>
              <w:right w:w="90" w:type="dxa"/>
            </w:tcMar>
          </w:tcPr>
          <w:p>
            <w:pPr>
              <w:pStyle w:val="BDOITable"/>
            </w:pPr>
            <w:r>
              <w:rPr>
                <w:b/>
                <w:sz w:val="17"/>
              </w:rPr>
              <w:t>Disagreement on severity or closure</w:t>
            </w:r>
          </w:p>
        </w:tc>
        <w:tc>
          <w:tcPr>
            <w:tcW w:type="dxa" w:w="3364"/>
            <w:tcMar>
              <w:top w:w="50" w:type="dxa"/>
              <w:bottom w:w="50" w:type="dxa"/>
              <w:left w:w="90" w:type="dxa"/>
              <w:right w:w="90" w:type="dxa"/>
            </w:tcMar>
          </w:tcPr>
          <w:p>
            <w:pPr>
              <w:pStyle w:val="BDOITable"/>
            </w:pPr>
            <w:r>
              <w:rPr>
                <w:sz w:val="17"/>
              </w:rPr>
              <w:t>L2 lead, then the Service Owner</w:t>
            </w:r>
          </w:p>
        </w:tc>
        <w:tc>
          <w:tcPr>
            <w:tcW w:type="dxa" w:w="3604"/>
            <w:tcMar>
              <w:top w:w="50" w:type="dxa"/>
              <w:bottom w:w="50" w:type="dxa"/>
              <w:left w:w="90" w:type="dxa"/>
              <w:right w:w="90" w:type="dxa"/>
            </w:tcMar>
          </w:tcPr>
          <w:p>
            <w:pPr>
              <w:pStyle w:val="BDOITable"/>
            </w:pPr>
            <w:r>
              <w:rPr>
                <w:sz w:val="17"/>
              </w:rPr>
              <w:t>Support Manager, then the account executive</w:t>
            </w:r>
          </w:p>
        </w:tc>
      </w:tr>
      <w:tr>
        <w:trPr>
          <w:cantSplit w:val="true"/>
        </w:trPr>
        <w:tc>
          <w:tcPr>
            <w:tcW w:type="dxa" w:w="3004"/>
            <w:tcMar>
              <w:top w:w="50" w:type="dxa"/>
              <w:bottom w:w="50" w:type="dxa"/>
              <w:left w:w="90" w:type="dxa"/>
              <w:right w:w="90" w:type="dxa"/>
            </w:tcMar>
            <w:shd w:val="clear" w:color="auto" w:fill="E5F5FF"/>
          </w:tcPr>
          <w:p>
            <w:pPr>
              <w:pStyle w:val="BDOITable"/>
            </w:pPr>
            <w:r>
              <w:rPr>
                <w:b/>
                <w:sz w:val="17"/>
              </w:rPr>
              <w:t>Three or more incidents of one cause in a month</w:t>
            </w:r>
          </w:p>
        </w:tc>
        <w:tc>
          <w:tcPr>
            <w:tcW w:type="dxa" w:w="3364"/>
            <w:tcMar>
              <w:top w:w="50" w:type="dxa"/>
              <w:bottom w:w="50" w:type="dxa"/>
              <w:left w:w="90" w:type="dxa"/>
              <w:right w:w="90" w:type="dxa"/>
            </w:tcMar>
            <w:shd w:val="clear" w:color="auto" w:fill="E5F5FF"/>
          </w:tcPr>
          <w:p>
            <w:pPr>
              <w:pStyle w:val="BDOITable"/>
            </w:pPr>
            <w:r>
              <w:rPr>
                <w:sz w:val="17"/>
              </w:rPr>
              <w:t>Monthly service review</w:t>
            </w:r>
          </w:p>
        </w:tc>
        <w:tc>
          <w:tcPr>
            <w:tcW w:type="dxa" w:w="3604"/>
            <w:tcMar>
              <w:top w:w="50" w:type="dxa"/>
              <w:bottom w:w="50" w:type="dxa"/>
              <w:left w:w="90" w:type="dxa"/>
              <w:right w:w="90" w:type="dxa"/>
            </w:tcMar>
            <w:shd w:val="clear" w:color="auto" w:fill="E5F5FF"/>
          </w:tcPr>
          <w:p>
            <w:pPr>
              <w:pStyle w:val="BDOITable"/>
            </w:pPr>
            <w:r>
              <w:rPr>
                <w:sz w:val="17"/>
              </w:rPr>
              <w:t>Problem record and RCA</w:t>
            </w:r>
          </w:p>
        </w:tc>
      </w:tr>
    </w:tbl>
    <w:p>
      <w:pPr>
        <w:pStyle w:val="BDOISpacer"/>
      </w:pPr>
    </w:p>
    <w:p>
      <w:r>
        <w:rPr/>
        <w:t>The names and telephone numbers of each role are kept in the contact annex of the support agreement and in the ITSM tool, and checked every quarter.</w:t>
      </w:r>
    </w:p>
    <w:p>
      <w:pPr>
        <w:pStyle w:val="Heading1"/>
        <w:pageBreakBefore/>
        <w:pBdr>
          <w:bottom w:val="single" w:sz="4" w:space="4" w:color="99C1E7"/>
        </w:pBdr>
      </w:pPr>
      <w:bookmarkStart w:id="131" w:name="_Toc000131"/>
      <w:r>
        <w:rPr/>
        <w:t>10 Tools</w:t>
      </w:r>
      <w:bookmarkEnd w:id="131"/>
    </w:p>
    <w:p>
      <w:pPr>
        <w:pStyle w:val="Caption"/>
        <w:keepNext/>
        <w:spacing w:after="60"/>
      </w:pPr>
      <w:r>
        <w:rPr>
          <w:b/>
          <w:i w:val="0"/>
        </w:rPr>
        <w:t xml:space="preserve">Table 17: </w:t>
      </w:r>
      <w:r>
        <w:rPr/>
        <w:t>Support tools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4445"/>
        <w:gridCol w:w="3124"/>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Tool</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Use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2403"/>
            <w:tcMar>
              <w:top w:w="50" w:type="dxa"/>
              <w:bottom w:w="50" w:type="dxa"/>
              <w:left w:w="90" w:type="dxa"/>
              <w:right w:w="90" w:type="dxa"/>
            </w:tcMar>
          </w:tcPr>
          <w:p>
            <w:pPr>
              <w:pStyle w:val="BDOITable"/>
            </w:pPr>
            <w:r>
              <w:rPr>
                <w:b/>
                <w:sz w:val="17"/>
              </w:rPr>
              <w:t>BDOI ITSM tool (BDO service management platform)</w:t>
            </w:r>
          </w:p>
        </w:tc>
        <w:tc>
          <w:tcPr>
            <w:tcW w:type="dxa" w:w="4445"/>
            <w:tcMar>
              <w:top w:w="50" w:type="dxa"/>
              <w:bottom w:w="50" w:type="dxa"/>
              <w:left w:w="90" w:type="dxa"/>
              <w:right w:w="90" w:type="dxa"/>
            </w:tcMar>
          </w:tcPr>
          <w:p>
            <w:pPr>
              <w:pStyle w:val="BDOITable"/>
            </w:pPr>
            <w:r>
              <w:rPr>
                <w:sz w:val="17"/>
              </w:rPr>
              <w:t>Tickets, problems, changes, knowledge base, SLA clocks and reports</w:t>
            </w:r>
          </w:p>
        </w:tc>
        <w:tc>
          <w:tcPr>
            <w:tcW w:type="dxa" w:w="3124"/>
            <w:tcMar>
              <w:top w:w="50" w:type="dxa"/>
              <w:bottom w:w="50" w:type="dxa"/>
              <w:left w:w="90" w:type="dxa"/>
              <w:right w:w="90" w:type="dxa"/>
            </w:tcMar>
          </w:tcPr>
          <w:p>
            <w:pPr>
              <w:pStyle w:val="BDOITable"/>
            </w:pPr>
            <w:r>
              <w:rPr>
                <w:sz w:val="17"/>
              </w:rPr>
              <w:t>BDOI IT</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BIBS screens for support (Setup &amp; Administration)</w:t>
            </w:r>
          </w:p>
        </w:tc>
        <w:tc>
          <w:tcPr>
            <w:tcW w:type="dxa" w:w="4445"/>
            <w:tcMar>
              <w:top w:w="50" w:type="dxa"/>
              <w:bottom w:w="50" w:type="dxa"/>
              <w:left w:w="90" w:type="dxa"/>
              <w:right w:w="90" w:type="dxa"/>
            </w:tcMar>
            <w:shd w:val="clear" w:color="auto" w:fill="E5F5FF"/>
          </w:tcPr>
          <w:p>
            <w:pPr>
              <w:pStyle w:val="BDOITable"/>
            </w:pPr>
            <w:r>
              <w:rPr>
                <w:i/>
                <w:sz w:val="17"/>
              </w:rPr>
              <w:t>Users</w:t>
            </w:r>
            <w:r>
              <w:rPr>
                <w:sz w:val="17"/>
              </w:rPr>
              <w:t xml:space="preserve">, </w:t>
            </w:r>
            <w:r>
              <w:rPr>
                <w:i/>
                <w:sz w:val="17"/>
              </w:rPr>
              <w:t>Roles &amp; Permissions</w:t>
            </w:r>
            <w:r>
              <w:rPr>
                <w:sz w:val="17"/>
              </w:rPr>
              <w:t xml:space="preserve">, </w:t>
            </w:r>
            <w:r>
              <w:rPr>
                <w:i/>
                <w:sz w:val="17"/>
              </w:rPr>
              <w:t>Second Factor</w:t>
            </w:r>
            <w:r>
              <w:rPr>
                <w:sz w:val="17"/>
              </w:rPr>
              <w:t xml:space="preserve">, </w:t>
            </w:r>
            <w:r>
              <w:rPr>
                <w:i/>
                <w:sz w:val="17"/>
              </w:rPr>
              <w:t>Audit Trail</w:t>
            </w:r>
            <w:r>
              <w:rPr>
                <w:sz w:val="17"/>
              </w:rPr>
              <w:t xml:space="preserve">, </w:t>
            </w:r>
            <w:r>
              <w:rPr>
                <w:i/>
                <w:sz w:val="17"/>
              </w:rPr>
              <w:t>System Parameters</w:t>
            </w:r>
            <w:r>
              <w:rPr>
                <w:sz w:val="17"/>
              </w:rPr>
              <w:t xml:space="preserve">, </w:t>
            </w:r>
            <w:r>
              <w:rPr>
                <w:i/>
                <w:sz w:val="17"/>
              </w:rPr>
              <w:t>Exception Codes</w:t>
            </w:r>
            <w:r>
              <w:rPr>
                <w:sz w:val="17"/>
              </w:rPr>
              <w:t xml:space="preserve">, </w:t>
            </w:r>
            <w:r>
              <w:rPr>
                <w:i/>
                <w:sz w:val="17"/>
              </w:rPr>
              <w:t>Scheduled Jobs</w:t>
            </w:r>
            <w:r>
              <w:rPr>
                <w:sz w:val="17"/>
              </w:rPr>
              <w:t xml:space="preserve">, </w:t>
            </w:r>
            <w:r>
              <w:rPr>
                <w:i/>
                <w:sz w:val="17"/>
              </w:rPr>
              <w:t>Integration Events</w:t>
            </w:r>
            <w:r>
              <w:rPr>
                <w:sz w:val="17"/>
              </w:rPr>
              <w:t xml:space="preserve">, </w:t>
            </w:r>
            <w:r>
              <w:rPr>
                <w:i/>
                <w:sz w:val="17"/>
              </w:rPr>
              <w:t>Caches</w:t>
            </w:r>
            <w:r>
              <w:rPr>
                <w:sz w:val="17"/>
              </w:rPr>
              <w:t xml:space="preserve">, </w:t>
            </w:r>
            <w:r>
              <w:rPr>
                <w:i/>
                <w:sz w:val="17"/>
              </w:rPr>
              <w:t>Legal Holds</w:t>
            </w:r>
            <w:r>
              <w:rPr>
                <w:sz w:val="17"/>
              </w:rPr>
              <w:t xml:space="preserve">, </w:t>
            </w:r>
            <w:r>
              <w:rPr>
                <w:i/>
                <w:sz w:val="17"/>
              </w:rPr>
              <w:t>Application Info</w:t>
            </w:r>
            <w:r>
              <w:rPr>
                <w:sz w:val="17"/>
              </w:rPr>
              <w:t xml:space="preserve">; </w:t>
            </w:r>
            <w:r>
              <w:rPr>
                <w:i/>
                <w:sz w:val="17"/>
              </w:rPr>
              <w:t>Home › Alerts</w:t>
            </w:r>
            <w:r>
              <w:rPr>
                <w:sz w:val="17"/>
              </w:rPr>
              <w:t xml:space="preserve">; </w:t>
            </w:r>
            <w:r>
              <w:rPr>
                <w:i/>
                <w:sz w:val="17"/>
              </w:rPr>
              <w:t>User Access</w:t>
            </w:r>
            <w:r>
              <w:rPr>
                <w:sz w:val="17"/>
              </w:rPr>
              <w:t xml:space="preserve"> requests</w:t>
            </w:r>
          </w:p>
        </w:tc>
        <w:tc>
          <w:tcPr>
            <w:tcW w:type="dxa" w:w="3124"/>
            <w:tcMar>
              <w:top w:w="50" w:type="dxa"/>
              <w:bottom w:w="50" w:type="dxa"/>
              <w:left w:w="90" w:type="dxa"/>
              <w:right w:w="90" w:type="dxa"/>
            </w:tcMar>
            <w:shd w:val="clear" w:color="auto" w:fill="E5F5FF"/>
          </w:tcPr>
          <w:p>
            <w:pPr>
              <w:pStyle w:val="BDOITable"/>
            </w:pPr>
            <w:r>
              <w:rPr>
                <w:sz w:val="17"/>
              </w:rPr>
              <w:t>L2 (system administrator roles)</w:t>
            </w:r>
          </w:p>
        </w:tc>
      </w:tr>
      <w:tr>
        <w:trPr>
          <w:cantSplit w:val="true"/>
        </w:trPr>
        <w:tc>
          <w:tcPr>
            <w:tcW w:type="dxa" w:w="2403"/>
            <w:tcMar>
              <w:top w:w="50" w:type="dxa"/>
              <w:bottom w:w="50" w:type="dxa"/>
              <w:left w:w="90" w:type="dxa"/>
              <w:right w:w="90" w:type="dxa"/>
            </w:tcMar>
          </w:tcPr>
          <w:p>
            <w:pPr>
              <w:pStyle w:val="BDOITable"/>
            </w:pPr>
            <w:r>
              <w:rPr>
                <w:b/>
                <w:sz w:val="17"/>
              </w:rPr>
              <w:t>Dynatrace (APM named in the IER)</w:t>
            </w:r>
          </w:p>
        </w:tc>
        <w:tc>
          <w:tcPr>
            <w:tcW w:type="dxa" w:w="4445"/>
            <w:tcMar>
              <w:top w:w="50" w:type="dxa"/>
              <w:bottom w:w="50" w:type="dxa"/>
              <w:left w:w="90" w:type="dxa"/>
              <w:right w:w="90" w:type="dxa"/>
            </w:tcMar>
          </w:tcPr>
          <w:p>
            <w:pPr>
              <w:pStyle w:val="BDOITable"/>
            </w:pPr>
            <w:r>
              <w:rPr>
                <w:sz w:val="17"/>
              </w:rPr>
              <w:t>Synthetic checks, traces, service dashboards, paging</w:t>
            </w:r>
          </w:p>
        </w:tc>
        <w:tc>
          <w:tcPr>
            <w:tcW w:type="dxa" w:w="3124"/>
            <w:tcMar>
              <w:top w:w="50" w:type="dxa"/>
              <w:bottom w:w="50" w:type="dxa"/>
              <w:left w:w="90" w:type="dxa"/>
              <w:right w:w="90" w:type="dxa"/>
            </w:tcMar>
          </w:tcPr>
          <w:p>
            <w:pPr>
              <w:pStyle w:val="BDOITable"/>
            </w:pPr>
            <w:r>
              <w:rPr>
                <w:sz w:val="17"/>
              </w:rPr>
              <w:t>BDO Cloud Operations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Metrics and logs (Prometheus metrics of BIBS, CloudWatch, the BDO log platform and SIEM)</w:t>
            </w:r>
          </w:p>
        </w:tc>
        <w:tc>
          <w:tcPr>
            <w:tcW w:type="dxa" w:w="4445"/>
            <w:tcMar>
              <w:top w:w="50" w:type="dxa"/>
              <w:bottom w:w="50" w:type="dxa"/>
              <w:left w:w="90" w:type="dxa"/>
              <w:right w:w="90" w:type="dxa"/>
            </w:tcMar>
            <w:shd w:val="clear" w:color="auto" w:fill="E5F5FF"/>
          </w:tcPr>
          <w:p>
            <w:pPr>
              <w:pStyle w:val="BDOITable"/>
            </w:pPr>
            <w:r>
              <w:rPr>
                <w:sz w:val="17"/>
              </w:rPr>
              <w:t>Metrics, alert rules, log search by correlation id and error reference</w:t>
            </w:r>
          </w:p>
        </w:tc>
        <w:tc>
          <w:tcPr>
            <w:tcW w:type="dxa" w:w="3124"/>
            <w:tcMar>
              <w:top w:w="50" w:type="dxa"/>
              <w:bottom w:w="50" w:type="dxa"/>
              <w:left w:w="90" w:type="dxa"/>
              <w:right w:w="90" w:type="dxa"/>
            </w:tcMar>
            <w:shd w:val="clear" w:color="auto" w:fill="E5F5FF"/>
          </w:tcPr>
          <w:p>
            <w:pPr>
              <w:pStyle w:val="BDOITable"/>
            </w:pPr>
            <w:r>
              <w:rPr>
                <w:sz w:val="17"/>
              </w:rPr>
              <w:t>BDO Cloud Operations; read access for L2 and L3</w:t>
            </w:r>
          </w:p>
        </w:tc>
      </w:tr>
      <w:tr>
        <w:trPr>
          <w:cantSplit w:val="true"/>
        </w:trPr>
        <w:tc>
          <w:tcPr>
            <w:tcW w:type="dxa" w:w="2403"/>
            <w:tcMar>
              <w:top w:w="50" w:type="dxa"/>
              <w:bottom w:w="50" w:type="dxa"/>
              <w:left w:w="90" w:type="dxa"/>
              <w:right w:w="90" w:type="dxa"/>
            </w:tcMar>
          </w:tcPr>
          <w:p>
            <w:pPr>
              <w:pStyle w:val="BDOITable"/>
            </w:pPr>
            <w:r>
              <w:rPr>
                <w:b/>
                <w:sz w:val="17"/>
              </w:rPr>
              <w:t>AWS console (read-only for L3)</w:t>
            </w:r>
          </w:p>
        </w:tc>
        <w:tc>
          <w:tcPr>
            <w:tcW w:type="dxa" w:w="4445"/>
            <w:tcMar>
              <w:top w:w="50" w:type="dxa"/>
              <w:bottom w:w="50" w:type="dxa"/>
              <w:left w:w="90" w:type="dxa"/>
              <w:right w:w="90" w:type="dxa"/>
            </w:tcMar>
          </w:tcPr>
          <w:p>
            <w:pPr>
              <w:pStyle w:val="BDOITable"/>
            </w:pPr>
            <w:r>
              <w:rPr>
                <w:sz w:val="17"/>
              </w:rPr>
              <w:t>Managed service status, backups, replication</w:t>
            </w:r>
          </w:p>
        </w:tc>
        <w:tc>
          <w:tcPr>
            <w:tcW w:type="dxa" w:w="3124"/>
            <w:tcMar>
              <w:top w:w="50" w:type="dxa"/>
              <w:bottom w:w="50" w:type="dxa"/>
              <w:left w:w="90" w:type="dxa"/>
              <w:right w:w="90" w:type="dxa"/>
            </w:tcMar>
          </w:tcPr>
          <w:p>
            <w:pPr>
              <w:pStyle w:val="BDOITable"/>
            </w:pPr>
            <w:r>
              <w:rPr>
                <w:sz w:val="17"/>
              </w:rPr>
              <w:t>BDO Cloud Operations</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Bridge and chat channel (M365)</w:t>
            </w:r>
          </w:p>
        </w:tc>
        <w:tc>
          <w:tcPr>
            <w:tcW w:type="dxa" w:w="4445"/>
            <w:tcMar>
              <w:top w:w="50" w:type="dxa"/>
              <w:bottom w:w="50" w:type="dxa"/>
              <w:left w:w="90" w:type="dxa"/>
              <w:right w:w="90" w:type="dxa"/>
            </w:tcMar>
            <w:shd w:val="clear" w:color="auto" w:fill="E5F5FF"/>
          </w:tcPr>
          <w:p>
            <w:pPr>
              <w:pStyle w:val="BDOITable"/>
            </w:pPr>
            <w:r>
              <w:rPr>
                <w:sz w:val="17"/>
              </w:rPr>
              <w:t>Major incidents, release calls</w:t>
            </w:r>
          </w:p>
        </w:tc>
        <w:tc>
          <w:tcPr>
            <w:tcW w:type="dxa" w:w="3124"/>
            <w:tcMar>
              <w:top w:w="50" w:type="dxa"/>
              <w:bottom w:w="50" w:type="dxa"/>
              <w:left w:w="90" w:type="dxa"/>
              <w:right w:w="90" w:type="dxa"/>
            </w:tcMar>
            <w:shd w:val="clear" w:color="auto" w:fill="E5F5FF"/>
          </w:tcPr>
          <w:p>
            <w:pPr>
              <w:pStyle w:val="BDOITable"/>
            </w:pPr>
            <w:r>
              <w:rPr>
                <w:sz w:val="17"/>
              </w:rPr>
              <w:t>BDOI IT</w:t>
            </w:r>
          </w:p>
        </w:tc>
      </w:tr>
      <w:tr>
        <w:trPr>
          <w:cantSplit w:val="true"/>
        </w:trPr>
        <w:tc>
          <w:tcPr>
            <w:tcW w:type="dxa" w:w="2403"/>
            <w:tcMar>
              <w:top w:w="50" w:type="dxa"/>
              <w:bottom w:w="50" w:type="dxa"/>
              <w:left w:w="90" w:type="dxa"/>
              <w:right w:w="90" w:type="dxa"/>
            </w:tcMar>
          </w:tcPr>
          <w:p>
            <w:pPr>
              <w:pStyle w:val="BDOITable"/>
            </w:pPr>
            <w:r>
              <w:rPr>
                <w:b/>
                <w:sz w:val="17"/>
              </w:rPr>
              <w:t>UAT and Pre-Prod environments</w:t>
            </w:r>
          </w:p>
        </w:tc>
        <w:tc>
          <w:tcPr>
            <w:tcW w:type="dxa" w:w="4445"/>
            <w:tcMar>
              <w:top w:w="50" w:type="dxa"/>
              <w:bottom w:w="50" w:type="dxa"/>
              <w:left w:w="90" w:type="dxa"/>
              <w:right w:w="90" w:type="dxa"/>
            </w:tcMar>
          </w:tcPr>
          <w:p>
            <w:pPr>
              <w:pStyle w:val="BDOITable"/>
            </w:pPr>
            <w:r>
              <w:rPr>
                <w:sz w:val="17"/>
              </w:rPr>
              <w:t>Reproduction, release tests, data correction dry runs</w:t>
            </w:r>
          </w:p>
        </w:tc>
        <w:tc>
          <w:tcPr>
            <w:tcW w:type="dxa" w:w="3124"/>
            <w:tcMar>
              <w:top w:w="50" w:type="dxa"/>
              <w:bottom w:w="50" w:type="dxa"/>
              <w:left w:w="90" w:type="dxa"/>
              <w:right w:w="90" w:type="dxa"/>
            </w:tcMar>
          </w:tcPr>
          <w:p>
            <w:pPr>
              <w:pStyle w:val="BDOITable"/>
            </w:pPr>
            <w:r>
              <w:rPr>
                <w:sz w:val="17"/>
              </w:rPr>
              <w:t>L2 and L3</w:t>
            </w:r>
          </w:p>
        </w:tc>
      </w:tr>
    </w:tbl>
    <w:p>
      <w:pPr>
        <w:pStyle w:val="BDOISpacer"/>
      </w:pPr>
    </w:p>
    <w:p>
      <w:r>
        <w:rPr/>
        <w:t>The ITSM tool and the paging route are named by BDOI IT (open point OP-02).</w:t>
      </w:r>
    </w:p>
    <w:p>
      <w:pPr>
        <w:pStyle w:val="Heading1"/>
        <w:pageBreakBefore/>
        <w:pBdr>
          <w:bottom w:val="single" w:sz="4" w:space="4" w:color="99C1E7"/>
        </w:pBdr>
      </w:pPr>
      <w:bookmarkStart w:id="132" w:name="_Toc000132"/>
      <w:r>
        <w:rPr/>
        <w:t>11 Service reporting</w:t>
      </w:r>
      <w:bookmarkEnd w:id="132"/>
    </w:p>
    <w:p>
      <w:pPr>
        <w:pStyle w:val="Heading2"/>
      </w:pPr>
      <w:bookmarkStart w:id="133" w:name="_Toc000133"/>
      <w:r>
        <w:rPr/>
        <w:t>11.1 Monthly service report</w:t>
      </w:r>
      <w:bookmarkEnd w:id="133"/>
    </w:p>
    <w:p>
      <w:r>
        <w:rPr/>
        <w:t>iorta TechNXT sends the report by the 10th business day of the month; the BIBS Service Owner reviews it with the Product Owner, the L2 lead, BDO Cloud Operations and iorta TechNXT in the monthly service review. It shows:</w:t>
      </w:r>
    </w:p>
    <w:p>
      <w:pPr>
        <w:tabs>
          <w:tab w:pos="312" w:val="left"/>
        </w:tabs>
        <w:spacing w:after="40"/>
        <w:ind w:left="312" w:hanging="283"/>
      </w:pPr>
      <w:r>
        <w:rPr>
          <w:color w:val="004EA8"/>
        </w:rPr>
        <w:t>•</w:t>
        <w:tab/>
      </w:r>
      <w:r>
        <w:rPr/>
        <w:t>tickets opened, resolved and open by severity, category, module and department; tickets that missed a target and why;</w:t>
      </w:r>
    </w:p>
    <w:p>
      <w:pPr>
        <w:tabs>
          <w:tab w:pos="312" w:val="left"/>
        </w:tabs>
        <w:spacing w:after="40"/>
        <w:ind w:left="312" w:hanging="283"/>
      </w:pPr>
      <w:r>
        <w:rPr>
          <w:color w:val="004EA8"/>
        </w:rPr>
        <w:t>•</w:t>
        <w:tab/>
      </w:r>
      <w:r>
        <w:rPr/>
        <w:t>availability against 99.9 %, minutes of planned maintenance, error budget used;</w:t>
      </w:r>
    </w:p>
    <w:p>
      <w:pPr>
        <w:tabs>
          <w:tab w:pos="312" w:val="left"/>
        </w:tabs>
        <w:spacing w:after="40"/>
        <w:ind w:left="312" w:hanging="283"/>
      </w:pPr>
      <w:r>
        <w:rPr>
          <w:color w:val="004EA8"/>
        </w:rPr>
        <w:t>•</w:t>
        <w:tab/>
      </w:r>
      <w:r>
        <w:rPr/>
        <w:t>screen latency, error rate, night batch and integration SLOs;</w:t>
      </w:r>
    </w:p>
    <w:p>
      <w:pPr>
        <w:tabs>
          <w:tab w:pos="312" w:val="left"/>
        </w:tabs>
        <w:spacing w:after="40"/>
        <w:ind w:left="312" w:hanging="283"/>
      </w:pPr>
      <w:r>
        <w:rPr>
          <w:color w:val="004EA8"/>
        </w:rPr>
        <w:t>•</w:t>
        <w:tab/>
      </w:r>
      <w:r>
        <w:rPr/>
        <w:t>P1 and P2 incidents with the status of their RCA; problems and known errors opened and closed;</w:t>
      </w:r>
    </w:p>
    <w:p>
      <w:pPr>
        <w:tabs>
          <w:tab w:pos="312" w:val="left"/>
        </w:tabs>
        <w:spacing w:after="40"/>
        <w:ind w:left="312" w:hanging="283"/>
      </w:pPr>
      <w:r>
        <w:rPr>
          <w:color w:val="004EA8"/>
        </w:rPr>
        <w:t>•</w:t>
        <w:tab/>
      </w:r>
      <w:r>
        <w:rPr/>
        <w:t>changes and releases, failed or backed-out changes;</w:t>
      </w:r>
    </w:p>
    <w:p>
      <w:pPr>
        <w:tabs>
          <w:tab w:pos="312" w:val="left"/>
        </w:tabs>
        <w:spacing w:after="40"/>
        <w:ind w:left="312" w:hanging="283"/>
      </w:pPr>
      <w:r>
        <w:rPr>
          <w:color w:val="004EA8"/>
        </w:rPr>
        <w:t>•</w:t>
        <w:tab/>
      </w:r>
      <w:r>
        <w:rPr/>
        <w:t>backup and restore tests, DR drills, certificate renewals, security events and access reviews;</w:t>
      </w:r>
    </w:p>
    <w:p>
      <w:pPr>
        <w:tabs>
          <w:tab w:pos="312" w:val="left"/>
        </w:tabs>
        <w:spacing w:after="120"/>
        <w:ind w:left="312" w:hanging="283"/>
      </w:pPr>
      <w:r>
        <w:rPr>
          <w:color w:val="004EA8"/>
        </w:rPr>
        <w:t>•</w:t>
        <w:tab/>
      </w:r>
      <w:r>
        <w:rPr/>
        <w:t>trends, risks and recommendations, including training needs seen in the tickets.</w:t>
      </w:r>
    </w:p>
    <w:p>
      <w:pPr>
        <w:pStyle w:val="Heading2"/>
      </w:pPr>
      <w:bookmarkStart w:id="134" w:name="_Toc000134"/>
      <w:r>
        <w:rPr/>
        <w:t>11.2 KPIs</w:t>
      </w:r>
      <w:bookmarkEnd w:id="134"/>
    </w:p>
    <w:p>
      <w:pPr>
        <w:pStyle w:val="Caption"/>
        <w:keepNext/>
        <w:spacing w:after="60"/>
      </w:pPr>
      <w:r>
        <w:rPr>
          <w:b/>
          <w:i w:val="0"/>
        </w:rPr>
        <w:t xml:space="preserve">Table 18: </w:t>
      </w:r>
      <w:r>
        <w:rPr/>
        <w:t>Support KPIs (proposed targets)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5166"/>
        <w:gridCol w:w="2403"/>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KPI</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Definition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Target</w:t>
            </w:r>
          </w:p>
        </w:tc>
      </w:tr>
      <w:tr>
        <w:trPr>
          <w:cantSplit w:val="true"/>
        </w:trPr>
        <w:tc>
          <w:tcPr>
            <w:tcW w:type="dxa" w:w="2403"/>
            <w:tcMar>
              <w:top w:w="50" w:type="dxa"/>
              <w:bottom w:w="50" w:type="dxa"/>
              <w:left w:w="90" w:type="dxa"/>
              <w:right w:w="90" w:type="dxa"/>
            </w:tcMar>
          </w:tcPr>
          <w:p>
            <w:pPr>
              <w:pStyle w:val="BDOITable"/>
            </w:pPr>
            <w:r>
              <w:rPr>
                <w:b/>
                <w:sz w:val="17"/>
              </w:rPr>
              <w:t>Response SLA</w:t>
            </w:r>
          </w:p>
        </w:tc>
        <w:tc>
          <w:tcPr>
            <w:tcW w:type="dxa" w:w="5166"/>
            <w:tcMar>
              <w:top w:w="50" w:type="dxa"/>
              <w:bottom w:w="50" w:type="dxa"/>
              <w:left w:w="90" w:type="dxa"/>
              <w:right w:w="90" w:type="dxa"/>
            </w:tcMar>
          </w:tcPr>
          <w:p>
            <w:pPr>
              <w:pStyle w:val="BDOITable"/>
            </w:pPr>
            <w:r>
              <w:rPr>
                <w:sz w:val="17"/>
              </w:rPr>
              <w:t>Tickets answered within target / tickets</w:t>
            </w:r>
          </w:p>
        </w:tc>
        <w:tc>
          <w:tcPr>
            <w:tcW w:type="dxa" w:w="2403"/>
            <w:tcMar>
              <w:top w:w="50" w:type="dxa"/>
              <w:bottom w:w="50" w:type="dxa"/>
              <w:left w:w="90" w:type="dxa"/>
              <w:right w:w="90" w:type="dxa"/>
            </w:tcMar>
          </w:tcPr>
          <w:p>
            <w:pPr>
              <w:pStyle w:val="BDOITable"/>
            </w:pPr>
            <w:r>
              <w:rPr>
                <w:sz w:val="17"/>
              </w:rPr>
              <w:t>95 % (P1 100 %)</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Restore SLA</w:t>
            </w:r>
          </w:p>
        </w:tc>
        <w:tc>
          <w:tcPr>
            <w:tcW w:type="dxa" w:w="5166"/>
            <w:tcMar>
              <w:top w:w="50" w:type="dxa"/>
              <w:bottom w:w="50" w:type="dxa"/>
              <w:left w:w="90" w:type="dxa"/>
              <w:right w:w="90" w:type="dxa"/>
            </w:tcMar>
            <w:shd w:val="clear" w:color="auto" w:fill="E5F5FF"/>
          </w:tcPr>
          <w:p>
            <w:pPr>
              <w:pStyle w:val="BDOITable"/>
            </w:pPr>
            <w:r>
              <w:rPr>
                <w:sz w:val="17"/>
              </w:rPr>
              <w:t>Tickets restored within target / tickets</w:t>
            </w:r>
          </w:p>
        </w:tc>
        <w:tc>
          <w:tcPr>
            <w:tcW w:type="dxa" w:w="2403"/>
            <w:tcMar>
              <w:top w:w="50" w:type="dxa"/>
              <w:bottom w:w="50" w:type="dxa"/>
              <w:left w:w="90" w:type="dxa"/>
              <w:right w:w="90" w:type="dxa"/>
            </w:tcMar>
            <w:shd w:val="clear" w:color="auto" w:fill="E5F5FF"/>
          </w:tcPr>
          <w:p>
            <w:pPr>
              <w:pStyle w:val="BDOITable"/>
            </w:pPr>
            <w:r>
              <w:rPr>
                <w:sz w:val="17"/>
              </w:rPr>
              <w:t>90 % (P1 100 %)</w:t>
            </w:r>
          </w:p>
        </w:tc>
      </w:tr>
      <w:tr>
        <w:trPr>
          <w:cantSplit w:val="true"/>
        </w:trPr>
        <w:tc>
          <w:tcPr>
            <w:tcW w:type="dxa" w:w="2403"/>
            <w:tcMar>
              <w:top w:w="50" w:type="dxa"/>
              <w:bottom w:w="50" w:type="dxa"/>
              <w:left w:w="90" w:type="dxa"/>
              <w:right w:w="90" w:type="dxa"/>
            </w:tcMar>
          </w:tcPr>
          <w:p>
            <w:pPr>
              <w:pStyle w:val="BDOITable"/>
            </w:pPr>
            <w:r>
              <w:rPr>
                <w:b/>
                <w:sz w:val="17"/>
              </w:rPr>
              <w:t>First-contact resolution at L1</w:t>
            </w:r>
          </w:p>
        </w:tc>
        <w:tc>
          <w:tcPr>
            <w:tcW w:type="dxa" w:w="5166"/>
            <w:tcMar>
              <w:top w:w="50" w:type="dxa"/>
              <w:bottom w:w="50" w:type="dxa"/>
              <w:left w:w="90" w:type="dxa"/>
              <w:right w:w="90" w:type="dxa"/>
            </w:tcMar>
          </w:tcPr>
          <w:p>
            <w:pPr>
              <w:pStyle w:val="BDOITable"/>
            </w:pPr>
            <w:r>
              <w:rPr>
                <w:sz w:val="17"/>
              </w:rPr>
              <w:t>Tickets resolved by L1 without escalation / tickets logged by L1</w:t>
            </w:r>
          </w:p>
        </w:tc>
        <w:tc>
          <w:tcPr>
            <w:tcW w:type="dxa" w:w="2403"/>
            <w:tcMar>
              <w:top w:w="50" w:type="dxa"/>
              <w:bottom w:w="50" w:type="dxa"/>
              <w:left w:w="90" w:type="dxa"/>
              <w:right w:w="90" w:type="dxa"/>
            </w:tcMar>
          </w:tcPr>
          <w:p>
            <w:pPr>
              <w:pStyle w:val="BDOITable"/>
            </w:pPr>
            <w:r>
              <w:rPr>
                <w:sz w:val="17"/>
              </w:rPr>
              <w:t>40 % from month 3 after hypercare</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Reopen rate</w:t>
            </w:r>
          </w:p>
        </w:tc>
        <w:tc>
          <w:tcPr>
            <w:tcW w:type="dxa" w:w="5166"/>
            <w:tcMar>
              <w:top w:w="50" w:type="dxa"/>
              <w:bottom w:w="50" w:type="dxa"/>
              <w:left w:w="90" w:type="dxa"/>
              <w:right w:w="90" w:type="dxa"/>
            </w:tcMar>
            <w:shd w:val="clear" w:color="auto" w:fill="E5F5FF"/>
          </w:tcPr>
          <w:p>
            <w:pPr>
              <w:pStyle w:val="BDOITable"/>
            </w:pPr>
            <w:r>
              <w:rPr>
                <w:sz w:val="17"/>
              </w:rPr>
              <w:t>Tickets reopened / tickets resolved</w:t>
            </w:r>
          </w:p>
        </w:tc>
        <w:tc>
          <w:tcPr>
            <w:tcW w:type="dxa" w:w="2403"/>
            <w:tcMar>
              <w:top w:w="50" w:type="dxa"/>
              <w:bottom w:w="50" w:type="dxa"/>
              <w:left w:w="90" w:type="dxa"/>
              <w:right w:w="90" w:type="dxa"/>
            </w:tcMar>
            <w:shd w:val="clear" w:color="auto" w:fill="E5F5FF"/>
          </w:tcPr>
          <w:p>
            <w:pPr>
              <w:pStyle w:val="BDOITable"/>
            </w:pPr>
            <w:r>
              <w:rPr>
                <w:sz w:val="17"/>
              </w:rPr>
              <w:t>Below 5 %</w:t>
            </w:r>
          </w:p>
        </w:tc>
      </w:tr>
      <w:tr>
        <w:trPr>
          <w:cantSplit w:val="true"/>
        </w:trPr>
        <w:tc>
          <w:tcPr>
            <w:tcW w:type="dxa" w:w="2403"/>
            <w:tcMar>
              <w:top w:w="50" w:type="dxa"/>
              <w:bottom w:w="50" w:type="dxa"/>
              <w:left w:w="90" w:type="dxa"/>
              <w:right w:w="90" w:type="dxa"/>
            </w:tcMar>
          </w:tcPr>
          <w:p>
            <w:pPr>
              <w:pStyle w:val="BDOITable"/>
            </w:pPr>
            <w:r>
              <w:rPr>
                <w:b/>
                <w:sz w:val="17"/>
              </w:rPr>
              <w:t>Backlog age</w:t>
            </w:r>
          </w:p>
        </w:tc>
        <w:tc>
          <w:tcPr>
            <w:tcW w:type="dxa" w:w="5166"/>
            <w:tcMar>
              <w:top w:w="50" w:type="dxa"/>
              <w:bottom w:w="50" w:type="dxa"/>
              <w:left w:w="90" w:type="dxa"/>
              <w:right w:w="90" w:type="dxa"/>
            </w:tcMar>
          </w:tcPr>
          <w:p>
            <w:pPr>
              <w:pStyle w:val="BDOITable"/>
            </w:pPr>
            <w:r>
              <w:rPr>
                <w:sz w:val="17"/>
              </w:rPr>
              <w:t>Open P3 tickets older than 30 days</w:t>
            </w:r>
          </w:p>
        </w:tc>
        <w:tc>
          <w:tcPr>
            <w:tcW w:type="dxa" w:w="2403"/>
            <w:tcMar>
              <w:top w:w="50" w:type="dxa"/>
              <w:bottom w:w="50" w:type="dxa"/>
              <w:left w:w="90" w:type="dxa"/>
              <w:right w:w="90" w:type="dxa"/>
            </w:tcMar>
          </w:tcPr>
          <w:p>
            <w:pPr>
              <w:pStyle w:val="BDOITable"/>
            </w:pPr>
            <w:r>
              <w:rPr>
                <w:sz w:val="17"/>
              </w:rPr>
              <w:t>0</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RCA on time</w:t>
            </w:r>
          </w:p>
        </w:tc>
        <w:tc>
          <w:tcPr>
            <w:tcW w:type="dxa" w:w="5166"/>
            <w:tcMar>
              <w:top w:w="50" w:type="dxa"/>
              <w:bottom w:w="50" w:type="dxa"/>
              <w:left w:w="90" w:type="dxa"/>
              <w:right w:w="90" w:type="dxa"/>
            </w:tcMar>
            <w:shd w:val="clear" w:color="auto" w:fill="E5F5FF"/>
          </w:tcPr>
          <w:p>
            <w:pPr>
              <w:pStyle w:val="BDOITable"/>
            </w:pPr>
            <w:r>
              <w:rPr>
                <w:sz w:val="17"/>
              </w:rPr>
              <w:t>P1 RCA delivered within 5 business days</w:t>
            </w:r>
          </w:p>
        </w:tc>
        <w:tc>
          <w:tcPr>
            <w:tcW w:type="dxa" w:w="2403"/>
            <w:tcMar>
              <w:top w:w="50" w:type="dxa"/>
              <w:bottom w:w="50" w:type="dxa"/>
              <w:left w:w="90" w:type="dxa"/>
              <w:right w:w="90" w:type="dxa"/>
            </w:tcMar>
            <w:shd w:val="clear" w:color="auto" w:fill="E5F5FF"/>
          </w:tcPr>
          <w:p>
            <w:pPr>
              <w:pStyle w:val="BDOITable"/>
            </w:pPr>
            <w:r>
              <w:rPr>
                <w:sz w:val="17"/>
              </w:rPr>
              <w:t>100 %</w:t>
            </w:r>
          </w:p>
        </w:tc>
      </w:tr>
      <w:tr>
        <w:trPr>
          <w:cantSplit w:val="true"/>
        </w:trPr>
        <w:tc>
          <w:tcPr>
            <w:tcW w:type="dxa" w:w="2403"/>
            <w:tcMar>
              <w:top w:w="50" w:type="dxa"/>
              <w:bottom w:w="50" w:type="dxa"/>
              <w:left w:w="90" w:type="dxa"/>
              <w:right w:w="90" w:type="dxa"/>
            </w:tcMar>
          </w:tcPr>
          <w:p>
            <w:pPr>
              <w:pStyle w:val="BDOITable"/>
            </w:pPr>
            <w:r>
              <w:rPr>
                <w:b/>
                <w:sz w:val="17"/>
              </w:rPr>
              <w:t>Change success</w:t>
            </w:r>
          </w:p>
        </w:tc>
        <w:tc>
          <w:tcPr>
            <w:tcW w:type="dxa" w:w="5166"/>
            <w:tcMar>
              <w:top w:w="50" w:type="dxa"/>
              <w:bottom w:w="50" w:type="dxa"/>
              <w:left w:w="90" w:type="dxa"/>
              <w:right w:w="90" w:type="dxa"/>
            </w:tcMar>
          </w:tcPr>
          <w:p>
            <w:pPr>
              <w:pStyle w:val="BDOITable"/>
            </w:pPr>
            <w:r>
              <w:rPr>
                <w:sz w:val="17"/>
              </w:rPr>
              <w:t>Changes without back-out or incident / changes</w:t>
            </w:r>
          </w:p>
        </w:tc>
        <w:tc>
          <w:tcPr>
            <w:tcW w:type="dxa" w:w="2403"/>
            <w:tcMar>
              <w:top w:w="50" w:type="dxa"/>
              <w:bottom w:w="50" w:type="dxa"/>
              <w:left w:w="90" w:type="dxa"/>
              <w:right w:w="90" w:type="dxa"/>
            </w:tcMar>
          </w:tcPr>
          <w:p>
            <w:pPr>
              <w:pStyle w:val="BDOITable"/>
            </w:pPr>
            <w:r>
              <w:rPr>
                <w:sz w:val="17"/>
              </w:rPr>
              <w:t>95 %</w:t>
            </w:r>
          </w:p>
        </w:tc>
      </w:tr>
      <w:tr>
        <w:trPr>
          <w:cantSplit w:val="true"/>
        </w:trPr>
        <w:tc>
          <w:tcPr>
            <w:tcW w:type="dxa" w:w="2403"/>
            <w:tcMar>
              <w:top w:w="50" w:type="dxa"/>
              <w:bottom w:w="50" w:type="dxa"/>
              <w:left w:w="90" w:type="dxa"/>
              <w:right w:w="90" w:type="dxa"/>
            </w:tcMar>
            <w:shd w:val="clear" w:color="auto" w:fill="E5F5FF"/>
          </w:tcPr>
          <w:p>
            <w:pPr>
              <w:pStyle w:val="BDOITable"/>
            </w:pPr>
            <w:r>
              <w:rPr>
                <w:b/>
                <w:sz w:val="17"/>
              </w:rPr>
              <w:t>Availability</w:t>
            </w:r>
          </w:p>
        </w:tc>
        <w:tc>
          <w:tcPr>
            <w:tcW w:type="dxa" w:w="5166"/>
            <w:tcMar>
              <w:top w:w="50" w:type="dxa"/>
              <w:bottom w:w="50" w:type="dxa"/>
              <w:left w:w="90" w:type="dxa"/>
              <w:right w:w="90" w:type="dxa"/>
            </w:tcMar>
            <w:shd w:val="clear" w:color="auto" w:fill="E5F5FF"/>
          </w:tcPr>
          <w:p>
            <w:pPr>
              <w:pStyle w:val="BDOITable"/>
            </w:pPr>
            <w:r>
              <w:rPr>
                <w:sz w:val="17"/>
              </w:rPr>
              <w:t>SLO of chapter 4</w:t>
            </w:r>
          </w:p>
        </w:tc>
        <w:tc>
          <w:tcPr>
            <w:tcW w:type="dxa" w:w="2403"/>
            <w:tcMar>
              <w:top w:w="50" w:type="dxa"/>
              <w:bottom w:w="50" w:type="dxa"/>
              <w:left w:w="90" w:type="dxa"/>
              <w:right w:w="90" w:type="dxa"/>
            </w:tcMar>
            <w:shd w:val="clear" w:color="auto" w:fill="E5F5FF"/>
          </w:tcPr>
          <w:p>
            <w:pPr>
              <w:pStyle w:val="BDOITable"/>
            </w:pPr>
            <w:r>
              <w:rPr>
                <w:sz w:val="17"/>
              </w:rPr>
              <w:t>99.9 %</w:t>
            </w:r>
          </w:p>
        </w:tc>
      </w:tr>
      <w:tr>
        <w:trPr>
          <w:cantSplit w:val="true"/>
        </w:trPr>
        <w:tc>
          <w:tcPr>
            <w:tcW w:type="dxa" w:w="2403"/>
            <w:tcMar>
              <w:top w:w="50" w:type="dxa"/>
              <w:bottom w:w="50" w:type="dxa"/>
              <w:left w:w="90" w:type="dxa"/>
              <w:right w:w="90" w:type="dxa"/>
            </w:tcMar>
          </w:tcPr>
          <w:p>
            <w:pPr>
              <w:pStyle w:val="BDOITable"/>
            </w:pPr>
            <w:r>
              <w:rPr>
                <w:b/>
                <w:sz w:val="17"/>
              </w:rPr>
              <w:t>Restore tests</w:t>
            </w:r>
          </w:p>
        </w:tc>
        <w:tc>
          <w:tcPr>
            <w:tcW w:type="dxa" w:w="5166"/>
            <w:tcMar>
              <w:top w:w="50" w:type="dxa"/>
              <w:bottom w:w="50" w:type="dxa"/>
              <w:left w:w="90" w:type="dxa"/>
              <w:right w:w="90" w:type="dxa"/>
            </w:tcMar>
          </w:tcPr>
          <w:p>
            <w:pPr>
              <w:pStyle w:val="BDOITable"/>
            </w:pPr>
            <w:r>
              <w:rPr>
                <w:sz w:val="17"/>
              </w:rPr>
              <w:t>Planned restore tests done and passed</w:t>
            </w:r>
          </w:p>
        </w:tc>
        <w:tc>
          <w:tcPr>
            <w:tcW w:type="dxa" w:w="2403"/>
            <w:tcMar>
              <w:top w:w="50" w:type="dxa"/>
              <w:bottom w:w="50" w:type="dxa"/>
              <w:left w:w="90" w:type="dxa"/>
              <w:right w:w="90" w:type="dxa"/>
            </w:tcMar>
          </w:tcPr>
          <w:p>
            <w:pPr>
              <w:pStyle w:val="BDOITable"/>
            </w:pPr>
            <w:r>
              <w:rPr>
                <w:sz w:val="17"/>
              </w:rPr>
              <w:t>100 %</w:t>
            </w:r>
          </w:p>
        </w:tc>
      </w:tr>
    </w:tbl>
    <w:p>
      <w:pPr>
        <w:pStyle w:val="BDOISpacer"/>
      </w:pPr>
    </w:p>
    <w:p>
      <w:r>
        <w:rPr/>
        <w:t>During the first three months after hypercare the operations review is weekly (Thursday, after the CAB).</w:t>
      </w:r>
    </w:p>
    <w:p>
      <w:pPr>
        <w:pStyle w:val="Heading1"/>
        <w:pageBreakBefore/>
        <w:pBdr>
          <w:bottom w:val="single" w:sz="4" w:space="4" w:color="99C1E7"/>
        </w:pBdr>
      </w:pPr>
      <w:bookmarkStart w:id="135" w:name="_Toc000135"/>
      <w:r>
        <w:rPr/>
        <w:t>Part B - L1 troubleshooting guide</w:t>
      </w:r>
      <w:bookmarkEnd w:id="135"/>
    </w:p>
    <w:p>
      <w:pPr>
        <w:pStyle w:val="Heading1"/>
        <w:pageBreakBefore/>
        <w:pBdr>
          <w:bottom w:val="single" w:sz="4" w:space="4" w:color="99C1E7"/>
        </w:pBdr>
      </w:pPr>
      <w:bookmarkStart w:id="136" w:name="_Toc000136"/>
      <w:r>
        <w:rPr/>
        <w:t>12 L1 troubleshooting guide</w:t>
      </w:r>
      <w:bookmarkEnd w:id="136"/>
    </w:p>
    <w:p>
      <w:pPr>
        <w:pStyle w:val="Heading2"/>
      </w:pPr>
      <w:bookmarkStart w:id="137" w:name="_Toc000137"/>
      <w:r>
        <w:rPr/>
        <w:t>12.1 How to use this guide</w:t>
      </w:r>
      <w:bookmarkEnd w:id="137"/>
    </w:p>
    <w:p>
      <w:r>
        <w:rPr/>
        <w:t>The L1 analyst finds the user's symptom in the tables below, makes the checks in order and gives the answer. If the checks do not solve the problem within 30 minutes, or the problem affects more than one user, the analyst escalates to L2 with the minimum content of section 5.2. The messages are quoted as BIBS shows them; words in angle brackets are filled in by BIBS.</w:t>
      </w:r>
    </w:p>
    <w:p>
      <w:pPr>
        <w:pStyle w:val="Caption"/>
        <w:keepNext/>
        <w:spacing w:after="60"/>
      </w:pPr>
      <w:r>
        <w:rPr>
          <w:b/>
          <w:i w:val="0"/>
        </w:rPr>
        <w:t xml:space="preserve">Table 19: </w:t>
      </w:r>
      <w:r>
        <w:rPr/>
        <w:t>Personas and their usual calls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124"/>
        <w:gridCol w:w="4686"/>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Works in</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Usual calls</w:t>
            </w:r>
          </w:p>
        </w:tc>
      </w:tr>
      <w:tr>
        <w:trPr>
          <w:cantSplit w:val="true"/>
        </w:trPr>
        <w:tc>
          <w:tcPr>
            <w:tcW w:type="dxa" w:w="2163"/>
            <w:tcMar>
              <w:top w:w="50" w:type="dxa"/>
              <w:bottom w:w="50" w:type="dxa"/>
              <w:left w:w="90" w:type="dxa"/>
              <w:right w:w="90" w:type="dxa"/>
            </w:tcMar>
          </w:tcPr>
          <w:p>
            <w:pPr>
              <w:pStyle w:val="BDOITable"/>
            </w:pPr>
            <w:r>
              <w:rPr>
                <w:b/>
                <w:sz w:val="17"/>
              </w:rPr>
              <w:t>Cashier</w:t>
            </w:r>
          </w:p>
        </w:tc>
        <w:tc>
          <w:tcPr>
            <w:tcW w:type="dxa" w:w="3124"/>
            <w:tcMar>
              <w:top w:w="50" w:type="dxa"/>
              <w:bottom w:w="50" w:type="dxa"/>
              <w:left w:w="90" w:type="dxa"/>
              <w:right w:w="90" w:type="dxa"/>
            </w:tcMar>
          </w:tcPr>
          <w:p>
            <w:pPr>
              <w:pStyle w:val="BDOITable"/>
            </w:pPr>
            <w:r>
              <w:rPr>
                <w:sz w:val="17"/>
              </w:rPr>
              <w:t>Cashiering, branches</w:t>
            </w:r>
          </w:p>
        </w:tc>
        <w:tc>
          <w:tcPr>
            <w:tcW w:type="dxa" w:w="4686"/>
            <w:tcMar>
              <w:top w:w="50" w:type="dxa"/>
              <w:bottom w:w="50" w:type="dxa"/>
              <w:left w:w="90" w:type="dxa"/>
              <w:right w:w="90" w:type="dxa"/>
            </w:tcMar>
          </w:tcPr>
          <w:p>
            <w:pPr>
              <w:pStyle w:val="BDOITable"/>
            </w:pPr>
            <w:r>
              <w:rPr>
                <w:sz w:val="17"/>
              </w:rPr>
              <w:t>Sign-in, receipt series, payment uploads, period closed</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Remittance officer</w:t>
            </w:r>
          </w:p>
        </w:tc>
        <w:tc>
          <w:tcPr>
            <w:tcW w:type="dxa" w:w="3124"/>
            <w:tcMar>
              <w:top w:w="50" w:type="dxa"/>
              <w:bottom w:w="50" w:type="dxa"/>
              <w:left w:w="90" w:type="dxa"/>
              <w:right w:w="90" w:type="dxa"/>
            </w:tcMar>
            <w:shd w:val="clear" w:color="auto" w:fill="E5F5FF"/>
          </w:tcPr>
          <w:p>
            <w:pPr>
              <w:pStyle w:val="BDOITable"/>
            </w:pPr>
            <w:r>
              <w:rPr>
                <w:sz w:val="17"/>
              </w:rPr>
              <w:t>Operations - Remittance</w:t>
            </w:r>
          </w:p>
        </w:tc>
        <w:tc>
          <w:tcPr>
            <w:tcW w:type="dxa" w:w="4686"/>
            <w:tcMar>
              <w:top w:w="50" w:type="dxa"/>
              <w:bottom w:w="50" w:type="dxa"/>
              <w:left w:w="90" w:type="dxa"/>
              <w:right w:w="90" w:type="dxa"/>
            </w:tcMar>
            <w:shd w:val="clear" w:color="auto" w:fill="E5F5FF"/>
          </w:tcPr>
          <w:p>
            <w:pPr>
              <w:pStyle w:val="BDOITable"/>
            </w:pPr>
            <w:r>
              <w:rPr>
                <w:sz w:val="17"/>
              </w:rPr>
              <w:t>Remittance batch stuck in a stage, report not received, extraction not run</w:t>
            </w:r>
          </w:p>
        </w:tc>
      </w:tr>
      <w:tr>
        <w:trPr>
          <w:cantSplit w:val="true"/>
        </w:trPr>
        <w:tc>
          <w:tcPr>
            <w:tcW w:type="dxa" w:w="2163"/>
            <w:tcMar>
              <w:top w:w="50" w:type="dxa"/>
              <w:bottom w:w="50" w:type="dxa"/>
              <w:left w:w="90" w:type="dxa"/>
              <w:right w:w="90" w:type="dxa"/>
            </w:tcMar>
          </w:tcPr>
          <w:p>
            <w:pPr>
              <w:pStyle w:val="BDOITable"/>
            </w:pPr>
            <w:r>
              <w:rPr>
                <w:b/>
                <w:sz w:val="17"/>
              </w:rPr>
              <w:t>Collections officer</w:t>
            </w:r>
          </w:p>
        </w:tc>
        <w:tc>
          <w:tcPr>
            <w:tcW w:type="dxa" w:w="3124"/>
            <w:tcMar>
              <w:top w:w="50" w:type="dxa"/>
              <w:bottom w:w="50" w:type="dxa"/>
              <w:left w:w="90" w:type="dxa"/>
              <w:right w:w="90" w:type="dxa"/>
            </w:tcMar>
          </w:tcPr>
          <w:p>
            <w:pPr>
              <w:pStyle w:val="BDOITable"/>
            </w:pPr>
            <w:r>
              <w:rPr>
                <w:sz w:val="17"/>
              </w:rPr>
              <w:t>Operations - Collections</w:t>
            </w:r>
          </w:p>
        </w:tc>
        <w:tc>
          <w:tcPr>
            <w:tcW w:type="dxa" w:w="4686"/>
            <w:tcMar>
              <w:top w:w="50" w:type="dxa"/>
              <w:bottom w:w="50" w:type="dxa"/>
              <w:left w:w="90" w:type="dxa"/>
              <w:right w:w="90" w:type="dxa"/>
            </w:tcMar>
          </w:tcPr>
          <w:p>
            <w:pPr>
              <w:pStyle w:val="BDOITable"/>
            </w:pPr>
            <w:r>
              <w:rPr>
                <w:sz w:val="17"/>
              </w:rPr>
              <w:t>Worklist not refreshed, Collections files not published, item locked by another user</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Account Officer and Marketing staff</w:t>
            </w:r>
          </w:p>
        </w:tc>
        <w:tc>
          <w:tcPr>
            <w:tcW w:type="dxa" w:w="3124"/>
            <w:tcMar>
              <w:top w:w="50" w:type="dxa"/>
              <w:bottom w:w="50" w:type="dxa"/>
              <w:left w:w="90" w:type="dxa"/>
              <w:right w:w="90" w:type="dxa"/>
            </w:tcMar>
            <w:shd w:val="clear" w:color="auto" w:fill="E5F5FF"/>
          </w:tcPr>
          <w:p>
            <w:pPr>
              <w:pStyle w:val="BDOITable"/>
            </w:pPr>
            <w:r>
              <w:rPr>
                <w:sz w:val="17"/>
              </w:rPr>
              <w:t>Retail and Corporate Marketing</w:t>
            </w:r>
          </w:p>
        </w:tc>
        <w:tc>
          <w:tcPr>
            <w:tcW w:type="dxa" w:w="4686"/>
            <w:tcMar>
              <w:top w:w="50" w:type="dxa"/>
              <w:bottom w:w="50" w:type="dxa"/>
              <w:left w:w="90" w:type="dxa"/>
              <w:right w:w="90" w:type="dxa"/>
            </w:tcMar>
            <w:shd w:val="clear" w:color="auto" w:fill="E5F5FF"/>
          </w:tcPr>
          <w:p>
            <w:pPr>
              <w:pStyle w:val="BDOITable"/>
            </w:pPr>
            <w:r>
              <w:rPr>
                <w:sz w:val="17"/>
              </w:rPr>
              <w:t>Access to menus, quotation or account workflow stuck, e-mail to client not received</w:t>
            </w:r>
          </w:p>
        </w:tc>
      </w:tr>
      <w:tr>
        <w:trPr>
          <w:cantSplit w:val="true"/>
        </w:trPr>
        <w:tc>
          <w:tcPr>
            <w:tcW w:type="dxa" w:w="2163"/>
            <w:tcMar>
              <w:top w:w="50" w:type="dxa"/>
              <w:bottom w:w="50" w:type="dxa"/>
              <w:left w:w="90" w:type="dxa"/>
              <w:right w:w="90" w:type="dxa"/>
            </w:tcMar>
          </w:tcPr>
          <w:p>
            <w:pPr>
              <w:pStyle w:val="BDOITable"/>
            </w:pPr>
            <w:r>
              <w:rPr>
                <w:b/>
                <w:sz w:val="17"/>
              </w:rPr>
              <w:t>Renewal processor</w:t>
            </w:r>
          </w:p>
        </w:tc>
        <w:tc>
          <w:tcPr>
            <w:tcW w:type="dxa" w:w="3124"/>
            <w:tcMar>
              <w:top w:w="50" w:type="dxa"/>
              <w:bottom w:w="50" w:type="dxa"/>
              <w:left w:w="90" w:type="dxa"/>
              <w:right w:w="90" w:type="dxa"/>
            </w:tcMar>
          </w:tcPr>
          <w:p>
            <w:pPr>
              <w:pStyle w:val="BDOITable"/>
            </w:pPr>
            <w:r>
              <w:rPr>
                <w:sz w:val="17"/>
              </w:rPr>
              <w:t>Renewal processing team</w:t>
            </w:r>
          </w:p>
        </w:tc>
        <w:tc>
          <w:tcPr>
            <w:tcW w:type="dxa" w:w="4686"/>
            <w:tcMar>
              <w:top w:w="50" w:type="dxa"/>
              <w:bottom w:w="50" w:type="dxa"/>
              <w:left w:w="90" w:type="dxa"/>
              <w:right w:w="90" w:type="dxa"/>
            </w:tcMar>
          </w:tcPr>
          <w:p>
            <w:pPr>
              <w:pStyle w:val="BDOITable"/>
            </w:pPr>
            <w:r>
              <w:rPr>
                <w:sz w:val="17"/>
              </w:rPr>
              <w:t>Renewal not extracted, letters not sent, exception bucket</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Accountant</w:t>
            </w:r>
          </w:p>
        </w:tc>
        <w:tc>
          <w:tcPr>
            <w:tcW w:type="dxa" w:w="3124"/>
            <w:tcMar>
              <w:top w:w="50" w:type="dxa"/>
              <w:bottom w:w="50" w:type="dxa"/>
              <w:left w:w="90" w:type="dxa"/>
              <w:right w:w="90" w:type="dxa"/>
            </w:tcMar>
            <w:shd w:val="clear" w:color="auto" w:fill="E5F5FF"/>
          </w:tcPr>
          <w:p>
            <w:pPr>
              <w:pStyle w:val="BDOITable"/>
            </w:pPr>
            <w:r>
              <w:rPr>
                <w:sz w:val="17"/>
              </w:rPr>
              <w:t>Comptrollership</w:t>
            </w:r>
          </w:p>
        </w:tc>
        <w:tc>
          <w:tcPr>
            <w:tcW w:type="dxa" w:w="4686"/>
            <w:tcMar>
              <w:top w:w="50" w:type="dxa"/>
              <w:bottom w:w="50" w:type="dxa"/>
              <w:left w:w="90" w:type="dxa"/>
              <w:right w:w="90" w:type="dxa"/>
            </w:tcMar>
            <w:shd w:val="clear" w:color="auto" w:fill="E5F5FF"/>
          </w:tcPr>
          <w:p>
            <w:pPr>
              <w:pStyle w:val="BDOITable"/>
            </w:pPr>
            <w:r>
              <w:rPr>
                <w:sz w:val="17"/>
              </w:rPr>
              <w:t>Period closed, approval above limit, maker-checker, GL-SL difference</w:t>
            </w:r>
          </w:p>
        </w:tc>
      </w:tr>
      <w:tr>
        <w:trPr>
          <w:cantSplit w:val="true"/>
        </w:trPr>
        <w:tc>
          <w:tcPr>
            <w:tcW w:type="dxa" w:w="2163"/>
            <w:tcMar>
              <w:top w:w="50" w:type="dxa"/>
              <w:bottom w:w="50" w:type="dxa"/>
              <w:left w:w="90" w:type="dxa"/>
              <w:right w:w="90" w:type="dxa"/>
            </w:tcMar>
          </w:tcPr>
          <w:p>
            <w:pPr>
              <w:pStyle w:val="BDOITable"/>
            </w:pPr>
            <w:r>
              <w:rPr>
                <w:b/>
                <w:sz w:val="17"/>
              </w:rPr>
              <w:t>Business administrator</w:t>
            </w:r>
          </w:p>
        </w:tc>
        <w:tc>
          <w:tcPr>
            <w:tcW w:type="dxa" w:w="3124"/>
            <w:tcMar>
              <w:top w:w="50" w:type="dxa"/>
              <w:bottom w:w="50" w:type="dxa"/>
              <w:left w:w="90" w:type="dxa"/>
              <w:right w:w="90" w:type="dxa"/>
            </w:tcMar>
          </w:tcPr>
          <w:p>
            <w:pPr>
              <w:pStyle w:val="BDOITable"/>
            </w:pPr>
            <w:r>
              <w:rPr>
                <w:sz w:val="17"/>
              </w:rPr>
              <w:t>Each department</w:t>
            </w:r>
          </w:p>
        </w:tc>
        <w:tc>
          <w:tcPr>
            <w:tcW w:type="dxa" w:w="4686"/>
            <w:tcMar>
              <w:top w:w="50" w:type="dxa"/>
              <w:bottom w:w="50" w:type="dxa"/>
              <w:left w:w="90" w:type="dxa"/>
              <w:right w:w="90" w:type="dxa"/>
            </w:tcMar>
          </w:tcPr>
          <w:p>
            <w:pPr>
              <w:pStyle w:val="BDOITable"/>
            </w:pPr>
            <w:r>
              <w:rPr>
                <w:sz w:val="17"/>
              </w:rPr>
              <w:t>User access requests, lists of values, parameters</w:t>
            </w:r>
          </w:p>
        </w:tc>
      </w:tr>
      <w:tr>
        <w:trPr>
          <w:cantSplit w:val="true"/>
        </w:trPr>
        <w:tc>
          <w:tcPr>
            <w:tcW w:type="dxa" w:w="2163"/>
            <w:tcMar>
              <w:top w:w="50" w:type="dxa"/>
              <w:bottom w:w="50" w:type="dxa"/>
              <w:left w:w="90" w:type="dxa"/>
              <w:right w:w="90" w:type="dxa"/>
            </w:tcMar>
            <w:shd w:val="clear" w:color="auto" w:fill="E5F5FF"/>
          </w:tcPr>
          <w:p>
            <w:pPr>
              <w:pStyle w:val="BDOITable"/>
            </w:pPr>
            <w:r>
              <w:rPr>
                <w:b/>
                <w:sz w:val="17"/>
              </w:rPr>
              <w:t>System administrator</w:t>
            </w:r>
          </w:p>
        </w:tc>
        <w:tc>
          <w:tcPr>
            <w:tcW w:type="dxa" w:w="3124"/>
            <w:tcMar>
              <w:top w:w="50" w:type="dxa"/>
              <w:bottom w:w="50" w:type="dxa"/>
              <w:left w:w="90" w:type="dxa"/>
              <w:right w:w="90" w:type="dxa"/>
            </w:tcMar>
            <w:shd w:val="clear" w:color="auto" w:fill="E5F5FF"/>
          </w:tcPr>
          <w:p>
            <w:pPr>
              <w:pStyle w:val="BDOITable"/>
            </w:pPr>
            <w:r>
              <w:rPr>
                <w:sz w:val="17"/>
              </w:rPr>
              <w:t>BDOI IT</w:t>
            </w:r>
          </w:p>
        </w:tc>
        <w:tc>
          <w:tcPr>
            <w:tcW w:type="dxa" w:w="4686"/>
            <w:tcMar>
              <w:top w:w="50" w:type="dxa"/>
              <w:bottom w:w="50" w:type="dxa"/>
              <w:left w:w="90" w:type="dxa"/>
              <w:right w:w="90" w:type="dxa"/>
            </w:tcMar>
            <w:shd w:val="clear" w:color="auto" w:fill="E5F5FF"/>
          </w:tcPr>
          <w:p>
            <w:pPr>
              <w:pStyle w:val="BDOITable"/>
            </w:pPr>
            <w:r>
              <w:rPr>
                <w:sz w:val="17"/>
              </w:rPr>
              <w:t>Locks, second-factor resets, jobs, integration events</w:t>
            </w:r>
          </w:p>
        </w:tc>
      </w:tr>
    </w:tbl>
    <w:p>
      <w:pPr>
        <w:pStyle w:val="BDOISpacer"/>
      </w:pPr>
    </w:p>
    <w:p>
      <w:pPr>
        <w:pStyle w:val="Heading2"/>
      </w:pPr>
      <w:bookmarkStart w:id="138" w:name="_Toc000138"/>
      <w:r>
        <w:rPr/>
        <w:t>12.2 Sign-in</w:t>
      </w:r>
      <w:bookmarkEnd w:id="138"/>
    </w:p>
    <w:p>
      <w:pPr>
        <w:pStyle w:val="Caption"/>
        <w:keepNext/>
        <w:spacing w:after="60"/>
      </w:pPr>
      <w:r>
        <w:rPr>
          <w:b/>
          <w:i w:val="0"/>
        </w:rPr>
        <w:t xml:space="preserve">Table 20: </w:t>
      </w:r>
      <w:r>
        <w:rPr/>
        <w:t>Sign-in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845"/>
        <w:gridCol w:w="348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Symptom or message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Answer or escalation</w:t>
            </w:r>
          </w:p>
        </w:tc>
      </w:tr>
      <w:tr>
        <w:trPr>
          <w:cantSplit w:val="true"/>
        </w:trPr>
        <w:tc>
          <w:tcPr>
            <w:tcW w:type="dxa" w:w="2643"/>
            <w:tcMar>
              <w:top w:w="50" w:type="dxa"/>
              <w:bottom w:w="50" w:type="dxa"/>
              <w:left w:w="90" w:type="dxa"/>
              <w:right w:w="90" w:type="dxa"/>
            </w:tcMar>
          </w:tcPr>
          <w:p>
            <w:pPr>
              <w:pStyle w:val="BDOITable"/>
            </w:pPr>
            <w:r>
              <w:rPr>
                <w:b/>
                <w:sz w:val="17"/>
              </w:rPr>
              <w:t>"Invalid user name or password"</w:t>
            </w:r>
          </w:p>
        </w:tc>
        <w:tc>
          <w:tcPr>
            <w:tcW w:type="dxa" w:w="3845"/>
            <w:tcMar>
              <w:top w:w="50" w:type="dxa"/>
              <w:bottom w:w="50" w:type="dxa"/>
              <w:left w:w="90" w:type="dxa"/>
              <w:right w:w="90" w:type="dxa"/>
            </w:tcMar>
          </w:tcPr>
          <w:p>
            <w:pPr>
              <w:pStyle w:val="BDOITable"/>
            </w:pPr>
            <w:r>
              <w:rPr>
                <w:sz w:val="17"/>
              </w:rPr>
              <w:t xml:space="preserve">The same message is shown for a wrong password, a locked account and a deactivated account. In </w:t>
            </w:r>
            <w:r>
              <w:rPr>
                <w:i/>
                <w:sz w:val="17"/>
              </w:rPr>
              <w:t>Users</w:t>
            </w:r>
            <w:r>
              <w:rPr>
                <w:sz w:val="17"/>
              </w:rPr>
              <w:t>, check whether the account is locked (failed attempts) or deactivated (dormant user, leaver)</w:t>
            </w:r>
          </w:p>
        </w:tc>
        <w:tc>
          <w:tcPr>
            <w:tcW w:type="dxa" w:w="3484"/>
            <w:tcMar>
              <w:top w:w="50" w:type="dxa"/>
              <w:bottom w:w="50" w:type="dxa"/>
              <w:left w:w="90" w:type="dxa"/>
              <w:right w:w="90" w:type="dxa"/>
            </w:tcMar>
          </w:tcPr>
          <w:p>
            <w:pPr>
              <w:pStyle w:val="BDOITable"/>
            </w:pPr>
            <w:r>
              <w:rPr>
                <w:sz w:val="17"/>
              </w:rPr>
              <w:t>Locked: unlock (standard change) and tell the user to sign in through the BDOI single sign-on. Deactivated: a user access request is needed; route to the department's business administrator. Neither: the user uses the wrong user name, or the EIAM password; send to the BDO password self-service</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Single sign-on page of EIAM opens but BIBS answers "Single sign-on is not available" or "The sign-in link is not valid"</w:t>
            </w:r>
          </w:p>
        </w:tc>
        <w:tc>
          <w:tcPr>
            <w:tcW w:type="dxa" w:w="3845"/>
            <w:tcMar>
              <w:top w:w="50" w:type="dxa"/>
              <w:bottom w:w="50" w:type="dxa"/>
              <w:left w:w="90" w:type="dxa"/>
              <w:right w:w="90" w:type="dxa"/>
            </w:tcMar>
            <w:shd w:val="clear" w:color="auto" w:fill="E5F5FF"/>
          </w:tcPr>
          <w:p>
            <w:pPr>
              <w:pStyle w:val="BDOITable"/>
            </w:pPr>
            <w:r>
              <w:rPr>
                <w:sz w:val="17"/>
              </w:rPr>
              <w:t xml:space="preserve">Ask whether other users of the same branch can sign in; check </w:t>
            </w:r>
            <w:r>
              <w:rPr>
                <w:i/>
                <w:sz w:val="17"/>
              </w:rPr>
              <w:t>Home › Alerts</w:t>
            </w:r>
          </w:p>
        </w:tc>
        <w:tc>
          <w:tcPr>
            <w:tcW w:type="dxa" w:w="3484"/>
            <w:tcMar>
              <w:top w:w="50" w:type="dxa"/>
              <w:bottom w:w="50" w:type="dxa"/>
              <w:left w:w="90" w:type="dxa"/>
              <w:right w:w="90" w:type="dxa"/>
            </w:tcMar>
            <w:shd w:val="clear" w:color="auto" w:fill="E5F5FF"/>
          </w:tcPr>
          <w:p>
            <w:pPr>
              <w:pStyle w:val="BDOITable"/>
            </w:pPr>
            <w:r>
              <w:rPr>
                <w:sz w:val="17"/>
              </w:rPr>
              <w:t>One user: retry in a new browser window; if it remains, escalate to L2 (account not linked to the EIAM identity). Many users: P1 to L2 (EIAM or BIBS sign-in service)</w:t>
            </w:r>
          </w:p>
        </w:tc>
      </w:tr>
      <w:tr>
        <w:trPr>
          <w:cantSplit w:val="true"/>
        </w:trPr>
        <w:tc>
          <w:tcPr>
            <w:tcW w:type="dxa" w:w="2643"/>
            <w:tcMar>
              <w:top w:w="50" w:type="dxa"/>
              <w:bottom w:w="50" w:type="dxa"/>
              <w:left w:w="90" w:type="dxa"/>
              <w:right w:w="90" w:type="dxa"/>
            </w:tcMar>
          </w:tcPr>
          <w:p>
            <w:pPr>
              <w:pStyle w:val="BDOITable"/>
            </w:pPr>
            <w:r>
              <w:rPr>
                <w:b/>
                <w:sz w:val="17"/>
              </w:rPr>
              <w:t>"Too many sign-in attempts. Wait a minute and try again."</w:t>
            </w:r>
          </w:p>
        </w:tc>
        <w:tc>
          <w:tcPr>
            <w:tcW w:type="dxa" w:w="3845"/>
            <w:tcMar>
              <w:top w:w="50" w:type="dxa"/>
              <w:bottom w:w="50" w:type="dxa"/>
              <w:left w:w="90" w:type="dxa"/>
              <w:right w:w="90" w:type="dxa"/>
            </w:tcMar>
          </w:tcPr>
          <w:p>
            <w:pPr>
              <w:pStyle w:val="BDOITable"/>
            </w:pPr>
            <w:r>
              <w:rPr>
                <w:sz w:val="17"/>
              </w:rPr>
              <w:t>Several attempts from the same address within a minute</w:t>
            </w:r>
          </w:p>
        </w:tc>
        <w:tc>
          <w:tcPr>
            <w:tcW w:type="dxa" w:w="3484"/>
            <w:tcMar>
              <w:top w:w="50" w:type="dxa"/>
              <w:bottom w:w="50" w:type="dxa"/>
              <w:left w:w="90" w:type="dxa"/>
              <w:right w:w="90" w:type="dxa"/>
            </w:tcMar>
          </w:tcPr>
          <w:p>
            <w:pPr>
              <w:pStyle w:val="BDOITable"/>
            </w:pPr>
            <w:r>
              <w:rPr>
                <w:sz w:val="17"/>
              </w:rPr>
              <w:t>Ask the user to wait one minute. Many users at once behind one address: escalate to L2</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"The sign-in could not be checked. Try again in a moment."</w:t>
            </w:r>
          </w:p>
        </w:tc>
        <w:tc>
          <w:tcPr>
            <w:tcW w:type="dxa" w:w="3845"/>
            <w:tcMar>
              <w:top w:w="50" w:type="dxa"/>
              <w:bottom w:w="50" w:type="dxa"/>
              <w:left w:w="90" w:type="dxa"/>
              <w:right w:w="90" w:type="dxa"/>
            </w:tcMar>
            <w:shd w:val="clear" w:color="auto" w:fill="E5F5FF"/>
          </w:tcPr>
          <w:p>
            <w:pPr>
              <w:pStyle w:val="BDOITable"/>
            </w:pPr>
            <w:r>
              <w:rPr>
                <w:sz w:val="17"/>
              </w:rPr>
              <w:t>Ask whether others are affected</w:t>
            </w:r>
          </w:p>
        </w:tc>
        <w:tc>
          <w:tcPr>
            <w:tcW w:type="dxa" w:w="3484"/>
            <w:tcMar>
              <w:top w:w="50" w:type="dxa"/>
              <w:bottom w:w="50" w:type="dxa"/>
              <w:left w:w="90" w:type="dxa"/>
              <w:right w:w="90" w:type="dxa"/>
            </w:tcMar>
            <w:shd w:val="clear" w:color="auto" w:fill="E5F5FF"/>
          </w:tcPr>
          <w:p>
            <w:pPr>
              <w:pStyle w:val="BDOITable"/>
            </w:pPr>
            <w:r>
              <w:rPr>
                <w:sz w:val="17"/>
              </w:rPr>
              <w:t>One user: retry after a minute. Several users: P1 to L2 at once (the sign-in security store is unavailable; alert SECURITY_STORE_UNAVAILABLE)</w:t>
            </w:r>
          </w:p>
        </w:tc>
      </w:tr>
      <w:tr>
        <w:trPr>
          <w:cantSplit w:val="true"/>
        </w:trPr>
        <w:tc>
          <w:tcPr>
            <w:tcW w:type="dxa" w:w="2643"/>
            <w:tcMar>
              <w:top w:w="50" w:type="dxa"/>
              <w:bottom w:w="50" w:type="dxa"/>
              <w:left w:w="90" w:type="dxa"/>
              <w:right w:w="90" w:type="dxa"/>
            </w:tcMar>
          </w:tcPr>
          <w:p>
            <w:pPr>
              <w:pStyle w:val="BDOITable"/>
            </w:pPr>
            <w:r>
              <w:rPr>
                <w:b/>
                <w:sz w:val="17"/>
              </w:rPr>
              <w:t>"Your session has ended. Sign in again."</w:t>
            </w:r>
          </w:p>
        </w:tc>
        <w:tc>
          <w:tcPr>
            <w:tcW w:type="dxa" w:w="3845"/>
            <w:tcMar>
              <w:top w:w="50" w:type="dxa"/>
              <w:bottom w:w="50" w:type="dxa"/>
              <w:left w:w="90" w:type="dxa"/>
              <w:right w:w="90" w:type="dxa"/>
            </w:tcMar>
          </w:tcPr>
          <w:p>
            <w:pPr>
              <w:pStyle w:val="BDOITable"/>
            </w:pPr>
            <w:r>
              <w:rPr>
                <w:sz w:val="17"/>
              </w:rPr>
              <w:t>Session ended after 30 minutes without activity, after 8 hours, or because the same session was used from a copied browser profile</w:t>
            </w:r>
          </w:p>
        </w:tc>
        <w:tc>
          <w:tcPr>
            <w:tcW w:type="dxa" w:w="3484"/>
            <w:tcMar>
              <w:top w:w="50" w:type="dxa"/>
              <w:bottom w:w="50" w:type="dxa"/>
              <w:left w:w="90" w:type="dxa"/>
              <w:right w:w="90" w:type="dxa"/>
            </w:tcMar>
          </w:tcPr>
          <w:p>
            <w:pPr>
              <w:pStyle w:val="BDOITable"/>
            </w:pPr>
            <w:r>
              <w:rPr>
                <w:sz w:val="17"/>
              </w:rPr>
              <w:t>Sign in again. If it happens repeatedly within minutes, escalate to L2 (possible copied cookie; security check)</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Second factor: "The code does not match. Check the time of your phone and retry"</w:t>
            </w:r>
          </w:p>
        </w:tc>
        <w:tc>
          <w:tcPr>
            <w:tcW w:type="dxa" w:w="3845"/>
            <w:tcMar>
              <w:top w:w="50" w:type="dxa"/>
              <w:bottom w:w="50" w:type="dxa"/>
              <w:left w:w="90" w:type="dxa"/>
              <w:right w:w="90" w:type="dxa"/>
            </w:tcMar>
            <w:shd w:val="clear" w:color="auto" w:fill="E5F5FF"/>
          </w:tcPr>
          <w:p>
            <w:pPr>
              <w:pStyle w:val="BDOITable"/>
            </w:pPr>
            <w:r>
              <w:rPr>
                <w:sz w:val="17"/>
              </w:rPr>
              <w:t>The phone clock must be set automatically</w:t>
            </w:r>
          </w:p>
        </w:tc>
        <w:tc>
          <w:tcPr>
            <w:tcW w:type="dxa" w:w="3484"/>
            <w:tcMar>
              <w:top w:w="50" w:type="dxa"/>
              <w:bottom w:w="50" w:type="dxa"/>
              <w:left w:w="90" w:type="dxa"/>
              <w:right w:w="90" w:type="dxa"/>
            </w:tcMar>
            <w:shd w:val="clear" w:color="auto" w:fill="E5F5FF"/>
          </w:tcPr>
          <w:p>
            <w:pPr>
              <w:pStyle w:val="BDOITable"/>
            </w:pPr>
            <w:r>
              <w:rPr>
                <w:sz w:val="17"/>
              </w:rPr>
              <w:t>Set the phone time to automatic and retry. Wrong codes count towards the lock</w:t>
            </w:r>
          </w:p>
        </w:tc>
      </w:tr>
      <w:tr>
        <w:trPr>
          <w:cantSplit w:val="true"/>
        </w:trPr>
        <w:tc>
          <w:tcPr>
            <w:tcW w:type="dxa" w:w="2643"/>
            <w:tcMar>
              <w:top w:w="50" w:type="dxa"/>
              <w:bottom w:w="50" w:type="dxa"/>
              <w:left w:w="90" w:type="dxa"/>
              <w:right w:w="90" w:type="dxa"/>
            </w:tcMar>
          </w:tcPr>
          <w:p>
            <w:pPr>
              <w:pStyle w:val="BDOITable"/>
            </w:pPr>
            <w:r>
              <w:rPr>
                <w:b/>
                <w:sz w:val="17"/>
              </w:rPr>
              <w:t>Second factor: phone lost or replaced</w:t>
            </w:r>
          </w:p>
        </w:tc>
        <w:tc>
          <w:tcPr>
            <w:tcW w:type="dxa" w:w="3845"/>
            <w:tcMar>
              <w:top w:w="50" w:type="dxa"/>
              <w:bottom w:w="50" w:type="dxa"/>
              <w:left w:w="90" w:type="dxa"/>
              <w:right w:w="90" w:type="dxa"/>
            </w:tcMar>
          </w:tcPr>
          <w:p>
            <w:pPr>
              <w:pStyle w:val="BDOITable"/>
            </w:pPr>
            <w:r>
              <w:rPr>
                <w:sz w:val="17"/>
              </w:rPr>
              <w:t>Only break-glass and privileged users with local sign-in use the BIBS second factor</w:t>
            </w:r>
          </w:p>
        </w:tc>
        <w:tc>
          <w:tcPr>
            <w:tcW w:type="dxa" w:w="3484"/>
            <w:tcMar>
              <w:top w:w="50" w:type="dxa"/>
              <w:bottom w:w="50" w:type="dxa"/>
              <w:left w:w="90" w:type="dxa"/>
              <w:right w:w="90" w:type="dxa"/>
            </w:tcMar>
          </w:tcPr>
          <w:p>
            <w:pPr>
              <w:pStyle w:val="BDOITable"/>
            </w:pPr>
            <w:r>
              <w:rPr>
                <w:sz w:val="17"/>
              </w:rPr>
              <w:t xml:space="preserve">The user signs in with a recovery code meanwhile. A system administrator requests the reset in </w:t>
            </w:r>
            <w:r>
              <w:rPr>
                <w:i/>
                <w:sz w:val="17"/>
              </w:rPr>
              <w:t>Second Factor</w:t>
            </w:r>
            <w:r>
              <w:rPr>
                <w:sz w:val="17"/>
              </w:rPr>
              <w:t>; a second administrator approves it; the user enrols again at the next sign-in</w:t>
            </w:r>
          </w:p>
        </w:tc>
      </w:tr>
    </w:tbl>
    <w:p>
      <w:pPr>
        <w:pStyle w:val="BDOISpacer"/>
      </w:pPr>
    </w:p>
    <w:p>
      <w:pPr>
        <w:pStyle w:val="Heading2"/>
      </w:pPr>
      <w:bookmarkStart w:id="139" w:name="_Toc000139"/>
      <w:r>
        <w:rPr/>
        <w:t>12.3 Access</w:t>
      </w:r>
      <w:bookmarkEnd w:id="139"/>
    </w:p>
    <w:p>
      <w:pPr>
        <w:pStyle w:val="Caption"/>
        <w:keepNext/>
        <w:spacing w:after="60"/>
      </w:pPr>
      <w:r>
        <w:rPr>
          <w:b/>
          <w:i w:val="0"/>
        </w:rPr>
        <w:t xml:space="preserve">Table 21: </w:t>
      </w:r>
      <w:r>
        <w:rPr/>
        <w:t>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845"/>
        <w:gridCol w:w="348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Symptom or message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Answer or escalation</w:t>
            </w:r>
          </w:p>
        </w:tc>
      </w:tr>
      <w:tr>
        <w:trPr>
          <w:cantSplit w:val="true"/>
        </w:trPr>
        <w:tc>
          <w:tcPr>
            <w:tcW w:type="dxa" w:w="2643"/>
            <w:tcMar>
              <w:top w:w="50" w:type="dxa"/>
              <w:bottom w:w="50" w:type="dxa"/>
              <w:left w:w="90" w:type="dxa"/>
              <w:right w:w="90" w:type="dxa"/>
            </w:tcMar>
          </w:tcPr>
          <w:p>
            <w:pPr>
              <w:pStyle w:val="BDOITable"/>
            </w:pPr>
            <w:r>
              <w:rPr>
                <w:b/>
                <w:sz w:val="17"/>
              </w:rPr>
              <w:t>A menu or screen is missing</w:t>
            </w:r>
          </w:p>
        </w:tc>
        <w:tc>
          <w:tcPr>
            <w:tcW w:type="dxa" w:w="3845"/>
            <w:tcMar>
              <w:top w:w="50" w:type="dxa"/>
              <w:bottom w:w="50" w:type="dxa"/>
              <w:left w:w="90" w:type="dxa"/>
              <w:right w:w="90" w:type="dxa"/>
            </w:tcMar>
          </w:tcPr>
          <w:p>
            <w:pPr>
              <w:pStyle w:val="BDOITable"/>
            </w:pPr>
            <w:r>
              <w:rPr>
                <w:sz w:val="17"/>
              </w:rPr>
              <w:t xml:space="preserve">The menu shows only what the user's roles allow. Check the user's roles in </w:t>
            </w:r>
            <w:r>
              <w:rPr>
                <w:i/>
                <w:sz w:val="17"/>
              </w:rPr>
              <w:t>Users</w:t>
            </w:r>
            <w:r>
              <w:rPr>
                <w:sz w:val="17"/>
              </w:rPr>
              <w:t xml:space="preserve"> or the </w:t>
            </w:r>
            <w:r>
              <w:rPr>
                <w:i/>
                <w:sz w:val="17"/>
              </w:rPr>
              <w:t>User Access Matrix</w:t>
            </w:r>
            <w:r>
              <w:rPr>
                <w:sz w:val="17"/>
              </w:rPr>
              <w:t xml:space="preserve"> report</w:t>
            </w:r>
          </w:p>
        </w:tc>
        <w:tc>
          <w:tcPr>
            <w:tcW w:type="dxa" w:w="3484"/>
            <w:tcMar>
              <w:top w:w="50" w:type="dxa"/>
              <w:bottom w:w="50" w:type="dxa"/>
              <w:left w:w="90" w:type="dxa"/>
              <w:right w:w="90" w:type="dxa"/>
            </w:tcMar>
          </w:tcPr>
          <w:p>
            <w:pPr>
              <w:pStyle w:val="BDOITable"/>
            </w:pPr>
            <w:r>
              <w:rPr>
                <w:sz w:val="17"/>
              </w:rPr>
              <w:t>The user asks the department's business administrator to raise a user access request (BRD-11); it is approved and applied in BIBS, or provisioned through UIDM-ISC once live. Same role as a colleague who sees it: escalate to L2</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"You are not permitted to perform this action"</w:t>
            </w:r>
          </w:p>
        </w:tc>
        <w:tc>
          <w:tcPr>
            <w:tcW w:type="dxa" w:w="3845"/>
            <w:tcMar>
              <w:top w:w="50" w:type="dxa"/>
              <w:bottom w:w="50" w:type="dxa"/>
              <w:left w:w="90" w:type="dxa"/>
              <w:right w:w="90" w:type="dxa"/>
            </w:tcMar>
            <w:shd w:val="clear" w:color="auto" w:fill="E5F5FF"/>
          </w:tcPr>
          <w:p>
            <w:pPr>
              <w:pStyle w:val="BDOITable"/>
            </w:pPr>
            <w:r>
              <w:rPr>
                <w:sz w:val="17"/>
              </w:rPr>
              <w:t>The action needs a permission that the role does not give, or the user is the maker of the record</w:t>
            </w:r>
          </w:p>
        </w:tc>
        <w:tc>
          <w:tcPr>
            <w:tcW w:type="dxa" w:w="3484"/>
            <w:tcMar>
              <w:top w:w="50" w:type="dxa"/>
              <w:bottom w:w="50" w:type="dxa"/>
              <w:left w:w="90" w:type="dxa"/>
              <w:right w:w="90" w:type="dxa"/>
            </w:tcMar>
            <w:shd w:val="clear" w:color="auto" w:fill="E5F5FF"/>
          </w:tcPr>
          <w:p>
            <w:pPr>
              <w:pStyle w:val="BDOITable"/>
            </w:pPr>
            <w:r>
              <w:rPr>
                <w:sz w:val="17"/>
              </w:rPr>
              <w:t>Access request as above, or another user performs the action (maker-checker)</w:t>
            </w:r>
          </w:p>
        </w:tc>
      </w:tr>
      <w:tr>
        <w:trPr>
          <w:cantSplit w:val="true"/>
        </w:trPr>
        <w:tc>
          <w:tcPr>
            <w:tcW w:type="dxa" w:w="2643"/>
            <w:tcMar>
              <w:top w:w="50" w:type="dxa"/>
              <w:bottom w:w="50" w:type="dxa"/>
              <w:left w:w="90" w:type="dxa"/>
              <w:right w:w="90" w:type="dxa"/>
            </w:tcMar>
          </w:tcPr>
          <w:p>
            <w:pPr>
              <w:pStyle w:val="BDOITable"/>
            </w:pPr>
            <w:r>
              <w:rPr>
                <w:b/>
                <w:sz w:val="17"/>
              </w:rPr>
              <w:t>"You do not have access to the data of this company. Ask your administrator to extend your data access."</w:t>
            </w:r>
          </w:p>
        </w:tc>
        <w:tc>
          <w:tcPr>
            <w:tcW w:type="dxa" w:w="3845"/>
            <w:tcMar>
              <w:top w:w="50" w:type="dxa"/>
              <w:bottom w:w="50" w:type="dxa"/>
              <w:left w:w="90" w:type="dxa"/>
              <w:right w:w="90" w:type="dxa"/>
            </w:tcMar>
          </w:tcPr>
          <w:p>
            <w:pPr>
              <w:pStyle w:val="BDOITable"/>
            </w:pPr>
            <w:r>
              <w:rPr>
                <w:sz w:val="17"/>
              </w:rPr>
              <w:t>The user's data scope (companies and branches) does not include the company or branch of the record</w:t>
            </w:r>
          </w:p>
        </w:tc>
        <w:tc>
          <w:tcPr>
            <w:tcW w:type="dxa" w:w="3484"/>
            <w:tcMar>
              <w:top w:w="50" w:type="dxa"/>
              <w:bottom w:w="50" w:type="dxa"/>
              <w:left w:w="90" w:type="dxa"/>
              <w:right w:w="90" w:type="dxa"/>
            </w:tcMar>
          </w:tcPr>
          <w:p>
            <w:pPr>
              <w:pStyle w:val="BDOITable"/>
            </w:pPr>
            <w:r>
              <w:rPr>
                <w:sz w:val="17"/>
              </w:rPr>
              <w:t>Access request for the data scope; never shared credentials</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New joiner cannot sign in on the first day</w:t>
            </w:r>
          </w:p>
        </w:tc>
        <w:tc>
          <w:tcPr>
            <w:tcW w:type="dxa" w:w="3845"/>
            <w:tcMar>
              <w:top w:w="50" w:type="dxa"/>
              <w:bottom w:w="50" w:type="dxa"/>
              <w:left w:w="90" w:type="dxa"/>
              <w:right w:w="90" w:type="dxa"/>
            </w:tcMar>
            <w:shd w:val="clear" w:color="auto" w:fill="E5F5FF"/>
          </w:tcPr>
          <w:p>
            <w:pPr>
              <w:pStyle w:val="BDOITable"/>
            </w:pPr>
            <w:r>
              <w:rPr>
                <w:sz w:val="17"/>
              </w:rPr>
              <w:t>The user exists in EIAM but not yet in BIBS, or the access request has a future effective date</w:t>
            </w:r>
          </w:p>
        </w:tc>
        <w:tc>
          <w:tcPr>
            <w:tcW w:type="dxa" w:w="3484"/>
            <w:tcMar>
              <w:top w:w="50" w:type="dxa"/>
              <w:bottom w:w="50" w:type="dxa"/>
              <w:left w:w="90" w:type="dxa"/>
              <w:right w:w="90" w:type="dxa"/>
            </w:tcMar>
            <w:shd w:val="clear" w:color="auto" w:fill="E5F5FF"/>
          </w:tcPr>
          <w:p>
            <w:pPr>
              <w:pStyle w:val="BDOITable"/>
            </w:pPr>
            <w:r>
              <w:rPr>
                <w:sz w:val="17"/>
              </w:rPr>
              <w:t>Check the request status; requests with an effective date are applied at 00:05 by UAM_EFFECTIVE_CHANGES. Escalate to L2 if the request is approved and past its date</w:t>
            </w:r>
          </w:p>
        </w:tc>
      </w:tr>
      <w:tr>
        <w:trPr>
          <w:cantSplit w:val="true"/>
        </w:trPr>
        <w:tc>
          <w:tcPr>
            <w:tcW w:type="dxa" w:w="2643"/>
            <w:tcMar>
              <w:top w:w="50" w:type="dxa"/>
              <w:bottom w:w="50" w:type="dxa"/>
              <w:left w:w="90" w:type="dxa"/>
              <w:right w:w="90" w:type="dxa"/>
            </w:tcMar>
          </w:tcPr>
          <w:p>
            <w:pPr>
              <w:pStyle w:val="BDOITable"/>
            </w:pPr>
            <w:r>
              <w:rPr>
                <w:b/>
                <w:sz w:val="17"/>
              </w:rPr>
              <w:t>User deactivated after leave</w:t>
            </w:r>
          </w:p>
        </w:tc>
        <w:tc>
          <w:tcPr>
            <w:tcW w:type="dxa" w:w="3845"/>
            <w:tcMar>
              <w:top w:w="50" w:type="dxa"/>
              <w:bottom w:w="50" w:type="dxa"/>
              <w:left w:w="90" w:type="dxa"/>
              <w:right w:w="90" w:type="dxa"/>
            </w:tcMar>
          </w:tcPr>
          <w:p>
            <w:pPr>
              <w:pStyle w:val="BDOITable"/>
            </w:pPr>
            <w:r>
              <w:rPr>
                <w:sz w:val="17"/>
              </w:rPr>
              <w:t>Users without a sign-in for the dormancy period are deactivated after a notice</w:t>
            </w:r>
          </w:p>
        </w:tc>
        <w:tc>
          <w:tcPr>
            <w:tcW w:type="dxa" w:w="3484"/>
            <w:tcMar>
              <w:top w:w="50" w:type="dxa"/>
              <w:bottom w:w="50" w:type="dxa"/>
              <w:left w:w="90" w:type="dxa"/>
              <w:right w:w="90" w:type="dxa"/>
            </w:tcMar>
          </w:tcPr>
          <w:p>
            <w:pPr>
              <w:pStyle w:val="BDOITable"/>
            </w:pPr>
            <w:r>
              <w:rPr>
                <w:sz w:val="17"/>
              </w:rPr>
              <w:t>Reactivation through a user access request</w:t>
            </w:r>
          </w:p>
        </w:tc>
      </w:tr>
    </w:tbl>
    <w:p>
      <w:pPr>
        <w:pStyle w:val="BDOISpacer"/>
      </w:pPr>
    </w:p>
    <w:p>
      <w:pPr>
        <w:pStyle w:val="Heading2"/>
      </w:pPr>
      <w:bookmarkStart w:id="140" w:name="_Toc000140"/>
      <w:r>
        <w:rPr/>
        <w:t>12.4 Workflow stuck</w:t>
      </w:r>
      <w:bookmarkEnd w:id="140"/>
    </w:p>
    <w:p>
      <w:pPr>
        <w:pStyle w:val="Caption"/>
        <w:keepNext/>
        <w:spacing w:after="60"/>
      </w:pPr>
      <w:r>
        <w:rPr>
          <w:b/>
          <w:i w:val="0"/>
        </w:rPr>
        <w:t xml:space="preserve">Table 22: </w:t>
      </w:r>
      <w:r>
        <w:rPr/>
        <w:t>Workflow and approvals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845"/>
        <w:gridCol w:w="348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Symptom or message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Answer or escalation</w:t>
            </w:r>
          </w:p>
        </w:tc>
      </w:tr>
      <w:tr>
        <w:trPr>
          <w:cantSplit w:val="true"/>
        </w:trPr>
        <w:tc>
          <w:tcPr>
            <w:tcW w:type="dxa" w:w="2643"/>
            <w:tcMar>
              <w:top w:w="50" w:type="dxa"/>
              <w:bottom w:w="50" w:type="dxa"/>
              <w:left w:w="90" w:type="dxa"/>
              <w:right w:w="90" w:type="dxa"/>
            </w:tcMar>
          </w:tcPr>
          <w:p>
            <w:pPr>
              <w:pStyle w:val="BDOITable"/>
            </w:pPr>
            <w:r>
              <w:rPr>
                <w:b/>
                <w:sz w:val="17"/>
              </w:rPr>
              <w:t>"'&lt;action&gt;' is not allowed while &lt;reference&gt; is in stage &lt;name&gt;"</w:t>
            </w:r>
          </w:p>
        </w:tc>
        <w:tc>
          <w:tcPr>
            <w:tcW w:type="dxa" w:w="3845"/>
            <w:tcMar>
              <w:top w:w="50" w:type="dxa"/>
              <w:bottom w:w="50" w:type="dxa"/>
              <w:left w:w="90" w:type="dxa"/>
              <w:right w:w="90" w:type="dxa"/>
            </w:tcMar>
          </w:tcPr>
          <w:p>
            <w:pPr>
              <w:pStyle w:val="BDOITable"/>
            </w:pPr>
            <w:r>
              <w:rPr>
                <w:sz w:val="17"/>
              </w:rPr>
              <w:t>The record is in another stage than the user thinks; open the record's workflow history</w:t>
            </w:r>
          </w:p>
        </w:tc>
        <w:tc>
          <w:tcPr>
            <w:tcW w:type="dxa" w:w="3484"/>
            <w:tcMar>
              <w:top w:w="50" w:type="dxa"/>
              <w:bottom w:w="50" w:type="dxa"/>
              <w:left w:w="90" w:type="dxa"/>
              <w:right w:w="90" w:type="dxa"/>
            </w:tcMar>
          </w:tcPr>
          <w:p>
            <w:pPr>
              <w:pStyle w:val="BDOITable"/>
            </w:pPr>
            <w:r>
              <w:rPr>
                <w:sz w:val="17"/>
              </w:rPr>
              <w:t>Explain the stage and who acts next (the history shows the user's name); refresh the screen</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"You are not allowed to '&lt;label&gt;'"</w:t>
            </w:r>
          </w:p>
        </w:tc>
        <w:tc>
          <w:tcPr>
            <w:tcW w:type="dxa" w:w="3845"/>
            <w:tcMar>
              <w:top w:w="50" w:type="dxa"/>
              <w:bottom w:w="50" w:type="dxa"/>
              <w:left w:w="90" w:type="dxa"/>
              <w:right w:w="90" w:type="dxa"/>
            </w:tcMar>
            <w:shd w:val="clear" w:color="auto" w:fill="E5F5FF"/>
          </w:tcPr>
          <w:p>
            <w:pPr>
              <w:pStyle w:val="BDOITable"/>
            </w:pPr>
            <w:r>
              <w:rPr>
                <w:sz w:val="17"/>
              </w:rPr>
              <w:t>The action belongs to another role or approval level</w:t>
            </w:r>
          </w:p>
        </w:tc>
        <w:tc>
          <w:tcPr>
            <w:tcW w:type="dxa" w:w="3484"/>
            <w:tcMar>
              <w:top w:w="50" w:type="dxa"/>
              <w:bottom w:w="50" w:type="dxa"/>
              <w:left w:w="90" w:type="dxa"/>
              <w:right w:w="90" w:type="dxa"/>
            </w:tcMar>
            <w:shd w:val="clear" w:color="auto" w:fill="E5F5FF"/>
          </w:tcPr>
          <w:p>
            <w:pPr>
              <w:pStyle w:val="BDOITable"/>
            </w:pPr>
            <w:r>
              <w:rPr>
                <w:sz w:val="17"/>
              </w:rPr>
              <w:t>Route to the right approver; access request if the user should have it</w:t>
            </w:r>
          </w:p>
        </w:tc>
      </w:tr>
      <w:tr>
        <w:trPr>
          <w:cantSplit w:val="true"/>
        </w:trPr>
        <w:tc>
          <w:tcPr>
            <w:tcW w:type="dxa" w:w="2643"/>
            <w:tcMar>
              <w:top w:w="50" w:type="dxa"/>
              <w:bottom w:w="50" w:type="dxa"/>
              <w:left w:w="90" w:type="dxa"/>
              <w:right w:w="90" w:type="dxa"/>
            </w:tcMar>
          </w:tcPr>
          <w:p>
            <w:pPr>
              <w:pStyle w:val="BDOITable"/>
            </w:pPr>
            <w:r>
              <w:rPr>
                <w:b/>
                <w:sz w:val="17"/>
              </w:rPr>
              <w:t>An item waits in an approver's queue for days</w:t>
            </w:r>
          </w:p>
        </w:tc>
        <w:tc>
          <w:tcPr>
            <w:tcW w:type="dxa" w:w="3845"/>
            <w:tcMar>
              <w:top w:w="50" w:type="dxa"/>
              <w:bottom w:w="50" w:type="dxa"/>
              <w:left w:w="90" w:type="dxa"/>
              <w:right w:w="90" w:type="dxa"/>
            </w:tcMar>
          </w:tcPr>
          <w:p>
            <w:pPr>
              <w:pStyle w:val="BDOITable"/>
            </w:pPr>
            <w:r>
              <w:rPr>
                <w:i/>
                <w:sz w:val="17"/>
              </w:rPr>
              <w:t>My Approvals</w:t>
            </w:r>
            <w:r>
              <w:rPr>
                <w:sz w:val="17"/>
              </w:rPr>
              <w:t xml:space="preserve"> of the approver; the item may be above the approver's authorisation limit, or the approver is on leave</w:t>
            </w:r>
          </w:p>
        </w:tc>
        <w:tc>
          <w:tcPr>
            <w:tcW w:type="dxa" w:w="3484"/>
            <w:tcMar>
              <w:top w:w="50" w:type="dxa"/>
              <w:bottom w:w="50" w:type="dxa"/>
              <w:left w:w="90" w:type="dxa"/>
              <w:right w:w="90" w:type="dxa"/>
            </w:tcMar>
          </w:tcPr>
          <w:p>
            <w:pPr>
              <w:pStyle w:val="BDOITable"/>
            </w:pPr>
            <w:r>
              <w:rPr>
                <w:sz w:val="17"/>
              </w:rPr>
              <w:t>Ask the approver or the department head to act or reassign; ageing items raise PENDING_APPROVAL_AGEING after 2 days</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Maker-checker refusal, for example "A journal cannot be authorized by the user who submitted it"</w:t>
            </w:r>
          </w:p>
        </w:tc>
        <w:tc>
          <w:tcPr>
            <w:tcW w:type="dxa" w:w="3845"/>
            <w:tcMar>
              <w:top w:w="50" w:type="dxa"/>
              <w:bottom w:w="50" w:type="dxa"/>
              <w:left w:w="90" w:type="dxa"/>
              <w:right w:w="90" w:type="dxa"/>
            </w:tcMar>
            <w:shd w:val="clear" w:color="auto" w:fill="E5F5FF"/>
          </w:tcPr>
          <w:p>
            <w:pPr>
              <w:pStyle w:val="BDOITable"/>
            </w:pPr>
            <w:r>
              <w:rPr>
                <w:sz w:val="17"/>
              </w:rPr>
              <w:t>The user tries to approve their own work</w:t>
            </w:r>
          </w:p>
        </w:tc>
        <w:tc>
          <w:tcPr>
            <w:tcW w:type="dxa" w:w="3484"/>
            <w:tcMar>
              <w:top w:w="50" w:type="dxa"/>
              <w:bottom w:w="50" w:type="dxa"/>
              <w:left w:w="90" w:type="dxa"/>
              <w:right w:w="90" w:type="dxa"/>
            </w:tcMar>
            <w:shd w:val="clear" w:color="auto" w:fill="E5F5FF"/>
          </w:tcPr>
          <w:p>
            <w:pPr>
              <w:pStyle w:val="BDOITable"/>
            </w:pPr>
            <w:r>
              <w:rPr>
                <w:sz w:val="17"/>
              </w:rPr>
              <w:t>Another user with the approval right approves</w:t>
            </w:r>
          </w:p>
        </w:tc>
      </w:tr>
      <w:tr>
        <w:trPr>
          <w:cantSplit w:val="true"/>
        </w:trPr>
        <w:tc>
          <w:tcPr>
            <w:tcW w:type="dxa" w:w="2643"/>
            <w:tcMar>
              <w:top w:w="50" w:type="dxa"/>
              <w:bottom w:w="50" w:type="dxa"/>
              <w:left w:w="90" w:type="dxa"/>
              <w:right w:w="90" w:type="dxa"/>
            </w:tcMar>
          </w:tcPr>
          <w:p>
            <w:pPr>
              <w:pStyle w:val="BDOITable"/>
            </w:pPr>
            <w:r>
              <w:rPr>
                <w:b/>
                <w:sz w:val="17"/>
              </w:rPr>
              <w:t>"Journal total &lt;amount&gt; exceeds your authorization limit &lt;limit&gt;", or the item is not in the approver's inbox</w:t>
            </w:r>
          </w:p>
        </w:tc>
        <w:tc>
          <w:tcPr>
            <w:tcW w:type="dxa" w:w="3845"/>
            <w:tcMar>
              <w:top w:w="50" w:type="dxa"/>
              <w:bottom w:w="50" w:type="dxa"/>
              <w:left w:w="90" w:type="dxa"/>
              <w:right w:w="90" w:type="dxa"/>
            </w:tcMar>
          </w:tcPr>
          <w:p>
            <w:pPr>
              <w:pStyle w:val="BDOITable"/>
            </w:pPr>
            <w:r>
              <w:rPr>
                <w:sz w:val="17"/>
              </w:rPr>
              <w:t>The approval inbox hides items above the viewer's limit</w:t>
            </w:r>
          </w:p>
        </w:tc>
        <w:tc>
          <w:tcPr>
            <w:tcW w:type="dxa" w:w="3484"/>
            <w:tcMar>
              <w:top w:w="50" w:type="dxa"/>
              <w:bottom w:w="50" w:type="dxa"/>
              <w:left w:w="90" w:type="dxa"/>
              <w:right w:w="90" w:type="dxa"/>
            </w:tcMar>
          </w:tcPr>
          <w:p>
            <w:pPr>
              <w:pStyle w:val="BDOITable"/>
            </w:pPr>
            <w:r>
              <w:rPr>
                <w:sz w:val="17"/>
              </w:rPr>
              <w:t>A higher-limit approver approves</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"The record was changed by another user. Please reload and try again."</w:t>
            </w:r>
          </w:p>
        </w:tc>
        <w:tc>
          <w:tcPr>
            <w:tcW w:type="dxa" w:w="3845"/>
            <w:tcMar>
              <w:top w:w="50" w:type="dxa"/>
              <w:bottom w:w="50" w:type="dxa"/>
              <w:left w:w="90" w:type="dxa"/>
              <w:right w:w="90" w:type="dxa"/>
            </w:tcMar>
            <w:shd w:val="clear" w:color="auto" w:fill="E5F5FF"/>
          </w:tcPr>
          <w:p>
            <w:pPr>
              <w:pStyle w:val="BDOITable"/>
            </w:pPr>
            <w:r>
              <w:rPr>
                <w:sz w:val="17"/>
              </w:rPr>
              <w:t>Two users edited the same record</w:t>
            </w:r>
          </w:p>
        </w:tc>
        <w:tc>
          <w:tcPr>
            <w:tcW w:type="dxa" w:w="3484"/>
            <w:tcMar>
              <w:top w:w="50" w:type="dxa"/>
              <w:bottom w:w="50" w:type="dxa"/>
              <w:left w:w="90" w:type="dxa"/>
              <w:right w:w="90" w:type="dxa"/>
            </w:tcMar>
            <w:shd w:val="clear" w:color="auto" w:fill="E5F5FF"/>
          </w:tcPr>
          <w:p>
            <w:pPr>
              <w:pStyle w:val="BDOITable"/>
            </w:pPr>
            <w:r>
              <w:rPr>
                <w:sz w:val="17"/>
              </w:rPr>
              <w:t>Reload the record and repeat the change</w:t>
            </w:r>
          </w:p>
        </w:tc>
      </w:tr>
      <w:tr>
        <w:trPr>
          <w:cantSplit w:val="true"/>
        </w:trPr>
        <w:tc>
          <w:tcPr>
            <w:tcW w:type="dxa" w:w="2643"/>
            <w:tcMar>
              <w:top w:w="50" w:type="dxa"/>
              <w:bottom w:w="50" w:type="dxa"/>
              <w:left w:w="90" w:type="dxa"/>
              <w:right w:w="90" w:type="dxa"/>
            </w:tcMar>
          </w:tcPr>
          <w:p>
            <w:pPr>
              <w:pStyle w:val="BDOITable"/>
            </w:pPr>
            <w:r>
              <w:rPr>
                <w:b/>
                <w:sz w:val="17"/>
              </w:rPr>
              <w:t>"&lt;editing by&gt; is editing &lt;invoice no&gt;" (Collections)</w:t>
            </w:r>
          </w:p>
        </w:tc>
        <w:tc>
          <w:tcPr>
            <w:tcW w:type="dxa" w:w="3845"/>
            <w:tcMar>
              <w:top w:w="50" w:type="dxa"/>
              <w:bottom w:w="50" w:type="dxa"/>
              <w:left w:w="90" w:type="dxa"/>
              <w:right w:w="90" w:type="dxa"/>
            </w:tcMar>
          </w:tcPr>
          <w:p>
            <w:pPr>
              <w:pStyle w:val="BDOITable"/>
            </w:pPr>
            <w:r>
              <w:rPr>
                <w:sz w:val="17"/>
              </w:rPr>
              <w:t>Another collector holds the item</w:t>
            </w:r>
          </w:p>
        </w:tc>
        <w:tc>
          <w:tcPr>
            <w:tcW w:type="dxa" w:w="3484"/>
            <w:tcMar>
              <w:top w:w="50" w:type="dxa"/>
              <w:bottom w:w="50" w:type="dxa"/>
              <w:left w:w="90" w:type="dxa"/>
              <w:right w:w="90" w:type="dxa"/>
            </w:tcMar>
          </w:tcPr>
          <w:p>
            <w:pPr>
              <w:pStyle w:val="BDOITable"/>
            </w:pPr>
            <w:r>
              <w:rPr>
                <w:sz w:val="17"/>
              </w:rPr>
              <w:t>Wait or ask the colleague; the lock ends when the colleague leaves the item</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"Batch &lt;batch no&gt; is &lt;stage&gt;: lines can no longer change" (Remittance)</w:t>
            </w:r>
          </w:p>
        </w:tc>
        <w:tc>
          <w:tcPr>
            <w:tcW w:type="dxa" w:w="3845"/>
            <w:tcMar>
              <w:top w:w="50" w:type="dxa"/>
              <w:bottom w:w="50" w:type="dxa"/>
              <w:left w:w="90" w:type="dxa"/>
              <w:right w:w="90" w:type="dxa"/>
            </w:tcMar>
            <w:shd w:val="clear" w:color="auto" w:fill="E5F5FF"/>
          </w:tcPr>
          <w:p>
            <w:pPr>
              <w:pStyle w:val="BDOITable"/>
            </w:pPr>
            <w:r>
              <w:rPr>
                <w:sz w:val="17"/>
              </w:rPr>
              <w:t>The batch has passed the editable stage</w:t>
            </w:r>
          </w:p>
        </w:tc>
        <w:tc>
          <w:tcPr>
            <w:tcW w:type="dxa" w:w="3484"/>
            <w:tcMar>
              <w:top w:w="50" w:type="dxa"/>
              <w:bottom w:w="50" w:type="dxa"/>
              <w:left w:w="90" w:type="dxa"/>
              <w:right w:w="90" w:type="dxa"/>
            </w:tcMar>
            <w:shd w:val="clear" w:color="auto" w:fill="E5F5FF"/>
          </w:tcPr>
          <w:p>
            <w:pPr>
              <w:pStyle w:val="BDOITable"/>
            </w:pPr>
            <w:r>
              <w:rPr>
                <w:sz w:val="17"/>
              </w:rPr>
              <w:t>Return the batch through its workflow if allowed, otherwise escalate to L2</w:t>
            </w:r>
          </w:p>
        </w:tc>
      </w:tr>
    </w:tbl>
    <w:p>
      <w:pPr>
        <w:pStyle w:val="BDOISpacer"/>
      </w:pPr>
    </w:p>
    <w:p>
      <w:pPr>
        <w:pStyle w:val="Heading2"/>
      </w:pPr>
      <w:bookmarkStart w:id="141" w:name="_Toc000141"/>
      <w:r>
        <w:rPr/>
        <w:t>12.5 Upload errors</w:t>
      </w:r>
      <w:bookmarkEnd w:id="141"/>
    </w:p>
    <w:p>
      <w:pPr>
        <w:pStyle w:val="Caption"/>
        <w:keepNext/>
        <w:spacing w:after="60"/>
      </w:pPr>
      <w:r>
        <w:rPr>
          <w:b/>
          <w:i w:val="0"/>
        </w:rPr>
        <w:t xml:space="preserve">Table 23: </w:t>
      </w:r>
      <w:r>
        <w:rPr/>
        <w:t>Uploads (bulk uploads, payment uploads, journal and chart uploads)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845"/>
        <w:gridCol w:w="348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Symptom or message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Answer or escalation</w:t>
            </w:r>
          </w:p>
        </w:tc>
      </w:tr>
      <w:tr>
        <w:trPr>
          <w:cantSplit w:val="true"/>
        </w:trPr>
        <w:tc>
          <w:tcPr>
            <w:tcW w:type="dxa" w:w="2643"/>
            <w:tcMar>
              <w:top w:w="50" w:type="dxa"/>
              <w:bottom w:w="50" w:type="dxa"/>
              <w:left w:w="90" w:type="dxa"/>
              <w:right w:w="90" w:type="dxa"/>
            </w:tcMar>
          </w:tcPr>
          <w:p>
            <w:pPr>
              <w:pStyle w:val="BDOITable"/>
            </w:pPr>
            <w:r>
              <w:rPr>
                <w:b/>
                <w:sz w:val="17"/>
              </w:rPr>
              <w:t>"The file does not follow the current template; missing column(s): &lt;missing&gt;"</w:t>
            </w:r>
          </w:p>
        </w:tc>
        <w:tc>
          <w:tcPr>
            <w:tcW w:type="dxa" w:w="3845"/>
            <w:tcMar>
              <w:top w:w="50" w:type="dxa"/>
              <w:bottom w:w="50" w:type="dxa"/>
              <w:left w:w="90" w:type="dxa"/>
              <w:right w:w="90" w:type="dxa"/>
            </w:tcMar>
          </w:tcPr>
          <w:p>
            <w:pPr>
              <w:pStyle w:val="BDOITable"/>
            </w:pPr>
            <w:r>
              <w:rPr>
                <w:sz w:val="17"/>
              </w:rPr>
              <w:t>The file was made from an old template or columns were renamed</w:t>
            </w:r>
          </w:p>
        </w:tc>
        <w:tc>
          <w:tcPr>
            <w:tcW w:type="dxa" w:w="3484"/>
            <w:tcMar>
              <w:top w:w="50" w:type="dxa"/>
              <w:bottom w:w="50" w:type="dxa"/>
              <w:left w:w="90" w:type="dxa"/>
              <w:right w:w="90" w:type="dxa"/>
            </w:tcMar>
          </w:tcPr>
          <w:p>
            <w:pPr>
              <w:pStyle w:val="BDOITable"/>
            </w:pPr>
            <w:r>
              <w:rPr>
                <w:sz w:val="17"/>
              </w:rPr>
              <w:t>Download the current template from the upload screen and copy the data into it</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"This file was already uploaded as &lt;job no&gt; (&lt;file name&gt;)"</w:t>
            </w:r>
          </w:p>
        </w:tc>
        <w:tc>
          <w:tcPr>
            <w:tcW w:type="dxa" w:w="3845"/>
            <w:tcMar>
              <w:top w:w="50" w:type="dxa"/>
              <w:bottom w:w="50" w:type="dxa"/>
              <w:left w:w="90" w:type="dxa"/>
              <w:right w:w="90" w:type="dxa"/>
            </w:tcMar>
            <w:shd w:val="clear" w:color="auto" w:fill="E5F5FF"/>
          </w:tcPr>
          <w:p>
            <w:pPr>
              <w:pStyle w:val="BDOITable"/>
            </w:pPr>
            <w:r>
              <w:rPr>
                <w:sz w:val="17"/>
              </w:rPr>
              <w:t>The same file content was uploaded before</w:t>
            </w:r>
          </w:p>
        </w:tc>
        <w:tc>
          <w:tcPr>
            <w:tcW w:type="dxa" w:w="3484"/>
            <w:tcMar>
              <w:top w:w="50" w:type="dxa"/>
              <w:bottom w:w="50" w:type="dxa"/>
              <w:left w:w="90" w:type="dxa"/>
              <w:right w:w="90" w:type="dxa"/>
            </w:tcMar>
            <w:shd w:val="clear" w:color="auto" w:fill="E5F5FF"/>
          </w:tcPr>
          <w:p>
            <w:pPr>
              <w:pStyle w:val="BDOITable"/>
            </w:pPr>
            <w:r>
              <w:rPr>
                <w:sz w:val="17"/>
              </w:rPr>
              <w:t>Open the earlier upload; if it was wrong, reverse it through the screen and upload the corrected file</w:t>
            </w:r>
          </w:p>
        </w:tc>
      </w:tr>
      <w:tr>
        <w:trPr>
          <w:cantSplit w:val="true"/>
        </w:trPr>
        <w:tc>
          <w:tcPr>
            <w:tcW w:type="dxa" w:w="2643"/>
            <w:tcMar>
              <w:top w:w="50" w:type="dxa"/>
              <w:bottom w:w="50" w:type="dxa"/>
              <w:left w:w="90" w:type="dxa"/>
              <w:right w:w="90" w:type="dxa"/>
            </w:tcMar>
          </w:tcPr>
          <w:p>
            <w:pPr>
              <w:pStyle w:val="BDOITable"/>
            </w:pPr>
            <w:r>
              <w:rPr>
                <w:b/>
                <w:sz w:val="17"/>
              </w:rPr>
              <w:t>"Upload an Excel (.xlsx), OpenDocument (.ods), CSV (.csv) or text (.txt) file"</w:t>
            </w:r>
          </w:p>
        </w:tc>
        <w:tc>
          <w:tcPr>
            <w:tcW w:type="dxa" w:w="3845"/>
            <w:tcMar>
              <w:top w:w="50" w:type="dxa"/>
              <w:bottom w:w="50" w:type="dxa"/>
              <w:left w:w="90" w:type="dxa"/>
              <w:right w:w="90" w:type="dxa"/>
            </w:tcMar>
          </w:tcPr>
          <w:p>
            <w:pPr>
              <w:pStyle w:val="BDOITable"/>
            </w:pPr>
            <w:r>
              <w:rPr>
                <w:sz w:val="17"/>
              </w:rPr>
              <w:t>Wrong file type, for example a password-protected or old Excel file</w:t>
            </w:r>
          </w:p>
        </w:tc>
        <w:tc>
          <w:tcPr>
            <w:tcW w:type="dxa" w:w="3484"/>
            <w:tcMar>
              <w:top w:w="50" w:type="dxa"/>
              <w:bottom w:w="50" w:type="dxa"/>
              <w:left w:w="90" w:type="dxa"/>
              <w:right w:w="90" w:type="dxa"/>
            </w:tcMar>
          </w:tcPr>
          <w:p>
            <w:pPr>
              <w:pStyle w:val="BDOITable"/>
            </w:pPr>
            <w:r>
              <w:rPr>
                <w:sz w:val="17"/>
              </w:rPr>
              <w:t>Save as Excel workbook or CSV and upload again</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"The file has no header row" or "The file has no data rows"</w:t>
            </w:r>
          </w:p>
        </w:tc>
        <w:tc>
          <w:tcPr>
            <w:tcW w:type="dxa" w:w="3845"/>
            <w:tcMar>
              <w:top w:w="50" w:type="dxa"/>
              <w:bottom w:w="50" w:type="dxa"/>
              <w:left w:w="90" w:type="dxa"/>
              <w:right w:w="90" w:type="dxa"/>
            </w:tcMar>
            <w:shd w:val="clear" w:color="auto" w:fill="E5F5FF"/>
          </w:tcPr>
          <w:p>
            <w:pPr>
              <w:pStyle w:val="BDOITable"/>
            </w:pPr>
            <w:r>
              <w:rPr>
                <w:sz w:val="17"/>
              </w:rPr>
              <w:t>Empty file or the header is not on the first row</w:t>
            </w:r>
          </w:p>
        </w:tc>
        <w:tc>
          <w:tcPr>
            <w:tcW w:type="dxa" w:w="3484"/>
            <w:tcMar>
              <w:top w:w="50" w:type="dxa"/>
              <w:bottom w:w="50" w:type="dxa"/>
              <w:left w:w="90" w:type="dxa"/>
              <w:right w:w="90" w:type="dxa"/>
            </w:tcMar>
            <w:shd w:val="clear" w:color="auto" w:fill="E5F5FF"/>
          </w:tcPr>
          <w:p>
            <w:pPr>
              <w:pStyle w:val="BDOITable"/>
            </w:pPr>
            <w:r>
              <w:rPr>
                <w:sz w:val="17"/>
              </w:rPr>
              <w:t>Use the template as it is; do not add title rows above the header</w:t>
            </w:r>
          </w:p>
        </w:tc>
      </w:tr>
      <w:tr>
        <w:trPr>
          <w:cantSplit w:val="true"/>
        </w:trPr>
        <w:tc>
          <w:tcPr>
            <w:tcW w:type="dxa" w:w="2643"/>
            <w:tcMar>
              <w:top w:w="50" w:type="dxa"/>
              <w:bottom w:w="50" w:type="dxa"/>
              <w:left w:w="90" w:type="dxa"/>
              <w:right w:w="90" w:type="dxa"/>
            </w:tcMar>
          </w:tcPr>
          <w:p>
            <w:pPr>
              <w:pStyle w:val="BDOITable"/>
            </w:pPr>
            <w:r>
              <w:rPr>
                <w:b/>
                <w:sz w:val="17"/>
              </w:rPr>
              <w:t>"The file has &lt;size&gt; rows; the maximum is &lt;max&gt;"</w:t>
            </w:r>
          </w:p>
        </w:tc>
        <w:tc>
          <w:tcPr>
            <w:tcW w:type="dxa" w:w="3845"/>
            <w:tcMar>
              <w:top w:w="50" w:type="dxa"/>
              <w:bottom w:w="50" w:type="dxa"/>
              <w:left w:w="90" w:type="dxa"/>
              <w:right w:w="90" w:type="dxa"/>
            </w:tcMar>
          </w:tcPr>
          <w:p>
            <w:pPr>
              <w:pStyle w:val="BDOITable"/>
            </w:pPr>
            <w:r>
              <w:rPr>
                <w:sz w:val="17"/>
              </w:rPr>
              <w:t>File too large for one upload</w:t>
            </w:r>
          </w:p>
        </w:tc>
        <w:tc>
          <w:tcPr>
            <w:tcW w:type="dxa" w:w="3484"/>
            <w:tcMar>
              <w:top w:w="50" w:type="dxa"/>
              <w:bottom w:w="50" w:type="dxa"/>
              <w:left w:w="90" w:type="dxa"/>
              <w:right w:w="90" w:type="dxa"/>
            </w:tcMar>
          </w:tcPr>
          <w:p>
            <w:pPr>
              <w:pStyle w:val="BDOITable"/>
            </w:pPr>
            <w:r>
              <w:rPr>
                <w:sz w:val="17"/>
              </w:rPr>
              <w:t>Split the file</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"The text file has no tab, pipe, semicolon or comma separated header line"</w:t>
            </w:r>
          </w:p>
        </w:tc>
        <w:tc>
          <w:tcPr>
            <w:tcW w:type="dxa" w:w="3845"/>
            <w:tcMar>
              <w:top w:w="50" w:type="dxa"/>
              <w:bottom w:w="50" w:type="dxa"/>
              <w:left w:w="90" w:type="dxa"/>
              <w:right w:w="90" w:type="dxa"/>
            </w:tcMar>
            <w:shd w:val="clear" w:color="auto" w:fill="E5F5FF"/>
          </w:tcPr>
          <w:p>
            <w:pPr>
              <w:pStyle w:val="BDOITable"/>
            </w:pPr>
            <w:r>
              <w:rPr>
                <w:sz w:val="17"/>
              </w:rPr>
              <w:t>Bank or insurer text file in another layout</w:t>
            </w:r>
          </w:p>
        </w:tc>
        <w:tc>
          <w:tcPr>
            <w:tcW w:type="dxa" w:w="3484"/>
            <w:tcMar>
              <w:top w:w="50" w:type="dxa"/>
              <w:bottom w:w="50" w:type="dxa"/>
              <w:left w:w="90" w:type="dxa"/>
              <w:right w:w="90" w:type="dxa"/>
            </w:tcMar>
            <w:shd w:val="clear" w:color="auto" w:fill="E5F5FF"/>
          </w:tcPr>
          <w:p>
            <w:pPr>
              <w:pStyle w:val="BDOITable"/>
            </w:pPr>
            <w:r>
              <w:rPr>
                <w:sz w:val="17"/>
              </w:rPr>
              <w:t>Check the layout set up for the channel (</w:t>
            </w:r>
            <w:r>
              <w:rPr>
                <w:i/>
                <w:sz w:val="17"/>
              </w:rPr>
              <w:t>Bank Statement Layouts</w:t>
            </w:r>
            <w:r>
              <w:rPr>
                <w:sz w:val="17"/>
              </w:rPr>
              <w:t>); escalate to L2 if the bank changed its layout</w:t>
            </w:r>
          </w:p>
        </w:tc>
      </w:tr>
      <w:tr>
        <w:trPr>
          <w:cantSplit w:val="true"/>
        </w:trPr>
        <w:tc>
          <w:tcPr>
            <w:tcW w:type="dxa" w:w="2643"/>
            <w:tcMar>
              <w:top w:w="50" w:type="dxa"/>
              <w:bottom w:w="50" w:type="dxa"/>
              <w:left w:w="90" w:type="dxa"/>
              <w:right w:w="90" w:type="dxa"/>
            </w:tcMar>
          </w:tcPr>
          <w:p>
            <w:pPr>
              <w:pStyle w:val="BDOITable"/>
            </w:pPr>
            <w:r>
              <w:rPr>
                <w:b/>
                <w:sz w:val="17"/>
              </w:rPr>
              <w:t>Upload accepted but some rows rejected</w:t>
            </w:r>
          </w:p>
        </w:tc>
        <w:tc>
          <w:tcPr>
            <w:tcW w:type="dxa" w:w="3845"/>
            <w:tcMar>
              <w:top w:w="50" w:type="dxa"/>
              <w:bottom w:w="50" w:type="dxa"/>
              <w:left w:w="90" w:type="dxa"/>
              <w:right w:w="90" w:type="dxa"/>
            </w:tcMar>
          </w:tcPr>
          <w:p>
            <w:pPr>
              <w:pStyle w:val="BDOITable"/>
            </w:pPr>
            <w:r>
              <w:rPr>
                <w:sz w:val="17"/>
              </w:rPr>
              <w:t>The rejection report lists each row with its reason</w:t>
            </w:r>
          </w:p>
        </w:tc>
        <w:tc>
          <w:tcPr>
            <w:tcW w:type="dxa" w:w="3484"/>
            <w:tcMar>
              <w:top w:w="50" w:type="dxa"/>
              <w:bottom w:w="50" w:type="dxa"/>
              <w:left w:w="90" w:type="dxa"/>
              <w:right w:w="90" w:type="dxa"/>
            </w:tcMar>
          </w:tcPr>
          <w:p>
            <w:pPr>
              <w:pStyle w:val="BDOITable"/>
            </w:pPr>
            <w:r>
              <w:rPr>
                <w:sz w:val="17"/>
              </w:rPr>
              <w:t>The user corrects the rows and uploads only them again</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File cannot be opened after upload; status pending or quarantined</w:t>
            </w:r>
          </w:p>
        </w:tc>
        <w:tc>
          <w:tcPr>
            <w:tcW w:type="dxa" w:w="3845"/>
            <w:tcMar>
              <w:top w:w="50" w:type="dxa"/>
              <w:bottom w:w="50" w:type="dxa"/>
              <w:left w:w="90" w:type="dxa"/>
              <w:right w:w="90" w:type="dxa"/>
            </w:tcMar>
            <w:shd w:val="clear" w:color="auto" w:fill="E5F5FF"/>
          </w:tcPr>
          <w:p>
            <w:pPr>
              <w:pStyle w:val="BDOITable"/>
            </w:pPr>
            <w:r>
              <w:rPr>
                <w:sz w:val="17"/>
              </w:rPr>
              <w:t>Every upload is scanned for malware; a file is downloadable only after a clean result (within 5 minutes)</w:t>
            </w:r>
          </w:p>
        </w:tc>
        <w:tc>
          <w:tcPr>
            <w:tcW w:type="dxa" w:w="3484"/>
            <w:tcMar>
              <w:top w:w="50" w:type="dxa"/>
              <w:bottom w:w="50" w:type="dxa"/>
              <w:left w:w="90" w:type="dxa"/>
              <w:right w:w="90" w:type="dxa"/>
            </w:tcMar>
            <w:shd w:val="clear" w:color="auto" w:fill="E5F5FF"/>
          </w:tcPr>
          <w:p>
            <w:pPr>
              <w:pStyle w:val="BDOITable"/>
            </w:pPr>
            <w:r>
              <w:rPr>
                <w:sz w:val="17"/>
              </w:rPr>
              <w:t>Wait 5 minutes. Quarantined: do not send the file again; P2 to L2 and the Information Security Officer</w:t>
            </w:r>
          </w:p>
        </w:tc>
      </w:tr>
    </w:tbl>
    <w:p>
      <w:pPr>
        <w:pStyle w:val="BDOISpacer"/>
      </w:pPr>
    </w:p>
    <w:p>
      <w:pPr>
        <w:pStyle w:val="Heading2"/>
      </w:pPr>
      <w:bookmarkStart w:id="142" w:name="_Toc000142"/>
      <w:r>
        <w:rPr/>
        <w:t>12.6 Report not received</w:t>
      </w:r>
      <w:bookmarkEnd w:id="142"/>
    </w:p>
    <w:p>
      <w:pPr>
        <w:pStyle w:val="Caption"/>
        <w:keepNext/>
        <w:spacing w:after="60"/>
      </w:pPr>
      <w:r>
        <w:rPr>
          <w:b/>
          <w:i w:val="0"/>
        </w:rPr>
        <w:t xml:space="preserve">Table 24: </w:t>
      </w:r>
      <w:r>
        <w:rPr/>
        <w:t>Reports and e-mails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845"/>
        <w:gridCol w:w="348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Symptom or message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Answer or escalation</w:t>
            </w:r>
          </w:p>
        </w:tc>
      </w:tr>
      <w:tr>
        <w:trPr>
          <w:cantSplit w:val="true"/>
        </w:trPr>
        <w:tc>
          <w:tcPr>
            <w:tcW w:type="dxa" w:w="2643"/>
            <w:tcMar>
              <w:top w:w="50" w:type="dxa"/>
              <w:bottom w:w="50" w:type="dxa"/>
              <w:left w:w="90" w:type="dxa"/>
              <w:right w:w="90" w:type="dxa"/>
            </w:tcMar>
          </w:tcPr>
          <w:p>
            <w:pPr>
              <w:pStyle w:val="BDOITable"/>
            </w:pPr>
            <w:r>
              <w:rPr>
                <w:b/>
                <w:sz w:val="17"/>
              </w:rPr>
              <w:t>A scheduled report did not arrive by e-mail</w:t>
            </w:r>
          </w:p>
        </w:tc>
        <w:tc>
          <w:tcPr>
            <w:tcW w:type="dxa" w:w="3845"/>
            <w:tcMar>
              <w:top w:w="50" w:type="dxa"/>
              <w:bottom w:w="50" w:type="dxa"/>
              <w:left w:w="90" w:type="dxa"/>
              <w:right w:w="90" w:type="dxa"/>
            </w:tcMar>
          </w:tcPr>
          <w:p>
            <w:pPr>
              <w:pStyle w:val="BDOITable"/>
            </w:pPr>
            <w:r>
              <w:rPr>
                <w:i/>
                <w:sz w:val="17"/>
              </w:rPr>
              <w:t>My Subscriptions</w:t>
            </w:r>
            <w:r>
              <w:rPr>
                <w:sz w:val="17"/>
              </w:rPr>
              <w:t>: last run and result. A failed run is retried once, then the owner is notified</w:t>
            </w:r>
          </w:p>
        </w:tc>
        <w:tc>
          <w:tcPr>
            <w:tcW w:type="dxa" w:w="3484"/>
            <w:tcMar>
              <w:top w:w="50" w:type="dxa"/>
              <w:bottom w:w="50" w:type="dxa"/>
              <w:left w:w="90" w:type="dxa"/>
              <w:right w:w="90" w:type="dxa"/>
            </w:tcMar>
          </w:tcPr>
          <w:p>
            <w:pPr>
              <w:pStyle w:val="BDOITable"/>
            </w:pPr>
            <w:r>
              <w:rPr>
                <w:sz w:val="17"/>
              </w:rPr>
              <w:t>Run the report by hand from the Report Centre meanwhile; escalate to L2 if the run failed twice</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Subscription suspended</w:t>
            </w:r>
          </w:p>
        </w:tc>
        <w:tc>
          <w:tcPr>
            <w:tcW w:type="dxa" w:w="3845"/>
            <w:tcMar>
              <w:top w:w="50" w:type="dxa"/>
              <w:bottom w:w="50" w:type="dxa"/>
              <w:left w:w="90" w:type="dxa"/>
              <w:right w:w="90" w:type="dxa"/>
            </w:tcMar>
            <w:shd w:val="clear" w:color="auto" w:fill="E5F5FF"/>
          </w:tcPr>
          <w:p>
            <w:pPr>
              <w:pStyle w:val="BDOITable"/>
            </w:pPr>
            <w:r>
              <w:rPr>
                <w:sz w:val="17"/>
              </w:rPr>
              <w:t>The owner lost the report permission, so the subscription stops</w:t>
            </w:r>
          </w:p>
        </w:tc>
        <w:tc>
          <w:tcPr>
            <w:tcW w:type="dxa" w:w="3484"/>
            <w:tcMar>
              <w:top w:w="50" w:type="dxa"/>
              <w:bottom w:w="50" w:type="dxa"/>
              <w:left w:w="90" w:type="dxa"/>
              <w:right w:w="90" w:type="dxa"/>
            </w:tcMar>
            <w:shd w:val="clear" w:color="auto" w:fill="E5F5FF"/>
          </w:tcPr>
          <w:p>
            <w:pPr>
              <w:pStyle w:val="BDOITable"/>
            </w:pPr>
            <w:r>
              <w:rPr>
                <w:sz w:val="17"/>
              </w:rPr>
              <w:t>Access request, then reactivate the subscription</w:t>
            </w:r>
          </w:p>
        </w:tc>
      </w:tr>
      <w:tr>
        <w:trPr>
          <w:cantSplit w:val="true"/>
        </w:trPr>
        <w:tc>
          <w:tcPr>
            <w:tcW w:type="dxa" w:w="2643"/>
            <w:tcMar>
              <w:top w:w="50" w:type="dxa"/>
              <w:bottom w:w="50" w:type="dxa"/>
              <w:left w:w="90" w:type="dxa"/>
              <w:right w:w="90" w:type="dxa"/>
            </w:tcMar>
          </w:tcPr>
          <w:p>
            <w:pPr>
              <w:pStyle w:val="BDOITable"/>
            </w:pPr>
            <w:r>
              <w:rPr>
                <w:b/>
                <w:sz w:val="17"/>
              </w:rPr>
              <w:t>"This e-mail domain is not allowed for reports"</w:t>
            </w:r>
          </w:p>
        </w:tc>
        <w:tc>
          <w:tcPr>
            <w:tcW w:type="dxa" w:w="3845"/>
            <w:tcMar>
              <w:top w:w="50" w:type="dxa"/>
              <w:bottom w:w="50" w:type="dxa"/>
              <w:left w:w="90" w:type="dxa"/>
              <w:right w:w="90" w:type="dxa"/>
            </w:tcMar>
          </w:tcPr>
          <w:p>
            <w:pPr>
              <w:pStyle w:val="BDOITable"/>
            </w:pPr>
            <w:r>
              <w:rPr>
                <w:sz w:val="17"/>
              </w:rPr>
              <w:t>External recipients are allowed only for shareable reports and allowed domains</w:t>
            </w:r>
          </w:p>
        </w:tc>
        <w:tc>
          <w:tcPr>
            <w:tcW w:type="dxa" w:w="3484"/>
            <w:tcMar>
              <w:top w:w="50" w:type="dxa"/>
              <w:bottom w:w="50" w:type="dxa"/>
              <w:left w:w="90" w:type="dxa"/>
              <w:right w:w="90" w:type="dxa"/>
            </w:tcMar>
          </w:tcPr>
          <w:p>
            <w:pPr>
              <w:pStyle w:val="BDOITable"/>
            </w:pPr>
            <w:r>
              <w:rPr>
                <w:sz w:val="17"/>
              </w:rPr>
              <w:t>Send to BDOI addresses; the Product Owner decides on new domains</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"&lt;file name&gt; is available from &lt;available from&gt;"</w:t>
            </w:r>
          </w:p>
        </w:tc>
        <w:tc>
          <w:tcPr>
            <w:tcW w:type="dxa" w:w="3845"/>
            <w:tcMar>
              <w:top w:w="50" w:type="dxa"/>
              <w:bottom w:w="50" w:type="dxa"/>
              <w:left w:w="90" w:type="dxa"/>
              <w:right w:w="90" w:type="dxa"/>
            </w:tcMar>
            <w:shd w:val="clear" w:color="auto" w:fill="E5F5FF"/>
          </w:tcPr>
          <w:p>
            <w:pPr>
              <w:pStyle w:val="BDOITable"/>
            </w:pPr>
            <w:r>
              <w:rPr>
                <w:sz w:val="17"/>
              </w:rPr>
              <w:t>The file is produced by a night job and not ready yet</w:t>
            </w:r>
          </w:p>
        </w:tc>
        <w:tc>
          <w:tcPr>
            <w:tcW w:type="dxa" w:w="3484"/>
            <w:tcMar>
              <w:top w:w="50" w:type="dxa"/>
              <w:bottom w:w="50" w:type="dxa"/>
              <w:left w:w="90" w:type="dxa"/>
              <w:right w:w="90" w:type="dxa"/>
            </w:tcMar>
            <w:shd w:val="clear" w:color="auto" w:fill="E5F5FF"/>
          </w:tcPr>
          <w:p>
            <w:pPr>
              <w:pStyle w:val="BDOITable"/>
            </w:pPr>
            <w:r>
              <w:rPr>
                <w:sz w:val="17"/>
              </w:rPr>
              <w:t>Try again after the time shown</w:t>
            </w:r>
          </w:p>
        </w:tc>
      </w:tr>
      <w:tr>
        <w:trPr>
          <w:cantSplit w:val="true"/>
        </w:trPr>
        <w:tc>
          <w:tcPr>
            <w:tcW w:type="dxa" w:w="2643"/>
            <w:tcMar>
              <w:top w:w="50" w:type="dxa"/>
              <w:bottom w:w="50" w:type="dxa"/>
              <w:left w:w="90" w:type="dxa"/>
              <w:right w:w="90" w:type="dxa"/>
            </w:tcMar>
          </w:tcPr>
          <w:p>
            <w:pPr>
              <w:pStyle w:val="BDOITable"/>
            </w:pPr>
            <w:r>
              <w:rPr>
                <w:b/>
                <w:sz w:val="17"/>
              </w:rPr>
              <w:t>"Select between 1 and 30 reports"</w:t>
            </w:r>
          </w:p>
        </w:tc>
        <w:tc>
          <w:tcPr>
            <w:tcW w:type="dxa" w:w="3845"/>
            <w:tcMar>
              <w:top w:w="50" w:type="dxa"/>
              <w:bottom w:w="50" w:type="dxa"/>
              <w:left w:w="90" w:type="dxa"/>
              <w:right w:w="90" w:type="dxa"/>
            </w:tcMar>
          </w:tcPr>
          <w:p>
            <w:pPr>
              <w:pStyle w:val="BDOITable"/>
            </w:pPr>
            <w:r>
              <w:rPr>
                <w:sz w:val="17"/>
              </w:rPr>
              <w:t>A report batch has too many reports</w:t>
            </w:r>
          </w:p>
        </w:tc>
        <w:tc>
          <w:tcPr>
            <w:tcW w:type="dxa" w:w="3484"/>
            <w:tcMar>
              <w:top w:w="50" w:type="dxa"/>
              <w:bottom w:w="50" w:type="dxa"/>
              <w:left w:w="90" w:type="dxa"/>
              <w:right w:w="90" w:type="dxa"/>
            </w:tcMar>
          </w:tcPr>
          <w:p>
            <w:pPr>
              <w:pStyle w:val="BDOITable"/>
            </w:pPr>
            <w:r>
              <w:rPr>
                <w:sz w:val="17"/>
              </w:rPr>
              <w:t>Split the batch</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E-mail to a client or insurer not received (quotation, slip, invoice, letter)</w:t>
            </w:r>
          </w:p>
        </w:tc>
        <w:tc>
          <w:tcPr>
            <w:tcW w:type="dxa" w:w="3845"/>
            <w:tcMar>
              <w:top w:w="50" w:type="dxa"/>
              <w:bottom w:w="50" w:type="dxa"/>
              <w:left w:w="90" w:type="dxa"/>
              <w:right w:w="90" w:type="dxa"/>
            </w:tcMar>
            <w:shd w:val="clear" w:color="auto" w:fill="E5F5FF"/>
          </w:tcPr>
          <w:p>
            <w:pPr>
              <w:pStyle w:val="BDOITable"/>
            </w:pPr>
            <w:r>
              <w:rPr>
                <w:sz w:val="17"/>
              </w:rPr>
              <w:t>E-mails go through CCM; check whether other e-mails are late</w:t>
            </w:r>
          </w:p>
        </w:tc>
        <w:tc>
          <w:tcPr>
            <w:tcW w:type="dxa" w:w="3484"/>
            <w:tcMar>
              <w:top w:w="50" w:type="dxa"/>
              <w:bottom w:w="50" w:type="dxa"/>
              <w:left w:w="90" w:type="dxa"/>
              <w:right w:w="90" w:type="dxa"/>
            </w:tcMar>
            <w:shd w:val="clear" w:color="auto" w:fill="E5F5FF"/>
          </w:tcPr>
          <w:p>
            <w:pPr>
              <w:pStyle w:val="BDOITable"/>
            </w:pPr>
            <w:r>
              <w:rPr>
                <w:sz w:val="17"/>
              </w:rPr>
              <w:t>One e-mail: check the address on the record and the spam folder. Many: P2 to L2 (mail queue or CCM)</w:t>
            </w:r>
          </w:p>
        </w:tc>
      </w:tr>
      <w:tr>
        <w:trPr>
          <w:cantSplit w:val="true"/>
        </w:trPr>
        <w:tc>
          <w:tcPr>
            <w:tcW w:type="dxa" w:w="2643"/>
            <w:tcMar>
              <w:top w:w="50" w:type="dxa"/>
              <w:bottom w:w="50" w:type="dxa"/>
              <w:left w:w="90" w:type="dxa"/>
              <w:right w:w="90" w:type="dxa"/>
            </w:tcMar>
          </w:tcPr>
          <w:p>
            <w:pPr>
              <w:pStyle w:val="BDOITable"/>
            </w:pPr>
            <w:r>
              <w:rPr>
                <w:b/>
                <w:sz w:val="17"/>
              </w:rPr>
              <w:t>Collections or renewal file not on the share by 06:00</w:t>
            </w:r>
          </w:p>
        </w:tc>
        <w:tc>
          <w:tcPr>
            <w:tcW w:type="dxa" w:w="3845"/>
            <w:tcMar>
              <w:top w:w="50" w:type="dxa"/>
              <w:bottom w:w="50" w:type="dxa"/>
              <w:left w:w="90" w:type="dxa"/>
              <w:right w:w="90" w:type="dxa"/>
            </w:tcMar>
          </w:tcPr>
          <w:p>
            <w:pPr>
              <w:pStyle w:val="BDOITable"/>
            </w:pPr>
            <w:r>
              <w:rPr>
                <w:i/>
                <w:sz w:val="17"/>
              </w:rPr>
              <w:t>Home › Alerts</w:t>
            </w:r>
            <w:r>
              <w:rPr>
                <w:sz w:val="17"/>
              </w:rPr>
              <w:t xml:space="preserve"> (CLX_FILE_NOT_PUBLISHED)</w:t>
            </w:r>
          </w:p>
        </w:tc>
        <w:tc>
          <w:tcPr>
            <w:tcW w:type="dxa" w:w="3484"/>
            <w:tcMar>
              <w:top w:w="50" w:type="dxa"/>
              <w:bottom w:w="50" w:type="dxa"/>
              <w:left w:w="90" w:type="dxa"/>
              <w:right w:w="90" w:type="dxa"/>
            </w:tcMar>
          </w:tcPr>
          <w:p>
            <w:pPr>
              <w:pStyle w:val="BDOITable"/>
            </w:pPr>
            <w:r>
              <w:rPr>
                <w:sz w:val="17"/>
              </w:rPr>
              <w:t>P2 to L2</w:t>
            </w:r>
          </w:p>
        </w:tc>
      </w:tr>
    </w:tbl>
    <w:p>
      <w:pPr>
        <w:pStyle w:val="BDOISpacer"/>
      </w:pPr>
    </w:p>
    <w:p>
      <w:pPr>
        <w:pStyle w:val="Heading2"/>
      </w:pPr>
      <w:bookmarkStart w:id="143" w:name="_Toc000143"/>
      <w:r>
        <w:rPr/>
        <w:t>12.7 Period closed</w:t>
      </w:r>
      <w:bookmarkEnd w:id="143"/>
    </w:p>
    <w:p>
      <w:pPr>
        <w:pStyle w:val="Caption"/>
        <w:keepNext/>
        <w:spacing w:after="60"/>
      </w:pPr>
      <w:r>
        <w:rPr>
          <w:b/>
          <w:i w:val="0"/>
        </w:rPr>
        <w:t xml:space="preserve">Table 25: </w:t>
      </w:r>
      <w:r>
        <w:rPr/>
        <w:t>Accounting periods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845"/>
        <w:gridCol w:w="348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Symptom or message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Checks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Answer or escalation</w:t>
            </w:r>
          </w:p>
        </w:tc>
      </w:tr>
      <w:tr>
        <w:trPr>
          <w:cantSplit w:val="true"/>
        </w:trPr>
        <w:tc>
          <w:tcPr>
            <w:tcW w:type="dxa" w:w="2643"/>
            <w:tcMar>
              <w:top w:w="50" w:type="dxa"/>
              <w:bottom w:w="50" w:type="dxa"/>
              <w:left w:w="90" w:type="dxa"/>
              <w:right w:w="90" w:type="dxa"/>
            </w:tcMar>
          </w:tcPr>
          <w:p>
            <w:pPr>
              <w:pStyle w:val="BDOITable"/>
            </w:pPr>
            <w:r>
              <w:rPr>
                <w:b/>
                <w:sz w:val="17"/>
              </w:rPr>
              <w:t>"Period &lt;name&gt; is &lt;status&gt; and does not accept this posting"</w:t>
            </w:r>
          </w:p>
        </w:tc>
        <w:tc>
          <w:tcPr>
            <w:tcW w:type="dxa" w:w="3845"/>
            <w:tcMar>
              <w:top w:w="50" w:type="dxa"/>
              <w:bottom w:w="50" w:type="dxa"/>
              <w:left w:w="90" w:type="dxa"/>
              <w:right w:w="90" w:type="dxa"/>
            </w:tcMar>
          </w:tcPr>
          <w:p>
            <w:pPr>
              <w:pStyle w:val="BDOITable"/>
            </w:pPr>
            <w:r>
              <w:rPr>
                <w:sz w:val="17"/>
              </w:rPr>
              <w:t>The posting or value date is in a closed or future period (</w:t>
            </w:r>
            <w:r>
              <w:rPr>
                <w:i/>
                <w:sz w:val="17"/>
              </w:rPr>
              <w:t>Financial Periods</w:t>
            </w:r>
            <w:r>
              <w:rPr>
                <w:sz w:val="17"/>
              </w:rPr>
              <w:t>)</w:t>
            </w:r>
          </w:p>
        </w:tc>
        <w:tc>
          <w:tcPr>
            <w:tcW w:type="dxa" w:w="3484"/>
            <w:tcMar>
              <w:top w:w="50" w:type="dxa"/>
              <w:bottom w:w="50" w:type="dxa"/>
              <w:left w:w="90" w:type="dxa"/>
              <w:right w:w="90" w:type="dxa"/>
            </w:tcMar>
          </w:tcPr>
          <w:p>
            <w:pPr>
              <w:pStyle w:val="BDOITable"/>
            </w:pPr>
            <w:r>
              <w:rPr>
                <w:sz w:val="17"/>
              </w:rPr>
              <w:t>Use a date in the open period. If the posting must be in the closed period, Comptrollership decides; L1 never asks for a period to be reopened</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"No accounting period is defined for &lt;date&gt;"</w:t>
            </w:r>
          </w:p>
        </w:tc>
        <w:tc>
          <w:tcPr>
            <w:tcW w:type="dxa" w:w="3845"/>
            <w:tcMar>
              <w:top w:w="50" w:type="dxa"/>
              <w:bottom w:w="50" w:type="dxa"/>
              <w:left w:w="90" w:type="dxa"/>
              <w:right w:w="90" w:type="dxa"/>
            </w:tcMar>
            <w:shd w:val="clear" w:color="auto" w:fill="E5F5FF"/>
          </w:tcPr>
          <w:p>
            <w:pPr>
              <w:pStyle w:val="BDOITable"/>
            </w:pPr>
            <w:r>
              <w:rPr>
                <w:sz w:val="17"/>
              </w:rPr>
              <w:t>The date is outside the fiscal years set up</w:t>
            </w:r>
          </w:p>
        </w:tc>
        <w:tc>
          <w:tcPr>
            <w:tcW w:type="dxa" w:w="3484"/>
            <w:tcMar>
              <w:top w:w="50" w:type="dxa"/>
              <w:bottom w:w="50" w:type="dxa"/>
              <w:left w:w="90" w:type="dxa"/>
              <w:right w:w="90" w:type="dxa"/>
            </w:tcMar>
            <w:shd w:val="clear" w:color="auto" w:fill="E5F5FF"/>
          </w:tcPr>
          <w:p>
            <w:pPr>
              <w:pStyle w:val="BDOITable"/>
            </w:pPr>
            <w:r>
              <w:rPr>
                <w:sz w:val="17"/>
              </w:rPr>
              <w:t>Check the date; if correct, escalate to L2 for Comptrollership (period set-up)</w:t>
            </w:r>
          </w:p>
        </w:tc>
      </w:tr>
      <w:tr>
        <w:trPr>
          <w:cantSplit w:val="true"/>
        </w:trPr>
        <w:tc>
          <w:tcPr>
            <w:tcW w:type="dxa" w:w="2643"/>
            <w:tcMar>
              <w:top w:w="50" w:type="dxa"/>
              <w:bottom w:w="50" w:type="dxa"/>
              <w:left w:w="90" w:type="dxa"/>
              <w:right w:w="90" w:type="dxa"/>
            </w:tcMar>
          </w:tcPr>
          <w:p>
            <w:pPr>
              <w:pStyle w:val="BDOITable"/>
            </w:pPr>
            <w:r>
              <w:rPr>
                <w:b/>
                <w:sz w:val="17"/>
              </w:rPr>
              <w:t>"The &lt;module&gt; books of &lt;period&gt; are closed"</w:t>
            </w:r>
          </w:p>
        </w:tc>
        <w:tc>
          <w:tcPr>
            <w:tcW w:type="dxa" w:w="3845"/>
            <w:tcMar>
              <w:top w:w="50" w:type="dxa"/>
              <w:bottom w:w="50" w:type="dxa"/>
              <w:left w:w="90" w:type="dxa"/>
              <w:right w:w="90" w:type="dxa"/>
            </w:tcMar>
          </w:tcPr>
          <w:p>
            <w:pPr>
              <w:pStyle w:val="BDOITable"/>
            </w:pPr>
            <w:r>
              <w:rPr>
                <w:sz w:val="17"/>
              </w:rPr>
              <w:t>The broking books are cut off at month end while the GL stays open for adjustments</w:t>
            </w:r>
          </w:p>
        </w:tc>
        <w:tc>
          <w:tcPr>
            <w:tcW w:type="dxa" w:w="3484"/>
            <w:tcMar>
              <w:top w:w="50" w:type="dxa"/>
              <w:bottom w:w="50" w:type="dxa"/>
              <w:left w:w="90" w:type="dxa"/>
              <w:right w:w="90" w:type="dxa"/>
            </w:tcMar>
          </w:tcPr>
          <w:p>
            <w:pPr>
              <w:pStyle w:val="BDOITable"/>
            </w:pPr>
            <w:r>
              <w:rPr>
                <w:sz w:val="17"/>
              </w:rPr>
              <w:t>Post with a date in the new month; adjustments of the closed month go to Comptrollership</w:t>
            </w:r>
          </w:p>
        </w:tc>
      </w:tr>
      <w:tr>
        <w:trPr>
          <w:cantSplit w:val="true"/>
        </w:trPr>
        <w:tc>
          <w:tcPr>
            <w:tcW w:type="dxa" w:w="2643"/>
            <w:tcMar>
              <w:top w:w="50" w:type="dxa"/>
              <w:bottom w:w="50" w:type="dxa"/>
              <w:left w:w="90" w:type="dxa"/>
              <w:right w:w="90" w:type="dxa"/>
            </w:tcMar>
            <w:shd w:val="clear" w:color="auto" w:fill="E5F5FF"/>
          </w:tcPr>
          <w:p>
            <w:pPr>
              <w:pStyle w:val="BDOITable"/>
            </w:pPr>
            <w:r>
              <w:rPr>
                <w:b/>
                <w:sz w:val="17"/>
              </w:rPr>
              <w:t>Month-end close does not complete</w:t>
            </w:r>
          </w:p>
        </w:tc>
        <w:tc>
          <w:tcPr>
            <w:tcW w:type="dxa" w:w="3845"/>
            <w:tcMar>
              <w:top w:w="50" w:type="dxa"/>
              <w:bottom w:w="50" w:type="dxa"/>
              <w:left w:w="90" w:type="dxa"/>
              <w:right w:w="90" w:type="dxa"/>
            </w:tcMar>
            <w:shd w:val="clear" w:color="auto" w:fill="E5F5FF"/>
          </w:tcPr>
          <w:p>
            <w:pPr>
              <w:pStyle w:val="BDOITable"/>
            </w:pPr>
            <w:r>
              <w:rPr>
                <w:i/>
                <w:sz w:val="17"/>
              </w:rPr>
              <w:t>Period-End &amp; Year-End</w:t>
            </w:r>
            <w:r>
              <w:rPr>
                <w:sz w:val="17"/>
              </w:rPr>
              <w:t xml:space="preserve"> checklist lists the blocking items; alert GL_CLOSE_FAILED</w:t>
            </w:r>
          </w:p>
        </w:tc>
        <w:tc>
          <w:tcPr>
            <w:tcW w:type="dxa" w:w="3484"/>
            <w:tcMar>
              <w:top w:w="50" w:type="dxa"/>
              <w:bottom w:w="50" w:type="dxa"/>
              <w:left w:w="90" w:type="dxa"/>
              <w:right w:w="90" w:type="dxa"/>
            </w:tcMar>
            <w:shd w:val="clear" w:color="auto" w:fill="E5F5FF"/>
          </w:tcPr>
          <w:p>
            <w:pPr>
              <w:pStyle w:val="BDOITable"/>
            </w:pPr>
            <w:r>
              <w:rPr>
                <w:sz w:val="17"/>
              </w:rPr>
              <w:t>P1 on the last day of the month, otherwise P2, to L2 with Comptrollership</w:t>
            </w:r>
          </w:p>
        </w:tc>
      </w:tr>
    </w:tbl>
    <w:p>
      <w:pPr>
        <w:pStyle w:val="BDOISpacer"/>
      </w:pPr>
    </w:p>
    <w:p>
      <w:pPr>
        <w:pStyle w:val="Heading2"/>
      </w:pPr>
      <w:bookmarkStart w:id="144" w:name="_Toc000144"/>
      <w:r>
        <w:rPr/>
        <w:t>12.8 Unexpected error</w:t>
      </w:r>
      <w:bookmarkEnd w:id="144"/>
    </w:p>
    <w:p>
      <w:r>
        <w:rPr/>
        <w:t>When BIBS shows "The system could not complete the request. Try again; if it continues, contact support with the reference below.", L1 records the reference and the time, asks the user to try once more, and escalates to L2 if it happens again. Several users with the same error within 15 minutes is a P1 candidate.</w:t>
      </w:r>
    </w:p>
    <w:p>
      <w:pPr>
        <w:pStyle w:val="Heading1"/>
        <w:pageBreakBefore/>
        <w:pBdr>
          <w:bottom w:val="single" w:sz="4" w:space="4" w:color="99C1E7"/>
        </w:pBdr>
      </w:pPr>
      <w:bookmarkStart w:id="145" w:name="_Toc000145"/>
      <w:r>
        <w:rPr/>
        <w:t>Decisions and open points for BDOI</w:t>
      </w:r>
      <w:bookmarkEnd w:id="145"/>
    </w:p>
    <w:p>
      <w:pPr>
        <w:pStyle w:val="Caption"/>
        <w:keepNext/>
        <w:spacing w:after="60"/>
      </w:pPr>
      <w:r>
        <w:rPr>
          <w:b/>
          <w:i w:val="0"/>
        </w:rPr>
        <w:t xml:space="preserve">Table 26: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5"/>
        <w:gridCol w:w="5016"/>
        <w:gridCol w:w="2508"/>
        <w:gridCol w:w="1552"/>
      </w:tblGrid>
      <w:tr>
        <w:trPr>
          <w:tblHeader w:val="true"/>
          <w:cantSplit w:val="true"/>
        </w:trPr>
        <w:tc>
          <w:tcPr>
            <w:tcW w:type="dxa" w:w="896"/>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5016"/>
            <w:shd w:val="clear" w:color="auto" w:fill="004EA8"/>
            <w:tcMar>
              <w:top w:w="50" w:type="dxa"/>
              <w:bottom w:w="50" w:type="dxa"/>
              <w:left w:w="90" w:type="dxa"/>
              <w:right w:w="90" w:type="dxa"/>
            </w:tcMar>
            <w:vAlign w:val="center"/>
          </w:tcPr>
          <w:p>
            <w:pPr>
              <w:pStyle w:val="BDOITableHeader"/>
            </w:pPr>
            <w:r>
              <w:rPr>
                <w:b/>
                <w:color w:val="FFFFFF"/>
                <w:sz w:val="17"/>
              </w:rPr>
              <w:t>Point and our proposal</w:t>
            </w:r>
          </w:p>
        </w:tc>
        <w:tc>
          <w:tcPr>
            <w:tcW w:type="dxa" w:w="2508"/>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553"/>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896"/>
            <w:tcMar>
              <w:top w:w="50" w:type="dxa"/>
              <w:bottom w:w="50" w:type="dxa"/>
              <w:left w:w="90" w:type="dxa"/>
              <w:right w:w="90" w:type="dxa"/>
            </w:tcMar>
          </w:tcPr>
          <w:p>
            <w:pPr>
              <w:pStyle w:val="BDOITable"/>
            </w:pPr>
            <w:r>
              <w:rPr>
                <w:b/>
                <w:sz w:val="17"/>
              </w:rPr>
              <w:t>OP-01</w:t>
            </w:r>
          </w:p>
        </w:tc>
        <w:tc>
          <w:tcPr>
            <w:tcW w:type="dxa" w:w="5016"/>
            <w:tcMar>
              <w:top w:w="50" w:type="dxa"/>
              <w:bottom w:w="50" w:type="dxa"/>
              <w:left w:w="90" w:type="dxa"/>
              <w:right w:w="90" w:type="dxa"/>
            </w:tcMar>
          </w:tcPr>
          <w:p>
            <w:pPr>
              <w:pStyle w:val="BDOITable"/>
            </w:pPr>
            <w:r>
              <w:rPr>
                <w:sz w:val="17"/>
              </w:rPr>
              <w:t>Confirm the three levels: L1 BDO service desk with a BIBS queue, L2 BDOI application support, L3 iorta TechNXT, with BDO Cloud Operations as infrastructure resolver</w:t>
            </w:r>
          </w:p>
        </w:tc>
        <w:tc>
          <w:tcPr>
            <w:tcW w:type="dxa" w:w="2508"/>
            <w:tcMar>
              <w:top w:w="50" w:type="dxa"/>
              <w:bottom w:w="50" w:type="dxa"/>
              <w:left w:w="90" w:type="dxa"/>
              <w:right w:w="90" w:type="dxa"/>
            </w:tcMar>
          </w:tcPr>
          <w:p>
            <w:pPr>
              <w:pStyle w:val="BDOITable"/>
            </w:pPr>
            <w:r>
              <w:rPr>
                <w:sz w:val="17"/>
              </w:rPr>
              <w:t>Head, BDOI IT</w:t>
            </w:r>
          </w:p>
        </w:tc>
        <w:tc>
          <w:tcPr>
            <w:tcW w:type="dxa" w:w="1553"/>
            <w:tcMar>
              <w:top w:w="50" w:type="dxa"/>
              <w:bottom w:w="50" w:type="dxa"/>
              <w:left w:w="90" w:type="dxa"/>
              <w:right w:w="90" w:type="dxa"/>
            </w:tcMar>
          </w:tcPr>
          <w:p>
            <w:pPr>
              <w:pStyle w:val="BDOITable"/>
            </w:pPr>
            <w:r>
              <w:rPr>
                <w:sz w:val="17"/>
              </w:rPr>
              <w:t>30 Nov 2026</w:t>
            </w:r>
          </w:p>
        </w:tc>
      </w:tr>
      <w:tr>
        <w:trPr>
          <w:cantSplit w:val="true"/>
        </w:trPr>
        <w:tc>
          <w:tcPr>
            <w:tcW w:type="dxa" w:w="896"/>
            <w:tcMar>
              <w:top w:w="50" w:type="dxa"/>
              <w:bottom w:w="50" w:type="dxa"/>
              <w:left w:w="90" w:type="dxa"/>
              <w:right w:w="90" w:type="dxa"/>
            </w:tcMar>
            <w:shd w:val="clear" w:color="auto" w:fill="E5F5FF"/>
          </w:tcPr>
          <w:p>
            <w:pPr>
              <w:pStyle w:val="BDOITable"/>
            </w:pPr>
            <w:r>
              <w:rPr>
                <w:b/>
                <w:sz w:val="17"/>
              </w:rPr>
              <w:t>OP-02</w:t>
            </w:r>
          </w:p>
        </w:tc>
        <w:tc>
          <w:tcPr>
            <w:tcW w:type="dxa" w:w="5016"/>
            <w:tcMar>
              <w:top w:w="50" w:type="dxa"/>
              <w:bottom w:w="50" w:type="dxa"/>
              <w:left w:w="90" w:type="dxa"/>
              <w:right w:w="90" w:type="dxa"/>
            </w:tcMar>
            <w:shd w:val="clear" w:color="auto" w:fill="E5F5FF"/>
          </w:tcPr>
          <w:p>
            <w:pPr>
              <w:pStyle w:val="BDOITable"/>
            </w:pPr>
            <w:r>
              <w:rPr>
                <w:sz w:val="17"/>
              </w:rPr>
              <w:t>Name the ITSM tool, the paging route and the bridge channel used for BIBS</w:t>
            </w:r>
          </w:p>
        </w:tc>
        <w:tc>
          <w:tcPr>
            <w:tcW w:type="dxa" w:w="2508"/>
            <w:tcMar>
              <w:top w:w="50" w:type="dxa"/>
              <w:bottom w:w="50" w:type="dxa"/>
              <w:left w:w="90" w:type="dxa"/>
              <w:right w:w="90" w:type="dxa"/>
            </w:tcMar>
            <w:shd w:val="clear" w:color="auto" w:fill="E5F5FF"/>
          </w:tcPr>
          <w:p>
            <w:pPr>
              <w:pStyle w:val="BDOITable"/>
            </w:pPr>
            <w:r>
              <w:rPr>
                <w:sz w:val="17"/>
              </w:rPr>
              <w:t>Head, BDOI IT</w:t>
            </w:r>
          </w:p>
        </w:tc>
        <w:tc>
          <w:tcPr>
            <w:tcW w:type="dxa" w:w="1553"/>
            <w:tcMar>
              <w:top w:w="50" w:type="dxa"/>
              <w:bottom w:w="50" w:type="dxa"/>
              <w:left w:w="90" w:type="dxa"/>
              <w:right w:w="90" w:type="dxa"/>
            </w:tcMar>
            <w:shd w:val="clear" w:color="auto" w:fill="E5F5FF"/>
          </w:tcPr>
          <w:p>
            <w:pPr>
              <w:pStyle w:val="BDOITable"/>
            </w:pPr>
            <w:r>
              <w:rPr>
                <w:sz w:val="17"/>
              </w:rPr>
              <w:t>31 Mar 2027</w:t>
            </w:r>
          </w:p>
        </w:tc>
      </w:tr>
      <w:tr>
        <w:trPr>
          <w:cantSplit w:val="true"/>
        </w:trPr>
        <w:tc>
          <w:tcPr>
            <w:tcW w:type="dxa" w:w="896"/>
            <w:tcMar>
              <w:top w:w="50" w:type="dxa"/>
              <w:bottom w:w="50" w:type="dxa"/>
              <w:left w:w="90" w:type="dxa"/>
              <w:right w:w="90" w:type="dxa"/>
            </w:tcMar>
          </w:tcPr>
          <w:p>
            <w:pPr>
              <w:pStyle w:val="BDOITable"/>
            </w:pPr>
            <w:r>
              <w:rPr>
                <w:b/>
                <w:sz w:val="17"/>
              </w:rPr>
              <w:t>OP-03</w:t>
            </w:r>
          </w:p>
        </w:tc>
        <w:tc>
          <w:tcPr>
            <w:tcW w:type="dxa" w:w="5016"/>
            <w:tcMar>
              <w:top w:w="50" w:type="dxa"/>
              <w:bottom w:w="50" w:type="dxa"/>
              <w:left w:w="90" w:type="dxa"/>
              <w:right w:w="90" w:type="dxa"/>
            </w:tcMar>
          </w:tcPr>
          <w:p>
            <w:pPr>
              <w:pStyle w:val="BDOITable"/>
            </w:pPr>
            <w:r>
              <w:rPr>
                <w:sz w:val="17"/>
              </w:rPr>
              <w:t>Confirm the service window 06:00-22:00 Monday to Saturday plus month-end Sundays (DCR-133) and the maintenance window Sunday 00:00-04:00 (DCR-138)</w:t>
            </w:r>
          </w:p>
        </w:tc>
        <w:tc>
          <w:tcPr>
            <w:tcW w:type="dxa" w:w="2508"/>
            <w:tcMar>
              <w:top w:w="50" w:type="dxa"/>
              <w:bottom w:w="50" w:type="dxa"/>
              <w:left w:w="90" w:type="dxa"/>
              <w:right w:w="90" w:type="dxa"/>
            </w:tcMar>
          </w:tcPr>
          <w:p>
            <w:pPr>
              <w:pStyle w:val="BDOITable"/>
            </w:pPr>
            <w:r>
              <w:rPr>
                <w:sz w:val="17"/>
              </w:rPr>
              <w:t>BIBS Product Owner with the BRD owners</w:t>
            </w:r>
          </w:p>
        </w:tc>
        <w:tc>
          <w:tcPr>
            <w:tcW w:type="dxa" w:w="1553"/>
            <w:tcMar>
              <w:top w:w="50" w:type="dxa"/>
              <w:bottom w:w="50" w:type="dxa"/>
              <w:left w:w="90" w:type="dxa"/>
              <w:right w:w="90" w:type="dxa"/>
            </w:tcMar>
          </w:tcPr>
          <w:p>
            <w:pPr>
              <w:pStyle w:val="BDOITable"/>
            </w:pPr>
            <w:r>
              <w:rPr>
                <w:sz w:val="17"/>
              </w:rPr>
              <w:t>16 Oct 2026</w:t>
            </w:r>
          </w:p>
        </w:tc>
      </w:tr>
      <w:tr>
        <w:trPr>
          <w:cantSplit w:val="true"/>
        </w:trPr>
        <w:tc>
          <w:tcPr>
            <w:tcW w:type="dxa" w:w="896"/>
            <w:tcMar>
              <w:top w:w="50" w:type="dxa"/>
              <w:bottom w:w="50" w:type="dxa"/>
              <w:left w:w="90" w:type="dxa"/>
              <w:right w:w="90" w:type="dxa"/>
            </w:tcMar>
            <w:shd w:val="clear" w:color="auto" w:fill="E5F5FF"/>
          </w:tcPr>
          <w:p>
            <w:pPr>
              <w:pStyle w:val="BDOITable"/>
            </w:pPr>
            <w:r>
              <w:rPr>
                <w:b/>
                <w:sz w:val="17"/>
              </w:rPr>
              <w:t>OP-04</w:t>
            </w:r>
          </w:p>
        </w:tc>
        <w:tc>
          <w:tcPr>
            <w:tcW w:type="dxa" w:w="5016"/>
            <w:tcMar>
              <w:top w:w="50" w:type="dxa"/>
              <w:bottom w:w="50" w:type="dxa"/>
              <w:left w:w="90" w:type="dxa"/>
              <w:right w:w="90" w:type="dxa"/>
            </w:tcMar>
            <w:shd w:val="clear" w:color="auto" w:fill="E5F5FF"/>
          </w:tcPr>
          <w:p>
            <w:pPr>
              <w:pStyle w:val="BDOITable"/>
            </w:pPr>
            <w:r>
              <w:rPr>
                <w:sz w:val="17"/>
              </w:rPr>
              <w:t>Confirm the availability objective of 99.9 % in the service window (DCR-134) and the screen latency objective of 95 % within 2 seconds (DCR-137)</w:t>
            </w:r>
          </w:p>
        </w:tc>
        <w:tc>
          <w:tcPr>
            <w:tcW w:type="dxa" w:w="2508"/>
            <w:tcMar>
              <w:top w:w="50" w:type="dxa"/>
              <w:bottom w:w="50" w:type="dxa"/>
              <w:left w:w="90" w:type="dxa"/>
              <w:right w:w="90" w:type="dxa"/>
            </w:tcMar>
            <w:shd w:val="clear" w:color="auto" w:fill="E5F5FF"/>
          </w:tcPr>
          <w:p>
            <w:pPr>
              <w:pStyle w:val="BDOITable"/>
            </w:pPr>
            <w:r>
              <w:rPr>
                <w:sz w:val="17"/>
              </w:rPr>
              <w:t>BIBS Product Owner</w:t>
            </w:r>
          </w:p>
        </w:tc>
        <w:tc>
          <w:tcPr>
            <w:tcW w:type="dxa" w:w="1553"/>
            <w:tcMar>
              <w:top w:w="50" w:type="dxa"/>
              <w:bottom w:w="50" w:type="dxa"/>
              <w:left w:w="90" w:type="dxa"/>
              <w:right w:w="90" w:type="dxa"/>
            </w:tcMar>
            <w:shd w:val="clear" w:color="auto" w:fill="E5F5FF"/>
          </w:tcPr>
          <w:p>
            <w:pPr>
              <w:pStyle w:val="BDOITable"/>
            </w:pPr>
            <w:r>
              <w:rPr>
                <w:sz w:val="17"/>
              </w:rPr>
              <w:t>16 Oct 2026</w:t>
            </w:r>
          </w:p>
        </w:tc>
      </w:tr>
      <w:tr>
        <w:trPr>
          <w:cantSplit w:val="true"/>
        </w:trPr>
        <w:tc>
          <w:tcPr>
            <w:tcW w:type="dxa" w:w="896"/>
            <w:tcMar>
              <w:top w:w="50" w:type="dxa"/>
              <w:bottom w:w="50" w:type="dxa"/>
              <w:left w:w="90" w:type="dxa"/>
              <w:right w:w="90" w:type="dxa"/>
            </w:tcMar>
          </w:tcPr>
          <w:p>
            <w:pPr>
              <w:pStyle w:val="BDOITable"/>
            </w:pPr>
            <w:r>
              <w:rPr>
                <w:b/>
                <w:sz w:val="17"/>
              </w:rPr>
              <w:t>OP-05</w:t>
            </w:r>
          </w:p>
        </w:tc>
        <w:tc>
          <w:tcPr>
            <w:tcW w:type="dxa" w:w="5016"/>
            <w:tcMar>
              <w:top w:w="50" w:type="dxa"/>
              <w:bottom w:w="50" w:type="dxa"/>
              <w:left w:w="90" w:type="dxa"/>
              <w:right w:w="90" w:type="dxa"/>
            </w:tcMar>
          </w:tcPr>
          <w:p>
            <w:pPr>
              <w:pStyle w:val="BDOITable"/>
            </w:pPr>
            <w:r>
              <w:rPr>
                <w:sz w:val="17"/>
              </w:rPr>
              <w:t>Confirm the service levels of chapter 4 for the support agreement, and the L2 staffing (two analysts per shift, one on call)</w:t>
            </w:r>
          </w:p>
        </w:tc>
        <w:tc>
          <w:tcPr>
            <w:tcW w:type="dxa" w:w="2508"/>
            <w:tcMar>
              <w:top w:w="50" w:type="dxa"/>
              <w:bottom w:w="50" w:type="dxa"/>
              <w:left w:w="90" w:type="dxa"/>
              <w:right w:w="90" w:type="dxa"/>
            </w:tcMar>
          </w:tcPr>
          <w:p>
            <w:pPr>
              <w:pStyle w:val="BDOITable"/>
            </w:pPr>
            <w:r>
              <w:rPr>
                <w:sz w:val="17"/>
              </w:rPr>
              <w:t>Head, BDOI IT</w:t>
            </w:r>
          </w:p>
        </w:tc>
        <w:tc>
          <w:tcPr>
            <w:tcW w:type="dxa" w:w="1553"/>
            <w:tcMar>
              <w:top w:w="50" w:type="dxa"/>
              <w:bottom w:w="50" w:type="dxa"/>
              <w:left w:w="90" w:type="dxa"/>
              <w:right w:w="90" w:type="dxa"/>
            </w:tcMar>
          </w:tcPr>
          <w:p>
            <w:pPr>
              <w:pStyle w:val="BDOITable"/>
            </w:pPr>
            <w:r>
              <w:rPr>
                <w:sz w:val="17"/>
              </w:rPr>
              <w:t>30 Jun 2027</w:t>
            </w:r>
          </w:p>
        </w:tc>
      </w:tr>
      <w:tr>
        <w:trPr>
          <w:cantSplit w:val="true"/>
        </w:trPr>
        <w:tc>
          <w:tcPr>
            <w:tcW w:type="dxa" w:w="896"/>
            <w:tcMar>
              <w:top w:w="50" w:type="dxa"/>
              <w:bottom w:w="50" w:type="dxa"/>
              <w:left w:w="90" w:type="dxa"/>
              <w:right w:w="90" w:type="dxa"/>
            </w:tcMar>
            <w:shd w:val="clear" w:color="auto" w:fill="E5F5FF"/>
          </w:tcPr>
          <w:p>
            <w:pPr>
              <w:pStyle w:val="BDOITable"/>
            </w:pPr>
            <w:r>
              <w:rPr>
                <w:b/>
                <w:sz w:val="17"/>
              </w:rPr>
              <w:t>OP-06</w:t>
            </w:r>
          </w:p>
        </w:tc>
        <w:tc>
          <w:tcPr>
            <w:tcW w:type="dxa" w:w="5016"/>
            <w:tcMar>
              <w:top w:w="50" w:type="dxa"/>
              <w:bottom w:w="50" w:type="dxa"/>
              <w:left w:w="90" w:type="dxa"/>
              <w:right w:w="90" w:type="dxa"/>
            </w:tcMar>
            <w:shd w:val="clear" w:color="auto" w:fill="E5F5FF"/>
          </w:tcPr>
          <w:p>
            <w:pPr>
              <w:pStyle w:val="BDOITable"/>
            </w:pPr>
            <w:r>
              <w:rPr>
                <w:sz w:val="17"/>
              </w:rPr>
              <w:t>Confirm that L1 handles the second-factor and unlock requests of the break-glass and privileged users through L2 only</w:t>
            </w:r>
          </w:p>
        </w:tc>
        <w:tc>
          <w:tcPr>
            <w:tcW w:type="dxa" w:w="2508"/>
            <w:tcMar>
              <w:top w:w="50" w:type="dxa"/>
              <w:bottom w:w="50" w:type="dxa"/>
              <w:left w:w="90" w:type="dxa"/>
              <w:right w:w="90" w:type="dxa"/>
            </w:tcMar>
            <w:shd w:val="clear" w:color="auto" w:fill="E5F5FF"/>
          </w:tcPr>
          <w:p>
            <w:pPr>
              <w:pStyle w:val="BDOITable"/>
            </w:pPr>
            <w:r>
              <w:rPr>
                <w:sz w:val="17"/>
              </w:rPr>
              <w:t>Information Security Officer</w:t>
            </w:r>
          </w:p>
        </w:tc>
        <w:tc>
          <w:tcPr>
            <w:tcW w:type="dxa" w:w="1553"/>
            <w:tcMar>
              <w:top w:w="50" w:type="dxa"/>
              <w:bottom w:w="50" w:type="dxa"/>
              <w:left w:w="90" w:type="dxa"/>
              <w:right w:w="90" w:type="dxa"/>
            </w:tcMar>
            <w:shd w:val="clear" w:color="auto" w:fill="E5F5FF"/>
          </w:tcPr>
          <w:p>
            <w:pPr>
              <w:pStyle w:val="BDOITable"/>
            </w:pPr>
            <w:r>
              <w:rPr>
                <w:sz w:val="17"/>
              </w:rPr>
              <w:t>30 Jun 2027</w:t>
            </w:r>
          </w:p>
        </w:tc>
      </w:tr>
      <w:tr>
        <w:trPr>
          <w:cantSplit w:val="true"/>
        </w:trPr>
        <w:tc>
          <w:tcPr>
            <w:tcW w:type="dxa" w:w="896"/>
            <w:tcMar>
              <w:top w:w="50" w:type="dxa"/>
              <w:bottom w:w="50" w:type="dxa"/>
              <w:left w:w="90" w:type="dxa"/>
              <w:right w:w="90" w:type="dxa"/>
            </w:tcMar>
          </w:tcPr>
          <w:p>
            <w:pPr>
              <w:pStyle w:val="BDOITable"/>
            </w:pPr>
            <w:r>
              <w:rPr>
                <w:b/>
                <w:sz w:val="17"/>
              </w:rPr>
              <w:t>OP-07</w:t>
            </w:r>
          </w:p>
        </w:tc>
        <w:tc>
          <w:tcPr>
            <w:tcW w:type="dxa" w:w="5016"/>
            <w:tcMar>
              <w:top w:w="50" w:type="dxa"/>
              <w:bottom w:w="50" w:type="dxa"/>
              <w:left w:w="90" w:type="dxa"/>
              <w:right w:w="90" w:type="dxa"/>
            </w:tcMar>
          </w:tcPr>
          <w:p>
            <w:pPr>
              <w:pStyle w:val="BDOITable"/>
            </w:pPr>
            <w:r>
              <w:rPr>
                <w:sz w:val="17"/>
              </w:rPr>
              <w:t>Name the L2 key users per department and their back-ups; they are trained in the UAT window (Aug-Dec 2027)</w:t>
            </w:r>
          </w:p>
        </w:tc>
        <w:tc>
          <w:tcPr>
            <w:tcW w:type="dxa" w:w="2508"/>
            <w:tcMar>
              <w:top w:w="50" w:type="dxa"/>
              <w:bottom w:w="50" w:type="dxa"/>
              <w:left w:w="90" w:type="dxa"/>
              <w:right w:w="90" w:type="dxa"/>
            </w:tcMar>
          </w:tcPr>
          <w:p>
            <w:pPr>
              <w:pStyle w:val="BDOITable"/>
            </w:pPr>
            <w:r>
              <w:rPr>
                <w:sz w:val="17"/>
              </w:rPr>
              <w:t>Heads of department</w:t>
            </w:r>
          </w:p>
        </w:tc>
        <w:tc>
          <w:tcPr>
            <w:tcW w:type="dxa" w:w="1553"/>
            <w:tcMar>
              <w:top w:w="50" w:type="dxa"/>
              <w:bottom w:w="50" w:type="dxa"/>
              <w:left w:w="90" w:type="dxa"/>
              <w:right w:w="90" w:type="dxa"/>
            </w:tcMar>
          </w:tcPr>
          <w:p>
            <w:pPr>
              <w:pStyle w:val="BDOITable"/>
            </w:pPr>
            <w:r>
              <w:rPr>
                <w:sz w:val="17"/>
              </w:rPr>
              <w:t>30 Jun 2027</w:t>
            </w:r>
          </w:p>
        </w:tc>
      </w:tr>
      <w:tr>
        <w:trPr>
          <w:cantSplit w:val="true"/>
        </w:trPr>
        <w:tc>
          <w:tcPr>
            <w:tcW w:type="dxa" w:w="896"/>
            <w:tcMar>
              <w:top w:w="50" w:type="dxa"/>
              <w:bottom w:w="50" w:type="dxa"/>
              <w:left w:w="90" w:type="dxa"/>
              <w:right w:w="90" w:type="dxa"/>
            </w:tcMar>
            <w:shd w:val="clear" w:color="auto" w:fill="E5F5FF"/>
          </w:tcPr>
          <w:p>
            <w:pPr>
              <w:pStyle w:val="BDOITable"/>
            </w:pPr>
            <w:r>
              <w:rPr>
                <w:b/>
                <w:sz w:val="17"/>
              </w:rPr>
              <w:t>OP-08</w:t>
            </w:r>
          </w:p>
        </w:tc>
        <w:tc>
          <w:tcPr>
            <w:tcW w:type="dxa" w:w="5016"/>
            <w:tcMar>
              <w:top w:w="50" w:type="dxa"/>
              <w:bottom w:w="50" w:type="dxa"/>
              <w:left w:w="90" w:type="dxa"/>
              <w:right w:w="90" w:type="dxa"/>
            </w:tcMar>
            <w:shd w:val="clear" w:color="auto" w:fill="E5F5FF"/>
          </w:tcPr>
          <w:p>
            <w:pPr>
              <w:pStyle w:val="BDOITable"/>
            </w:pPr>
            <w:r>
              <w:rPr>
                <w:sz w:val="17"/>
              </w:rPr>
              <w:t>Confirm the release freeze periods (month-end, 15 December to 5 January, BIR deadlines)</w:t>
            </w:r>
          </w:p>
        </w:tc>
        <w:tc>
          <w:tcPr>
            <w:tcW w:type="dxa" w:w="2508"/>
            <w:tcMar>
              <w:top w:w="50" w:type="dxa"/>
              <w:bottom w:w="50" w:type="dxa"/>
              <w:left w:w="90" w:type="dxa"/>
              <w:right w:w="90" w:type="dxa"/>
            </w:tcMar>
            <w:shd w:val="clear" w:color="auto" w:fill="E5F5FF"/>
          </w:tcPr>
          <w:p>
            <w:pPr>
              <w:pStyle w:val="BDOITable"/>
            </w:pPr>
            <w:r>
              <w:rPr>
                <w:sz w:val="17"/>
              </w:rPr>
              <w:t>Head, Comptrollership</w:t>
            </w:r>
          </w:p>
        </w:tc>
        <w:tc>
          <w:tcPr>
            <w:tcW w:type="dxa" w:w="1553"/>
            <w:tcMar>
              <w:top w:w="50" w:type="dxa"/>
              <w:bottom w:w="50" w:type="dxa"/>
              <w:left w:w="90" w:type="dxa"/>
              <w:right w:w="90" w:type="dxa"/>
            </w:tcMar>
            <w:shd w:val="clear" w:color="auto" w:fill="E5F5FF"/>
          </w:tcPr>
          <w:p>
            <w:pPr>
              <w:pStyle w:val="BDOITable"/>
            </w:pPr>
            <w:r>
              <w:rPr>
                <w:sz w:val="17"/>
              </w:rPr>
              <w:t>30 Jun 2027</w:t>
            </w:r>
          </w:p>
        </w:tc>
      </w:tr>
    </w:tbl>
    <w:p>
      <w:pPr>
        <w:pStyle w:val="BDOISpacer"/>
      </w:pPr>
    </w:p>
    <w:p>
      <w:pPr>
        <w:pStyle w:val="Heading1"/>
        <w:pageBreakBefore/>
        <w:pBdr>
          <w:bottom w:val="single" w:sz="4" w:space="4" w:color="99C1E7"/>
        </w:pBdr>
      </w:pPr>
      <w:bookmarkStart w:id="146" w:name="_Toc000146"/>
      <w:r>
        <w:rPr/>
        <w:t>Glossary</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CAB</w:t>
            </w:r>
          </w:p>
        </w:tc>
        <w:tc>
          <w:tcPr>
            <w:tcW w:type="dxa" w:w="7932"/>
            <w:tcMar>
              <w:top w:w="50" w:type="dxa"/>
              <w:bottom w:w="50" w:type="dxa"/>
              <w:left w:w="90" w:type="dxa"/>
              <w:right w:w="90" w:type="dxa"/>
            </w:tcMar>
          </w:tcPr>
          <w:p>
            <w:pPr>
              <w:pStyle w:val="BDOITable"/>
            </w:pPr>
            <w:r>
              <w:rPr>
                <w:sz w:val="18"/>
              </w:rPr>
              <w:t>Change Advisory Board of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Enterprise Identity Access Management (Microsoft Entra ID)</w:t>
            </w:r>
          </w:p>
        </w:tc>
      </w:tr>
      <w:tr>
        <w:trPr>
          <w:cantSplit w:val="true"/>
        </w:trPr>
        <w:tc>
          <w:tcPr>
            <w:tcW w:type="dxa" w:w="2040"/>
            <w:tcMar>
              <w:top w:w="50" w:type="dxa"/>
              <w:bottom w:w="50" w:type="dxa"/>
              <w:left w:w="90" w:type="dxa"/>
              <w:right w:w="90" w:type="dxa"/>
            </w:tcMar>
          </w:tcPr>
          <w:p>
            <w:pPr>
              <w:pStyle w:val="BDOITable"/>
            </w:pPr>
            <w:r>
              <w:rPr>
                <w:b/>
                <w:sz w:val="18"/>
              </w:rPr>
              <w:t>Error budget</w:t>
            </w:r>
          </w:p>
        </w:tc>
        <w:tc>
          <w:tcPr>
            <w:tcW w:type="dxa" w:w="7932"/>
            <w:tcMar>
              <w:top w:w="50" w:type="dxa"/>
              <w:bottom w:w="50" w:type="dxa"/>
              <w:left w:w="90" w:type="dxa"/>
              <w:right w:w="90" w:type="dxa"/>
            </w:tcMar>
          </w:tcPr>
          <w:p>
            <w:pPr>
              <w:pStyle w:val="BDOITable"/>
            </w:pPr>
            <w:r>
              <w:rPr>
                <w:sz w:val="18"/>
              </w:rPr>
              <w:t>The share of the service window in which an objective may be missed in a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ITSM</w:t>
            </w:r>
          </w:p>
        </w:tc>
        <w:tc>
          <w:tcPr>
            <w:tcW w:type="dxa" w:w="7932"/>
            <w:tcMar>
              <w:top w:w="50" w:type="dxa"/>
              <w:bottom w:w="50" w:type="dxa"/>
              <w:left w:w="90" w:type="dxa"/>
              <w:right w:w="90" w:type="dxa"/>
            </w:tcMar>
            <w:shd w:val="clear" w:color="auto" w:fill="E5F5FF"/>
          </w:tcPr>
          <w:p>
            <w:pPr>
              <w:pStyle w:val="BDOITable"/>
            </w:pPr>
            <w:r>
              <w:rPr>
                <w:sz w:val="18"/>
              </w:rPr>
              <w:t>IT service management tool (tickets, problems, changes, knowledge)</w:t>
            </w:r>
          </w:p>
        </w:tc>
      </w:tr>
      <w:tr>
        <w:trPr>
          <w:cantSplit w:val="true"/>
        </w:trPr>
        <w:tc>
          <w:tcPr>
            <w:tcW w:type="dxa" w:w="2040"/>
            <w:tcMar>
              <w:top w:w="50" w:type="dxa"/>
              <w:bottom w:w="50" w:type="dxa"/>
              <w:left w:w="90" w:type="dxa"/>
              <w:right w:w="90" w:type="dxa"/>
            </w:tcMar>
          </w:tcPr>
          <w:p>
            <w:pPr>
              <w:pStyle w:val="BDOITable"/>
            </w:pPr>
            <w:r>
              <w:rPr>
                <w:b/>
                <w:sz w:val="18"/>
              </w:rPr>
              <w:t>L1, L2, L3</w:t>
            </w:r>
          </w:p>
        </w:tc>
        <w:tc>
          <w:tcPr>
            <w:tcW w:type="dxa" w:w="7932"/>
            <w:tcMar>
              <w:top w:w="50" w:type="dxa"/>
              <w:bottom w:w="50" w:type="dxa"/>
              <w:left w:w="90" w:type="dxa"/>
              <w:right w:w="90" w:type="dxa"/>
            </w:tcMar>
          </w:tcPr>
          <w:p>
            <w:pPr>
              <w:pStyle w:val="BDOITable"/>
            </w:pPr>
            <w:r>
              <w:rPr>
                <w:sz w:val="18"/>
              </w:rPr>
              <w:t>Support levels 1, 2 and 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PHT</w:t>
            </w:r>
          </w:p>
        </w:tc>
        <w:tc>
          <w:tcPr>
            <w:tcW w:type="dxa" w:w="7932"/>
            <w:tcMar>
              <w:top w:w="50" w:type="dxa"/>
              <w:bottom w:w="50" w:type="dxa"/>
              <w:left w:w="90" w:type="dxa"/>
              <w:right w:w="90" w:type="dxa"/>
            </w:tcMar>
            <w:shd w:val="clear" w:color="auto" w:fill="E5F5FF"/>
          </w:tcPr>
          <w:p>
            <w:pPr>
              <w:pStyle w:val="BDOITable"/>
            </w:pPr>
            <w:r>
              <w:rPr>
                <w:sz w:val="18"/>
              </w:rPr>
              <w:t>Philippine time (UTC+8)</w:t>
            </w:r>
          </w:p>
        </w:tc>
      </w:tr>
      <w:tr>
        <w:trPr>
          <w:cantSplit w:val="true"/>
        </w:trPr>
        <w:tc>
          <w:tcPr>
            <w:tcW w:type="dxa" w:w="2040"/>
            <w:tcMar>
              <w:top w:w="50" w:type="dxa"/>
              <w:bottom w:w="50" w:type="dxa"/>
              <w:left w:w="90" w:type="dxa"/>
              <w:right w:w="90" w:type="dxa"/>
            </w:tcMar>
          </w:tcPr>
          <w:p>
            <w:pPr>
              <w:pStyle w:val="BDOITable"/>
            </w:pPr>
            <w:r>
              <w:rPr>
                <w:b/>
                <w:sz w:val="18"/>
              </w:rPr>
              <w:t>RCA</w:t>
            </w:r>
          </w:p>
        </w:tc>
        <w:tc>
          <w:tcPr>
            <w:tcW w:type="dxa" w:w="7932"/>
            <w:tcMar>
              <w:top w:w="50" w:type="dxa"/>
              <w:bottom w:w="50" w:type="dxa"/>
              <w:left w:w="90" w:type="dxa"/>
              <w:right w:w="90" w:type="dxa"/>
            </w:tcMar>
          </w:tcPr>
          <w:p>
            <w:pPr>
              <w:pStyle w:val="BDOITable"/>
            </w:pPr>
            <w:r>
              <w:rPr>
                <w:sz w:val="18"/>
              </w:rPr>
              <w:t>Root-cause analysis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agreement (targets for tickets)</w:t>
            </w:r>
          </w:p>
        </w:tc>
      </w:tr>
      <w:tr>
        <w:trPr>
          <w:cantSplit w:val="true"/>
        </w:trPr>
        <w:tc>
          <w:tcPr>
            <w:tcW w:type="dxa" w:w="2040"/>
            <w:tcMar>
              <w:top w:w="50" w:type="dxa"/>
              <w:bottom w:w="50" w:type="dxa"/>
              <w:left w:w="90" w:type="dxa"/>
              <w:right w:w="90" w:type="dxa"/>
            </w:tcMar>
          </w:tcPr>
          <w:p>
            <w:pPr>
              <w:pStyle w:val="BDOITable"/>
            </w:pPr>
            <w:r>
              <w:rPr>
                <w:b/>
                <w:sz w:val="18"/>
              </w:rPr>
              <w:t>SLO</w:t>
            </w:r>
          </w:p>
        </w:tc>
        <w:tc>
          <w:tcPr>
            <w:tcW w:type="dxa" w:w="7932"/>
            <w:tcMar>
              <w:top w:w="50" w:type="dxa"/>
              <w:bottom w:w="50" w:type="dxa"/>
              <w:left w:w="90" w:type="dxa"/>
              <w:right w:w="90" w:type="dxa"/>
            </w:tcMar>
          </w:tcPr>
          <w:p>
            <w:pPr>
              <w:pStyle w:val="BDOITable"/>
            </w:pPr>
            <w:r>
              <w:rPr>
                <w:sz w:val="18"/>
              </w:rPr>
              <w:t>Service level objective (targets for the platform)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UIDM-ISC</w:t>
            </w:r>
          </w:p>
        </w:tc>
        <w:tc>
          <w:tcPr>
            <w:tcW w:type="dxa" w:w="7932"/>
            <w:tcMar>
              <w:top w:w="50" w:type="dxa"/>
              <w:bottom w:w="50" w:type="dxa"/>
              <w:left w:w="90" w:type="dxa"/>
              <w:right w:w="90" w:type="dxa"/>
            </w:tcMar>
            <w:shd w:val="clear" w:color="auto" w:fill="E5F5FF"/>
          </w:tcPr>
          <w:p>
            <w:pPr>
              <w:pStyle w:val="BDOITable"/>
            </w:pPr>
            <w:r>
              <w:rPr>
                <w:sz w:val="18"/>
              </w:rPr>
              <w:t>User ID Maintenance - Identity Security Cloud (identity governance)</w:t>
            </w:r>
          </w:p>
        </w:tc>
      </w:tr>
    </w:tbl>
    <w:p>
      <w:pPr>
        <w:pStyle w:val="BDOISpacer"/>
      </w:pPr>
    </w:p>
    <w:p>
      <w:pPr>
        <w:pStyle w:val="Heading1"/>
        <w:pageBreakBefore/>
        <w:pBdr>
          <w:bottom w:val="single" w:sz="4" w:space="4" w:color="99C1E7"/>
        </w:pBdr>
      </w:pPr>
      <w:bookmarkStart w:id="147" w:name="_Toc000147"/>
      <w:r>
        <w:rPr/>
        <w:t>Sign-off</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Service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Cloud and Digital Operations Engineering</w:t>
            </w:r>
          </w:p>
        </w:tc>
        <w:tc>
          <w:tcPr>
            <w:tcW w:type="dxa" w:w="2380"/>
            <w:tcMar>
              <w:top w:w="50" w:type="dxa"/>
              <w:bottom w:w="50" w:type="dxa"/>
              <w:left w:w="90" w:type="dxa"/>
              <w:right w:w="90" w:type="dxa"/>
            </w:tcMar>
            <w:vAlign w:val="center"/>
          </w:tcPr>
          <w:p>
            <w:pPr>
              <w:pStyle w:val="BDOITable"/>
            </w:pPr>
            <w:r>
              <w:rPr>
                <w:sz w:val="18"/>
              </w:rPr>
              <w:t>BDO Unibank IT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Support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Support Model and Support Guide</w:t>
    </w:r>
    <w:r>
      <w:rPr>
        <w:color w:val="656565"/>
        <w:sz w:val="16"/>
      </w:rPr>
      <w:t xml:space="preserve">   Support Model</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Support BRD-00 Support Model and Support Guide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