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STRATEGY</w:t>
      </w:r>
    </w:p>
    <w:p>
      <w:pPr>
        <w:spacing w:after="80" w:line="240" w:lineRule="auto"/>
      </w:pPr>
      <w:r>
        <w:rPr>
          <w:b/>
          <w:color w:val="004EA8"/>
          <w:sz w:val="56"/>
        </w:rPr>
        <w:t>Test Strategy</w:t>
      </w:r>
    </w:p>
    <w:p>
      <w:pPr>
        <w:spacing w:after="40"/>
      </w:pPr>
      <w:r>
        <w:rPr>
          <w:color w:val="2E2E2E"/>
          <w:sz w:val="28"/>
        </w:rPr>
        <w:t>Test levels, environments, data, criteria, incident management and schedule for BIBS phase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BIBS-TST-BRD-00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QA lead</w:t>
            </w:r>
          </w:p>
        </w:tc>
        <w:tc>
          <w:tcPr>
            <w:tcW w:type="dxa" w:w="1700"/>
            <w:tcMar>
              <w:top w:w="50" w:type="dxa"/>
              <w:bottom w:w="50" w:type="dxa"/>
              <w:left w:w="90" w:type="dxa"/>
              <w:right w:w="90" w:type="dxa"/>
            </w:tcMar>
          </w:tcPr>
          <w:p>
            <w:pPr>
              <w:pStyle w:val="BDOITable"/>
            </w:pPr>
            <w:r>
              <w:rPr>
                <w:sz w:val="18"/>
              </w:rPr>
              <w:t>iorta TechNXT Solution Architect; iorta TechNXT Project Manager</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aligned with the BDOI programme timeline, the project plan, the test plans of BRD-1 to BRD-13 and the NFR catalogue v1.0</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Test approach, criteria, UAT organisation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Schedule per drop and sign-off</w:t>
            </w:r>
          </w:p>
        </w:tc>
      </w:tr>
      <w:tr>
        <w:trPr>
          <w:cantSplit w:val="true"/>
        </w:trPr>
        <w:tc>
          <w:tcPr>
            <w:tcW w:type="dxa" w:w="2606"/>
            <w:tcMar>
              <w:top w:w="50" w:type="dxa"/>
              <w:bottom w:w="50" w:type="dxa"/>
              <w:left w:w="90" w:type="dxa"/>
              <w:right w:w="90" w:type="dxa"/>
            </w:tcMar>
          </w:tcPr>
          <w:p>
            <w:pPr>
              <w:pStyle w:val="BDOITable"/>
            </w:pPr>
            <w:r>
              <w:rPr>
                <w:sz w:val="18"/>
              </w:rPr>
              <w:t>Product owners of BRD-1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UAT testers, scenarios and sign-off certificates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BDOI IT</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Environments, integrations, NFT and DR</w:t>
            </w:r>
          </w:p>
        </w:tc>
      </w:tr>
      <w:tr>
        <w:trPr>
          <w:cantSplit w:val="true"/>
        </w:trPr>
        <w:tc>
          <w:tcPr>
            <w:tcW w:type="dxa" w:w="2606"/>
            <w:tcMar>
              <w:top w:w="50" w:type="dxa"/>
              <w:bottom w:w="50" w:type="dxa"/>
              <w:left w:w="90" w:type="dxa"/>
              <w:right w:w="90" w:type="dxa"/>
            </w:tcMar>
          </w:tcPr>
          <w:p>
            <w:pPr>
              <w:pStyle w:val="BDOITable"/>
            </w:pPr>
            <w:r>
              <w:rPr>
                <w:sz w:val="18"/>
              </w:rPr>
              <w:t>BDOI Information Security; Data Protection Officer</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Security testing, penetration test, masked data</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Test planning, execution and reporting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1.3 Scope</w:t>
        </w:r>
        <w:r>
          <w:t xml:space="preserve">	</w:t>
        </w:r>
        <w:r>
          <w:t xml:space="preserve">4</w:t>
        </w:r>
      </w:hyperlink>
    </w:p>
    <w:p>
      <w:pPr>
        <w:pStyle w:val="toc2"/>
      </w:pPr>
      <w:hyperlink w:anchor="_Toc000105" w:history="1">
        <w:r>
          <w:t xml:space="preserve">1.4 References</w:t>
        </w:r>
        <w:r>
          <w:t xml:space="preserve">	</w:t>
        </w:r>
        <w:r>
          <w:t xml:space="preserve">4</w:t>
        </w:r>
      </w:hyperlink>
    </w:p>
    <w:p>
      <w:pPr>
        <w:pStyle w:val="toc1"/>
      </w:pPr>
      <w:hyperlink w:anchor="_Toc000106" w:history="1">
        <w:r>
          <w:t xml:space="preserve">2 Test approach</w:t>
        </w:r>
        <w:r>
          <w:t xml:space="preserve">	</w:t>
        </w:r>
        <w:r>
          <w:t xml:space="preserve">6</w:t>
        </w:r>
      </w:hyperlink>
    </w:p>
    <w:p>
      <w:pPr>
        <w:pStyle w:val="toc2"/>
      </w:pPr>
      <w:hyperlink w:anchor="_Toc000107" w:history="1">
        <w:r>
          <w:t xml:space="preserve">2.1 Principles</w:t>
        </w:r>
        <w:r>
          <w:t xml:space="preserve">	</w:t>
        </w:r>
        <w:r>
          <w:t xml:space="preserve">6</w:t>
        </w:r>
      </w:hyperlink>
    </w:p>
    <w:p>
      <w:pPr>
        <w:pStyle w:val="toc2"/>
      </w:pPr>
      <w:hyperlink w:anchor="_Toc000108" w:history="1">
        <w:r>
          <w:t xml:space="preserve">2.2 Flow of testing</w:t>
        </w:r>
        <w:r>
          <w:t xml:space="preserve">	</w:t>
        </w:r>
        <w:r>
          <w:t xml:space="preserve">6</w:t>
        </w:r>
      </w:hyperlink>
    </w:p>
    <w:p>
      <w:pPr>
        <w:pStyle w:val="toc1"/>
      </w:pPr>
      <w:hyperlink w:anchor="_Toc000109" w:history="1">
        <w:r>
          <w:t xml:space="preserve">3 Test levels</w:t>
        </w:r>
        <w:r>
          <w:t xml:space="preserve">	</w:t>
        </w:r>
        <w:r>
          <w:t xml:space="preserve">7</w:t>
        </w:r>
      </w:hyperlink>
    </w:p>
    <w:p>
      <w:pPr>
        <w:pStyle w:val="toc1"/>
      </w:pPr>
      <w:hyperlink w:anchor="_Toc000110" w:history="1">
        <w:r>
          <w:t xml:space="preserve">4 Test types</w:t>
        </w:r>
        <w:r>
          <w:t xml:space="preserve">	</w:t>
        </w:r>
        <w:r>
          <w:t xml:space="preserve">8</w:t>
        </w:r>
      </w:hyperlink>
    </w:p>
    <w:p>
      <w:pPr>
        <w:pStyle w:val="toc1"/>
      </w:pPr>
      <w:hyperlink w:anchor="_Toc000111" w:history="1">
        <w:r>
          <w:t xml:space="preserve">5 Test plans and coverage</w:t>
        </w:r>
        <w:r>
          <w:t xml:space="preserve">	</w:t>
        </w:r>
        <w:r>
          <w:t xml:space="preserve">9</w:t>
        </w:r>
      </w:hyperlink>
    </w:p>
    <w:p>
      <w:pPr>
        <w:pStyle w:val="toc2"/>
      </w:pPr>
      <w:hyperlink w:anchor="_Toc000112" w:history="1">
        <w:r>
          <w:t xml:space="preserve">5.1 Test plans per BRD</w:t>
        </w:r>
        <w:r>
          <w:t xml:space="preserve">	</w:t>
        </w:r>
        <w:r>
          <w:t xml:space="preserve">9</w:t>
        </w:r>
      </w:hyperlink>
    </w:p>
    <w:p>
      <w:pPr>
        <w:pStyle w:val="toc2"/>
      </w:pPr>
      <w:hyperlink w:anchor="_Toc000113" w:history="1">
        <w:r>
          <w:t xml:space="preserve">5.2 Coverage targets</w:t>
        </w:r>
        <w:r>
          <w:t xml:space="preserve">	</w:t>
        </w:r>
        <w:r>
          <w:t xml:space="preserve">9</w:t>
        </w:r>
      </w:hyperlink>
    </w:p>
    <w:p>
      <w:pPr>
        <w:pStyle w:val="toc1"/>
      </w:pPr>
      <w:hyperlink w:anchor="_Toc000114" w:history="1">
        <w:r>
          <w:t xml:space="preserve">6 Test environments</w:t>
        </w:r>
        <w:r>
          <w:t xml:space="preserve">	</w:t>
        </w:r>
        <w:r>
          <w:t xml:space="preserve">10</w:t>
        </w:r>
      </w:hyperlink>
    </w:p>
    <w:p>
      <w:pPr>
        <w:pStyle w:val="toc2"/>
      </w:pPr>
      <w:hyperlink w:anchor="_Toc000115" w:history="1">
        <w:r>
          <w:t xml:space="preserve">6.1 Environment set</w:t>
        </w:r>
        <w:r>
          <w:t xml:space="preserve">	</w:t>
        </w:r>
        <w:r>
          <w:t xml:space="preserve">10</w:t>
        </w:r>
      </w:hyperlink>
    </w:p>
    <w:p>
      <w:pPr>
        <w:pStyle w:val="toc2"/>
      </w:pPr>
      <w:hyperlink w:anchor="_Toc000116" w:history="1">
        <w:r>
          <w:t xml:space="preserve">6.2 Environment rules</w:t>
        </w:r>
        <w:r>
          <w:t xml:space="preserve">	</w:t>
        </w:r>
        <w:r>
          <w:t xml:space="preserve">10</w:t>
        </w:r>
      </w:hyperlink>
    </w:p>
    <w:p>
      <w:pPr>
        <w:pStyle w:val="toc1"/>
      </w:pPr>
      <w:hyperlink w:anchor="_Toc000117" w:history="1">
        <w:r>
          <w:t xml:space="preserve">7 Non-functional testing</w:t>
        </w:r>
        <w:r>
          <w:t xml:space="preserve">	</w:t>
        </w:r>
        <w:r>
          <w:t xml:space="preserve">11</w:t>
        </w:r>
      </w:hyperlink>
    </w:p>
    <w:p>
      <w:pPr>
        <w:pStyle w:val="toc2"/>
      </w:pPr>
      <w:hyperlink w:anchor="_Toc000118" w:history="1">
        <w:r>
          <w:t xml:space="preserve">7.1 Performance and volume</w:t>
        </w:r>
        <w:r>
          <w:t xml:space="preserve">	</w:t>
        </w:r>
        <w:r>
          <w:t xml:space="preserve">11</w:t>
        </w:r>
      </w:hyperlink>
    </w:p>
    <w:p>
      <w:pPr>
        <w:pStyle w:val="toc2"/>
      </w:pPr>
      <w:hyperlink w:anchor="_Toc000119" w:history="1">
        <w:r>
          <w:t xml:space="preserve">7.2 Security</w:t>
        </w:r>
        <w:r>
          <w:t xml:space="preserve">	</w:t>
        </w:r>
        <w:r>
          <w:t xml:space="preserve">12</w:t>
        </w:r>
      </w:hyperlink>
    </w:p>
    <w:p>
      <w:pPr>
        <w:pStyle w:val="toc2"/>
      </w:pPr>
      <w:hyperlink w:anchor="_Toc000120" w:history="1">
        <w:r>
          <w:t xml:space="preserve">7.3 Resilience and DR</w:t>
        </w:r>
        <w:r>
          <w:t xml:space="preserve">	</w:t>
        </w:r>
        <w:r>
          <w:t xml:space="preserve">12</w:t>
        </w:r>
      </w:hyperlink>
    </w:p>
    <w:p>
      <w:pPr>
        <w:pStyle w:val="toc2"/>
      </w:pPr>
      <w:hyperlink w:anchor="_Toc000121" w:history="1">
        <w:r>
          <w:t xml:space="preserve">7.4 Accessibility, responsive and usability</w:t>
        </w:r>
        <w:r>
          <w:t xml:space="preserve">	</w:t>
        </w:r>
        <w:r>
          <w:t xml:space="preserve">12</w:t>
        </w:r>
      </w:hyperlink>
    </w:p>
    <w:p>
      <w:pPr>
        <w:pStyle w:val="toc1"/>
      </w:pPr>
      <w:hyperlink w:anchor="_Toc000122" w:history="1">
        <w:r>
          <w:t xml:space="preserve">8 Test data management</w:t>
        </w:r>
        <w:r>
          <w:t xml:space="preserve">	</w:t>
        </w:r>
        <w:r>
          <w:t xml:space="preserve">13</w:t>
        </w:r>
      </w:hyperlink>
    </w:p>
    <w:p>
      <w:pPr>
        <w:pStyle w:val="toc1"/>
      </w:pPr>
      <w:hyperlink w:anchor="_Toc000123" w:history="1">
        <w:r>
          <w:t xml:space="preserve">9 Entry and exit criteria</w:t>
        </w:r>
        <w:r>
          <w:t xml:space="preserve">	</w:t>
        </w:r>
        <w:r>
          <w:t xml:space="preserve">14</w:t>
        </w:r>
      </w:hyperlink>
    </w:p>
    <w:p>
      <w:pPr>
        <w:pStyle w:val="toc1"/>
      </w:pPr>
      <w:hyperlink w:anchor="_Toc000124" w:history="1">
        <w:r>
          <w:t xml:space="preserve">10 Test incident management</w:t>
        </w:r>
        <w:r>
          <w:t xml:space="preserve">	</w:t>
        </w:r>
        <w:r>
          <w:t xml:space="preserve">15</w:t>
        </w:r>
      </w:hyperlink>
    </w:p>
    <w:p>
      <w:pPr>
        <w:pStyle w:val="toc2"/>
      </w:pPr>
      <w:hyperlink w:anchor="_Toc000125" w:history="1">
        <w:r>
          <w:t xml:space="preserve">10.1 Life cycle</w:t>
        </w:r>
        <w:r>
          <w:t xml:space="preserve">	</w:t>
        </w:r>
        <w:r>
          <w:t xml:space="preserve">15</w:t>
        </w:r>
      </w:hyperlink>
    </w:p>
    <w:p>
      <w:pPr>
        <w:pStyle w:val="toc2"/>
      </w:pPr>
      <w:hyperlink w:anchor="_Toc000126" w:history="1">
        <w:r>
          <w:t xml:space="preserve">10.2 Severity</w:t>
        </w:r>
        <w:r>
          <w:t xml:space="preserve">	</w:t>
        </w:r>
        <w:r>
          <w:t xml:space="preserve">15</w:t>
        </w:r>
      </w:hyperlink>
    </w:p>
    <w:p>
      <w:pPr>
        <w:pStyle w:val="toc2"/>
      </w:pPr>
      <w:hyperlink w:anchor="_Toc000127" w:history="1">
        <w:r>
          <w:t xml:space="preserve">10.3 Recording and reporting</w:t>
        </w:r>
        <w:r>
          <w:t xml:space="preserve">	</w:t>
        </w:r>
        <w:r>
          <w:t xml:space="preserve">15</w:t>
        </w:r>
      </w:hyperlink>
    </w:p>
    <w:p>
      <w:pPr>
        <w:pStyle w:val="toc1"/>
      </w:pPr>
      <w:hyperlink w:anchor="_Toc000128" w:history="1">
        <w:r>
          <w:t xml:space="preserve">11 Automation and regression</w:t>
        </w:r>
        <w:r>
          <w:t xml:space="preserve">	</w:t>
        </w:r>
        <w:r>
          <w:t xml:space="preserve">17</w:t>
        </w:r>
      </w:hyperlink>
    </w:p>
    <w:p>
      <w:pPr>
        <w:pStyle w:val="toc1"/>
      </w:pPr>
      <w:hyperlink w:anchor="_Toc000129" w:history="1">
        <w:r>
          <w:t xml:space="preserve">12 Tools</w:t>
        </w:r>
        <w:r>
          <w:t xml:space="preserve">	</w:t>
        </w:r>
        <w:r>
          <w:t xml:space="preserve">18</w:t>
        </w:r>
      </w:hyperlink>
    </w:p>
    <w:p>
      <w:pPr>
        <w:pStyle w:val="toc1"/>
      </w:pPr>
      <w:hyperlink w:anchor="_Toc000130" w:history="1">
        <w:r>
          <w:t xml:space="preserve">13 Roles and responsibilities</w:t>
        </w:r>
        <w:r>
          <w:t xml:space="preserve">	</w:t>
        </w:r>
        <w:r>
          <w:t xml:space="preserve">19</w:t>
        </w:r>
      </w:hyperlink>
    </w:p>
    <w:p>
      <w:pPr>
        <w:pStyle w:val="toc2"/>
      </w:pPr>
      <w:hyperlink w:anchor="_Toc000131" w:history="1">
        <w:r>
          <w:t xml:space="preserve">13.1 Roles</w:t>
        </w:r>
        <w:r>
          <w:t xml:space="preserve">	</w:t>
        </w:r>
        <w:r>
          <w:t xml:space="preserve">19</w:t>
        </w:r>
      </w:hyperlink>
    </w:p>
    <w:p>
      <w:pPr>
        <w:pStyle w:val="toc2"/>
      </w:pPr>
      <w:hyperlink w:anchor="_Toc000132" w:history="1">
        <w:r>
          <w:t xml:space="preserve">13.2 RACI</w:t>
        </w:r>
        <w:r>
          <w:t xml:space="preserve">	</w:t>
        </w:r>
        <w:r>
          <w:t xml:space="preserve">19</w:t>
        </w:r>
      </w:hyperlink>
    </w:p>
    <w:p>
      <w:pPr>
        <w:pStyle w:val="toc1"/>
      </w:pPr>
      <w:hyperlink w:anchor="_Toc000133" w:history="1">
        <w:r>
          <w:t xml:space="preserve">14 Schedule per drop</w:t>
        </w:r>
        <w:r>
          <w:t xml:space="preserve">	</w:t>
        </w:r>
        <w:r>
          <w:t xml:space="preserve">20</w:t>
        </w:r>
      </w:hyperlink>
    </w:p>
    <w:p>
      <w:pPr>
        <w:pStyle w:val="toc1"/>
      </w:pPr>
      <w:hyperlink w:anchor="_Toc000134" w:history="1">
        <w:r>
          <w:t xml:space="preserve">15 Reporting and sign-off</w:t>
        </w:r>
        <w:r>
          <w:t xml:space="preserve">	</w:t>
        </w:r>
        <w:r>
          <w:t xml:space="preserve">21</w:t>
        </w:r>
      </w:hyperlink>
    </w:p>
    <w:p>
      <w:pPr>
        <w:pStyle w:val="toc1"/>
      </w:pPr>
      <w:hyperlink w:anchor="_Toc000135" w:history="1">
        <w:r>
          <w:t xml:space="preserve">16 Risks</w:t>
        </w:r>
        <w:r>
          <w:t xml:space="preserve">	</w:t>
        </w:r>
        <w:r>
          <w:t xml:space="preserve">22</w:t>
        </w:r>
      </w:hyperlink>
    </w:p>
    <w:p>
      <w:pPr>
        <w:pStyle w:val="toc1"/>
      </w:pPr>
      <w:hyperlink w:anchor="_Toc000136" w:history="1">
        <w:r>
          <w:t xml:space="preserve">17 Decisions and open points for BDOI</w:t>
        </w:r>
        <w:r>
          <w:t xml:space="preserve">	</w:t>
        </w:r>
        <w:r>
          <w:t xml:space="preserve">23</w:t>
        </w:r>
      </w:hyperlink>
    </w:p>
    <w:p>
      <w:pPr>
        <w:pStyle w:val="toc1"/>
      </w:pPr>
      <w:hyperlink w:anchor="_Toc000137" w:history="1">
        <w:r>
          <w:t xml:space="preserve">Sign-off</w:t>
        </w:r>
        <w:r>
          <w:t xml:space="preserve">	</w:t>
        </w:r>
        <w:r>
          <w:t xml:space="preserve">24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Test Strategy sets how BIBS is tested from the first line of code to the go-live check: the test levels and types, the environments, the test data, the entry and exit criteria, the handling of test incidents, the tools, the coverage targets, the roles and the schedule of each drop. It applies to every BRD of phase 1, to the data migration and to the non-functional requirements.</w:t>
      </w:r>
    </w:p>
    <w:p>
      <w:r>
        <w:rPr/>
        <w:t>The test plans of each BRD (Excel workbook and Word summary) hold the test conditions, cases, steps and expected results; this strategy does not repeat them. Together they hold 3630 test cases over 2170 test conditions, 1798 positive and 1832 negative.</w:t>
      </w:r>
    </w:p>
    <w:p>
      <w:pPr>
        <w:pStyle w:val="Heading2"/>
      </w:pPr>
      <w:bookmarkStart w:id="103" w:name="_Toc000103"/>
      <w:r>
        <w:rPr/>
        <w:t>1.2 Audience</w:t>
      </w:r>
      <w:bookmarkEnd w:id="103"/>
    </w:p>
    <w:p>
      <w:pPr>
        <w:pStyle w:val="Caption"/>
        <w:keepNext/>
        <w:spacing w:after="60"/>
      </w:pPr>
      <w:r>
        <w:rPr>
          <w:b/>
          <w:i w:val="0"/>
        </w:rPr>
        <w:t xml:space="preserve">Table 1: </w:t>
      </w:r>
      <w:r>
        <w:rPr/>
        <w:t>Readers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Reader</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2763"/>
            <w:tcMar>
              <w:top w:w="50" w:type="dxa"/>
              <w:bottom w:w="50" w:type="dxa"/>
              <w:left w:w="90" w:type="dxa"/>
              <w:right w:w="90" w:type="dxa"/>
            </w:tcMar>
          </w:tcPr>
          <w:p>
            <w:pPr>
              <w:pStyle w:val="BDOITable"/>
            </w:pPr>
            <w:r>
              <w:rPr>
                <w:sz w:val="18"/>
              </w:rPr>
              <w:t>BIBS Product Owner and BRD product owners</w:t>
            </w:r>
          </w:p>
        </w:tc>
        <w:tc>
          <w:tcPr>
            <w:tcW w:type="dxa" w:w="7209"/>
            <w:tcMar>
              <w:top w:w="50" w:type="dxa"/>
              <w:bottom w:w="50" w:type="dxa"/>
              <w:left w:w="90" w:type="dxa"/>
              <w:right w:w="90" w:type="dxa"/>
            </w:tcMar>
          </w:tcPr>
          <w:p>
            <w:pPr>
              <w:pStyle w:val="BDOITable"/>
            </w:pPr>
            <w:r>
              <w:rPr>
                <w:sz w:val="18"/>
              </w:rPr>
              <w:t>UAT organisation, testers, criteria and sign-off</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BDOI IT, BDO Cloud and Digital Operations Engineering</w:t>
            </w:r>
          </w:p>
        </w:tc>
        <w:tc>
          <w:tcPr>
            <w:tcW w:type="dxa" w:w="7209"/>
            <w:tcMar>
              <w:top w:w="50" w:type="dxa"/>
              <w:bottom w:w="50" w:type="dxa"/>
              <w:left w:w="90" w:type="dxa"/>
              <w:right w:w="90" w:type="dxa"/>
            </w:tcMar>
            <w:shd w:val="clear" w:color="auto" w:fill="E5F5FF"/>
          </w:tcPr>
          <w:p>
            <w:pPr>
              <w:pStyle w:val="BDOITable"/>
            </w:pPr>
            <w:r>
              <w:rPr>
                <w:sz w:val="18"/>
              </w:rPr>
              <w:t>Environments, integrations, non-functional tests and DR drill</w:t>
            </w:r>
          </w:p>
        </w:tc>
      </w:tr>
      <w:tr>
        <w:trPr>
          <w:cantSplit w:val="true"/>
        </w:trPr>
        <w:tc>
          <w:tcPr>
            <w:tcW w:type="dxa" w:w="2763"/>
            <w:tcMar>
              <w:top w:w="50" w:type="dxa"/>
              <w:bottom w:w="50" w:type="dxa"/>
              <w:left w:w="90" w:type="dxa"/>
              <w:right w:w="90" w:type="dxa"/>
            </w:tcMar>
          </w:tcPr>
          <w:p>
            <w:pPr>
              <w:pStyle w:val="BDOITable"/>
            </w:pPr>
            <w:r>
              <w:rPr>
                <w:sz w:val="18"/>
              </w:rPr>
              <w:t>BDOI Information Security, Data Protection Officer</w:t>
            </w:r>
          </w:p>
        </w:tc>
        <w:tc>
          <w:tcPr>
            <w:tcW w:type="dxa" w:w="7209"/>
            <w:tcMar>
              <w:top w:w="50" w:type="dxa"/>
              <w:bottom w:w="50" w:type="dxa"/>
              <w:left w:w="90" w:type="dxa"/>
              <w:right w:w="90" w:type="dxa"/>
            </w:tcMar>
          </w:tcPr>
          <w:p>
            <w:pPr>
              <w:pStyle w:val="BDOITable"/>
            </w:pPr>
            <w:r>
              <w:rPr>
                <w:sz w:val="18"/>
              </w:rPr>
              <w:t>Security tests, penetration test, masked test data</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iorta TechNXT project team</w:t>
            </w:r>
          </w:p>
        </w:tc>
        <w:tc>
          <w:tcPr>
            <w:tcW w:type="dxa" w:w="7209"/>
            <w:tcMar>
              <w:top w:w="50" w:type="dxa"/>
              <w:bottom w:w="50" w:type="dxa"/>
              <w:left w:w="90" w:type="dxa"/>
              <w:right w:w="90" w:type="dxa"/>
            </w:tcMar>
            <w:shd w:val="clear" w:color="auto" w:fill="E5F5FF"/>
          </w:tcPr>
          <w:p>
            <w:pPr>
              <w:pStyle w:val="BDOITable"/>
            </w:pPr>
            <w:r>
              <w:rPr>
                <w:sz w:val="18"/>
              </w:rPr>
              <w:t>Test levels, criteria, tools and responsibilities</w:t>
            </w:r>
          </w:p>
        </w:tc>
      </w:tr>
    </w:tbl>
    <w:p>
      <w:pPr>
        <w:pStyle w:val="BDOISpacer"/>
      </w:pPr>
    </w:p>
    <w:p>
      <w:pPr>
        <w:pStyle w:val="Heading2"/>
      </w:pPr>
      <w:bookmarkStart w:id="104" w:name="_Toc000104"/>
      <w:r>
        <w:rPr/>
        <w:t>1.3 Scope</w:t>
      </w:r>
      <w:bookmarkEnd w:id="104"/>
    </w:p>
    <w:p>
      <w:pPr>
        <w:pStyle w:val="Caption"/>
        <w:keepNext/>
        <w:spacing w:after="60"/>
      </w:pPr>
      <w:r>
        <w:rPr>
          <w:b/>
          <w:i w:val="0"/>
        </w:rPr>
        <w:t xml:space="preserve">Table 2: </w:t>
      </w:r>
      <w:r>
        <w:rPr/>
        <w:t>What is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Scope</w:t>
            </w:r>
          </w:p>
        </w:tc>
      </w:tr>
      <w:tr>
        <w:trPr>
          <w:cantSplit w:val="true"/>
        </w:trPr>
        <w:tc>
          <w:tcPr>
            <w:tcW w:type="dxa" w:w="2403"/>
            <w:tcMar>
              <w:top w:w="50" w:type="dxa"/>
              <w:bottom w:w="50" w:type="dxa"/>
              <w:left w:w="90" w:type="dxa"/>
              <w:right w:w="90" w:type="dxa"/>
            </w:tcMar>
          </w:tcPr>
          <w:p>
            <w:pPr>
              <w:pStyle w:val="BDOITable"/>
            </w:pPr>
            <w:r>
              <w:rPr>
                <w:sz w:val="18"/>
              </w:rPr>
              <w:t>Functional</w:t>
            </w:r>
          </w:p>
        </w:tc>
        <w:tc>
          <w:tcPr>
            <w:tcW w:type="dxa" w:w="7569"/>
            <w:tcMar>
              <w:top w:w="50" w:type="dxa"/>
              <w:bottom w:w="50" w:type="dxa"/>
              <w:left w:w="90" w:type="dxa"/>
              <w:right w:w="90" w:type="dxa"/>
            </w:tcMar>
          </w:tcPr>
          <w:p>
            <w:pPr>
              <w:pStyle w:val="BDOITable"/>
            </w:pPr>
            <w:r>
              <w:rPr>
                <w:sz w:val="18"/>
              </w:rPr>
              <w:t>Every FR of the FRS of BRD-00 to BRD-12 and of the Data Migration Handbook (BRD-13); every in-scope BRD requirement ID through the traceability matrix</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Integrations</w:t>
            </w:r>
          </w:p>
        </w:tc>
        <w:tc>
          <w:tcPr>
            <w:tcW w:type="dxa" w:w="7569"/>
            <w:tcMar>
              <w:top w:w="50" w:type="dxa"/>
              <w:bottom w:w="50" w:type="dxa"/>
              <w:left w:w="90" w:type="dxa"/>
              <w:right w:w="90" w:type="dxa"/>
            </w:tcMar>
            <w:shd w:val="clear" w:color="auto" w:fill="E5F5FF"/>
          </w:tcPr>
          <w:p>
            <w:pPr>
              <w:pStyle w:val="BDOITable"/>
            </w:pPr>
            <w:r>
              <w:rPr>
                <w:sz w:val="18"/>
              </w:rPr>
              <w:t>The interfaces of the integration inventory through Apigee X, EIAM and UIDM-ISC, with partner simulators until each partner system is available</w:t>
            </w:r>
          </w:p>
        </w:tc>
      </w:tr>
      <w:tr>
        <w:trPr>
          <w:cantSplit w:val="true"/>
        </w:trPr>
        <w:tc>
          <w:tcPr>
            <w:tcW w:type="dxa" w:w="2403"/>
            <w:tcMar>
              <w:top w:w="50" w:type="dxa"/>
              <w:bottom w:w="50" w:type="dxa"/>
              <w:left w:w="90" w:type="dxa"/>
              <w:right w:w="90" w:type="dxa"/>
            </w:tcMar>
          </w:tcPr>
          <w:p>
            <w:pPr>
              <w:pStyle w:val="BDOITable"/>
            </w:pPr>
            <w:r>
              <w:rPr>
                <w:sz w:val="18"/>
              </w:rPr>
              <w:t>Data migration</w:t>
            </w:r>
          </w:p>
        </w:tc>
        <w:tc>
          <w:tcPr>
            <w:tcW w:type="dxa" w:w="7569"/>
            <w:tcMar>
              <w:top w:w="50" w:type="dxa"/>
              <w:bottom w:w="50" w:type="dxa"/>
              <w:left w:w="90" w:type="dxa"/>
              <w:right w:w="90" w:type="dxa"/>
            </w:tcMar>
          </w:tcPr>
          <w:p>
            <w:pPr>
              <w:pStyle w:val="BDOITable"/>
            </w:pPr>
            <w:r>
              <w:rPr>
                <w:sz w:val="18"/>
              </w:rPr>
              <w:t>Trial migrations 1 to 4, the dress rehearsal and the production load: validation, load, reconciliation L1 to L5 and business verification</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Non-functional</w:t>
            </w:r>
          </w:p>
        </w:tc>
        <w:tc>
          <w:tcPr>
            <w:tcW w:type="dxa" w:w="7569"/>
            <w:tcMar>
              <w:top w:w="50" w:type="dxa"/>
              <w:bottom w:w="50" w:type="dxa"/>
              <w:left w:w="90" w:type="dxa"/>
              <w:right w:w="90" w:type="dxa"/>
            </w:tcMar>
            <w:shd w:val="clear" w:color="auto" w:fill="E5F5FF"/>
          </w:tcPr>
          <w:p>
            <w:pPr>
              <w:pStyle w:val="BDOITable"/>
            </w:pPr>
            <w:r>
              <w:rPr>
                <w:sz w:val="18"/>
              </w:rPr>
              <w:t>The 99 NFRs of the NFR catalogue, each at the stage named in the register</w:t>
            </w:r>
          </w:p>
        </w:tc>
      </w:tr>
      <w:tr>
        <w:trPr>
          <w:cantSplit w:val="true"/>
        </w:trPr>
        <w:tc>
          <w:tcPr>
            <w:tcW w:type="dxa" w:w="2403"/>
            <w:tcMar>
              <w:top w:w="50" w:type="dxa"/>
              <w:bottom w:w="50" w:type="dxa"/>
              <w:left w:w="90" w:type="dxa"/>
              <w:right w:w="90" w:type="dxa"/>
            </w:tcMar>
          </w:tcPr>
          <w:p>
            <w:pPr>
              <w:pStyle w:val="BDOITable"/>
            </w:pPr>
            <w:r>
              <w:rPr>
                <w:sz w:val="18"/>
              </w:rPr>
              <w:t>Out of scope</w:t>
            </w:r>
          </w:p>
        </w:tc>
        <w:tc>
          <w:tcPr>
            <w:tcW w:type="dxa" w:w="7569"/>
            <w:tcMar>
              <w:top w:w="50" w:type="dxa"/>
              <w:bottom w:w="50" w:type="dxa"/>
              <w:left w:w="90" w:type="dxa"/>
              <w:right w:w="90" w:type="dxa"/>
            </w:tcMar>
          </w:tcPr>
          <w:p>
            <w:pPr>
              <w:pStyle w:val="BDOITable"/>
            </w:pPr>
            <w:r>
              <w:rPr>
                <w:sz w:val="18"/>
              </w:rPr>
              <w:t>The insurer-company functions that BIBS does not include; the reinsurance module (phase 2); the internal testing of BDO systems on the other side of an interface</w:t>
            </w:r>
          </w:p>
        </w:tc>
      </w:tr>
    </w:tbl>
    <w:p>
      <w:pPr>
        <w:pStyle w:val="BDOISpacer"/>
      </w:pPr>
    </w:p>
    <w:p>
      <w:pPr>
        <w:pStyle w:val="Heading2"/>
      </w:pPr>
      <w:bookmarkStart w:id="105" w:name="_Toc000105"/>
      <w:r>
        <w:rPr/>
        <w:t>1.4 References</w:t>
      </w:r>
      <w:bookmarkEnd w:id="105"/>
    </w:p>
    <w:p>
      <w:pPr>
        <w:pStyle w:val="Caption"/>
        <w:keepNext/>
        <w:spacing w:after="60"/>
      </w:pPr>
      <w:r>
        <w:rPr>
          <w:b/>
          <w:i w:val="0"/>
        </w:rPr>
        <w:t xml:space="preserve">Table 3: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6608"/>
        <w:gridCol w:w="264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721"/>
            <w:tcMar>
              <w:top w:w="50" w:type="dxa"/>
              <w:bottom w:w="50" w:type="dxa"/>
              <w:left w:w="90" w:type="dxa"/>
              <w:right w:w="90" w:type="dxa"/>
            </w:tcMar>
          </w:tcPr>
          <w:p>
            <w:pPr>
              <w:pStyle w:val="BDOITable"/>
            </w:pPr>
            <w:r>
              <w:rPr>
                <w:sz w:val="18"/>
              </w:rPr>
              <w:t>R1</w:t>
            </w:r>
          </w:p>
        </w:tc>
        <w:tc>
          <w:tcPr>
            <w:tcW w:type="dxa" w:w="6608"/>
            <w:tcMar>
              <w:top w:w="50" w:type="dxa"/>
              <w:bottom w:w="50" w:type="dxa"/>
              <w:left w:w="90" w:type="dxa"/>
              <w:right w:w="90" w:type="dxa"/>
            </w:tcMar>
          </w:tcPr>
          <w:p>
            <w:pPr>
              <w:pStyle w:val="BDOITable"/>
            </w:pPr>
            <w:r>
              <w:rPr>
                <w:sz w:val="18"/>
              </w:rPr>
              <w:t>FRS of BRD-00 to BRD-12; Data Migration Handbook (BRD-13)</w:t>
            </w:r>
          </w:p>
        </w:tc>
        <w:tc>
          <w:tcPr>
            <w:tcW w:type="dxa" w:w="2643"/>
            <w:tcMar>
              <w:top w:w="50" w:type="dxa"/>
              <w:bottom w:w="50" w:type="dxa"/>
              <w:left w:w="90" w:type="dxa"/>
              <w:right w:w="90" w:type="dxa"/>
            </w:tcMar>
          </w:tcPr>
          <w:p>
            <w:pPr>
              <w:pStyle w:val="BDOITable"/>
            </w:pPr>
            <w:r>
              <w:rPr>
                <w:sz w:val="18"/>
              </w:rPr>
              <w:t>Versions in the traceability matrix</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R2</w:t>
            </w:r>
          </w:p>
        </w:tc>
        <w:tc>
          <w:tcPr>
            <w:tcW w:type="dxa" w:w="6608"/>
            <w:tcMar>
              <w:top w:w="50" w:type="dxa"/>
              <w:bottom w:w="50" w:type="dxa"/>
              <w:left w:w="90" w:type="dxa"/>
              <w:right w:w="90" w:type="dxa"/>
            </w:tcMar>
            <w:shd w:val="clear" w:color="auto" w:fill="E5F5FF"/>
          </w:tcPr>
          <w:p>
            <w:pPr>
              <w:pStyle w:val="BDOITable"/>
            </w:pPr>
            <w:r>
              <w:rPr>
                <w:sz w:val="18"/>
              </w:rPr>
              <w:t>Test plans of BRD-1 to BRD-13 (workbook and summary)</w:t>
            </w:r>
          </w:p>
        </w:tc>
        <w:tc>
          <w:tcPr>
            <w:tcW w:type="dxa" w:w="2643"/>
            <w:tcMar>
              <w:top w:w="50" w:type="dxa"/>
              <w:bottom w:w="50" w:type="dxa"/>
              <w:left w:w="90" w:type="dxa"/>
              <w:right w:w="90" w:type="dxa"/>
            </w:tcMar>
            <w:shd w:val="clear" w:color="auto" w:fill="E5F5FF"/>
          </w:tcPr>
          <w:p>
            <w:pPr>
              <w:pStyle w:val="BDOITable"/>
            </w:pPr>
            <w:r>
              <w:rPr>
                <w:sz w:val="18"/>
              </w:rPr>
              <w:t>Versions in chapter 5</w:t>
            </w:r>
          </w:p>
        </w:tc>
      </w:tr>
      <w:tr>
        <w:trPr>
          <w:cantSplit w:val="true"/>
        </w:trPr>
        <w:tc>
          <w:tcPr>
            <w:tcW w:type="dxa" w:w="721"/>
            <w:tcMar>
              <w:top w:w="50" w:type="dxa"/>
              <w:bottom w:w="50" w:type="dxa"/>
              <w:left w:w="90" w:type="dxa"/>
              <w:right w:w="90" w:type="dxa"/>
            </w:tcMar>
          </w:tcPr>
          <w:p>
            <w:pPr>
              <w:pStyle w:val="BDOITable"/>
            </w:pPr>
            <w:r>
              <w:rPr>
                <w:sz w:val="18"/>
              </w:rPr>
              <w:t>R3</w:t>
            </w:r>
          </w:p>
        </w:tc>
        <w:tc>
          <w:tcPr>
            <w:tcW w:type="dxa" w:w="6608"/>
            <w:tcMar>
              <w:top w:w="50" w:type="dxa"/>
              <w:bottom w:w="50" w:type="dxa"/>
              <w:left w:w="90" w:type="dxa"/>
              <w:right w:w="90" w:type="dxa"/>
            </w:tcMar>
          </w:tcPr>
          <w:p>
            <w:pPr>
              <w:pStyle w:val="BDOITable"/>
            </w:pPr>
            <w:r>
              <w:rPr>
                <w:sz w:val="18"/>
              </w:rPr>
              <w:t>BIBS System Requirements Specification</w:t>
            </w:r>
          </w:p>
        </w:tc>
        <w:tc>
          <w:tcPr>
            <w:tcW w:type="dxa" w:w="2643"/>
            <w:tcMar>
              <w:top w:w="50" w:type="dxa"/>
              <w:bottom w:w="50" w:type="dxa"/>
              <w:left w:w="90" w:type="dxa"/>
              <w:right w:w="90" w:type="dxa"/>
            </w:tcMar>
          </w:tcPr>
          <w:p>
            <w:pPr>
              <w:pStyle w:val="BDOITable"/>
            </w:pPr>
            <w:r>
              <w:rPr>
                <w:sz w:val="18"/>
              </w:rPr>
              <w:t>v1.0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R4</w:t>
            </w:r>
          </w:p>
        </w:tc>
        <w:tc>
          <w:tcPr>
            <w:tcW w:type="dxa" w:w="6608"/>
            <w:tcMar>
              <w:top w:w="50" w:type="dxa"/>
              <w:bottom w:w="50" w:type="dxa"/>
              <w:left w:w="90" w:type="dxa"/>
              <w:right w:w="90" w:type="dxa"/>
            </w:tcMar>
            <w:shd w:val="clear" w:color="auto" w:fill="E5F5FF"/>
          </w:tcPr>
          <w:p>
            <w:pPr>
              <w:pStyle w:val="BDOITable"/>
            </w:pPr>
            <w:r>
              <w:rPr>
                <w:sz w:val="18"/>
              </w:rPr>
              <w:t>BIBS Non-Functional Requirements and NFR register</w:t>
            </w:r>
          </w:p>
        </w:tc>
        <w:tc>
          <w:tcPr>
            <w:tcW w:type="dxa" w:w="2643"/>
            <w:tcMar>
              <w:top w:w="50" w:type="dxa"/>
              <w:bottom w:w="50" w:type="dxa"/>
              <w:left w:w="90" w:type="dxa"/>
              <w:right w:w="90" w:type="dxa"/>
            </w:tcMar>
            <w:shd w:val="clear" w:color="auto" w:fill="E5F5FF"/>
          </w:tcPr>
          <w:p>
            <w:pPr>
              <w:pStyle w:val="BDOITable"/>
            </w:pPr>
            <w:r>
              <w:rPr>
                <w:sz w:val="18"/>
              </w:rPr>
              <w:t>v1.0</w:t>
            </w:r>
          </w:p>
        </w:tc>
      </w:tr>
      <w:tr>
        <w:trPr>
          <w:cantSplit w:val="true"/>
        </w:trPr>
        <w:tc>
          <w:tcPr>
            <w:tcW w:type="dxa" w:w="721"/>
            <w:tcMar>
              <w:top w:w="50" w:type="dxa"/>
              <w:bottom w:w="50" w:type="dxa"/>
              <w:left w:w="90" w:type="dxa"/>
              <w:right w:w="90" w:type="dxa"/>
            </w:tcMar>
          </w:tcPr>
          <w:p>
            <w:pPr>
              <w:pStyle w:val="BDOITable"/>
            </w:pPr>
            <w:r>
              <w:rPr>
                <w:sz w:val="18"/>
              </w:rPr>
              <w:t>R5</w:t>
            </w:r>
          </w:p>
        </w:tc>
        <w:tc>
          <w:tcPr>
            <w:tcW w:type="dxa" w:w="6608"/>
            <w:tcMar>
              <w:top w:w="50" w:type="dxa"/>
              <w:bottom w:w="50" w:type="dxa"/>
              <w:left w:w="90" w:type="dxa"/>
              <w:right w:w="90" w:type="dxa"/>
            </w:tcMar>
          </w:tcPr>
          <w:p>
            <w:pPr>
              <w:pStyle w:val="BDOITable"/>
            </w:pPr>
            <w:r>
              <w:rPr>
                <w:sz w:val="18"/>
              </w:rPr>
              <w:t>BIBS Requirements Traceability Matrix</w:t>
            </w:r>
          </w:p>
        </w:tc>
        <w:tc>
          <w:tcPr>
            <w:tcW w:type="dxa" w:w="2643"/>
            <w:tcMar>
              <w:top w:w="50" w:type="dxa"/>
              <w:bottom w:w="50" w:type="dxa"/>
              <w:left w:w="90" w:type="dxa"/>
              <w:right w:w="90" w:type="dxa"/>
            </w:tcMar>
          </w:tcPr>
          <w:p>
            <w:pPr>
              <w:pStyle w:val="BDOITable"/>
            </w:pPr>
            <w:r>
              <w:rPr>
                <w:sz w:val="18"/>
              </w:rPr>
              <w:t>v1.0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R6</w:t>
            </w:r>
          </w:p>
        </w:tc>
        <w:tc>
          <w:tcPr>
            <w:tcW w:type="dxa" w:w="6608"/>
            <w:tcMar>
              <w:top w:w="50" w:type="dxa"/>
              <w:bottom w:w="50" w:type="dxa"/>
              <w:left w:w="90" w:type="dxa"/>
              <w:right w:w="90" w:type="dxa"/>
            </w:tcMar>
            <w:shd w:val="clear" w:color="auto" w:fill="E5F5FF"/>
          </w:tcPr>
          <w:p>
            <w:pPr>
              <w:pStyle w:val="BDOITable"/>
            </w:pPr>
            <w:r>
              <w:rPr>
                <w:sz w:val="18"/>
              </w:rPr>
              <w:t>BIBS project plan (timeline, milestones, test windows, dependencies)</w:t>
            </w:r>
          </w:p>
        </w:tc>
        <w:tc>
          <w:tcPr>
            <w:tcW w:type="dxa" w:w="2643"/>
            <w:tcMar>
              <w:top w:w="50" w:type="dxa"/>
              <w:bottom w:w="50" w:type="dxa"/>
              <w:left w:w="90" w:type="dxa"/>
              <w:right w:w="90" w:type="dxa"/>
            </w:tcMar>
            <w:shd w:val="clear" w:color="auto" w:fill="E5F5FF"/>
          </w:tcPr>
          <w:p>
            <w:pPr>
              <w:pStyle w:val="BDOITable"/>
            </w:pPr>
            <w:r>
              <w:rPr>
                <w:sz w:val="18"/>
              </w:rPr>
              <w:t>v1.0</w:t>
            </w:r>
          </w:p>
        </w:tc>
      </w:tr>
      <w:tr>
        <w:trPr>
          <w:cantSplit w:val="true"/>
        </w:trPr>
        <w:tc>
          <w:tcPr>
            <w:tcW w:type="dxa" w:w="721"/>
            <w:tcMar>
              <w:top w:w="50" w:type="dxa"/>
              <w:bottom w:w="50" w:type="dxa"/>
              <w:left w:w="90" w:type="dxa"/>
              <w:right w:w="90" w:type="dxa"/>
            </w:tcMar>
          </w:tcPr>
          <w:p>
            <w:pPr>
              <w:pStyle w:val="BDOITable"/>
            </w:pPr>
            <w:r>
              <w:rPr>
                <w:sz w:val="18"/>
              </w:rPr>
              <w:t>R7</w:t>
            </w:r>
          </w:p>
        </w:tc>
        <w:tc>
          <w:tcPr>
            <w:tcW w:type="dxa" w:w="6608"/>
            <w:tcMar>
              <w:top w:w="50" w:type="dxa"/>
              <w:bottom w:w="50" w:type="dxa"/>
              <w:left w:w="90" w:type="dxa"/>
              <w:right w:w="90" w:type="dxa"/>
            </w:tcMar>
          </w:tcPr>
          <w:p>
            <w:pPr>
              <w:pStyle w:val="BDOITable"/>
            </w:pPr>
            <w:r>
              <w:rPr>
                <w:sz w:val="18"/>
              </w:rPr>
              <w:t>Programme alignment pack; IER workbook v20</w:t>
            </w:r>
          </w:p>
        </w:tc>
        <w:tc>
          <w:tcPr>
            <w:tcW w:type="dxa" w:w="2643"/>
            <w:tcMar>
              <w:top w:w="50" w:type="dxa"/>
              <w:bottom w:w="50" w:type="dxa"/>
              <w:left w:w="90" w:type="dxa"/>
              <w:right w:w="90" w:type="dxa"/>
            </w:tcMar>
          </w:tcPr>
          <w:p>
            <w:pPr>
              <w:pStyle w:val="BDOITable"/>
            </w:pPr>
            <w:r>
              <w:rPr>
                <w:sz w:val="18"/>
              </w:rPr>
              <w:t>v1.0; v20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R8</w:t>
            </w:r>
          </w:p>
        </w:tc>
        <w:tc>
          <w:tcPr>
            <w:tcW w:type="dxa" w:w="6608"/>
            <w:tcMar>
              <w:top w:w="50" w:type="dxa"/>
              <w:bottom w:w="50" w:type="dxa"/>
              <w:left w:w="90" w:type="dxa"/>
              <w:right w:w="90" w:type="dxa"/>
            </w:tcMar>
            <w:shd w:val="clear" w:color="auto" w:fill="E5F5FF"/>
          </w:tcPr>
          <w:p>
            <w:pPr>
              <w:pStyle w:val="BDOITable"/>
            </w:pPr>
            <w:r>
              <w:rPr>
                <w:sz w:val="18"/>
              </w:rPr>
              <w:t>Quality gates of the platform (static analysis, coverage, dependency and supply-chain checks)</w:t>
            </w:r>
          </w:p>
        </w:tc>
        <w:tc>
          <w:tcPr>
            <w:tcW w:type="dxa" w:w="2643"/>
            <w:tcMar>
              <w:top w:w="50" w:type="dxa"/>
              <w:bottom w:w="50" w:type="dxa"/>
              <w:left w:w="90" w:type="dxa"/>
              <w:right w:w="90" w:type="dxa"/>
            </w:tcMar>
            <w:shd w:val="clear" w:color="auto" w:fill="E5F5FF"/>
          </w:tcPr>
          <w:p>
            <w:pPr>
              <w:pStyle w:val="BDOITable"/>
            </w:pPr>
            <w:r>
              <w:rPr>
                <w:sz w:val="18"/>
              </w:rPr>
              <w:t>Current</w:t>
            </w:r>
          </w:p>
        </w:tc>
      </w:tr>
    </w:tbl>
    <w:p>
      <w:pPr>
        <w:pStyle w:val="BDOISpacer"/>
      </w:pPr>
    </w:p>
    <w:p>
      <w:pPr>
        <w:pStyle w:val="Heading1"/>
        <w:pageBreakBefore/>
        <w:pBdr>
          <w:bottom w:val="single" w:sz="4" w:space="4" w:color="99C1E7"/>
        </w:pBdr>
      </w:pPr>
      <w:bookmarkStart w:id="106" w:name="_Toc000106"/>
      <w:r>
        <w:rPr/>
        <w:t>2 Test approach</w:t>
      </w:r>
      <w:bookmarkEnd w:id="106"/>
    </w:p>
    <w:p>
      <w:pPr>
        <w:pStyle w:val="Heading2"/>
      </w:pPr>
      <w:bookmarkStart w:id="107" w:name="_Toc000107"/>
      <w:r>
        <w:rPr/>
        <w:t>2.1 Principles</w:t>
      </w:r>
      <w:bookmarkEnd w:id="107"/>
    </w:p>
    <w:p>
      <w:pPr>
        <w:tabs>
          <w:tab w:pos="312" w:val="left"/>
        </w:tabs>
        <w:spacing w:after="40"/>
        <w:ind w:left="312" w:hanging="283"/>
      </w:pPr>
      <w:r>
        <w:rPr>
          <w:color w:val="004EA8"/>
        </w:rPr>
        <w:t>1.</w:t>
        <w:tab/>
      </w:r>
      <w:r>
        <w:rPr>
          <w:b/>
        </w:rPr>
        <w:t>Requirement-based.</w:t>
      </w:r>
      <w:r>
        <w:rPr/>
        <w:t xml:space="preserve"> Every test case traces to an FR and its BRD requirement IDs; every in-scope BRD ID has at least one case before UAT entry (traceability matrix).</w:t>
      </w:r>
    </w:p>
    <w:p>
      <w:pPr>
        <w:tabs>
          <w:tab w:pos="312" w:val="left"/>
        </w:tabs>
        <w:spacing w:after="40"/>
        <w:ind w:left="312" w:hanging="283"/>
      </w:pPr>
      <w:r>
        <w:rPr>
          <w:color w:val="004EA8"/>
        </w:rPr>
        <w:t>2.</w:t>
        <w:tab/>
      </w:r>
      <w:r>
        <w:rPr>
          <w:b/>
        </w:rPr>
        <w:t>Positive and negative.</w:t>
      </w:r>
      <w:r>
        <w:rPr/>
        <w:t xml:space="preserve"> Every FR has at least one case where the action succeeds and one where BIBS refuses it; every message of the messages catalogue has a case.</w:t>
      </w:r>
    </w:p>
    <w:p>
      <w:pPr>
        <w:tabs>
          <w:tab w:pos="312" w:val="left"/>
        </w:tabs>
        <w:spacing w:after="40"/>
        <w:ind w:left="312" w:hanging="283"/>
      </w:pPr>
      <w:r>
        <w:rPr>
          <w:color w:val="004EA8"/>
        </w:rPr>
        <w:t>3.</w:t>
        <w:tab/>
      </w:r>
      <w:r>
        <w:rPr>
          <w:b/>
        </w:rPr>
        <w:t>Early and continuous.</w:t>
      </w:r>
      <w:r>
        <w:rPr/>
        <w:t xml:space="preserve"> Unit testing, static analysis and security scans run on every change in the CI pipeline; a change that fails a gate is not released into SIT.</w:t>
      </w:r>
    </w:p>
    <w:p>
      <w:pPr>
        <w:tabs>
          <w:tab w:pos="312" w:val="left"/>
        </w:tabs>
        <w:spacing w:after="40"/>
        <w:ind w:left="312" w:hanging="283"/>
      </w:pPr>
      <w:r>
        <w:rPr>
          <w:color w:val="004EA8"/>
        </w:rPr>
        <w:t>4.</w:t>
        <w:tab/>
      </w:r>
      <w:r>
        <w:rPr>
          <w:b/>
        </w:rPr>
        <w:t>Risk first.</w:t>
      </w:r>
      <w:r>
        <w:rPr/>
        <w:t xml:space="preserve"> Money, ledger, compliance and access functions (Cashiering, Remittance, Accounting, Sanction Screening, User Access) are tested first and most deeply; their regression set runs on every release candidate.</w:t>
      </w:r>
    </w:p>
    <w:p>
      <w:pPr>
        <w:tabs>
          <w:tab w:pos="312" w:val="left"/>
        </w:tabs>
        <w:spacing w:after="40"/>
        <w:ind w:left="312" w:hanging="283"/>
      </w:pPr>
      <w:r>
        <w:rPr>
          <w:color w:val="004EA8"/>
        </w:rPr>
        <w:t>5.</w:t>
        <w:tab/>
      </w:r>
      <w:r>
        <w:rPr>
          <w:b/>
        </w:rPr>
        <w:t>Business owns acceptance.</w:t>
      </w:r>
      <w:r>
        <w:rPr/>
        <w:t xml:space="preserve"> BDOI business users run UAT on their own scenarios; iorta TechNXT supports, fixes and re-tests.</w:t>
      </w:r>
    </w:p>
    <w:p>
      <w:pPr>
        <w:tabs>
          <w:tab w:pos="312" w:val="left"/>
        </w:tabs>
        <w:spacing w:after="40"/>
        <w:ind w:left="312" w:hanging="283"/>
      </w:pPr>
      <w:r>
        <w:rPr>
          <w:color w:val="004EA8"/>
        </w:rPr>
        <w:t>6.</w:t>
        <w:tab/>
      </w:r>
      <w:r>
        <w:rPr>
          <w:b/>
        </w:rPr>
        <w:t>Realistic data, never exposed.</w:t>
      </w:r>
      <w:r>
        <w:rPr/>
        <w:t xml:space="preserve"> SIT uses seed data; UAT runs on migrated, masked data; non-functional tests run on production-sized volumes. No unmasked personal data leaves production.</w:t>
      </w:r>
    </w:p>
    <w:p>
      <w:pPr>
        <w:tabs>
          <w:tab w:pos="312" w:val="left"/>
        </w:tabs>
        <w:spacing w:after="120"/>
        <w:ind w:left="312" w:hanging="283"/>
      </w:pPr>
      <w:r>
        <w:rPr>
          <w:color w:val="004EA8"/>
        </w:rPr>
        <w:t>7.</w:t>
        <w:tab/>
      </w:r>
      <w:r>
        <w:rPr>
          <w:b/>
        </w:rPr>
        <w:t>Production-like for non-functional testing.</w:t>
      </w:r>
      <w:r>
        <w:rPr/>
        <w:t xml:space="preserve"> Performance, resilience and DR are tested on the production-sized Pre-Prod and the DR region.</w:t>
      </w:r>
    </w:p>
    <w:p>
      <w:pPr>
        <w:pStyle w:val="Heading2"/>
      </w:pPr>
      <w:bookmarkStart w:id="108" w:name="_Toc000108"/>
      <w:r>
        <w:rPr/>
        <w:t>2.2 Flow of testing</w:t>
      </w:r>
      <w:bookmarkEnd w:id="108"/>
    </w:p>
    <w:p>
      <w:pPr>
        <w:keepNext/>
        <w:spacing w:before="80" w:after="0"/>
        <w:jc w:val="center"/>
      </w:pPr>
      <w:r>
        <w:drawing>
          <wp:inline xmlns:a="http://schemas.openxmlformats.org/drawingml/2006/main" xmlns:pic="http://schemas.openxmlformats.org/drawingml/2006/picture">
            <wp:extent cx="5580000" cy="3680540"/>
            <wp:docPr id="3" name="Picture 3"/>
            <wp:cNvGraphicFramePr>
              <a:graphicFrameLocks noChangeAspect="1"/>
            </wp:cNvGraphicFramePr>
            <a:graphic>
              <a:graphicData uri="http://schemas.openxmlformats.org/drawingml/2006/picture">
                <pic:pic>
                  <pic:nvPicPr>
                    <pic:cNvPr id="0" name="ts_levels_1037.jpg"/>
                    <pic:cNvPicPr/>
                  </pic:nvPicPr>
                  <pic:blipFill>
                    <a:blip r:embed="rId15"/>
                    <a:stretch>
                      <a:fillRect/>
                    </a:stretch>
                  </pic:blipFill>
                  <pic:spPr>
                    <a:xfrm>
                      <a:off x="0" y="0"/>
                      <a:ext cx="5580000" cy="3680540"/>
                    </a:xfrm>
                    <a:prstGeom prst="rect"/>
                  </pic:spPr>
                </pic:pic>
              </a:graphicData>
            </a:graphic>
          </wp:inline>
        </w:drawing>
      </w:r>
    </w:p>
    <w:p>
      <w:pPr>
        <w:pStyle w:val="Caption"/>
        <w:jc w:val="center"/>
      </w:pPr>
      <w:r>
        <w:rPr>
          <w:b/>
          <w:i w:val="0"/>
        </w:rPr>
        <w:t xml:space="preserve">Figure 1: </w:t>
      </w:r>
      <w:r>
        <w:rPr/>
        <w:t>Test levels and environments</w:t>
      </w:r>
    </w:p>
    <w:p>
      <w:pPr>
        <w:pStyle w:val="Heading1"/>
        <w:pageBreakBefore/>
        <w:pBdr>
          <w:bottom w:val="single" w:sz="4" w:space="4" w:color="99C1E7"/>
        </w:pBdr>
      </w:pPr>
      <w:bookmarkStart w:id="109" w:name="_Toc000109"/>
      <w:r>
        <w:rPr/>
        <w:t>3 Test levels</w:t>
      </w:r>
      <w:bookmarkEnd w:id="109"/>
    </w:p>
    <w:p>
      <w:pPr>
        <w:pStyle w:val="Caption"/>
        <w:keepNext/>
        <w:spacing w:after="60"/>
      </w:pPr>
      <w:r>
        <w:rPr>
          <w:b/>
          <w:i w:val="0"/>
        </w:rPr>
        <w:t xml:space="preserve">Table 4: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2763"/>
        <w:gridCol w:w="1562"/>
        <w:gridCol w:w="1441"/>
        <w:gridCol w:w="264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5"/>
              </w:rPr>
              <w:t>Level</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5"/>
              </w:rPr>
              <w:t>Objective and scope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5"/>
              </w:rPr>
              <w:t>Performed by</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5"/>
              </w:rPr>
              <w:t>Environment</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5"/>
              </w:rPr>
              <w:t>Evidence</w:t>
            </w:r>
          </w:p>
        </w:tc>
      </w:tr>
      <w:tr>
        <w:trPr>
          <w:cantSplit w:val="true"/>
        </w:trPr>
        <w:tc>
          <w:tcPr>
            <w:tcW w:type="dxa" w:w="1562"/>
            <w:tcMar>
              <w:top w:w="50" w:type="dxa"/>
              <w:bottom w:w="50" w:type="dxa"/>
              <w:left w:w="90" w:type="dxa"/>
              <w:right w:w="90" w:type="dxa"/>
            </w:tcMar>
          </w:tcPr>
          <w:p>
            <w:pPr>
              <w:pStyle w:val="BDOITable"/>
            </w:pPr>
            <w:r>
              <w:rPr>
                <w:sz w:val="15"/>
              </w:rPr>
              <w:t>Unit testing</w:t>
            </w:r>
          </w:p>
        </w:tc>
        <w:tc>
          <w:tcPr>
            <w:tcW w:type="dxa" w:w="2763"/>
            <w:tcMar>
              <w:top w:w="50" w:type="dxa"/>
              <w:bottom w:w="50" w:type="dxa"/>
              <w:left w:w="90" w:type="dxa"/>
              <w:right w:w="90" w:type="dxa"/>
            </w:tcMar>
          </w:tcPr>
          <w:p>
            <w:pPr>
              <w:pStyle w:val="BDOITable"/>
            </w:pPr>
            <w:r>
              <w:rPr>
                <w:sz w:val="15"/>
              </w:rPr>
              <w:t>Each class and component behaves as specified in isolation: rules, calculations, validations, permission checks; web components and their states</w:t>
            </w:r>
          </w:p>
        </w:tc>
        <w:tc>
          <w:tcPr>
            <w:tcW w:type="dxa" w:w="1562"/>
            <w:tcMar>
              <w:top w:w="50" w:type="dxa"/>
              <w:bottom w:w="50" w:type="dxa"/>
              <w:left w:w="90" w:type="dxa"/>
              <w:right w:w="90" w:type="dxa"/>
            </w:tcMar>
          </w:tcPr>
          <w:p>
            <w:pPr>
              <w:pStyle w:val="BDOITable"/>
            </w:pPr>
            <w:r>
              <w:rPr>
                <w:sz w:val="15"/>
              </w:rPr>
              <w:t>iorta developers</w:t>
            </w:r>
          </w:p>
        </w:tc>
        <w:tc>
          <w:tcPr>
            <w:tcW w:type="dxa" w:w="1442"/>
            <w:tcMar>
              <w:top w:w="50" w:type="dxa"/>
              <w:bottom w:w="50" w:type="dxa"/>
              <w:left w:w="90" w:type="dxa"/>
              <w:right w:w="90" w:type="dxa"/>
            </w:tcMar>
          </w:tcPr>
          <w:p>
            <w:pPr>
              <w:pStyle w:val="BDOITable"/>
            </w:pPr>
            <w:r>
              <w:rPr>
                <w:sz w:val="15"/>
              </w:rPr>
              <w:t>Developer machine; CI pipeline</w:t>
            </w:r>
          </w:p>
        </w:tc>
        <w:tc>
          <w:tcPr>
            <w:tcW w:type="dxa" w:w="2643"/>
            <w:tcMar>
              <w:top w:w="50" w:type="dxa"/>
              <w:bottom w:w="50" w:type="dxa"/>
              <w:left w:w="90" w:type="dxa"/>
              <w:right w:w="90" w:type="dxa"/>
            </w:tcMar>
          </w:tcPr>
          <w:p>
            <w:pPr>
              <w:pStyle w:val="BDOITable"/>
            </w:pPr>
            <w:r>
              <w:rPr>
                <w:sz w:val="15"/>
              </w:rPr>
              <w:t>Unit testing and coverage reports of the CI pipeline</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Integration testing</w:t>
            </w:r>
          </w:p>
        </w:tc>
        <w:tc>
          <w:tcPr>
            <w:tcW w:type="dxa" w:w="2763"/>
            <w:tcMar>
              <w:top w:w="50" w:type="dxa"/>
              <w:bottom w:w="50" w:type="dxa"/>
              <w:left w:w="90" w:type="dxa"/>
              <w:right w:w="90" w:type="dxa"/>
            </w:tcMar>
            <w:shd w:val="clear" w:color="auto" w:fill="E5F5FF"/>
          </w:tcPr>
          <w:p>
            <w:pPr>
              <w:pStyle w:val="BDOITable"/>
            </w:pPr>
            <w:r>
              <w:rPr>
                <w:sz w:val="15"/>
              </w:rPr>
              <w:t>Modules work together and with PostgreSQL 16, Valkey 8 and Kafka 3.9: postings, workflows, events, jobs, data scope</w:t>
            </w:r>
          </w:p>
        </w:tc>
        <w:tc>
          <w:tcPr>
            <w:tcW w:type="dxa" w:w="1562"/>
            <w:tcMar>
              <w:top w:w="50" w:type="dxa"/>
              <w:bottom w:w="50" w:type="dxa"/>
              <w:left w:w="90" w:type="dxa"/>
              <w:right w:w="90" w:type="dxa"/>
            </w:tcMar>
            <w:shd w:val="clear" w:color="auto" w:fill="E5F5FF"/>
          </w:tcPr>
          <w:p>
            <w:pPr>
              <w:pStyle w:val="BDOITable"/>
            </w:pPr>
            <w:r>
              <w:rPr>
                <w:sz w:val="15"/>
              </w:rPr>
              <w:t>iorta developers</w:t>
            </w:r>
          </w:p>
        </w:tc>
        <w:tc>
          <w:tcPr>
            <w:tcW w:type="dxa" w:w="1442"/>
            <w:tcMar>
              <w:top w:w="50" w:type="dxa"/>
              <w:bottom w:w="50" w:type="dxa"/>
              <w:left w:w="90" w:type="dxa"/>
              <w:right w:w="90" w:type="dxa"/>
            </w:tcMar>
            <w:shd w:val="clear" w:color="auto" w:fill="E5F5FF"/>
          </w:tcPr>
          <w:p>
            <w:pPr>
              <w:pStyle w:val="BDOITable"/>
            </w:pPr>
            <w:r>
              <w:rPr>
                <w:sz w:val="15"/>
              </w:rPr>
              <w:t>CI pipeline; DEV</w:t>
            </w:r>
          </w:p>
        </w:tc>
        <w:tc>
          <w:tcPr>
            <w:tcW w:type="dxa" w:w="2643"/>
            <w:tcMar>
              <w:top w:w="50" w:type="dxa"/>
              <w:bottom w:w="50" w:type="dxa"/>
              <w:left w:w="90" w:type="dxa"/>
              <w:right w:w="90" w:type="dxa"/>
            </w:tcMar>
            <w:shd w:val="clear" w:color="auto" w:fill="E5F5FF"/>
          </w:tcPr>
          <w:p>
            <w:pPr>
              <w:pStyle w:val="BDOITable"/>
            </w:pPr>
            <w:r>
              <w:rPr>
                <w:sz w:val="15"/>
              </w:rPr>
              <w:t>CI reports</w:t>
            </w:r>
          </w:p>
        </w:tc>
      </w:tr>
      <w:tr>
        <w:trPr>
          <w:cantSplit w:val="true"/>
        </w:trPr>
        <w:tc>
          <w:tcPr>
            <w:tcW w:type="dxa" w:w="1562"/>
            <w:tcMar>
              <w:top w:w="50" w:type="dxa"/>
              <w:bottom w:w="50" w:type="dxa"/>
              <w:left w:w="90" w:type="dxa"/>
              <w:right w:w="90" w:type="dxa"/>
            </w:tcMar>
          </w:tcPr>
          <w:p>
            <w:pPr>
              <w:pStyle w:val="BDOITable"/>
            </w:pPr>
            <w:r>
              <w:rPr>
                <w:sz w:val="15"/>
              </w:rPr>
              <w:t>Service interface (API) testing</w:t>
            </w:r>
          </w:p>
        </w:tc>
        <w:tc>
          <w:tcPr>
            <w:tcW w:type="dxa" w:w="2763"/>
            <w:tcMar>
              <w:top w:w="50" w:type="dxa"/>
              <w:bottom w:w="50" w:type="dxa"/>
              <w:left w:w="90" w:type="dxa"/>
              <w:right w:w="90" w:type="dxa"/>
            </w:tcMar>
          </w:tcPr>
          <w:p>
            <w:pPr>
              <w:pStyle w:val="BDOITable"/>
            </w:pPr>
            <w:r>
              <w:rPr>
                <w:sz w:val="15"/>
              </w:rPr>
              <w:t>Each service interface answers to its contract: inputs, outputs, errors, security; partner interfaces against simulators and then the partner systems through Apigee X</w:t>
            </w:r>
          </w:p>
        </w:tc>
        <w:tc>
          <w:tcPr>
            <w:tcW w:type="dxa" w:w="1562"/>
            <w:tcMar>
              <w:top w:w="50" w:type="dxa"/>
              <w:bottom w:w="50" w:type="dxa"/>
              <w:left w:w="90" w:type="dxa"/>
              <w:right w:w="90" w:type="dxa"/>
            </w:tcMar>
          </w:tcPr>
          <w:p>
            <w:pPr>
              <w:pStyle w:val="BDOITable"/>
            </w:pPr>
            <w:r>
              <w:rPr>
                <w:sz w:val="15"/>
              </w:rPr>
              <w:t>iorta QA team</w:t>
            </w:r>
          </w:p>
        </w:tc>
        <w:tc>
          <w:tcPr>
            <w:tcW w:type="dxa" w:w="1442"/>
            <w:tcMar>
              <w:top w:w="50" w:type="dxa"/>
              <w:bottom w:w="50" w:type="dxa"/>
              <w:left w:w="90" w:type="dxa"/>
              <w:right w:w="90" w:type="dxa"/>
            </w:tcMar>
          </w:tcPr>
          <w:p>
            <w:pPr>
              <w:pStyle w:val="BDOITable"/>
            </w:pPr>
            <w:r>
              <w:rPr>
                <w:sz w:val="15"/>
              </w:rPr>
              <w:t>DEV; SIT</w:t>
            </w:r>
          </w:p>
        </w:tc>
        <w:tc>
          <w:tcPr>
            <w:tcW w:type="dxa" w:w="2643"/>
            <w:tcMar>
              <w:top w:w="50" w:type="dxa"/>
              <w:bottom w:w="50" w:type="dxa"/>
              <w:left w:w="90" w:type="dxa"/>
              <w:right w:w="90" w:type="dxa"/>
            </w:tcMar>
          </w:tcPr>
          <w:p>
            <w:pPr>
              <w:pStyle w:val="BDOITable"/>
            </w:pPr>
            <w:r>
              <w:rPr>
                <w:sz w:val="15"/>
              </w:rPr>
              <w:t>Contract test results; interface test log</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System integration test (SIT)</w:t>
            </w:r>
          </w:p>
        </w:tc>
        <w:tc>
          <w:tcPr>
            <w:tcW w:type="dxa" w:w="2763"/>
            <w:tcMar>
              <w:top w:w="50" w:type="dxa"/>
              <w:bottom w:w="50" w:type="dxa"/>
              <w:left w:w="90" w:type="dxa"/>
              <w:right w:w="90" w:type="dxa"/>
            </w:tcMar>
            <w:shd w:val="clear" w:color="auto" w:fill="E5F5FF"/>
          </w:tcPr>
          <w:p>
            <w:pPr>
              <w:pStyle w:val="BDOITable"/>
            </w:pPr>
            <w:r>
              <w:rPr>
                <w:sz w:val="15"/>
              </w:rPr>
              <w:t>The test plan of each BRD: every condition and case, end-to-end flows across modules (onboarding to booking to cashiering to remittance to the GL), interfaces, jobs, reports and documents, screens and messages</w:t>
            </w:r>
          </w:p>
        </w:tc>
        <w:tc>
          <w:tcPr>
            <w:tcW w:type="dxa" w:w="1562"/>
            <w:tcMar>
              <w:top w:w="50" w:type="dxa"/>
              <w:bottom w:w="50" w:type="dxa"/>
              <w:left w:w="90" w:type="dxa"/>
              <w:right w:w="90" w:type="dxa"/>
            </w:tcMar>
            <w:shd w:val="clear" w:color="auto" w:fill="E5F5FF"/>
          </w:tcPr>
          <w:p>
            <w:pPr>
              <w:pStyle w:val="BDOITable"/>
            </w:pPr>
            <w:r>
              <w:rPr>
                <w:sz w:val="15"/>
              </w:rPr>
              <w:t>iorta QA team</w:t>
            </w:r>
          </w:p>
        </w:tc>
        <w:tc>
          <w:tcPr>
            <w:tcW w:type="dxa" w:w="1442"/>
            <w:tcMar>
              <w:top w:w="50" w:type="dxa"/>
              <w:bottom w:w="50" w:type="dxa"/>
              <w:left w:w="90" w:type="dxa"/>
              <w:right w:w="90" w:type="dxa"/>
            </w:tcMar>
            <w:shd w:val="clear" w:color="auto" w:fill="E5F5FF"/>
          </w:tcPr>
          <w:p>
            <w:pPr>
              <w:pStyle w:val="BDOITable"/>
            </w:pPr>
            <w:r>
              <w:rPr>
                <w:sz w:val="15"/>
              </w:rPr>
              <w:t>SIT</w:t>
            </w:r>
          </w:p>
        </w:tc>
        <w:tc>
          <w:tcPr>
            <w:tcW w:type="dxa" w:w="2643"/>
            <w:tcMar>
              <w:top w:w="50" w:type="dxa"/>
              <w:bottom w:w="50" w:type="dxa"/>
              <w:left w:w="90" w:type="dxa"/>
              <w:right w:w="90" w:type="dxa"/>
            </w:tcMar>
            <w:shd w:val="clear" w:color="auto" w:fill="E5F5FF"/>
          </w:tcPr>
          <w:p>
            <w:pPr>
              <w:pStyle w:val="BDOITable"/>
            </w:pPr>
            <w:r>
              <w:rPr>
                <w:sz w:val="15"/>
              </w:rPr>
              <w:t>Test execution in the test management tool; SIT exit report per drop</w:t>
            </w:r>
          </w:p>
        </w:tc>
      </w:tr>
      <w:tr>
        <w:trPr>
          <w:cantSplit w:val="true"/>
        </w:trPr>
        <w:tc>
          <w:tcPr>
            <w:tcW w:type="dxa" w:w="1562"/>
            <w:tcMar>
              <w:top w:w="50" w:type="dxa"/>
              <w:bottom w:w="50" w:type="dxa"/>
              <w:left w:w="90" w:type="dxa"/>
              <w:right w:w="90" w:type="dxa"/>
            </w:tcMar>
          </w:tcPr>
          <w:p>
            <w:pPr>
              <w:pStyle w:val="BDOITable"/>
            </w:pPr>
            <w:r>
              <w:rPr>
                <w:sz w:val="15"/>
              </w:rPr>
              <w:t>Data migration testing</w:t>
            </w:r>
          </w:p>
        </w:tc>
        <w:tc>
          <w:tcPr>
            <w:tcW w:type="dxa" w:w="2763"/>
            <w:tcMar>
              <w:top w:w="50" w:type="dxa"/>
              <w:bottom w:w="50" w:type="dxa"/>
              <w:left w:w="90" w:type="dxa"/>
              <w:right w:w="90" w:type="dxa"/>
            </w:tcMar>
          </w:tcPr>
          <w:p>
            <w:pPr>
              <w:pStyle w:val="BDOITable"/>
            </w:pPr>
            <w:r>
              <w:rPr>
                <w:sz w:val="15"/>
              </w:rPr>
              <w:t>Each trial migration: extract validation, load, reconciliation L1 to L5, business verification on screen, timings</w:t>
            </w:r>
          </w:p>
        </w:tc>
        <w:tc>
          <w:tcPr>
            <w:tcW w:type="dxa" w:w="1562"/>
            <w:tcMar>
              <w:top w:w="50" w:type="dxa"/>
              <w:bottom w:w="50" w:type="dxa"/>
              <w:left w:w="90" w:type="dxa"/>
              <w:right w:w="90" w:type="dxa"/>
            </w:tcMar>
          </w:tcPr>
          <w:p>
            <w:pPr>
              <w:pStyle w:val="BDOITable"/>
            </w:pPr>
            <w:r>
              <w:rPr>
                <w:sz w:val="15"/>
              </w:rPr>
              <w:t>iorta Migration Lead with BDOI data owners</w:t>
            </w:r>
          </w:p>
        </w:tc>
        <w:tc>
          <w:tcPr>
            <w:tcW w:type="dxa" w:w="1442"/>
            <w:tcMar>
              <w:top w:w="50" w:type="dxa"/>
              <w:bottom w:w="50" w:type="dxa"/>
              <w:left w:w="90" w:type="dxa"/>
              <w:right w:w="90" w:type="dxa"/>
            </w:tcMar>
          </w:tcPr>
          <w:p>
            <w:pPr>
              <w:pStyle w:val="BDOITable"/>
            </w:pPr>
            <w:r>
              <w:rPr>
                <w:sz w:val="15"/>
              </w:rPr>
              <w:t>SIT (trials 1, 2); UAT (trials 3, 4); Pre-Prod (dress rehearsal)</w:t>
            </w:r>
          </w:p>
        </w:tc>
        <w:tc>
          <w:tcPr>
            <w:tcW w:type="dxa" w:w="2643"/>
            <w:tcMar>
              <w:top w:w="50" w:type="dxa"/>
              <w:bottom w:w="50" w:type="dxa"/>
              <w:left w:w="90" w:type="dxa"/>
              <w:right w:w="90" w:type="dxa"/>
            </w:tcMar>
          </w:tcPr>
          <w:p>
            <w:pPr>
              <w:pStyle w:val="BDOITable"/>
            </w:pPr>
            <w:r>
              <w:rPr>
                <w:sz w:val="15"/>
              </w:rPr>
              <w:t>Reconciliation reports and sign-off forms of each object</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User acceptance test (UAT)</w:t>
            </w:r>
          </w:p>
        </w:tc>
        <w:tc>
          <w:tcPr>
            <w:tcW w:type="dxa" w:w="2763"/>
            <w:tcMar>
              <w:top w:w="50" w:type="dxa"/>
              <w:bottom w:w="50" w:type="dxa"/>
              <w:left w:w="90" w:type="dxa"/>
              <w:right w:w="90" w:type="dxa"/>
            </w:tcMar>
            <w:shd w:val="clear" w:color="auto" w:fill="E5F5FF"/>
          </w:tcPr>
          <w:p>
            <w:pPr>
              <w:pStyle w:val="BDOITable"/>
            </w:pPr>
            <w:r>
              <w:rPr>
                <w:sz w:val="15"/>
              </w:rPr>
              <w:t>BDOI business users confirm that BIBS supports their processes end to end on migrated data; usability and learnability (NFR-USE-05)</w:t>
            </w:r>
          </w:p>
        </w:tc>
        <w:tc>
          <w:tcPr>
            <w:tcW w:type="dxa" w:w="1562"/>
            <w:tcMar>
              <w:top w:w="50" w:type="dxa"/>
              <w:bottom w:w="50" w:type="dxa"/>
              <w:left w:w="90" w:type="dxa"/>
              <w:right w:w="90" w:type="dxa"/>
            </w:tcMar>
            <w:shd w:val="clear" w:color="auto" w:fill="E5F5FF"/>
          </w:tcPr>
          <w:p>
            <w:pPr>
              <w:pStyle w:val="BDOITable"/>
            </w:pPr>
            <w:r>
              <w:rPr>
                <w:sz w:val="15"/>
              </w:rPr>
              <w:t>BDOI UAT testers, supported by iorta</w:t>
            </w:r>
          </w:p>
        </w:tc>
        <w:tc>
          <w:tcPr>
            <w:tcW w:type="dxa" w:w="1442"/>
            <w:tcMar>
              <w:top w:w="50" w:type="dxa"/>
              <w:bottom w:w="50" w:type="dxa"/>
              <w:left w:w="90" w:type="dxa"/>
              <w:right w:w="90" w:type="dxa"/>
            </w:tcMar>
            <w:shd w:val="clear" w:color="auto" w:fill="E5F5FF"/>
          </w:tcPr>
          <w:p>
            <w:pPr>
              <w:pStyle w:val="BDOITable"/>
            </w:pPr>
            <w:r>
              <w:rPr>
                <w:sz w:val="15"/>
              </w:rPr>
              <w:t>UAT</w:t>
            </w:r>
          </w:p>
        </w:tc>
        <w:tc>
          <w:tcPr>
            <w:tcW w:type="dxa" w:w="2643"/>
            <w:tcMar>
              <w:top w:w="50" w:type="dxa"/>
              <w:bottom w:w="50" w:type="dxa"/>
              <w:left w:w="90" w:type="dxa"/>
              <w:right w:w="90" w:type="dxa"/>
            </w:tcMar>
            <w:shd w:val="clear" w:color="auto" w:fill="E5F5FF"/>
          </w:tcPr>
          <w:p>
            <w:pPr>
              <w:pStyle w:val="BDOITable"/>
            </w:pPr>
            <w:r>
              <w:rPr>
                <w:sz w:val="15"/>
              </w:rPr>
              <w:t>UAT scenarios run; UAT sign-off certificate per BRD</w:t>
            </w:r>
          </w:p>
        </w:tc>
      </w:tr>
      <w:tr>
        <w:trPr>
          <w:cantSplit w:val="true"/>
        </w:trPr>
        <w:tc>
          <w:tcPr>
            <w:tcW w:type="dxa" w:w="1562"/>
            <w:tcMar>
              <w:top w:w="50" w:type="dxa"/>
              <w:bottom w:w="50" w:type="dxa"/>
              <w:left w:w="90" w:type="dxa"/>
              <w:right w:w="90" w:type="dxa"/>
            </w:tcMar>
          </w:tcPr>
          <w:p>
            <w:pPr>
              <w:pStyle w:val="BDOITable"/>
            </w:pPr>
            <w:r>
              <w:rPr>
                <w:sz w:val="15"/>
              </w:rPr>
              <w:t>Non-functional testing (NFT)</w:t>
            </w:r>
          </w:p>
        </w:tc>
        <w:tc>
          <w:tcPr>
            <w:tcW w:type="dxa" w:w="2763"/>
            <w:tcMar>
              <w:top w:w="50" w:type="dxa"/>
              <w:bottom w:w="50" w:type="dxa"/>
              <w:left w:w="90" w:type="dxa"/>
              <w:right w:w="90" w:type="dxa"/>
            </w:tcMar>
          </w:tcPr>
          <w:p>
            <w:pPr>
              <w:pStyle w:val="BDOITable"/>
            </w:pPr>
            <w:r>
              <w:rPr>
                <w:sz w:val="15"/>
              </w:rPr>
              <w:t>Performance, volume, stress, soak, resilience, DAST and penetration test against the NFR targets</w:t>
            </w:r>
          </w:p>
        </w:tc>
        <w:tc>
          <w:tcPr>
            <w:tcW w:type="dxa" w:w="1562"/>
            <w:tcMar>
              <w:top w:w="50" w:type="dxa"/>
              <w:bottom w:w="50" w:type="dxa"/>
              <w:left w:w="90" w:type="dxa"/>
              <w:right w:w="90" w:type="dxa"/>
            </w:tcMar>
          </w:tcPr>
          <w:p>
            <w:pPr>
              <w:pStyle w:val="BDOITable"/>
            </w:pPr>
            <w:r>
              <w:rPr>
                <w:sz w:val="15"/>
              </w:rPr>
              <w:t>iorta Performance Test Lead and Security Lead; independent penetration testers</w:t>
            </w:r>
          </w:p>
        </w:tc>
        <w:tc>
          <w:tcPr>
            <w:tcW w:type="dxa" w:w="1442"/>
            <w:tcMar>
              <w:top w:w="50" w:type="dxa"/>
              <w:bottom w:w="50" w:type="dxa"/>
              <w:left w:w="90" w:type="dxa"/>
              <w:right w:w="90" w:type="dxa"/>
            </w:tcMar>
          </w:tcPr>
          <w:p>
            <w:pPr>
              <w:pStyle w:val="BDOITable"/>
            </w:pPr>
            <w:r>
              <w:rPr>
                <w:sz w:val="15"/>
              </w:rPr>
              <w:t>Pre-Prod</w:t>
            </w:r>
          </w:p>
        </w:tc>
        <w:tc>
          <w:tcPr>
            <w:tcW w:type="dxa" w:w="2643"/>
            <w:tcMar>
              <w:top w:w="50" w:type="dxa"/>
              <w:bottom w:w="50" w:type="dxa"/>
              <w:left w:w="90" w:type="dxa"/>
              <w:right w:w="90" w:type="dxa"/>
            </w:tcMar>
          </w:tcPr>
          <w:p>
            <w:pPr>
              <w:pStyle w:val="BDOITable"/>
            </w:pPr>
            <w:r>
              <w:rPr>
                <w:sz w:val="15"/>
              </w:rPr>
              <w:t>NFT report; security test report</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Operational acceptance and DR</w:t>
            </w:r>
          </w:p>
        </w:tc>
        <w:tc>
          <w:tcPr>
            <w:tcW w:type="dxa" w:w="2763"/>
            <w:tcMar>
              <w:top w:w="50" w:type="dxa"/>
              <w:bottom w:w="50" w:type="dxa"/>
              <w:left w:w="90" w:type="dxa"/>
              <w:right w:w="90" w:type="dxa"/>
            </w:tcMar>
            <w:shd w:val="clear" w:color="auto" w:fill="E5F5FF"/>
          </w:tcPr>
          <w:p>
            <w:pPr>
              <w:pStyle w:val="BDOITable"/>
            </w:pPr>
            <w:r>
              <w:rPr>
                <w:sz w:val="15"/>
              </w:rPr>
              <w:t>Backups, restores, monitoring and alerts, releases and rollback, DR failover; the readiness review</w:t>
            </w:r>
          </w:p>
        </w:tc>
        <w:tc>
          <w:tcPr>
            <w:tcW w:type="dxa" w:w="1562"/>
            <w:tcMar>
              <w:top w:w="50" w:type="dxa"/>
              <w:bottom w:w="50" w:type="dxa"/>
              <w:left w:w="90" w:type="dxa"/>
              <w:right w:w="90" w:type="dxa"/>
            </w:tcMar>
            <w:shd w:val="clear" w:color="auto" w:fill="E5F5FF"/>
          </w:tcPr>
          <w:p>
            <w:pPr>
              <w:pStyle w:val="BDOITable"/>
            </w:pPr>
            <w:r>
              <w:rPr>
                <w:sz w:val="15"/>
              </w:rPr>
              <w:t>iorta DevOps and Platform Lead with BDOI IT</w:t>
            </w:r>
          </w:p>
        </w:tc>
        <w:tc>
          <w:tcPr>
            <w:tcW w:type="dxa" w:w="1442"/>
            <w:tcMar>
              <w:top w:w="50" w:type="dxa"/>
              <w:bottom w:w="50" w:type="dxa"/>
              <w:left w:w="90" w:type="dxa"/>
              <w:right w:w="90" w:type="dxa"/>
            </w:tcMar>
            <w:shd w:val="clear" w:color="auto" w:fill="E5F5FF"/>
          </w:tcPr>
          <w:p>
            <w:pPr>
              <w:pStyle w:val="BDOITable"/>
            </w:pPr>
            <w:r>
              <w:rPr>
                <w:sz w:val="15"/>
              </w:rPr>
              <w:t>Pre-Prod; DR</w:t>
            </w:r>
          </w:p>
        </w:tc>
        <w:tc>
          <w:tcPr>
            <w:tcW w:type="dxa" w:w="2643"/>
            <w:tcMar>
              <w:top w:w="50" w:type="dxa"/>
              <w:bottom w:w="50" w:type="dxa"/>
              <w:left w:w="90" w:type="dxa"/>
              <w:right w:w="90" w:type="dxa"/>
            </w:tcMar>
            <w:shd w:val="clear" w:color="auto" w:fill="E5F5FF"/>
          </w:tcPr>
          <w:p>
            <w:pPr>
              <w:pStyle w:val="BDOITable"/>
            </w:pPr>
            <w:r>
              <w:rPr>
                <w:sz w:val="15"/>
              </w:rPr>
              <w:t>DR drill report; ORR / PRR evidence pack</w:t>
            </w:r>
          </w:p>
        </w:tc>
      </w:tr>
      <w:tr>
        <w:trPr>
          <w:cantSplit w:val="true"/>
        </w:trPr>
        <w:tc>
          <w:tcPr>
            <w:tcW w:type="dxa" w:w="1562"/>
            <w:tcMar>
              <w:top w:w="50" w:type="dxa"/>
              <w:bottom w:w="50" w:type="dxa"/>
              <w:left w:w="90" w:type="dxa"/>
              <w:right w:w="90" w:type="dxa"/>
            </w:tcMar>
          </w:tcPr>
          <w:p>
            <w:pPr>
              <w:pStyle w:val="BDOITable"/>
            </w:pPr>
            <w:r>
              <w:rPr>
                <w:sz w:val="15"/>
              </w:rPr>
              <w:t>Go-live check</w:t>
            </w:r>
          </w:p>
        </w:tc>
        <w:tc>
          <w:tcPr>
            <w:tcW w:type="dxa" w:w="2763"/>
            <w:tcMar>
              <w:top w:w="50" w:type="dxa"/>
              <w:bottom w:w="50" w:type="dxa"/>
              <w:left w:w="90" w:type="dxa"/>
              <w:right w:w="90" w:type="dxa"/>
            </w:tcMar>
          </w:tcPr>
          <w:p>
            <w:pPr>
              <w:pStyle w:val="BDOITable"/>
            </w:pPr>
            <w:r>
              <w:rPr>
                <w:sz w:val="15"/>
              </w:rPr>
              <w:t>Smoke check of each module on production at T, before users start</w:t>
            </w:r>
          </w:p>
        </w:tc>
        <w:tc>
          <w:tcPr>
            <w:tcW w:type="dxa" w:w="1562"/>
            <w:tcMar>
              <w:top w:w="50" w:type="dxa"/>
              <w:bottom w:w="50" w:type="dxa"/>
              <w:left w:w="90" w:type="dxa"/>
              <w:right w:w="90" w:type="dxa"/>
            </w:tcMar>
          </w:tcPr>
          <w:p>
            <w:pPr>
              <w:pStyle w:val="BDOITable"/>
            </w:pPr>
            <w:r>
              <w:rPr>
                <w:sz w:val="15"/>
              </w:rPr>
              <w:t>iorta QA team with key users</w:t>
            </w:r>
          </w:p>
        </w:tc>
        <w:tc>
          <w:tcPr>
            <w:tcW w:type="dxa" w:w="1442"/>
            <w:tcMar>
              <w:top w:w="50" w:type="dxa"/>
              <w:bottom w:w="50" w:type="dxa"/>
              <w:left w:w="90" w:type="dxa"/>
              <w:right w:w="90" w:type="dxa"/>
            </w:tcMar>
          </w:tcPr>
          <w:p>
            <w:pPr>
              <w:pStyle w:val="BDOITable"/>
            </w:pPr>
            <w:r>
              <w:rPr>
                <w:sz w:val="15"/>
              </w:rPr>
              <w:t>Production</w:t>
            </w:r>
          </w:p>
        </w:tc>
        <w:tc>
          <w:tcPr>
            <w:tcW w:type="dxa" w:w="2643"/>
            <w:tcMar>
              <w:top w:w="50" w:type="dxa"/>
              <w:bottom w:w="50" w:type="dxa"/>
              <w:left w:w="90" w:type="dxa"/>
              <w:right w:w="90" w:type="dxa"/>
            </w:tcMar>
          </w:tcPr>
          <w:p>
            <w:pPr>
              <w:pStyle w:val="BDOITable"/>
            </w:pPr>
            <w:r>
              <w:rPr>
                <w:sz w:val="15"/>
              </w:rPr>
              <w:t>Go-live check list signed by the command centre</w:t>
            </w:r>
          </w:p>
        </w:tc>
      </w:tr>
    </w:tbl>
    <w:p>
      <w:pPr>
        <w:pStyle w:val="BDOISpacer"/>
      </w:pPr>
    </w:p>
    <w:p>
      <w:pPr>
        <w:pStyle w:val="Heading1"/>
        <w:pageBreakBefore/>
        <w:pBdr>
          <w:bottom w:val="single" w:sz="4" w:space="4" w:color="99C1E7"/>
        </w:pBdr>
      </w:pPr>
      <w:bookmarkStart w:id="110" w:name="_Toc000110"/>
      <w:r>
        <w:rPr/>
        <w:t>4 Test types</w:t>
      </w:r>
      <w:bookmarkEnd w:id="110"/>
    </w:p>
    <w:p>
      <w:pPr>
        <w:pStyle w:val="Caption"/>
        <w:keepNext/>
        <w:spacing w:after="60"/>
      </w:pPr>
      <w:r>
        <w:rPr>
          <w:b/>
          <w:i w:val="0"/>
        </w:rPr>
        <w:t xml:space="preserve">Table 5: </w:t>
      </w:r>
      <w:r>
        <w:rPr/>
        <w:t>Test types and where they apply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4085"/>
        <w:gridCol w:w="2042"/>
        <w:gridCol w:w="192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5"/>
              </w:rPr>
              <w:t>Test type</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5"/>
              </w:rPr>
              <w:t>What it checks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Levels</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5"/>
              </w:rPr>
              <w:t>NFRs</w:t>
            </w:r>
          </w:p>
        </w:tc>
      </w:tr>
      <w:tr>
        <w:trPr>
          <w:cantSplit w:val="true"/>
        </w:trPr>
        <w:tc>
          <w:tcPr>
            <w:tcW w:type="dxa" w:w="1922"/>
            <w:tcMar>
              <w:top w:w="50" w:type="dxa"/>
              <w:bottom w:w="50" w:type="dxa"/>
              <w:left w:w="90" w:type="dxa"/>
              <w:right w:w="90" w:type="dxa"/>
            </w:tcMar>
          </w:tcPr>
          <w:p>
            <w:pPr>
              <w:pStyle w:val="BDOITable"/>
            </w:pPr>
            <w:r>
              <w:rPr>
                <w:sz w:val="15"/>
              </w:rPr>
              <w:t>Positive</w:t>
            </w:r>
          </w:p>
        </w:tc>
        <w:tc>
          <w:tcPr>
            <w:tcW w:type="dxa" w:w="4085"/>
            <w:tcMar>
              <w:top w:w="50" w:type="dxa"/>
              <w:bottom w:w="50" w:type="dxa"/>
              <w:left w:w="90" w:type="dxa"/>
              <w:right w:w="90" w:type="dxa"/>
            </w:tcMar>
          </w:tcPr>
          <w:p>
            <w:pPr>
              <w:pStyle w:val="BDOITable"/>
            </w:pPr>
            <w:r>
              <w:rPr>
                <w:sz w:val="15"/>
              </w:rPr>
              <w:t>The action succeeds with valid data and the expected result, status and postings</w:t>
            </w:r>
          </w:p>
        </w:tc>
        <w:tc>
          <w:tcPr>
            <w:tcW w:type="dxa" w:w="2042"/>
            <w:tcMar>
              <w:top w:w="50" w:type="dxa"/>
              <w:bottom w:w="50" w:type="dxa"/>
              <w:left w:w="90" w:type="dxa"/>
              <w:right w:w="90" w:type="dxa"/>
            </w:tcMar>
          </w:tcPr>
          <w:p>
            <w:pPr>
              <w:pStyle w:val="BDOITable"/>
            </w:pPr>
            <w:r>
              <w:rPr>
                <w:sz w:val="15"/>
              </w:rPr>
              <w:t>SIT, UAT</w:t>
            </w:r>
          </w:p>
        </w:tc>
        <w:tc>
          <w:tcPr>
            <w:tcW w:type="dxa" w:w="1922"/>
            <w:tcMar>
              <w:top w:w="50" w:type="dxa"/>
              <w:bottom w:w="50" w:type="dxa"/>
              <w:left w:w="90" w:type="dxa"/>
              <w:right w:w="90" w:type="dxa"/>
            </w:tcMar>
          </w:tcPr>
          <w:p>
            <w:pPr>
              <w:pStyle w:val="BDOITable"/>
            </w:pPr>
            <w:r>
              <w:rPr>
                <w:sz w:val="15"/>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Negative</w:t>
            </w:r>
          </w:p>
        </w:tc>
        <w:tc>
          <w:tcPr>
            <w:tcW w:type="dxa" w:w="4085"/>
            <w:tcMar>
              <w:top w:w="50" w:type="dxa"/>
              <w:bottom w:w="50" w:type="dxa"/>
              <w:left w:w="90" w:type="dxa"/>
              <w:right w:w="90" w:type="dxa"/>
            </w:tcMar>
            <w:shd w:val="clear" w:color="auto" w:fill="E5F5FF"/>
          </w:tcPr>
          <w:p>
            <w:pPr>
              <w:pStyle w:val="BDOITable"/>
            </w:pPr>
            <w:r>
              <w:rPr>
                <w:sz w:val="15"/>
              </w:rPr>
              <w:t>BIBS refuses invalid data or an invalid action with the message of the catalogue</w:t>
            </w:r>
          </w:p>
        </w:tc>
        <w:tc>
          <w:tcPr>
            <w:tcW w:type="dxa" w:w="2042"/>
            <w:tcMar>
              <w:top w:w="50" w:type="dxa"/>
              <w:bottom w:w="50" w:type="dxa"/>
              <w:left w:w="90" w:type="dxa"/>
              <w:right w:w="90" w:type="dxa"/>
            </w:tcMar>
            <w:shd w:val="clear" w:color="auto" w:fill="E5F5FF"/>
          </w:tcPr>
          <w:p>
            <w:pPr>
              <w:pStyle w:val="BDOITable"/>
            </w:pPr>
            <w:r>
              <w:rPr>
                <w:sz w:val="15"/>
              </w:rPr>
              <w:t>SIT, UAT</w:t>
            </w:r>
          </w:p>
        </w:tc>
        <w:tc>
          <w:tcPr>
            <w:tcW w:type="dxa" w:w="1922"/>
            <w:tcMar>
              <w:top w:w="50" w:type="dxa"/>
              <w:bottom w:w="50" w:type="dxa"/>
              <w:left w:w="90" w:type="dxa"/>
              <w:right w:w="90" w:type="dxa"/>
            </w:tcMar>
            <w:shd w:val="clear" w:color="auto" w:fill="E5F5FF"/>
          </w:tcPr>
          <w:p>
            <w:pPr>
              <w:pStyle w:val="BDOITable"/>
            </w:pPr>
            <w:r>
              <w:rPr>
                <w:sz w:val="15"/>
              </w:rPr>
              <w:t>NFR-SUP-03</w:t>
            </w:r>
          </w:p>
        </w:tc>
      </w:tr>
      <w:tr>
        <w:trPr>
          <w:cantSplit w:val="true"/>
        </w:trPr>
        <w:tc>
          <w:tcPr>
            <w:tcW w:type="dxa" w:w="1922"/>
            <w:tcMar>
              <w:top w:w="50" w:type="dxa"/>
              <w:bottom w:w="50" w:type="dxa"/>
              <w:left w:w="90" w:type="dxa"/>
              <w:right w:w="90" w:type="dxa"/>
            </w:tcMar>
          </w:tcPr>
          <w:p>
            <w:pPr>
              <w:pStyle w:val="BDOITable"/>
            </w:pPr>
            <w:r>
              <w:rPr>
                <w:sz w:val="15"/>
              </w:rPr>
              <w:t>Boundary</w:t>
            </w:r>
          </w:p>
        </w:tc>
        <w:tc>
          <w:tcPr>
            <w:tcW w:type="dxa" w:w="4085"/>
            <w:tcMar>
              <w:top w:w="50" w:type="dxa"/>
              <w:bottom w:w="50" w:type="dxa"/>
              <w:left w:w="90" w:type="dxa"/>
              <w:right w:w="90" w:type="dxa"/>
            </w:tcMar>
          </w:tcPr>
          <w:p>
            <w:pPr>
              <w:pStyle w:val="BDOITable"/>
            </w:pPr>
            <w:r>
              <w:rPr>
                <w:sz w:val="15"/>
              </w:rPr>
              <w:t>Limits, thresholds and dates at, below and above the value</w:t>
            </w:r>
          </w:p>
        </w:tc>
        <w:tc>
          <w:tcPr>
            <w:tcW w:type="dxa" w:w="2042"/>
            <w:tcMar>
              <w:top w:w="50" w:type="dxa"/>
              <w:bottom w:w="50" w:type="dxa"/>
              <w:left w:w="90" w:type="dxa"/>
              <w:right w:w="90" w:type="dxa"/>
            </w:tcMar>
          </w:tcPr>
          <w:p>
            <w:pPr>
              <w:pStyle w:val="BDOITable"/>
            </w:pPr>
            <w:r>
              <w:rPr>
                <w:sz w:val="15"/>
              </w:rPr>
              <w:t>Unit, SIT</w:t>
            </w:r>
          </w:p>
        </w:tc>
        <w:tc>
          <w:tcPr>
            <w:tcW w:type="dxa" w:w="1922"/>
            <w:tcMar>
              <w:top w:w="50" w:type="dxa"/>
              <w:bottom w:w="50" w:type="dxa"/>
              <w:left w:w="90" w:type="dxa"/>
              <w:right w:w="90" w:type="dxa"/>
            </w:tcMar>
          </w:tcPr>
          <w:p>
            <w:pPr>
              <w:pStyle w:val="BDOITable"/>
            </w:pPr>
            <w:r>
              <w:rPr>
                <w:sz w:val="15"/>
              </w:rPr>
              <w:t>NFR-CAP-04, NFR-LOC-02</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Security-access</w:t>
            </w:r>
          </w:p>
        </w:tc>
        <w:tc>
          <w:tcPr>
            <w:tcW w:type="dxa" w:w="4085"/>
            <w:tcMar>
              <w:top w:w="50" w:type="dxa"/>
              <w:bottom w:w="50" w:type="dxa"/>
              <w:left w:w="90" w:type="dxa"/>
              <w:right w:w="90" w:type="dxa"/>
            </w:tcMar>
            <w:shd w:val="clear" w:color="auto" w:fill="E5F5FF"/>
          </w:tcPr>
          <w:p>
            <w:pPr>
              <w:pStyle w:val="BDOITable"/>
            </w:pPr>
            <w:r>
              <w:rPr>
                <w:sz w:val="15"/>
              </w:rPr>
              <w:t>A persona without the permission, or outside its company and branch, cannot see or act</w:t>
            </w:r>
          </w:p>
        </w:tc>
        <w:tc>
          <w:tcPr>
            <w:tcW w:type="dxa" w:w="2042"/>
            <w:tcMar>
              <w:top w:w="50" w:type="dxa"/>
              <w:bottom w:w="50" w:type="dxa"/>
              <w:left w:w="90" w:type="dxa"/>
              <w:right w:w="90" w:type="dxa"/>
            </w:tcMar>
            <w:shd w:val="clear" w:color="auto" w:fill="E5F5FF"/>
          </w:tcPr>
          <w:p>
            <w:pPr>
              <w:pStyle w:val="BDOITable"/>
            </w:pPr>
            <w:r>
              <w:rPr>
                <w:sz w:val="15"/>
              </w:rPr>
              <w:t>SIT, penetration test</w:t>
            </w:r>
          </w:p>
        </w:tc>
        <w:tc>
          <w:tcPr>
            <w:tcW w:type="dxa" w:w="1922"/>
            <w:tcMar>
              <w:top w:w="50" w:type="dxa"/>
              <w:bottom w:w="50" w:type="dxa"/>
              <w:left w:w="90" w:type="dxa"/>
              <w:right w:w="90" w:type="dxa"/>
            </w:tcMar>
            <w:shd w:val="clear" w:color="auto" w:fill="E5F5FF"/>
          </w:tcPr>
          <w:p>
            <w:pPr>
              <w:pStyle w:val="BDOITable"/>
            </w:pPr>
            <w:r>
              <w:rPr>
                <w:sz w:val="15"/>
              </w:rPr>
              <w:t>NFR-SEC-04</w:t>
            </w:r>
          </w:p>
        </w:tc>
      </w:tr>
      <w:tr>
        <w:trPr>
          <w:cantSplit w:val="true"/>
        </w:trPr>
        <w:tc>
          <w:tcPr>
            <w:tcW w:type="dxa" w:w="1922"/>
            <w:tcMar>
              <w:top w:w="50" w:type="dxa"/>
              <w:bottom w:w="50" w:type="dxa"/>
              <w:left w:w="90" w:type="dxa"/>
              <w:right w:w="90" w:type="dxa"/>
            </w:tcMar>
          </w:tcPr>
          <w:p>
            <w:pPr>
              <w:pStyle w:val="BDOITable"/>
            </w:pPr>
            <w:r>
              <w:rPr>
                <w:sz w:val="15"/>
              </w:rPr>
              <w:t>Workflow</w:t>
            </w:r>
          </w:p>
        </w:tc>
        <w:tc>
          <w:tcPr>
            <w:tcW w:type="dxa" w:w="4085"/>
            <w:tcMar>
              <w:top w:w="50" w:type="dxa"/>
              <w:bottom w:w="50" w:type="dxa"/>
              <w:left w:w="90" w:type="dxa"/>
              <w:right w:w="90" w:type="dxa"/>
            </w:tcMar>
          </w:tcPr>
          <w:p>
            <w:pPr>
              <w:pStyle w:val="BDOITable"/>
            </w:pPr>
            <w:r>
              <w:rPr>
                <w:sz w:val="15"/>
              </w:rPr>
              <w:t>Stages, approvals, returns, SLA timers and escalations of each workflow</w:t>
            </w:r>
          </w:p>
        </w:tc>
        <w:tc>
          <w:tcPr>
            <w:tcW w:type="dxa" w:w="2042"/>
            <w:tcMar>
              <w:top w:w="50" w:type="dxa"/>
              <w:bottom w:w="50" w:type="dxa"/>
              <w:left w:w="90" w:type="dxa"/>
              <w:right w:w="90" w:type="dxa"/>
            </w:tcMar>
          </w:tcPr>
          <w:p>
            <w:pPr>
              <w:pStyle w:val="BDOITable"/>
            </w:pPr>
            <w:r>
              <w:rPr>
                <w:sz w:val="15"/>
              </w:rPr>
              <w:t>SIT, UAT</w:t>
            </w:r>
          </w:p>
        </w:tc>
        <w:tc>
          <w:tcPr>
            <w:tcW w:type="dxa" w:w="1922"/>
            <w:tcMar>
              <w:top w:w="50" w:type="dxa"/>
              <w:bottom w:w="50" w:type="dxa"/>
              <w:left w:w="90" w:type="dxa"/>
              <w:right w:w="90" w:type="dxa"/>
            </w:tcMar>
          </w:tcPr>
          <w:p>
            <w:pPr>
              <w:pStyle w:val="BDOITable"/>
            </w:pPr>
            <w:r>
              <w:rPr>
                <w:sz w:val="15"/>
              </w:rPr>
              <w:t>NFR-CFG-03</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Report-output and document</w:t>
            </w:r>
          </w:p>
        </w:tc>
        <w:tc>
          <w:tcPr>
            <w:tcW w:type="dxa" w:w="4085"/>
            <w:tcMar>
              <w:top w:w="50" w:type="dxa"/>
              <w:bottom w:w="50" w:type="dxa"/>
              <w:left w:w="90" w:type="dxa"/>
              <w:right w:w="90" w:type="dxa"/>
            </w:tcMar>
            <w:shd w:val="clear" w:color="auto" w:fill="E5F5FF"/>
          </w:tcPr>
          <w:p>
            <w:pPr>
              <w:pStyle w:val="BDOITable"/>
            </w:pPr>
            <w:r>
              <w:rPr>
                <w:sz w:val="15"/>
              </w:rPr>
              <w:t>Report columns, totals, filters and formats; documents and their protection</w:t>
            </w:r>
          </w:p>
        </w:tc>
        <w:tc>
          <w:tcPr>
            <w:tcW w:type="dxa" w:w="2042"/>
            <w:tcMar>
              <w:top w:w="50" w:type="dxa"/>
              <w:bottom w:w="50" w:type="dxa"/>
              <w:left w:w="90" w:type="dxa"/>
              <w:right w:w="90" w:type="dxa"/>
            </w:tcMar>
            <w:shd w:val="clear" w:color="auto" w:fill="E5F5FF"/>
          </w:tcPr>
          <w:p>
            <w:pPr>
              <w:pStyle w:val="BDOITable"/>
            </w:pPr>
            <w:r>
              <w:rPr>
                <w:sz w:val="15"/>
              </w:rPr>
              <w:t>SIT, UAT</w:t>
            </w:r>
          </w:p>
        </w:tc>
        <w:tc>
          <w:tcPr>
            <w:tcW w:type="dxa" w:w="1922"/>
            <w:tcMar>
              <w:top w:w="50" w:type="dxa"/>
              <w:bottom w:w="50" w:type="dxa"/>
              <w:left w:w="90" w:type="dxa"/>
              <w:right w:w="90" w:type="dxa"/>
            </w:tcMar>
            <w:shd w:val="clear" w:color="auto" w:fill="E5F5FF"/>
          </w:tcPr>
          <w:p>
            <w:pPr>
              <w:pStyle w:val="BDOITable"/>
            </w:pPr>
            <w:r>
              <w:rPr>
                <w:sz w:val="15"/>
              </w:rPr>
              <w:t>NFR-SEC-10, NFR-PRF-06</w:t>
            </w:r>
          </w:p>
        </w:tc>
      </w:tr>
      <w:tr>
        <w:trPr>
          <w:cantSplit w:val="true"/>
        </w:trPr>
        <w:tc>
          <w:tcPr>
            <w:tcW w:type="dxa" w:w="1922"/>
            <w:tcMar>
              <w:top w:w="50" w:type="dxa"/>
              <w:bottom w:w="50" w:type="dxa"/>
              <w:left w:w="90" w:type="dxa"/>
              <w:right w:w="90" w:type="dxa"/>
            </w:tcMar>
          </w:tcPr>
          <w:p>
            <w:pPr>
              <w:pStyle w:val="BDOITable"/>
            </w:pPr>
            <w:r>
              <w:rPr>
                <w:sz w:val="15"/>
              </w:rPr>
              <w:t>Upload-download</w:t>
            </w:r>
          </w:p>
        </w:tc>
        <w:tc>
          <w:tcPr>
            <w:tcW w:type="dxa" w:w="4085"/>
            <w:tcMar>
              <w:top w:w="50" w:type="dxa"/>
              <w:bottom w:w="50" w:type="dxa"/>
              <w:left w:w="90" w:type="dxa"/>
              <w:right w:w="90" w:type="dxa"/>
            </w:tcMar>
          </w:tcPr>
          <w:p>
            <w:pPr>
              <w:pStyle w:val="BDOITable"/>
            </w:pPr>
            <w:r>
              <w:rPr>
                <w:sz w:val="15"/>
              </w:rPr>
              <w:t>Templates, row results, rejected rows, file limits</w:t>
            </w:r>
          </w:p>
        </w:tc>
        <w:tc>
          <w:tcPr>
            <w:tcW w:type="dxa" w:w="2042"/>
            <w:tcMar>
              <w:top w:w="50" w:type="dxa"/>
              <w:bottom w:w="50" w:type="dxa"/>
              <w:left w:w="90" w:type="dxa"/>
              <w:right w:w="90" w:type="dxa"/>
            </w:tcMar>
          </w:tcPr>
          <w:p>
            <w:pPr>
              <w:pStyle w:val="BDOITable"/>
            </w:pPr>
            <w:r>
              <w:rPr>
                <w:sz w:val="15"/>
              </w:rPr>
              <w:t>SIT</w:t>
            </w:r>
          </w:p>
        </w:tc>
        <w:tc>
          <w:tcPr>
            <w:tcW w:type="dxa" w:w="1922"/>
            <w:tcMar>
              <w:top w:w="50" w:type="dxa"/>
              <w:bottom w:w="50" w:type="dxa"/>
              <w:left w:w="90" w:type="dxa"/>
              <w:right w:w="90" w:type="dxa"/>
            </w:tcMar>
          </w:tcPr>
          <w:p>
            <w:pPr>
              <w:pStyle w:val="BDOITable"/>
            </w:pPr>
            <w:r>
              <w:rPr>
                <w:sz w:val="15"/>
              </w:rPr>
              <w:t>NFR-PRF-05</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Screen and message</w:t>
            </w:r>
          </w:p>
        </w:tc>
        <w:tc>
          <w:tcPr>
            <w:tcW w:type="dxa" w:w="4085"/>
            <w:tcMar>
              <w:top w:w="50" w:type="dxa"/>
              <w:bottom w:w="50" w:type="dxa"/>
              <w:left w:w="90" w:type="dxa"/>
              <w:right w:w="90" w:type="dxa"/>
            </w:tcMar>
            <w:shd w:val="clear" w:color="auto" w:fill="E5F5FF"/>
          </w:tcPr>
          <w:p>
            <w:pPr>
              <w:pStyle w:val="BDOITable"/>
            </w:pPr>
            <w:r>
              <w:rPr>
                <w:sz w:val="15"/>
              </w:rPr>
              <w:t>Each screen of the sign-off set against its specification; each message word for word</w:t>
            </w:r>
          </w:p>
        </w:tc>
        <w:tc>
          <w:tcPr>
            <w:tcW w:type="dxa" w:w="2042"/>
            <w:tcMar>
              <w:top w:w="50" w:type="dxa"/>
              <w:bottom w:w="50" w:type="dxa"/>
              <w:left w:w="90" w:type="dxa"/>
              <w:right w:w="90" w:type="dxa"/>
            </w:tcMar>
            <w:shd w:val="clear" w:color="auto" w:fill="E5F5FF"/>
          </w:tcPr>
          <w:p>
            <w:pPr>
              <w:pStyle w:val="BDOITable"/>
            </w:pPr>
            <w:r>
              <w:rPr>
                <w:sz w:val="15"/>
              </w:rPr>
              <w:t>SIT</w:t>
            </w:r>
          </w:p>
        </w:tc>
        <w:tc>
          <w:tcPr>
            <w:tcW w:type="dxa" w:w="1922"/>
            <w:tcMar>
              <w:top w:w="50" w:type="dxa"/>
              <w:bottom w:w="50" w:type="dxa"/>
              <w:left w:w="90" w:type="dxa"/>
              <w:right w:w="90" w:type="dxa"/>
            </w:tcMar>
            <w:shd w:val="clear" w:color="auto" w:fill="E5F5FF"/>
          </w:tcPr>
          <w:p>
            <w:pPr>
              <w:pStyle w:val="BDOITable"/>
            </w:pPr>
            <w:r>
              <w:rPr>
                <w:sz w:val="15"/>
              </w:rPr>
              <w:t>NFR-USE-04</w:t>
            </w:r>
          </w:p>
        </w:tc>
      </w:tr>
      <w:tr>
        <w:trPr>
          <w:cantSplit w:val="true"/>
        </w:trPr>
        <w:tc>
          <w:tcPr>
            <w:tcW w:type="dxa" w:w="1922"/>
            <w:tcMar>
              <w:top w:w="50" w:type="dxa"/>
              <w:bottom w:w="50" w:type="dxa"/>
              <w:left w:w="90" w:type="dxa"/>
              <w:right w:w="90" w:type="dxa"/>
            </w:tcMar>
          </w:tcPr>
          <w:p>
            <w:pPr>
              <w:pStyle w:val="BDOITable"/>
            </w:pPr>
            <w:r>
              <w:rPr>
                <w:sz w:val="15"/>
              </w:rPr>
              <w:t>Regression</w:t>
            </w:r>
          </w:p>
        </w:tc>
        <w:tc>
          <w:tcPr>
            <w:tcW w:type="dxa" w:w="4085"/>
            <w:tcMar>
              <w:top w:w="50" w:type="dxa"/>
              <w:bottom w:w="50" w:type="dxa"/>
              <w:left w:w="90" w:type="dxa"/>
              <w:right w:w="90" w:type="dxa"/>
            </w:tcMar>
          </w:tcPr>
          <w:p>
            <w:pPr>
              <w:pStyle w:val="BDOITable"/>
            </w:pPr>
            <w:r>
              <w:rPr>
                <w:sz w:val="15"/>
              </w:rPr>
              <w:t>The cases of the affected FRs and the risk-based regression set on every release candidate; automated regression testing of the main flows</w:t>
            </w:r>
          </w:p>
        </w:tc>
        <w:tc>
          <w:tcPr>
            <w:tcW w:type="dxa" w:w="2042"/>
            <w:tcMar>
              <w:top w:w="50" w:type="dxa"/>
              <w:bottom w:w="50" w:type="dxa"/>
              <w:left w:w="90" w:type="dxa"/>
              <w:right w:w="90" w:type="dxa"/>
            </w:tcMar>
          </w:tcPr>
          <w:p>
            <w:pPr>
              <w:pStyle w:val="BDOITable"/>
            </w:pPr>
            <w:r>
              <w:rPr>
                <w:sz w:val="15"/>
              </w:rPr>
              <w:t>SIT, UAT</w:t>
            </w:r>
          </w:p>
        </w:tc>
        <w:tc>
          <w:tcPr>
            <w:tcW w:type="dxa" w:w="1922"/>
            <w:tcMar>
              <w:top w:w="50" w:type="dxa"/>
              <w:bottom w:w="50" w:type="dxa"/>
              <w:left w:w="90" w:type="dxa"/>
              <w:right w:w="90" w:type="dxa"/>
            </w:tcMar>
          </w:tcPr>
          <w:p>
            <w:pPr>
              <w:pStyle w:val="BDOITable"/>
            </w:pPr>
            <w:r>
              <w:rPr>
                <w:sz w:val="15"/>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Performance: load, peak, stress, soak</w:t>
            </w:r>
          </w:p>
        </w:tc>
        <w:tc>
          <w:tcPr>
            <w:tcW w:type="dxa" w:w="4085"/>
            <w:tcMar>
              <w:top w:w="50" w:type="dxa"/>
              <w:bottom w:w="50" w:type="dxa"/>
              <w:left w:w="90" w:type="dxa"/>
              <w:right w:w="90" w:type="dxa"/>
            </w:tcMar>
            <w:shd w:val="clear" w:color="auto" w:fill="E5F5FF"/>
          </w:tcPr>
          <w:p>
            <w:pPr>
              <w:pStyle w:val="BDOITable"/>
            </w:pPr>
            <w:r>
              <w:rPr>
                <w:sz w:val="15"/>
              </w:rPr>
              <w:t>Response times and resource use at the design load, the peak, beyond the peak and over 8 hours</w:t>
            </w:r>
          </w:p>
        </w:tc>
        <w:tc>
          <w:tcPr>
            <w:tcW w:type="dxa" w:w="2042"/>
            <w:tcMar>
              <w:top w:w="50" w:type="dxa"/>
              <w:bottom w:w="50" w:type="dxa"/>
              <w:left w:w="90" w:type="dxa"/>
              <w:right w:w="90" w:type="dxa"/>
            </w:tcMar>
            <w:shd w:val="clear" w:color="auto" w:fill="E5F5FF"/>
          </w:tcPr>
          <w:p>
            <w:pPr>
              <w:pStyle w:val="BDOITable"/>
            </w:pPr>
            <w:r>
              <w:rPr>
                <w:sz w:val="15"/>
              </w:rPr>
              <w:t>NFT</w:t>
            </w:r>
          </w:p>
        </w:tc>
        <w:tc>
          <w:tcPr>
            <w:tcW w:type="dxa" w:w="1922"/>
            <w:tcMar>
              <w:top w:w="50" w:type="dxa"/>
              <w:bottom w:w="50" w:type="dxa"/>
              <w:left w:w="90" w:type="dxa"/>
              <w:right w:w="90" w:type="dxa"/>
            </w:tcMar>
            <w:shd w:val="clear" w:color="auto" w:fill="E5F5FF"/>
          </w:tcPr>
          <w:p>
            <w:pPr>
              <w:pStyle w:val="BDOITable"/>
            </w:pPr>
            <w:r>
              <w:rPr>
                <w:sz w:val="15"/>
              </w:rPr>
              <w:t>NFR-PRF, NFR-CAP, NFR-SCL</w:t>
            </w:r>
          </w:p>
        </w:tc>
      </w:tr>
      <w:tr>
        <w:trPr>
          <w:cantSplit w:val="true"/>
        </w:trPr>
        <w:tc>
          <w:tcPr>
            <w:tcW w:type="dxa" w:w="1922"/>
            <w:tcMar>
              <w:top w:w="50" w:type="dxa"/>
              <w:bottom w:w="50" w:type="dxa"/>
              <w:left w:w="90" w:type="dxa"/>
              <w:right w:w="90" w:type="dxa"/>
            </w:tcMar>
          </w:tcPr>
          <w:p>
            <w:pPr>
              <w:pStyle w:val="BDOITable"/>
            </w:pPr>
            <w:r>
              <w:rPr>
                <w:sz w:val="15"/>
              </w:rPr>
              <w:t>Volume</w:t>
            </w:r>
          </w:p>
        </w:tc>
        <w:tc>
          <w:tcPr>
            <w:tcW w:type="dxa" w:w="4085"/>
            <w:tcMar>
              <w:top w:w="50" w:type="dxa"/>
              <w:bottom w:w="50" w:type="dxa"/>
              <w:left w:w="90" w:type="dxa"/>
              <w:right w:w="90" w:type="dxa"/>
            </w:tcMar>
          </w:tcPr>
          <w:p>
            <w:pPr>
              <w:pStyle w:val="BDOITable"/>
            </w:pPr>
            <w:r>
              <w:rPr>
                <w:sz w:val="15"/>
              </w:rPr>
              <w:t>Year-5 data and jobs: reports, files, night window</w:t>
            </w:r>
          </w:p>
        </w:tc>
        <w:tc>
          <w:tcPr>
            <w:tcW w:type="dxa" w:w="2042"/>
            <w:tcMar>
              <w:top w:w="50" w:type="dxa"/>
              <w:bottom w:w="50" w:type="dxa"/>
              <w:left w:w="90" w:type="dxa"/>
              <w:right w:w="90" w:type="dxa"/>
            </w:tcMar>
          </w:tcPr>
          <w:p>
            <w:pPr>
              <w:pStyle w:val="BDOITable"/>
            </w:pPr>
            <w:r>
              <w:rPr>
                <w:sz w:val="15"/>
              </w:rPr>
              <w:t>NFT</w:t>
            </w:r>
          </w:p>
        </w:tc>
        <w:tc>
          <w:tcPr>
            <w:tcW w:type="dxa" w:w="1922"/>
            <w:tcMar>
              <w:top w:w="50" w:type="dxa"/>
              <w:bottom w:w="50" w:type="dxa"/>
              <w:left w:w="90" w:type="dxa"/>
              <w:right w:w="90" w:type="dxa"/>
            </w:tcMar>
          </w:tcPr>
          <w:p>
            <w:pPr>
              <w:pStyle w:val="BDOITable"/>
            </w:pPr>
            <w:r>
              <w:rPr>
                <w:sz w:val="15"/>
              </w:rPr>
              <w:t>NFR-PRF-03, 04, 07</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Security: SAST, dependencies, images, secrets</w:t>
            </w:r>
          </w:p>
        </w:tc>
        <w:tc>
          <w:tcPr>
            <w:tcW w:type="dxa" w:w="4085"/>
            <w:tcMar>
              <w:top w:w="50" w:type="dxa"/>
              <w:bottom w:w="50" w:type="dxa"/>
              <w:left w:w="90" w:type="dxa"/>
              <w:right w:w="90" w:type="dxa"/>
            </w:tcMar>
            <w:shd w:val="clear" w:color="auto" w:fill="E5F5FF"/>
          </w:tcPr>
          <w:p>
            <w:pPr>
              <w:pStyle w:val="BDOITable"/>
            </w:pPr>
            <w:r>
              <w:rPr>
                <w:sz w:val="15"/>
              </w:rPr>
              <w:t>Code and supply chain on every change</w:t>
            </w:r>
          </w:p>
        </w:tc>
        <w:tc>
          <w:tcPr>
            <w:tcW w:type="dxa" w:w="2042"/>
            <w:tcMar>
              <w:top w:w="50" w:type="dxa"/>
              <w:bottom w:w="50" w:type="dxa"/>
              <w:left w:w="90" w:type="dxa"/>
              <w:right w:w="90" w:type="dxa"/>
            </w:tcMar>
            <w:shd w:val="clear" w:color="auto" w:fill="E5F5FF"/>
          </w:tcPr>
          <w:p>
            <w:pPr>
              <w:pStyle w:val="BDOITable"/>
            </w:pPr>
            <w:r>
              <w:rPr>
                <w:sz w:val="15"/>
              </w:rPr>
              <w:t>CI pipeline</w:t>
            </w:r>
          </w:p>
        </w:tc>
        <w:tc>
          <w:tcPr>
            <w:tcW w:type="dxa" w:w="1922"/>
            <w:tcMar>
              <w:top w:w="50" w:type="dxa"/>
              <w:bottom w:w="50" w:type="dxa"/>
              <w:left w:w="90" w:type="dxa"/>
              <w:right w:w="90" w:type="dxa"/>
            </w:tcMar>
            <w:shd w:val="clear" w:color="auto" w:fill="E5F5FF"/>
          </w:tcPr>
          <w:p>
            <w:pPr>
              <w:pStyle w:val="BDOITable"/>
            </w:pPr>
            <w:r>
              <w:rPr>
                <w:sz w:val="15"/>
              </w:rPr>
              <w:t>NFR-SEC-07</w:t>
            </w:r>
          </w:p>
        </w:tc>
      </w:tr>
      <w:tr>
        <w:trPr>
          <w:cantSplit w:val="true"/>
        </w:trPr>
        <w:tc>
          <w:tcPr>
            <w:tcW w:type="dxa" w:w="1922"/>
            <w:tcMar>
              <w:top w:w="50" w:type="dxa"/>
              <w:bottom w:w="50" w:type="dxa"/>
              <w:left w:w="90" w:type="dxa"/>
              <w:right w:w="90" w:type="dxa"/>
            </w:tcMar>
          </w:tcPr>
          <w:p>
            <w:pPr>
              <w:pStyle w:val="BDOITable"/>
            </w:pPr>
            <w:r>
              <w:rPr>
                <w:sz w:val="15"/>
              </w:rPr>
              <w:t>Security: DAST and penetration test</w:t>
            </w:r>
          </w:p>
        </w:tc>
        <w:tc>
          <w:tcPr>
            <w:tcW w:type="dxa" w:w="4085"/>
            <w:tcMar>
              <w:top w:w="50" w:type="dxa"/>
              <w:bottom w:w="50" w:type="dxa"/>
              <w:left w:w="90" w:type="dxa"/>
              <w:right w:w="90" w:type="dxa"/>
            </w:tcMar>
          </w:tcPr>
          <w:p>
            <w:pPr>
              <w:pStyle w:val="BDOITable"/>
            </w:pPr>
            <w:r>
              <w:rPr>
                <w:sz w:val="15"/>
              </w:rPr>
              <w:t>The running application from outside</w:t>
            </w:r>
          </w:p>
        </w:tc>
        <w:tc>
          <w:tcPr>
            <w:tcW w:type="dxa" w:w="2042"/>
            <w:tcMar>
              <w:top w:w="50" w:type="dxa"/>
              <w:bottom w:w="50" w:type="dxa"/>
              <w:left w:w="90" w:type="dxa"/>
              <w:right w:w="90" w:type="dxa"/>
            </w:tcMar>
          </w:tcPr>
          <w:p>
            <w:pPr>
              <w:pStyle w:val="BDOITable"/>
            </w:pPr>
            <w:r>
              <w:rPr>
                <w:sz w:val="15"/>
              </w:rPr>
              <w:t>SIT (early scan), NFT</w:t>
            </w:r>
          </w:p>
        </w:tc>
        <w:tc>
          <w:tcPr>
            <w:tcW w:type="dxa" w:w="1922"/>
            <w:tcMar>
              <w:top w:w="50" w:type="dxa"/>
              <w:bottom w:w="50" w:type="dxa"/>
              <w:left w:w="90" w:type="dxa"/>
              <w:right w:w="90" w:type="dxa"/>
            </w:tcMar>
          </w:tcPr>
          <w:p>
            <w:pPr>
              <w:pStyle w:val="BDOITable"/>
            </w:pPr>
            <w:r>
              <w:rPr>
                <w:sz w:val="15"/>
              </w:rPr>
              <w:t>NFR-SEC-08</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Resilience</w:t>
            </w:r>
          </w:p>
        </w:tc>
        <w:tc>
          <w:tcPr>
            <w:tcW w:type="dxa" w:w="4085"/>
            <w:tcMar>
              <w:top w:w="50" w:type="dxa"/>
              <w:bottom w:w="50" w:type="dxa"/>
              <w:left w:w="90" w:type="dxa"/>
              <w:right w:w="90" w:type="dxa"/>
            </w:tcMar>
            <w:shd w:val="clear" w:color="auto" w:fill="E5F5FF"/>
          </w:tcPr>
          <w:p>
            <w:pPr>
              <w:pStyle w:val="BDOITable"/>
            </w:pPr>
            <w:r>
              <w:rPr>
                <w:sz w:val="15"/>
              </w:rPr>
              <w:t>Loss of a pod, node, zone, cache, event stream or partner system</w:t>
            </w:r>
          </w:p>
        </w:tc>
        <w:tc>
          <w:tcPr>
            <w:tcW w:type="dxa" w:w="2042"/>
            <w:tcMar>
              <w:top w:w="50" w:type="dxa"/>
              <w:bottom w:w="50" w:type="dxa"/>
              <w:left w:w="90" w:type="dxa"/>
              <w:right w:w="90" w:type="dxa"/>
            </w:tcMar>
            <w:shd w:val="clear" w:color="auto" w:fill="E5F5FF"/>
          </w:tcPr>
          <w:p>
            <w:pPr>
              <w:pStyle w:val="BDOITable"/>
            </w:pPr>
            <w:r>
              <w:rPr>
                <w:sz w:val="15"/>
              </w:rPr>
              <w:t>NFT</w:t>
            </w:r>
          </w:p>
        </w:tc>
        <w:tc>
          <w:tcPr>
            <w:tcW w:type="dxa" w:w="1922"/>
            <w:tcMar>
              <w:top w:w="50" w:type="dxa"/>
              <w:bottom w:w="50" w:type="dxa"/>
              <w:left w:w="90" w:type="dxa"/>
              <w:right w:w="90" w:type="dxa"/>
            </w:tcMar>
            <w:shd w:val="clear" w:color="auto" w:fill="E5F5FF"/>
          </w:tcPr>
          <w:p>
            <w:pPr>
              <w:pStyle w:val="BDOITable"/>
            </w:pPr>
            <w:r>
              <w:rPr>
                <w:sz w:val="15"/>
              </w:rPr>
              <w:t>NFR-AVL-04, 05, NFR-INT-02, 06</w:t>
            </w:r>
          </w:p>
        </w:tc>
      </w:tr>
      <w:tr>
        <w:trPr>
          <w:cantSplit w:val="true"/>
        </w:trPr>
        <w:tc>
          <w:tcPr>
            <w:tcW w:type="dxa" w:w="1922"/>
            <w:tcMar>
              <w:top w:w="50" w:type="dxa"/>
              <w:bottom w:w="50" w:type="dxa"/>
              <w:left w:w="90" w:type="dxa"/>
              <w:right w:w="90" w:type="dxa"/>
            </w:tcMar>
          </w:tcPr>
          <w:p>
            <w:pPr>
              <w:pStyle w:val="BDOITable"/>
            </w:pPr>
            <w:r>
              <w:rPr>
                <w:sz w:val="15"/>
              </w:rPr>
              <w:t>Disaster recovery</w:t>
            </w:r>
          </w:p>
        </w:tc>
        <w:tc>
          <w:tcPr>
            <w:tcW w:type="dxa" w:w="4085"/>
            <w:tcMar>
              <w:top w:w="50" w:type="dxa"/>
              <w:bottom w:w="50" w:type="dxa"/>
              <w:left w:w="90" w:type="dxa"/>
              <w:right w:w="90" w:type="dxa"/>
            </w:tcMar>
          </w:tcPr>
          <w:p>
            <w:pPr>
              <w:pStyle w:val="BDOITable"/>
            </w:pPr>
            <w:r>
              <w:rPr>
                <w:sz w:val="15"/>
              </w:rPr>
              <w:t>Failover to the DR region within the RTO and RPO</w:t>
            </w:r>
          </w:p>
        </w:tc>
        <w:tc>
          <w:tcPr>
            <w:tcW w:type="dxa" w:w="2042"/>
            <w:tcMar>
              <w:top w:w="50" w:type="dxa"/>
              <w:bottom w:w="50" w:type="dxa"/>
              <w:left w:w="90" w:type="dxa"/>
              <w:right w:w="90" w:type="dxa"/>
            </w:tcMar>
          </w:tcPr>
          <w:p>
            <w:pPr>
              <w:pStyle w:val="BDOITable"/>
            </w:pPr>
            <w:r>
              <w:rPr>
                <w:sz w:val="15"/>
              </w:rPr>
              <w:t>DR drill</w:t>
            </w:r>
          </w:p>
        </w:tc>
        <w:tc>
          <w:tcPr>
            <w:tcW w:type="dxa" w:w="1922"/>
            <w:tcMar>
              <w:top w:w="50" w:type="dxa"/>
              <w:bottom w:w="50" w:type="dxa"/>
              <w:left w:w="90" w:type="dxa"/>
              <w:right w:w="90" w:type="dxa"/>
            </w:tcMar>
          </w:tcPr>
          <w:p>
            <w:pPr>
              <w:pStyle w:val="BDOITable"/>
            </w:pPr>
            <w:r>
              <w:rPr>
                <w:sz w:val="15"/>
              </w:rPr>
              <w:t>NFR-REC-01, 02, 04</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Accessibility</w:t>
            </w:r>
          </w:p>
        </w:tc>
        <w:tc>
          <w:tcPr>
            <w:tcW w:type="dxa" w:w="4085"/>
            <w:tcMar>
              <w:top w:w="50" w:type="dxa"/>
              <w:bottom w:w="50" w:type="dxa"/>
              <w:left w:w="90" w:type="dxa"/>
              <w:right w:w="90" w:type="dxa"/>
            </w:tcMar>
            <w:shd w:val="clear" w:color="auto" w:fill="E5F5FF"/>
          </w:tcPr>
          <w:p>
            <w:pPr>
              <w:pStyle w:val="BDOITable"/>
            </w:pPr>
            <w:r>
              <w:rPr>
                <w:sz w:val="15"/>
              </w:rPr>
              <w:t>WCAG 2.2 AA by scan and manual keyboard and screen-reader checks</w:t>
            </w:r>
          </w:p>
        </w:tc>
        <w:tc>
          <w:tcPr>
            <w:tcW w:type="dxa" w:w="2042"/>
            <w:tcMar>
              <w:top w:w="50" w:type="dxa"/>
              <w:bottom w:w="50" w:type="dxa"/>
              <w:left w:w="90" w:type="dxa"/>
              <w:right w:w="90" w:type="dxa"/>
            </w:tcMar>
            <w:shd w:val="clear" w:color="auto" w:fill="E5F5FF"/>
          </w:tcPr>
          <w:p>
            <w:pPr>
              <w:pStyle w:val="BDOITable"/>
            </w:pPr>
            <w:r>
              <w:rPr>
                <w:sz w:val="15"/>
              </w:rPr>
              <w:t>SIT</w:t>
            </w:r>
          </w:p>
        </w:tc>
        <w:tc>
          <w:tcPr>
            <w:tcW w:type="dxa" w:w="1922"/>
            <w:tcMar>
              <w:top w:w="50" w:type="dxa"/>
              <w:bottom w:w="50" w:type="dxa"/>
              <w:left w:w="90" w:type="dxa"/>
              <w:right w:w="90" w:type="dxa"/>
            </w:tcMar>
            <w:shd w:val="clear" w:color="auto" w:fill="E5F5FF"/>
          </w:tcPr>
          <w:p>
            <w:pPr>
              <w:pStyle w:val="BDOITable"/>
            </w:pPr>
            <w:r>
              <w:rPr>
                <w:sz w:val="15"/>
              </w:rPr>
              <w:t>NFR-ACC-01 to 04</w:t>
            </w:r>
          </w:p>
        </w:tc>
      </w:tr>
      <w:tr>
        <w:trPr>
          <w:cantSplit w:val="true"/>
        </w:trPr>
        <w:tc>
          <w:tcPr>
            <w:tcW w:type="dxa" w:w="1922"/>
            <w:tcMar>
              <w:top w:w="50" w:type="dxa"/>
              <w:bottom w:w="50" w:type="dxa"/>
              <w:left w:w="90" w:type="dxa"/>
              <w:right w:w="90" w:type="dxa"/>
            </w:tcMar>
          </w:tcPr>
          <w:p>
            <w:pPr>
              <w:pStyle w:val="BDOITable"/>
            </w:pPr>
            <w:r>
              <w:rPr>
                <w:sz w:val="15"/>
              </w:rPr>
              <w:t>Responsive and cross-browser</w:t>
            </w:r>
          </w:p>
        </w:tc>
        <w:tc>
          <w:tcPr>
            <w:tcW w:type="dxa" w:w="4085"/>
            <w:tcMar>
              <w:top w:w="50" w:type="dxa"/>
              <w:bottom w:w="50" w:type="dxa"/>
              <w:left w:w="90" w:type="dxa"/>
              <w:right w:w="90" w:type="dxa"/>
            </w:tcMar>
          </w:tcPr>
          <w:p>
            <w:pPr>
              <w:pStyle w:val="BDOITable"/>
            </w:pPr>
            <w:r>
              <w:rPr>
                <w:sz w:val="15"/>
              </w:rPr>
              <w:t>Phone, tablet and desktop widths; supported browsers</w:t>
            </w:r>
          </w:p>
        </w:tc>
        <w:tc>
          <w:tcPr>
            <w:tcW w:type="dxa" w:w="2042"/>
            <w:tcMar>
              <w:top w:w="50" w:type="dxa"/>
              <w:bottom w:w="50" w:type="dxa"/>
              <w:left w:w="90" w:type="dxa"/>
              <w:right w:w="90" w:type="dxa"/>
            </w:tcMar>
          </w:tcPr>
          <w:p>
            <w:pPr>
              <w:pStyle w:val="BDOITable"/>
            </w:pPr>
            <w:r>
              <w:rPr>
                <w:sz w:val="15"/>
              </w:rPr>
              <w:t>SIT</w:t>
            </w:r>
          </w:p>
        </w:tc>
        <w:tc>
          <w:tcPr>
            <w:tcW w:type="dxa" w:w="1922"/>
            <w:tcMar>
              <w:top w:w="50" w:type="dxa"/>
              <w:bottom w:w="50" w:type="dxa"/>
              <w:left w:w="90" w:type="dxa"/>
              <w:right w:w="90" w:type="dxa"/>
            </w:tcMar>
          </w:tcPr>
          <w:p>
            <w:pPr>
              <w:pStyle w:val="BDOITable"/>
            </w:pPr>
            <w:r>
              <w:rPr>
                <w:sz w:val="15"/>
              </w:rPr>
              <w:t>NFR-RSP-01 to 03</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Usability</w:t>
            </w:r>
          </w:p>
        </w:tc>
        <w:tc>
          <w:tcPr>
            <w:tcW w:type="dxa" w:w="4085"/>
            <w:tcMar>
              <w:top w:w="50" w:type="dxa"/>
              <w:bottom w:w="50" w:type="dxa"/>
              <w:left w:w="90" w:type="dxa"/>
              <w:right w:w="90" w:type="dxa"/>
            </w:tcMar>
            <w:shd w:val="clear" w:color="auto" w:fill="E5F5FF"/>
          </w:tcPr>
          <w:p>
            <w:pPr>
              <w:pStyle w:val="BDOITable"/>
            </w:pPr>
            <w:r>
              <w:rPr>
                <w:sz w:val="15"/>
              </w:rPr>
              <w:t>Click counts of the main tasks; first-attempt success and SUS score</w:t>
            </w:r>
          </w:p>
        </w:tc>
        <w:tc>
          <w:tcPr>
            <w:tcW w:type="dxa" w:w="2042"/>
            <w:tcMar>
              <w:top w:w="50" w:type="dxa"/>
              <w:bottom w:w="50" w:type="dxa"/>
              <w:left w:w="90" w:type="dxa"/>
              <w:right w:w="90" w:type="dxa"/>
            </w:tcMar>
            <w:shd w:val="clear" w:color="auto" w:fill="E5F5FF"/>
          </w:tcPr>
          <w:p>
            <w:pPr>
              <w:pStyle w:val="BDOITable"/>
            </w:pPr>
            <w:r>
              <w:rPr>
                <w:sz w:val="15"/>
              </w:rPr>
              <w:t>SIT, UAT</w:t>
            </w:r>
          </w:p>
        </w:tc>
        <w:tc>
          <w:tcPr>
            <w:tcW w:type="dxa" w:w="1922"/>
            <w:tcMar>
              <w:top w:w="50" w:type="dxa"/>
              <w:bottom w:w="50" w:type="dxa"/>
              <w:left w:w="90" w:type="dxa"/>
              <w:right w:w="90" w:type="dxa"/>
            </w:tcMar>
            <w:shd w:val="clear" w:color="auto" w:fill="E5F5FF"/>
          </w:tcPr>
          <w:p>
            <w:pPr>
              <w:pStyle w:val="BDOITable"/>
            </w:pPr>
            <w:r>
              <w:rPr>
                <w:sz w:val="15"/>
              </w:rPr>
              <w:t>NFR-USE-01, 05</w:t>
            </w:r>
          </w:p>
        </w:tc>
      </w:tr>
      <w:tr>
        <w:trPr>
          <w:cantSplit w:val="true"/>
        </w:trPr>
        <w:tc>
          <w:tcPr>
            <w:tcW w:type="dxa" w:w="1922"/>
            <w:tcMar>
              <w:top w:w="50" w:type="dxa"/>
              <w:bottom w:w="50" w:type="dxa"/>
              <w:left w:w="90" w:type="dxa"/>
              <w:right w:w="90" w:type="dxa"/>
            </w:tcMar>
          </w:tcPr>
          <w:p>
            <w:pPr>
              <w:pStyle w:val="BDOITable"/>
            </w:pPr>
            <w:r>
              <w:rPr>
                <w:sz w:val="15"/>
              </w:rPr>
              <w:t>Configuration</w:t>
            </w:r>
          </w:p>
        </w:tc>
        <w:tc>
          <w:tcPr>
            <w:tcW w:type="dxa" w:w="4085"/>
            <w:tcMar>
              <w:top w:w="50" w:type="dxa"/>
              <w:bottom w:w="50" w:type="dxa"/>
              <w:left w:w="90" w:type="dxa"/>
              <w:right w:w="90" w:type="dxa"/>
            </w:tcMar>
          </w:tcPr>
          <w:p>
            <w:pPr>
              <w:pStyle w:val="BDOITable"/>
            </w:pPr>
            <w:r>
              <w:rPr>
                <w:sz w:val="15"/>
              </w:rPr>
              <w:t>Changes of lists, parameters, rules and templates take effect from their date after approval</w:t>
            </w:r>
          </w:p>
        </w:tc>
        <w:tc>
          <w:tcPr>
            <w:tcW w:type="dxa" w:w="2042"/>
            <w:tcMar>
              <w:top w:w="50" w:type="dxa"/>
              <w:bottom w:w="50" w:type="dxa"/>
              <w:left w:w="90" w:type="dxa"/>
              <w:right w:w="90" w:type="dxa"/>
            </w:tcMar>
          </w:tcPr>
          <w:p>
            <w:pPr>
              <w:pStyle w:val="BDOITable"/>
            </w:pPr>
            <w:r>
              <w:rPr>
                <w:sz w:val="15"/>
              </w:rPr>
              <w:t>SIT</w:t>
            </w:r>
          </w:p>
        </w:tc>
        <w:tc>
          <w:tcPr>
            <w:tcW w:type="dxa" w:w="1922"/>
            <w:tcMar>
              <w:top w:w="50" w:type="dxa"/>
              <w:bottom w:w="50" w:type="dxa"/>
              <w:left w:w="90" w:type="dxa"/>
              <w:right w:w="90" w:type="dxa"/>
            </w:tcMar>
          </w:tcPr>
          <w:p>
            <w:pPr>
              <w:pStyle w:val="BDOITable"/>
            </w:pPr>
            <w:r>
              <w:rPr>
                <w:sz w:val="15"/>
              </w:rPr>
              <w:t>NFR-CFG-01 to 04</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Data migration reconciliation</w:t>
            </w:r>
          </w:p>
        </w:tc>
        <w:tc>
          <w:tcPr>
            <w:tcW w:type="dxa" w:w="4085"/>
            <w:tcMar>
              <w:top w:w="50" w:type="dxa"/>
              <w:bottom w:w="50" w:type="dxa"/>
              <w:left w:w="90" w:type="dxa"/>
              <w:right w:w="90" w:type="dxa"/>
            </w:tcMar>
            <w:shd w:val="clear" w:color="auto" w:fill="E5F5FF"/>
          </w:tcPr>
          <w:p>
            <w:pPr>
              <w:pStyle w:val="BDOITable"/>
            </w:pPr>
            <w:r>
              <w:rPr>
                <w:sz w:val="15"/>
              </w:rPr>
              <w:t>Counts, amounts and balances L1 to L5 per object; Migration Clearing at 0.00</w:t>
            </w:r>
          </w:p>
        </w:tc>
        <w:tc>
          <w:tcPr>
            <w:tcW w:type="dxa" w:w="2042"/>
            <w:tcMar>
              <w:top w:w="50" w:type="dxa"/>
              <w:bottom w:w="50" w:type="dxa"/>
              <w:left w:w="90" w:type="dxa"/>
              <w:right w:w="90" w:type="dxa"/>
            </w:tcMar>
            <w:shd w:val="clear" w:color="auto" w:fill="E5F5FF"/>
          </w:tcPr>
          <w:p>
            <w:pPr>
              <w:pStyle w:val="BDOITable"/>
            </w:pPr>
            <w:r>
              <w:rPr>
                <w:sz w:val="15"/>
              </w:rPr>
              <w:t>Trial migrations</w:t>
            </w:r>
          </w:p>
        </w:tc>
        <w:tc>
          <w:tcPr>
            <w:tcW w:type="dxa" w:w="1922"/>
            <w:tcMar>
              <w:top w:w="50" w:type="dxa"/>
              <w:bottom w:w="50" w:type="dxa"/>
              <w:left w:w="90" w:type="dxa"/>
              <w:right w:w="90" w:type="dxa"/>
            </w:tcMar>
            <w:shd w:val="clear" w:color="auto" w:fill="E5F5FF"/>
          </w:tcPr>
          <w:p>
            <w:pPr>
              <w:pStyle w:val="BDOITable"/>
            </w:pPr>
            <w:r>
              <w:rPr>
                <w:sz w:val="15"/>
              </w:rPr>
              <w:t>NFR-PRV-01, 05</w:t>
            </w:r>
          </w:p>
        </w:tc>
      </w:tr>
    </w:tbl>
    <w:p>
      <w:pPr>
        <w:pStyle w:val="BDOISpacer"/>
      </w:pPr>
    </w:p>
    <w:p>
      <w:pPr>
        <w:pStyle w:val="Heading1"/>
        <w:pageBreakBefore/>
        <w:pBdr>
          <w:bottom w:val="single" w:sz="4" w:space="4" w:color="99C1E7"/>
        </w:pBdr>
      </w:pPr>
      <w:bookmarkStart w:id="111" w:name="_Toc000111"/>
      <w:r>
        <w:rPr/>
        <w:t>5 Test plans and coverage</w:t>
      </w:r>
      <w:bookmarkEnd w:id="111"/>
    </w:p>
    <w:p>
      <w:pPr>
        <w:pStyle w:val="Heading2"/>
      </w:pPr>
      <w:bookmarkStart w:id="112" w:name="_Toc000112"/>
      <w:r>
        <w:rPr/>
        <w:t>5.1 Test plans per BRD</w:t>
      </w:r>
      <w:bookmarkEnd w:id="112"/>
    </w:p>
    <w:p>
      <w:r>
        <w:rPr/>
        <w:t>Each BRD has a test plan with scenarios, test conditions (TC-xx-nnn.c), test cases (TC-xx-nnn.c-nn), test data sets, the roles-and-access matrix and, for the issued sign-off sets, one case per screen and per message group.</w:t>
      </w:r>
    </w:p>
    <w:p>
      <w:pPr>
        <w:pStyle w:val="Caption"/>
        <w:keepNext/>
        <w:spacing w:after="60"/>
      </w:pPr>
      <w:r>
        <w:rPr>
          <w:b/>
          <w:i w:val="0"/>
        </w:rPr>
        <w:t xml:space="preserve">Table 6: </w:t>
      </w:r>
      <w:r>
        <w:rPr/>
        <w:t>Test plans per BRD (test conditions and cases as approved for SIT and UAT)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70"/>
        <w:gridCol w:w="3078"/>
        <w:gridCol w:w="1204"/>
        <w:gridCol w:w="1204"/>
        <w:gridCol w:w="1204"/>
        <w:gridCol w:w="1204"/>
        <w:gridCol w:w="1204"/>
      </w:tblGrid>
      <w:tr>
        <w:trPr>
          <w:tblHeader w:val="true"/>
          <w:cantSplit w:val="true"/>
        </w:trPr>
        <w:tc>
          <w:tcPr>
            <w:tcW w:type="dxa" w:w="870"/>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3079"/>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Drop</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Test plan</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FRs tested</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870"/>
            <w:tcMar>
              <w:top w:w="50" w:type="dxa"/>
              <w:bottom w:w="50" w:type="dxa"/>
              <w:left w:w="90" w:type="dxa"/>
              <w:right w:w="90" w:type="dxa"/>
            </w:tcMar>
          </w:tcPr>
          <w:p>
            <w:pPr>
              <w:pStyle w:val="BDOITable"/>
            </w:pPr>
            <w:r>
              <w:rPr>
                <w:b/>
                <w:sz w:val="16"/>
              </w:rPr>
              <w:t>BRD-01</w:t>
            </w:r>
          </w:p>
        </w:tc>
        <w:tc>
          <w:tcPr>
            <w:tcW w:type="dxa" w:w="3079"/>
            <w:tcMar>
              <w:top w:w="50" w:type="dxa"/>
              <w:bottom w:w="50" w:type="dxa"/>
              <w:left w:w="90" w:type="dxa"/>
              <w:right w:w="90" w:type="dxa"/>
            </w:tcMar>
          </w:tcPr>
          <w:p>
            <w:pPr>
              <w:pStyle w:val="BDOITable"/>
            </w:pPr>
            <w:r>
              <w:rPr>
                <w:sz w:val="16"/>
              </w:rPr>
              <w:t>New Business</w:t>
            </w:r>
          </w:p>
        </w:tc>
        <w:tc>
          <w:tcPr>
            <w:tcW w:type="dxa" w:w="1205"/>
            <w:tcMar>
              <w:top w:w="50" w:type="dxa"/>
              <w:bottom w:w="50" w:type="dxa"/>
              <w:left w:w="90" w:type="dxa"/>
              <w:right w:w="90" w:type="dxa"/>
            </w:tcMar>
          </w:tcPr>
          <w:p>
            <w:pPr>
              <w:pStyle w:val="BDOITable"/>
            </w:pPr>
            <w:r>
              <w:rPr>
                <w:sz w:val="16"/>
              </w:rPr>
              <w:t>Drop 1</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95</w:t>
            </w:r>
          </w:p>
        </w:tc>
        <w:tc>
          <w:tcPr>
            <w:tcW w:type="dxa" w:w="1205"/>
            <w:tcMar>
              <w:top w:w="50" w:type="dxa"/>
              <w:bottom w:w="50" w:type="dxa"/>
              <w:left w:w="90" w:type="dxa"/>
              <w:right w:w="90" w:type="dxa"/>
            </w:tcMar>
          </w:tcPr>
          <w:p>
            <w:pPr>
              <w:pStyle w:val="BDOITable"/>
            </w:pPr>
            <w:r>
              <w:rPr>
                <w:sz w:val="16"/>
              </w:rPr>
              <w:t>251</w:t>
            </w:r>
          </w:p>
        </w:tc>
        <w:tc>
          <w:tcPr>
            <w:tcW w:type="dxa" w:w="1205"/>
            <w:tcMar>
              <w:top w:w="50" w:type="dxa"/>
              <w:bottom w:w="50" w:type="dxa"/>
              <w:left w:w="90" w:type="dxa"/>
              <w:right w:w="90" w:type="dxa"/>
            </w:tcMar>
          </w:tcPr>
          <w:p>
            <w:pPr>
              <w:pStyle w:val="BDOITable"/>
            </w:pPr>
            <w:r>
              <w:rPr>
                <w:sz w:val="16"/>
              </w:rPr>
              <w:t>497</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BRD-02</w:t>
            </w:r>
          </w:p>
        </w:tc>
        <w:tc>
          <w:tcPr>
            <w:tcW w:type="dxa" w:w="3079"/>
            <w:tcMar>
              <w:top w:w="50" w:type="dxa"/>
              <w:bottom w:w="50" w:type="dxa"/>
              <w:left w:w="90" w:type="dxa"/>
              <w:right w:w="90" w:type="dxa"/>
            </w:tcMar>
            <w:shd w:val="clear" w:color="auto" w:fill="E5F5FF"/>
          </w:tcPr>
          <w:p>
            <w:pPr>
              <w:pStyle w:val="BDOITable"/>
            </w:pPr>
            <w:r>
              <w:rPr>
                <w:sz w:val="16"/>
              </w:rPr>
              <w:t>Operations</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v2.1</w:t>
            </w:r>
          </w:p>
        </w:tc>
        <w:tc>
          <w:tcPr>
            <w:tcW w:type="dxa" w:w="1205"/>
            <w:tcMar>
              <w:top w:w="50" w:type="dxa"/>
              <w:bottom w:w="50" w:type="dxa"/>
              <w:left w:w="90" w:type="dxa"/>
              <w:right w:w="90" w:type="dxa"/>
            </w:tcMar>
            <w:shd w:val="clear" w:color="auto" w:fill="E5F5FF"/>
          </w:tcPr>
          <w:p>
            <w:pPr>
              <w:pStyle w:val="BDOITable"/>
            </w:pPr>
            <w:r>
              <w:rPr>
                <w:sz w:val="16"/>
              </w:rPr>
              <w:t>82</w:t>
            </w:r>
          </w:p>
        </w:tc>
        <w:tc>
          <w:tcPr>
            <w:tcW w:type="dxa" w:w="1205"/>
            <w:tcMar>
              <w:top w:w="50" w:type="dxa"/>
              <w:bottom w:w="50" w:type="dxa"/>
              <w:left w:w="90" w:type="dxa"/>
              <w:right w:w="90" w:type="dxa"/>
            </w:tcMar>
            <w:shd w:val="clear" w:color="auto" w:fill="E5F5FF"/>
          </w:tcPr>
          <w:p>
            <w:pPr>
              <w:pStyle w:val="BDOITable"/>
            </w:pPr>
            <w:r>
              <w:rPr>
                <w:sz w:val="16"/>
              </w:rPr>
              <w:t>208</w:t>
            </w:r>
          </w:p>
        </w:tc>
        <w:tc>
          <w:tcPr>
            <w:tcW w:type="dxa" w:w="1205"/>
            <w:tcMar>
              <w:top w:w="50" w:type="dxa"/>
              <w:bottom w:w="50" w:type="dxa"/>
              <w:left w:w="90" w:type="dxa"/>
              <w:right w:w="90" w:type="dxa"/>
            </w:tcMar>
            <w:shd w:val="clear" w:color="auto" w:fill="E5F5FF"/>
          </w:tcPr>
          <w:p>
            <w:pPr>
              <w:pStyle w:val="BDOITable"/>
            </w:pPr>
            <w:r>
              <w:rPr>
                <w:sz w:val="16"/>
              </w:rPr>
              <w:t>415</w:t>
            </w:r>
          </w:p>
        </w:tc>
      </w:tr>
      <w:tr>
        <w:trPr>
          <w:cantSplit w:val="true"/>
        </w:trPr>
        <w:tc>
          <w:tcPr>
            <w:tcW w:type="dxa" w:w="870"/>
            <w:tcMar>
              <w:top w:w="50" w:type="dxa"/>
              <w:bottom w:w="50" w:type="dxa"/>
              <w:left w:w="90" w:type="dxa"/>
              <w:right w:w="90" w:type="dxa"/>
            </w:tcMar>
          </w:tcPr>
          <w:p>
            <w:pPr>
              <w:pStyle w:val="BDOITable"/>
            </w:pPr>
            <w:r>
              <w:rPr>
                <w:b/>
                <w:sz w:val="16"/>
              </w:rPr>
              <w:t>BRD-03</w:t>
            </w:r>
          </w:p>
        </w:tc>
        <w:tc>
          <w:tcPr>
            <w:tcW w:type="dxa" w:w="3079"/>
            <w:tcMar>
              <w:top w:w="50" w:type="dxa"/>
              <w:bottom w:w="50" w:type="dxa"/>
              <w:left w:w="90" w:type="dxa"/>
              <w:right w:w="90" w:type="dxa"/>
            </w:tcMar>
          </w:tcPr>
          <w:p>
            <w:pPr>
              <w:pStyle w:val="BDOITable"/>
            </w:pPr>
            <w:r>
              <w:rPr>
                <w:sz w:val="16"/>
              </w:rPr>
              <w:t>Product Maintenance</w:t>
            </w:r>
          </w:p>
        </w:tc>
        <w:tc>
          <w:tcPr>
            <w:tcW w:type="dxa" w:w="1205"/>
            <w:tcMar>
              <w:top w:w="50" w:type="dxa"/>
              <w:bottom w:w="50" w:type="dxa"/>
              <w:left w:w="90" w:type="dxa"/>
              <w:right w:w="90" w:type="dxa"/>
            </w:tcMar>
          </w:tcPr>
          <w:p>
            <w:pPr>
              <w:pStyle w:val="BDOITable"/>
            </w:pPr>
            <w:r>
              <w:rPr>
                <w:sz w:val="16"/>
              </w:rPr>
              <w:t>Drop 0</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39</w:t>
            </w:r>
          </w:p>
        </w:tc>
        <w:tc>
          <w:tcPr>
            <w:tcW w:type="dxa" w:w="1205"/>
            <w:tcMar>
              <w:top w:w="50" w:type="dxa"/>
              <w:bottom w:w="50" w:type="dxa"/>
              <w:left w:w="90" w:type="dxa"/>
              <w:right w:w="90" w:type="dxa"/>
            </w:tcMar>
          </w:tcPr>
          <w:p>
            <w:pPr>
              <w:pStyle w:val="BDOITable"/>
            </w:pPr>
            <w:r>
              <w:rPr>
                <w:sz w:val="16"/>
              </w:rPr>
              <w:t>138</w:t>
            </w:r>
          </w:p>
        </w:tc>
        <w:tc>
          <w:tcPr>
            <w:tcW w:type="dxa" w:w="1205"/>
            <w:tcMar>
              <w:top w:w="50" w:type="dxa"/>
              <w:bottom w:w="50" w:type="dxa"/>
              <w:left w:w="90" w:type="dxa"/>
              <w:right w:w="90" w:type="dxa"/>
            </w:tcMar>
          </w:tcPr>
          <w:p>
            <w:pPr>
              <w:pStyle w:val="BDOITable"/>
            </w:pPr>
            <w:r>
              <w:rPr>
                <w:sz w:val="16"/>
              </w:rPr>
              <w:t>270</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BRD-04</w:t>
            </w:r>
          </w:p>
        </w:tc>
        <w:tc>
          <w:tcPr>
            <w:tcW w:type="dxa" w:w="3079"/>
            <w:tcMar>
              <w:top w:w="50" w:type="dxa"/>
              <w:bottom w:w="50" w:type="dxa"/>
              <w:left w:w="90" w:type="dxa"/>
              <w:right w:w="90" w:type="dxa"/>
            </w:tcMar>
            <w:shd w:val="clear" w:color="auto" w:fill="E5F5FF"/>
          </w:tcPr>
          <w:p>
            <w:pPr>
              <w:pStyle w:val="BDOITable"/>
            </w:pPr>
            <w:r>
              <w:rPr>
                <w:sz w:val="16"/>
              </w:rPr>
              <w:t>Collections</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v2.1</w:t>
            </w:r>
          </w:p>
        </w:tc>
        <w:tc>
          <w:tcPr>
            <w:tcW w:type="dxa" w:w="1205"/>
            <w:tcMar>
              <w:top w:w="50" w:type="dxa"/>
              <w:bottom w:w="50" w:type="dxa"/>
              <w:left w:w="90" w:type="dxa"/>
              <w:right w:w="90" w:type="dxa"/>
            </w:tcMar>
            <w:shd w:val="clear" w:color="auto" w:fill="E5F5FF"/>
          </w:tcPr>
          <w:p>
            <w:pPr>
              <w:pStyle w:val="BDOITable"/>
            </w:pPr>
            <w:r>
              <w:rPr>
                <w:sz w:val="16"/>
              </w:rPr>
              <w:t>51</w:t>
            </w:r>
          </w:p>
        </w:tc>
        <w:tc>
          <w:tcPr>
            <w:tcW w:type="dxa" w:w="1205"/>
            <w:tcMar>
              <w:top w:w="50" w:type="dxa"/>
              <w:bottom w:w="50" w:type="dxa"/>
              <w:left w:w="90" w:type="dxa"/>
              <w:right w:w="90" w:type="dxa"/>
            </w:tcMar>
            <w:shd w:val="clear" w:color="auto" w:fill="E5F5FF"/>
          </w:tcPr>
          <w:p>
            <w:pPr>
              <w:pStyle w:val="BDOITable"/>
            </w:pPr>
            <w:r>
              <w:rPr>
                <w:sz w:val="16"/>
              </w:rPr>
              <w:t>166</w:t>
            </w:r>
          </w:p>
        </w:tc>
        <w:tc>
          <w:tcPr>
            <w:tcW w:type="dxa" w:w="1205"/>
            <w:tcMar>
              <w:top w:w="50" w:type="dxa"/>
              <w:bottom w:w="50" w:type="dxa"/>
              <w:left w:w="90" w:type="dxa"/>
              <w:right w:w="90" w:type="dxa"/>
            </w:tcMar>
            <w:shd w:val="clear" w:color="auto" w:fill="E5F5FF"/>
          </w:tcPr>
          <w:p>
            <w:pPr>
              <w:pStyle w:val="BDOITable"/>
            </w:pPr>
            <w:r>
              <w:rPr>
                <w:sz w:val="16"/>
              </w:rPr>
              <w:t>286</w:t>
            </w:r>
          </w:p>
        </w:tc>
      </w:tr>
      <w:tr>
        <w:trPr>
          <w:cantSplit w:val="true"/>
        </w:trPr>
        <w:tc>
          <w:tcPr>
            <w:tcW w:type="dxa" w:w="870"/>
            <w:tcMar>
              <w:top w:w="50" w:type="dxa"/>
              <w:bottom w:w="50" w:type="dxa"/>
              <w:left w:w="90" w:type="dxa"/>
              <w:right w:w="90" w:type="dxa"/>
            </w:tcMar>
          </w:tcPr>
          <w:p>
            <w:pPr>
              <w:pStyle w:val="BDOITable"/>
            </w:pPr>
            <w:r>
              <w:rPr>
                <w:b/>
                <w:sz w:val="16"/>
              </w:rPr>
              <w:t>BRD-05</w:t>
            </w:r>
          </w:p>
        </w:tc>
        <w:tc>
          <w:tcPr>
            <w:tcW w:type="dxa" w:w="3079"/>
            <w:tcMar>
              <w:top w:w="50" w:type="dxa"/>
              <w:bottom w:w="50" w:type="dxa"/>
              <w:left w:w="90" w:type="dxa"/>
              <w:right w:w="90" w:type="dxa"/>
            </w:tcMar>
          </w:tcPr>
          <w:p>
            <w:pPr>
              <w:pStyle w:val="BDOITable"/>
            </w:pPr>
            <w:r>
              <w:rPr>
                <w:sz w:val="16"/>
              </w:rPr>
              <w:t>Accounting Disbursement ACSL</w:t>
            </w:r>
          </w:p>
        </w:tc>
        <w:tc>
          <w:tcPr>
            <w:tcW w:type="dxa" w:w="1205"/>
            <w:tcMar>
              <w:top w:w="50" w:type="dxa"/>
              <w:bottom w:w="50" w:type="dxa"/>
              <w:left w:w="90" w:type="dxa"/>
              <w:right w:w="90" w:type="dxa"/>
            </w:tcMar>
          </w:tcPr>
          <w:p>
            <w:pPr>
              <w:pStyle w:val="BDOITable"/>
            </w:pPr>
            <w:r>
              <w:rPr>
                <w:sz w:val="16"/>
              </w:rPr>
              <w:t>Drop 1</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119</w:t>
            </w:r>
          </w:p>
        </w:tc>
        <w:tc>
          <w:tcPr>
            <w:tcW w:type="dxa" w:w="1205"/>
            <w:tcMar>
              <w:top w:w="50" w:type="dxa"/>
              <w:bottom w:w="50" w:type="dxa"/>
              <w:left w:w="90" w:type="dxa"/>
              <w:right w:w="90" w:type="dxa"/>
            </w:tcMar>
          </w:tcPr>
          <w:p>
            <w:pPr>
              <w:pStyle w:val="BDOITable"/>
            </w:pPr>
            <w:r>
              <w:rPr>
                <w:sz w:val="16"/>
              </w:rPr>
              <w:t>291</w:t>
            </w:r>
          </w:p>
        </w:tc>
        <w:tc>
          <w:tcPr>
            <w:tcW w:type="dxa" w:w="1205"/>
            <w:tcMar>
              <w:top w:w="50" w:type="dxa"/>
              <w:bottom w:w="50" w:type="dxa"/>
              <w:left w:w="90" w:type="dxa"/>
              <w:right w:w="90" w:type="dxa"/>
            </w:tcMar>
          </w:tcPr>
          <w:p>
            <w:pPr>
              <w:pStyle w:val="BDOITable"/>
            </w:pPr>
            <w:r>
              <w:rPr>
                <w:sz w:val="16"/>
              </w:rPr>
              <w:t>569</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BRD-06</w:t>
            </w:r>
          </w:p>
        </w:tc>
        <w:tc>
          <w:tcPr>
            <w:tcW w:type="dxa" w:w="3079"/>
            <w:tcMar>
              <w:top w:w="50" w:type="dxa"/>
              <w:bottom w:w="50" w:type="dxa"/>
              <w:left w:w="90" w:type="dxa"/>
              <w:right w:w="90" w:type="dxa"/>
            </w:tcMar>
            <w:shd w:val="clear" w:color="auto" w:fill="E5F5FF"/>
          </w:tcPr>
          <w:p>
            <w:pPr>
              <w:pStyle w:val="BDOITable"/>
            </w:pPr>
            <w:r>
              <w:rPr>
                <w:sz w:val="16"/>
              </w:rPr>
              <w:t>Renewal</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v1.1</w:t>
            </w:r>
          </w:p>
        </w:tc>
        <w:tc>
          <w:tcPr>
            <w:tcW w:type="dxa" w:w="1205"/>
            <w:tcMar>
              <w:top w:w="50" w:type="dxa"/>
              <w:bottom w:w="50" w:type="dxa"/>
              <w:left w:w="90" w:type="dxa"/>
              <w:right w:w="90" w:type="dxa"/>
            </w:tcMar>
            <w:shd w:val="clear" w:color="auto" w:fill="E5F5FF"/>
          </w:tcPr>
          <w:p>
            <w:pPr>
              <w:pStyle w:val="BDOITable"/>
            </w:pPr>
            <w:r>
              <w:rPr>
                <w:sz w:val="16"/>
              </w:rPr>
              <w:t>56</w:t>
            </w:r>
          </w:p>
        </w:tc>
        <w:tc>
          <w:tcPr>
            <w:tcW w:type="dxa" w:w="1205"/>
            <w:tcMar>
              <w:top w:w="50" w:type="dxa"/>
              <w:bottom w:w="50" w:type="dxa"/>
              <w:left w:w="90" w:type="dxa"/>
              <w:right w:w="90" w:type="dxa"/>
            </w:tcMar>
            <w:shd w:val="clear" w:color="auto" w:fill="E5F5FF"/>
          </w:tcPr>
          <w:p>
            <w:pPr>
              <w:pStyle w:val="BDOITable"/>
            </w:pPr>
            <w:r>
              <w:rPr>
                <w:sz w:val="16"/>
              </w:rPr>
              <w:t>219</w:t>
            </w:r>
          </w:p>
        </w:tc>
        <w:tc>
          <w:tcPr>
            <w:tcW w:type="dxa" w:w="1205"/>
            <w:tcMar>
              <w:top w:w="50" w:type="dxa"/>
              <w:bottom w:w="50" w:type="dxa"/>
              <w:left w:w="90" w:type="dxa"/>
              <w:right w:w="90" w:type="dxa"/>
            </w:tcMar>
            <w:shd w:val="clear" w:color="auto" w:fill="E5F5FF"/>
          </w:tcPr>
          <w:p>
            <w:pPr>
              <w:pStyle w:val="BDOITable"/>
            </w:pPr>
            <w:r>
              <w:rPr>
                <w:sz w:val="16"/>
              </w:rPr>
              <w:t>343</w:t>
            </w:r>
          </w:p>
        </w:tc>
      </w:tr>
      <w:tr>
        <w:trPr>
          <w:cantSplit w:val="true"/>
        </w:trPr>
        <w:tc>
          <w:tcPr>
            <w:tcW w:type="dxa" w:w="870"/>
            <w:tcMar>
              <w:top w:w="50" w:type="dxa"/>
              <w:bottom w:w="50" w:type="dxa"/>
              <w:left w:w="90" w:type="dxa"/>
              <w:right w:w="90" w:type="dxa"/>
            </w:tcMar>
          </w:tcPr>
          <w:p>
            <w:pPr>
              <w:pStyle w:val="BDOITable"/>
            </w:pPr>
            <w:r>
              <w:rPr>
                <w:b/>
                <w:sz w:val="16"/>
              </w:rPr>
              <w:t>BRD-07</w:t>
            </w:r>
          </w:p>
        </w:tc>
        <w:tc>
          <w:tcPr>
            <w:tcW w:type="dxa" w:w="3079"/>
            <w:tcMar>
              <w:top w:w="50" w:type="dxa"/>
              <w:bottom w:w="50" w:type="dxa"/>
              <w:left w:w="90" w:type="dxa"/>
              <w:right w:w="90" w:type="dxa"/>
            </w:tcMar>
          </w:tcPr>
          <w:p>
            <w:pPr>
              <w:pStyle w:val="BDOITable"/>
            </w:pPr>
            <w:r>
              <w:rPr>
                <w:sz w:val="16"/>
              </w:rPr>
              <w:t>Claims</w:t>
            </w:r>
          </w:p>
        </w:tc>
        <w:tc>
          <w:tcPr>
            <w:tcW w:type="dxa" w:w="1205"/>
            <w:tcMar>
              <w:top w:w="50" w:type="dxa"/>
              <w:bottom w:w="50" w:type="dxa"/>
              <w:left w:w="90" w:type="dxa"/>
              <w:right w:w="90" w:type="dxa"/>
            </w:tcMar>
          </w:tcPr>
          <w:p>
            <w:pPr>
              <w:pStyle w:val="BDOITable"/>
            </w:pPr>
            <w:r>
              <w:rPr>
                <w:sz w:val="16"/>
              </w:rPr>
              <w:t>Drop 2</w:t>
            </w:r>
          </w:p>
        </w:tc>
        <w:tc>
          <w:tcPr>
            <w:tcW w:type="dxa" w:w="1205"/>
            <w:tcMar>
              <w:top w:w="50" w:type="dxa"/>
              <w:bottom w:w="50" w:type="dxa"/>
              <w:left w:w="90" w:type="dxa"/>
              <w:right w:w="90" w:type="dxa"/>
            </w:tcMar>
          </w:tcPr>
          <w:p>
            <w:pPr>
              <w:pStyle w:val="BDOITable"/>
            </w:pPr>
            <w:r>
              <w:rPr>
                <w:sz w:val="16"/>
              </w:rPr>
              <w:t>v1.0</w:t>
            </w:r>
          </w:p>
        </w:tc>
        <w:tc>
          <w:tcPr>
            <w:tcW w:type="dxa" w:w="1205"/>
            <w:tcMar>
              <w:top w:w="50" w:type="dxa"/>
              <w:bottom w:w="50" w:type="dxa"/>
              <w:left w:w="90" w:type="dxa"/>
              <w:right w:w="90" w:type="dxa"/>
            </w:tcMar>
          </w:tcPr>
          <w:p>
            <w:pPr>
              <w:pStyle w:val="BDOITable"/>
            </w:pPr>
            <w:r>
              <w:rPr>
                <w:sz w:val="16"/>
              </w:rPr>
              <w:t>39</w:t>
            </w:r>
          </w:p>
        </w:tc>
        <w:tc>
          <w:tcPr>
            <w:tcW w:type="dxa" w:w="1205"/>
            <w:tcMar>
              <w:top w:w="50" w:type="dxa"/>
              <w:bottom w:w="50" w:type="dxa"/>
              <w:left w:w="90" w:type="dxa"/>
              <w:right w:w="90" w:type="dxa"/>
            </w:tcMar>
          </w:tcPr>
          <w:p>
            <w:pPr>
              <w:pStyle w:val="BDOITable"/>
            </w:pPr>
            <w:r>
              <w:rPr>
                <w:sz w:val="16"/>
              </w:rPr>
              <w:t>136</w:t>
            </w:r>
          </w:p>
        </w:tc>
        <w:tc>
          <w:tcPr>
            <w:tcW w:type="dxa" w:w="1205"/>
            <w:tcMar>
              <w:top w:w="50" w:type="dxa"/>
              <w:bottom w:w="50" w:type="dxa"/>
              <w:left w:w="90" w:type="dxa"/>
              <w:right w:w="90" w:type="dxa"/>
            </w:tcMar>
          </w:tcPr>
          <w:p>
            <w:pPr>
              <w:pStyle w:val="BDOITable"/>
            </w:pPr>
            <w:r>
              <w:rPr>
                <w:sz w:val="16"/>
              </w:rPr>
              <w:t>185</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BRD-08</w:t>
            </w:r>
          </w:p>
        </w:tc>
        <w:tc>
          <w:tcPr>
            <w:tcW w:type="dxa" w:w="3079"/>
            <w:tcMar>
              <w:top w:w="50" w:type="dxa"/>
              <w:bottom w:w="50" w:type="dxa"/>
              <w:left w:w="90" w:type="dxa"/>
              <w:right w:w="90" w:type="dxa"/>
            </w:tcMar>
            <w:shd w:val="clear" w:color="auto" w:fill="E5F5FF"/>
          </w:tcPr>
          <w:p>
            <w:pPr>
              <w:pStyle w:val="BDOITable"/>
            </w:pPr>
            <w:r>
              <w:rPr>
                <w:sz w:val="16"/>
              </w:rPr>
              <w:t>Employee Benefits</w:t>
            </w:r>
          </w:p>
        </w:tc>
        <w:tc>
          <w:tcPr>
            <w:tcW w:type="dxa" w:w="1205"/>
            <w:tcMar>
              <w:top w:w="50" w:type="dxa"/>
              <w:bottom w:w="50" w:type="dxa"/>
              <w:left w:w="90" w:type="dxa"/>
              <w:right w:w="90" w:type="dxa"/>
            </w:tcMar>
            <w:shd w:val="clear" w:color="auto" w:fill="E5F5FF"/>
          </w:tcPr>
          <w:p>
            <w:pPr>
              <w:pStyle w:val="BDOITable"/>
            </w:pPr>
            <w:r>
              <w:rPr>
                <w:sz w:val="16"/>
              </w:rPr>
              <w:t>Drop 2</w:t>
            </w:r>
          </w:p>
        </w:tc>
        <w:tc>
          <w:tcPr>
            <w:tcW w:type="dxa" w:w="1205"/>
            <w:tcMar>
              <w:top w:w="50" w:type="dxa"/>
              <w:bottom w:w="50" w:type="dxa"/>
              <w:left w:w="90" w:type="dxa"/>
              <w:right w:w="90" w:type="dxa"/>
            </w:tcMar>
            <w:shd w:val="clear" w:color="auto" w:fill="E5F5FF"/>
          </w:tcPr>
          <w:p>
            <w:pPr>
              <w:pStyle w:val="BDOITable"/>
            </w:pPr>
            <w:r>
              <w:rPr>
                <w:sz w:val="16"/>
              </w:rPr>
              <w:t>v1.0</w:t>
            </w:r>
          </w:p>
        </w:tc>
        <w:tc>
          <w:tcPr>
            <w:tcW w:type="dxa" w:w="1205"/>
            <w:tcMar>
              <w:top w:w="50" w:type="dxa"/>
              <w:bottom w:w="50" w:type="dxa"/>
              <w:left w:w="90" w:type="dxa"/>
              <w:right w:w="90" w:type="dxa"/>
            </w:tcMar>
            <w:shd w:val="clear" w:color="auto" w:fill="E5F5FF"/>
          </w:tcPr>
          <w:p>
            <w:pPr>
              <w:pStyle w:val="BDOITable"/>
            </w:pPr>
            <w:r>
              <w:rPr>
                <w:sz w:val="16"/>
              </w:rPr>
              <w:t>39</w:t>
            </w:r>
          </w:p>
        </w:tc>
        <w:tc>
          <w:tcPr>
            <w:tcW w:type="dxa" w:w="1205"/>
            <w:tcMar>
              <w:top w:w="50" w:type="dxa"/>
              <w:bottom w:w="50" w:type="dxa"/>
              <w:left w:w="90" w:type="dxa"/>
              <w:right w:w="90" w:type="dxa"/>
            </w:tcMar>
            <w:shd w:val="clear" w:color="auto" w:fill="E5F5FF"/>
          </w:tcPr>
          <w:p>
            <w:pPr>
              <w:pStyle w:val="BDOITable"/>
            </w:pPr>
            <w:r>
              <w:rPr>
                <w:sz w:val="16"/>
              </w:rPr>
              <w:t>109</w:t>
            </w:r>
          </w:p>
        </w:tc>
        <w:tc>
          <w:tcPr>
            <w:tcW w:type="dxa" w:w="1205"/>
            <w:tcMar>
              <w:top w:w="50" w:type="dxa"/>
              <w:bottom w:w="50" w:type="dxa"/>
              <w:left w:w="90" w:type="dxa"/>
              <w:right w:w="90" w:type="dxa"/>
            </w:tcMar>
            <w:shd w:val="clear" w:color="auto" w:fill="E5F5FF"/>
          </w:tcPr>
          <w:p>
            <w:pPr>
              <w:pStyle w:val="BDOITable"/>
            </w:pPr>
            <w:r>
              <w:rPr>
                <w:sz w:val="16"/>
              </w:rPr>
              <w:t>154</w:t>
            </w:r>
          </w:p>
        </w:tc>
      </w:tr>
      <w:tr>
        <w:trPr>
          <w:cantSplit w:val="true"/>
        </w:trPr>
        <w:tc>
          <w:tcPr>
            <w:tcW w:type="dxa" w:w="870"/>
            <w:tcMar>
              <w:top w:w="50" w:type="dxa"/>
              <w:bottom w:w="50" w:type="dxa"/>
              <w:left w:w="90" w:type="dxa"/>
              <w:right w:w="90" w:type="dxa"/>
            </w:tcMar>
          </w:tcPr>
          <w:p>
            <w:pPr>
              <w:pStyle w:val="BDOITable"/>
            </w:pPr>
            <w:r>
              <w:rPr>
                <w:b/>
                <w:sz w:val="16"/>
              </w:rPr>
              <w:t>BRD-09</w:t>
            </w:r>
          </w:p>
        </w:tc>
        <w:tc>
          <w:tcPr>
            <w:tcW w:type="dxa" w:w="3079"/>
            <w:tcMar>
              <w:top w:w="50" w:type="dxa"/>
              <w:bottom w:w="50" w:type="dxa"/>
              <w:left w:w="90" w:type="dxa"/>
              <w:right w:w="90" w:type="dxa"/>
            </w:tcMar>
          </w:tcPr>
          <w:p>
            <w:pPr>
              <w:pStyle w:val="BDOITable"/>
            </w:pPr>
            <w:r>
              <w:rPr>
                <w:sz w:val="16"/>
              </w:rPr>
              <w:t>Customer Servicing Facility</w:t>
            </w:r>
          </w:p>
        </w:tc>
        <w:tc>
          <w:tcPr>
            <w:tcW w:type="dxa" w:w="1205"/>
            <w:tcMar>
              <w:top w:w="50" w:type="dxa"/>
              <w:bottom w:w="50" w:type="dxa"/>
              <w:left w:w="90" w:type="dxa"/>
              <w:right w:w="90" w:type="dxa"/>
            </w:tcMar>
          </w:tcPr>
          <w:p>
            <w:pPr>
              <w:pStyle w:val="BDOITable"/>
            </w:pPr>
            <w:r>
              <w:rPr>
                <w:sz w:val="16"/>
              </w:rPr>
              <w:t>Drop 1</w:t>
            </w:r>
          </w:p>
        </w:tc>
        <w:tc>
          <w:tcPr>
            <w:tcW w:type="dxa" w:w="1205"/>
            <w:tcMar>
              <w:top w:w="50" w:type="dxa"/>
              <w:bottom w:w="50" w:type="dxa"/>
              <w:left w:w="90" w:type="dxa"/>
              <w:right w:w="90" w:type="dxa"/>
            </w:tcMar>
          </w:tcPr>
          <w:p>
            <w:pPr>
              <w:pStyle w:val="BDOITable"/>
            </w:pPr>
            <w:r>
              <w:rPr>
                <w:sz w:val="16"/>
              </w:rPr>
              <w:t>v1.0</w:t>
            </w:r>
          </w:p>
        </w:tc>
        <w:tc>
          <w:tcPr>
            <w:tcW w:type="dxa" w:w="1205"/>
            <w:tcMar>
              <w:top w:w="50" w:type="dxa"/>
              <w:bottom w:w="50" w:type="dxa"/>
              <w:left w:w="90" w:type="dxa"/>
              <w:right w:w="90" w:type="dxa"/>
            </w:tcMar>
          </w:tcPr>
          <w:p>
            <w:pPr>
              <w:pStyle w:val="BDOITable"/>
            </w:pPr>
            <w:r>
              <w:rPr>
                <w:sz w:val="16"/>
              </w:rPr>
              <w:t>17</w:t>
            </w:r>
          </w:p>
        </w:tc>
        <w:tc>
          <w:tcPr>
            <w:tcW w:type="dxa" w:w="1205"/>
            <w:tcMar>
              <w:top w:w="50" w:type="dxa"/>
              <w:bottom w:w="50" w:type="dxa"/>
              <w:left w:w="90" w:type="dxa"/>
              <w:right w:w="90" w:type="dxa"/>
            </w:tcMar>
          </w:tcPr>
          <w:p>
            <w:pPr>
              <w:pStyle w:val="BDOITable"/>
            </w:pPr>
            <w:r>
              <w:rPr>
                <w:sz w:val="16"/>
              </w:rPr>
              <w:t>82</w:t>
            </w:r>
          </w:p>
        </w:tc>
        <w:tc>
          <w:tcPr>
            <w:tcW w:type="dxa" w:w="1205"/>
            <w:tcMar>
              <w:top w:w="50" w:type="dxa"/>
              <w:bottom w:w="50" w:type="dxa"/>
              <w:left w:w="90" w:type="dxa"/>
              <w:right w:w="90" w:type="dxa"/>
            </w:tcMar>
          </w:tcPr>
          <w:p>
            <w:pPr>
              <w:pStyle w:val="BDOITable"/>
            </w:pPr>
            <w:r>
              <w:rPr>
                <w:sz w:val="16"/>
              </w:rPr>
              <w:t>116</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BRD-10</w:t>
            </w:r>
          </w:p>
        </w:tc>
        <w:tc>
          <w:tcPr>
            <w:tcW w:type="dxa" w:w="3079"/>
            <w:tcMar>
              <w:top w:w="50" w:type="dxa"/>
              <w:bottom w:w="50" w:type="dxa"/>
              <w:left w:w="90" w:type="dxa"/>
              <w:right w:w="90" w:type="dxa"/>
            </w:tcMar>
            <w:shd w:val="clear" w:color="auto" w:fill="E5F5FF"/>
          </w:tcPr>
          <w:p>
            <w:pPr>
              <w:pStyle w:val="BDOITable"/>
            </w:pPr>
            <w:r>
              <w:rPr>
                <w:sz w:val="16"/>
              </w:rPr>
              <w:t>Sanction Screening</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v1.0</w:t>
            </w:r>
          </w:p>
        </w:tc>
        <w:tc>
          <w:tcPr>
            <w:tcW w:type="dxa" w:w="1205"/>
            <w:tcMar>
              <w:top w:w="50" w:type="dxa"/>
              <w:bottom w:w="50" w:type="dxa"/>
              <w:left w:w="90" w:type="dxa"/>
              <w:right w:w="90" w:type="dxa"/>
            </w:tcMar>
            <w:shd w:val="clear" w:color="auto" w:fill="E5F5FF"/>
          </w:tcPr>
          <w:p>
            <w:pPr>
              <w:pStyle w:val="BDOITable"/>
            </w:pPr>
            <w:r>
              <w:rPr>
                <w:sz w:val="16"/>
              </w:rPr>
              <w:t>44</w:t>
            </w:r>
          </w:p>
        </w:tc>
        <w:tc>
          <w:tcPr>
            <w:tcW w:type="dxa" w:w="1205"/>
            <w:tcMar>
              <w:top w:w="50" w:type="dxa"/>
              <w:bottom w:w="50" w:type="dxa"/>
              <w:left w:w="90" w:type="dxa"/>
              <w:right w:w="90" w:type="dxa"/>
            </w:tcMar>
            <w:shd w:val="clear" w:color="auto" w:fill="E5F5FF"/>
          </w:tcPr>
          <w:p>
            <w:pPr>
              <w:pStyle w:val="BDOITable"/>
            </w:pPr>
            <w:r>
              <w:rPr>
                <w:sz w:val="16"/>
              </w:rPr>
              <w:t>157</w:t>
            </w:r>
          </w:p>
        </w:tc>
        <w:tc>
          <w:tcPr>
            <w:tcW w:type="dxa" w:w="1205"/>
            <w:tcMar>
              <w:top w:w="50" w:type="dxa"/>
              <w:bottom w:w="50" w:type="dxa"/>
              <w:left w:w="90" w:type="dxa"/>
              <w:right w:w="90" w:type="dxa"/>
            </w:tcMar>
            <w:shd w:val="clear" w:color="auto" w:fill="E5F5FF"/>
          </w:tcPr>
          <w:p>
            <w:pPr>
              <w:pStyle w:val="BDOITable"/>
            </w:pPr>
            <w:r>
              <w:rPr>
                <w:sz w:val="16"/>
              </w:rPr>
              <w:t>214</w:t>
            </w:r>
          </w:p>
        </w:tc>
      </w:tr>
      <w:tr>
        <w:trPr>
          <w:cantSplit w:val="true"/>
        </w:trPr>
        <w:tc>
          <w:tcPr>
            <w:tcW w:type="dxa" w:w="870"/>
            <w:tcMar>
              <w:top w:w="50" w:type="dxa"/>
              <w:bottom w:w="50" w:type="dxa"/>
              <w:left w:w="90" w:type="dxa"/>
              <w:right w:w="90" w:type="dxa"/>
            </w:tcMar>
          </w:tcPr>
          <w:p>
            <w:pPr>
              <w:pStyle w:val="BDOITable"/>
            </w:pPr>
            <w:r>
              <w:rPr>
                <w:b/>
                <w:sz w:val="16"/>
              </w:rPr>
              <w:t>BRD-11</w:t>
            </w:r>
          </w:p>
        </w:tc>
        <w:tc>
          <w:tcPr>
            <w:tcW w:type="dxa" w:w="3079"/>
            <w:tcMar>
              <w:top w:w="50" w:type="dxa"/>
              <w:bottom w:w="50" w:type="dxa"/>
              <w:left w:w="90" w:type="dxa"/>
              <w:right w:w="90" w:type="dxa"/>
            </w:tcMar>
          </w:tcPr>
          <w:p>
            <w:pPr>
              <w:pStyle w:val="BDOITable"/>
            </w:pPr>
            <w:r>
              <w:rPr>
                <w:sz w:val="16"/>
              </w:rPr>
              <w:t>User Access Maintenance</w:t>
            </w:r>
          </w:p>
        </w:tc>
        <w:tc>
          <w:tcPr>
            <w:tcW w:type="dxa" w:w="1205"/>
            <w:tcMar>
              <w:top w:w="50" w:type="dxa"/>
              <w:bottom w:w="50" w:type="dxa"/>
              <w:left w:w="90" w:type="dxa"/>
              <w:right w:w="90" w:type="dxa"/>
            </w:tcMar>
          </w:tcPr>
          <w:p>
            <w:pPr>
              <w:pStyle w:val="BDOITable"/>
            </w:pPr>
            <w:r>
              <w:rPr>
                <w:sz w:val="16"/>
              </w:rPr>
              <w:t>Drop 0</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40</w:t>
            </w:r>
          </w:p>
        </w:tc>
        <w:tc>
          <w:tcPr>
            <w:tcW w:type="dxa" w:w="1205"/>
            <w:tcMar>
              <w:top w:w="50" w:type="dxa"/>
              <w:bottom w:w="50" w:type="dxa"/>
              <w:left w:w="90" w:type="dxa"/>
              <w:right w:w="90" w:type="dxa"/>
            </w:tcMar>
          </w:tcPr>
          <w:p>
            <w:pPr>
              <w:pStyle w:val="BDOITable"/>
            </w:pPr>
            <w:r>
              <w:rPr>
                <w:sz w:val="16"/>
              </w:rPr>
              <w:t>125</w:t>
            </w:r>
          </w:p>
        </w:tc>
        <w:tc>
          <w:tcPr>
            <w:tcW w:type="dxa" w:w="1205"/>
            <w:tcMar>
              <w:top w:w="50" w:type="dxa"/>
              <w:bottom w:w="50" w:type="dxa"/>
              <w:left w:w="90" w:type="dxa"/>
              <w:right w:w="90" w:type="dxa"/>
            </w:tcMar>
          </w:tcPr>
          <w:p>
            <w:pPr>
              <w:pStyle w:val="BDOITable"/>
            </w:pPr>
            <w:r>
              <w:rPr>
                <w:sz w:val="16"/>
              </w:rPr>
              <w:t>213</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BRD-12</w:t>
            </w:r>
          </w:p>
        </w:tc>
        <w:tc>
          <w:tcPr>
            <w:tcW w:type="dxa" w:w="3079"/>
            <w:tcMar>
              <w:top w:w="50" w:type="dxa"/>
              <w:bottom w:w="50" w:type="dxa"/>
              <w:left w:w="90" w:type="dxa"/>
              <w:right w:w="90" w:type="dxa"/>
            </w:tcMar>
            <w:shd w:val="clear" w:color="auto" w:fill="E5F5FF"/>
          </w:tcPr>
          <w:p>
            <w:pPr>
              <w:pStyle w:val="BDOITable"/>
            </w:pPr>
            <w:r>
              <w:rPr>
                <w:sz w:val="16"/>
              </w:rPr>
              <w:t>Submitted Policies</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v1.0</w:t>
            </w:r>
          </w:p>
        </w:tc>
        <w:tc>
          <w:tcPr>
            <w:tcW w:type="dxa" w:w="1205"/>
            <w:tcMar>
              <w:top w:w="50" w:type="dxa"/>
              <w:bottom w:w="50" w:type="dxa"/>
              <w:left w:w="90" w:type="dxa"/>
              <w:right w:w="90" w:type="dxa"/>
            </w:tcMar>
            <w:shd w:val="clear" w:color="auto" w:fill="E5F5FF"/>
          </w:tcPr>
          <w:p>
            <w:pPr>
              <w:pStyle w:val="BDOITable"/>
            </w:pPr>
            <w:r>
              <w:rPr>
                <w:sz w:val="16"/>
              </w:rPr>
              <w:t>31</w:t>
            </w:r>
          </w:p>
        </w:tc>
        <w:tc>
          <w:tcPr>
            <w:tcW w:type="dxa" w:w="1205"/>
            <w:tcMar>
              <w:top w:w="50" w:type="dxa"/>
              <w:bottom w:w="50" w:type="dxa"/>
              <w:left w:w="90" w:type="dxa"/>
              <w:right w:w="90" w:type="dxa"/>
            </w:tcMar>
            <w:shd w:val="clear" w:color="auto" w:fill="E5F5FF"/>
          </w:tcPr>
          <w:p>
            <w:pPr>
              <w:pStyle w:val="BDOITable"/>
            </w:pPr>
            <w:r>
              <w:rPr>
                <w:sz w:val="16"/>
              </w:rPr>
              <w:t>94</w:t>
            </w:r>
          </w:p>
        </w:tc>
        <w:tc>
          <w:tcPr>
            <w:tcW w:type="dxa" w:w="1205"/>
            <w:tcMar>
              <w:top w:w="50" w:type="dxa"/>
              <w:bottom w:w="50" w:type="dxa"/>
              <w:left w:w="90" w:type="dxa"/>
              <w:right w:w="90" w:type="dxa"/>
            </w:tcMar>
            <w:shd w:val="clear" w:color="auto" w:fill="E5F5FF"/>
          </w:tcPr>
          <w:p>
            <w:pPr>
              <w:pStyle w:val="BDOITable"/>
            </w:pPr>
            <w:r>
              <w:rPr>
                <w:sz w:val="16"/>
              </w:rPr>
              <w:t>122</w:t>
            </w:r>
          </w:p>
        </w:tc>
      </w:tr>
      <w:tr>
        <w:trPr>
          <w:cantSplit w:val="true"/>
        </w:trPr>
        <w:tc>
          <w:tcPr>
            <w:tcW w:type="dxa" w:w="870"/>
            <w:tcMar>
              <w:top w:w="50" w:type="dxa"/>
              <w:bottom w:w="50" w:type="dxa"/>
              <w:left w:w="90" w:type="dxa"/>
              <w:right w:w="90" w:type="dxa"/>
            </w:tcMar>
          </w:tcPr>
          <w:p>
            <w:pPr>
              <w:pStyle w:val="BDOITable"/>
            </w:pPr>
            <w:r>
              <w:rPr>
                <w:b/>
                <w:sz w:val="16"/>
              </w:rPr>
              <w:t>BRD-13</w:t>
            </w:r>
          </w:p>
        </w:tc>
        <w:tc>
          <w:tcPr>
            <w:tcW w:type="dxa" w:w="3079"/>
            <w:tcMar>
              <w:top w:w="50" w:type="dxa"/>
              <w:bottom w:w="50" w:type="dxa"/>
              <w:left w:w="90" w:type="dxa"/>
              <w:right w:w="90" w:type="dxa"/>
            </w:tcMar>
          </w:tcPr>
          <w:p>
            <w:pPr>
              <w:pStyle w:val="BDOITable"/>
            </w:pPr>
            <w:r>
              <w:rPr>
                <w:sz w:val="16"/>
              </w:rPr>
              <w:t>Data Migration</w:t>
            </w:r>
          </w:p>
        </w:tc>
        <w:tc>
          <w:tcPr>
            <w:tcW w:type="dxa" w:w="1205"/>
            <w:tcMar>
              <w:top w:w="50" w:type="dxa"/>
              <w:bottom w:w="50" w:type="dxa"/>
              <w:left w:w="90" w:type="dxa"/>
              <w:right w:w="90" w:type="dxa"/>
            </w:tcMar>
          </w:tcPr>
          <w:p>
            <w:pPr>
              <w:pStyle w:val="BDOITable"/>
            </w:pPr>
            <w:r>
              <w:rPr>
                <w:sz w:val="16"/>
              </w:rPr>
              <w:t>Drop 0</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48</w:t>
            </w:r>
          </w:p>
        </w:tc>
        <w:tc>
          <w:tcPr>
            <w:tcW w:type="dxa" w:w="1205"/>
            <w:tcMar>
              <w:top w:w="50" w:type="dxa"/>
              <w:bottom w:w="50" w:type="dxa"/>
              <w:left w:w="90" w:type="dxa"/>
              <w:right w:w="90" w:type="dxa"/>
            </w:tcMar>
          </w:tcPr>
          <w:p>
            <w:pPr>
              <w:pStyle w:val="BDOITable"/>
            </w:pPr>
            <w:r>
              <w:rPr>
                <w:sz w:val="16"/>
              </w:rPr>
              <w:t>194</w:t>
            </w:r>
          </w:p>
        </w:tc>
        <w:tc>
          <w:tcPr>
            <w:tcW w:type="dxa" w:w="1205"/>
            <w:tcMar>
              <w:top w:w="50" w:type="dxa"/>
              <w:bottom w:w="50" w:type="dxa"/>
              <w:left w:w="90" w:type="dxa"/>
              <w:right w:w="90" w:type="dxa"/>
            </w:tcMar>
          </w:tcPr>
          <w:p>
            <w:pPr>
              <w:pStyle w:val="BDOITable"/>
            </w:pPr>
            <w:r>
              <w:rPr>
                <w:sz w:val="16"/>
              </w:rPr>
              <w:t>246</w:t>
            </w:r>
          </w:p>
        </w:tc>
      </w:tr>
    </w:tbl>
    <w:p>
      <w:pPr>
        <w:pStyle w:val="BDOISpacer"/>
      </w:pPr>
    </w:p>
    <w:p>
      <w:pPr>
        <w:pStyle w:val="Heading2"/>
      </w:pPr>
      <w:bookmarkStart w:id="113" w:name="_Toc000113"/>
      <w:r>
        <w:rPr/>
        <w:t>5.2 Coverage targets</w:t>
      </w:r>
      <w:bookmarkEnd w:id="113"/>
    </w:p>
    <w:p>
      <w:pPr>
        <w:pStyle w:val="Caption"/>
        <w:keepNext/>
        <w:spacing w:after="60"/>
      </w:pPr>
      <w:r>
        <w:rPr>
          <w:b/>
          <w:i w:val="0"/>
        </w:rPr>
        <w:t xml:space="preserve">Table 7: </w:t>
      </w:r>
      <w:r>
        <w:rPr/>
        <w:t>Coverage targets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965"/>
        <w:gridCol w:w="1922"/>
        <w:gridCol w:w="1441"/>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Coverage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Measured by</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When</w:t>
            </w:r>
          </w:p>
        </w:tc>
      </w:tr>
      <w:tr>
        <w:trPr>
          <w:cantSplit w:val="true"/>
        </w:trPr>
        <w:tc>
          <w:tcPr>
            <w:tcW w:type="dxa" w:w="2643"/>
            <w:tcMar>
              <w:top w:w="50" w:type="dxa"/>
              <w:bottom w:w="50" w:type="dxa"/>
              <w:left w:w="90" w:type="dxa"/>
              <w:right w:w="90" w:type="dxa"/>
            </w:tcMar>
          </w:tcPr>
          <w:p>
            <w:pPr>
              <w:pStyle w:val="BDOITable"/>
            </w:pPr>
            <w:r>
              <w:rPr>
                <w:sz w:val="16"/>
              </w:rPr>
              <w:t>BRD requirements</w:t>
            </w:r>
          </w:p>
        </w:tc>
        <w:tc>
          <w:tcPr>
            <w:tcW w:type="dxa" w:w="3965"/>
            <w:tcMar>
              <w:top w:w="50" w:type="dxa"/>
              <w:bottom w:w="50" w:type="dxa"/>
              <w:left w:w="90" w:type="dxa"/>
              <w:right w:w="90" w:type="dxa"/>
            </w:tcMar>
          </w:tcPr>
          <w:p>
            <w:pPr>
              <w:pStyle w:val="BDOITable"/>
            </w:pPr>
            <w:r>
              <w:rPr>
                <w:sz w:val="16"/>
              </w:rPr>
              <w:t>100% of the in-scope BRD requirement IDs of a drop traced to at least one test case</w:t>
            </w:r>
          </w:p>
        </w:tc>
        <w:tc>
          <w:tcPr>
            <w:tcW w:type="dxa" w:w="1922"/>
            <w:tcMar>
              <w:top w:w="50" w:type="dxa"/>
              <w:bottom w:w="50" w:type="dxa"/>
              <w:left w:w="90" w:type="dxa"/>
              <w:right w:w="90" w:type="dxa"/>
            </w:tcMar>
          </w:tcPr>
          <w:p>
            <w:pPr>
              <w:pStyle w:val="BDOITable"/>
            </w:pPr>
            <w:r>
              <w:rPr>
                <w:sz w:val="16"/>
              </w:rPr>
              <w:t>Traceability matrix</w:t>
            </w:r>
          </w:p>
        </w:tc>
        <w:tc>
          <w:tcPr>
            <w:tcW w:type="dxa" w:w="1442"/>
            <w:tcMar>
              <w:top w:w="50" w:type="dxa"/>
              <w:bottom w:w="50" w:type="dxa"/>
              <w:left w:w="90" w:type="dxa"/>
              <w:right w:w="90" w:type="dxa"/>
            </w:tcMar>
          </w:tcPr>
          <w:p>
            <w:pPr>
              <w:pStyle w:val="BDOITable"/>
            </w:pPr>
            <w:r>
              <w:rPr>
                <w:sz w:val="16"/>
              </w:rPr>
              <w:t>Test plan approval; UAT entry</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Functional requirements</w:t>
            </w:r>
          </w:p>
        </w:tc>
        <w:tc>
          <w:tcPr>
            <w:tcW w:type="dxa" w:w="3965"/>
            <w:tcMar>
              <w:top w:w="50" w:type="dxa"/>
              <w:bottom w:w="50" w:type="dxa"/>
              <w:left w:w="90" w:type="dxa"/>
              <w:right w:w="90" w:type="dxa"/>
            </w:tcMar>
            <w:shd w:val="clear" w:color="auto" w:fill="E5F5FF"/>
          </w:tcPr>
          <w:p>
            <w:pPr>
              <w:pStyle w:val="BDOITable"/>
            </w:pPr>
            <w:r>
              <w:rPr>
                <w:sz w:val="16"/>
              </w:rPr>
              <w:t>Every FR with at least one positive and one negative case; every condition with a case</w:t>
            </w:r>
          </w:p>
        </w:tc>
        <w:tc>
          <w:tcPr>
            <w:tcW w:type="dxa" w:w="1922"/>
            <w:tcMar>
              <w:top w:w="50" w:type="dxa"/>
              <w:bottom w:w="50" w:type="dxa"/>
              <w:left w:w="90" w:type="dxa"/>
              <w:right w:w="90" w:type="dxa"/>
            </w:tcMar>
            <w:shd w:val="clear" w:color="auto" w:fill="E5F5FF"/>
          </w:tcPr>
          <w:p>
            <w:pPr>
              <w:pStyle w:val="BDOITable"/>
            </w:pPr>
            <w:r>
              <w:rPr>
                <w:sz w:val="16"/>
              </w:rPr>
              <w:t>Test plan check</w:t>
            </w:r>
          </w:p>
        </w:tc>
        <w:tc>
          <w:tcPr>
            <w:tcW w:type="dxa" w:w="1442"/>
            <w:tcMar>
              <w:top w:w="50" w:type="dxa"/>
              <w:bottom w:w="50" w:type="dxa"/>
              <w:left w:w="90" w:type="dxa"/>
              <w:right w:w="90" w:type="dxa"/>
            </w:tcMar>
            <w:shd w:val="clear" w:color="auto" w:fill="E5F5FF"/>
          </w:tcPr>
          <w:p>
            <w:pPr>
              <w:pStyle w:val="BDOITable"/>
            </w:pPr>
            <w:r>
              <w:rPr>
                <w:sz w:val="16"/>
              </w:rPr>
              <w:t>Test plan approval</w:t>
            </w:r>
          </w:p>
        </w:tc>
      </w:tr>
      <w:tr>
        <w:trPr>
          <w:cantSplit w:val="true"/>
        </w:trPr>
        <w:tc>
          <w:tcPr>
            <w:tcW w:type="dxa" w:w="2643"/>
            <w:tcMar>
              <w:top w:w="50" w:type="dxa"/>
              <w:bottom w:w="50" w:type="dxa"/>
              <w:left w:w="90" w:type="dxa"/>
              <w:right w:w="90" w:type="dxa"/>
            </w:tcMar>
          </w:tcPr>
          <w:p>
            <w:pPr>
              <w:pStyle w:val="BDOITable"/>
            </w:pPr>
            <w:r>
              <w:rPr>
                <w:sz w:val="16"/>
              </w:rPr>
              <w:t>Code coverage on new code</w:t>
            </w:r>
          </w:p>
        </w:tc>
        <w:tc>
          <w:tcPr>
            <w:tcW w:type="dxa" w:w="3965"/>
            <w:tcMar>
              <w:top w:w="50" w:type="dxa"/>
              <w:bottom w:w="50" w:type="dxa"/>
              <w:left w:w="90" w:type="dxa"/>
              <w:right w:w="90" w:type="dxa"/>
            </w:tcMar>
          </w:tcPr>
          <w:p>
            <w:pPr>
              <w:pStyle w:val="BDOITable"/>
            </w:pPr>
            <w:r>
              <w:rPr>
                <w:sz w:val="16"/>
              </w:rPr>
              <w:t>Line coverage above 90% on new and changed code</w:t>
            </w:r>
          </w:p>
        </w:tc>
        <w:tc>
          <w:tcPr>
            <w:tcW w:type="dxa" w:w="1922"/>
            <w:tcMar>
              <w:top w:w="50" w:type="dxa"/>
              <w:bottom w:w="50" w:type="dxa"/>
              <w:left w:w="90" w:type="dxa"/>
              <w:right w:w="90" w:type="dxa"/>
            </w:tcMar>
          </w:tcPr>
          <w:p>
            <w:pPr>
              <w:pStyle w:val="BDOITable"/>
            </w:pPr>
            <w:r>
              <w:rPr>
                <w:sz w:val="16"/>
              </w:rPr>
              <w:t>SonarQube new-code gate</w:t>
            </w:r>
          </w:p>
        </w:tc>
        <w:tc>
          <w:tcPr>
            <w:tcW w:type="dxa" w:w="1442"/>
            <w:tcMar>
              <w:top w:w="50" w:type="dxa"/>
              <w:bottom w:w="50" w:type="dxa"/>
              <w:left w:w="90" w:type="dxa"/>
              <w:right w:w="90" w:type="dxa"/>
            </w:tcMar>
          </w:tcPr>
          <w:p>
            <w:pPr>
              <w:pStyle w:val="BDOITable"/>
            </w:pPr>
            <w:r>
              <w:rPr>
                <w:sz w:val="16"/>
              </w:rPr>
              <w:t>Every change</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Code coverage overall</w:t>
            </w:r>
          </w:p>
        </w:tc>
        <w:tc>
          <w:tcPr>
            <w:tcW w:type="dxa" w:w="3965"/>
            <w:tcMar>
              <w:top w:w="50" w:type="dxa"/>
              <w:bottom w:w="50" w:type="dxa"/>
              <w:left w:w="90" w:type="dxa"/>
              <w:right w:w="90" w:type="dxa"/>
            </w:tcMar>
            <w:shd w:val="clear" w:color="auto" w:fill="E5F5FF"/>
          </w:tcPr>
          <w:p>
            <w:pPr>
              <w:pStyle w:val="BDOITable"/>
            </w:pPr>
            <w:r>
              <w:rPr>
                <w:sz w:val="16"/>
              </w:rPr>
              <w:t>At least 80% of lines and 65% of branches</w:t>
            </w:r>
          </w:p>
        </w:tc>
        <w:tc>
          <w:tcPr>
            <w:tcW w:type="dxa" w:w="1922"/>
            <w:tcMar>
              <w:top w:w="50" w:type="dxa"/>
              <w:bottom w:w="50" w:type="dxa"/>
              <w:left w:w="90" w:type="dxa"/>
              <w:right w:w="90" w:type="dxa"/>
            </w:tcMar>
            <w:shd w:val="clear" w:color="auto" w:fill="E5F5FF"/>
          </w:tcPr>
          <w:p>
            <w:pPr>
              <w:pStyle w:val="BDOITable"/>
            </w:pPr>
            <w:r>
              <w:rPr>
                <w:sz w:val="16"/>
              </w:rPr>
              <w:t>CI coverage gate</w:t>
            </w:r>
          </w:p>
        </w:tc>
        <w:tc>
          <w:tcPr>
            <w:tcW w:type="dxa" w:w="1442"/>
            <w:tcMar>
              <w:top w:w="50" w:type="dxa"/>
              <w:bottom w:w="50" w:type="dxa"/>
              <w:left w:w="90" w:type="dxa"/>
              <w:right w:w="90" w:type="dxa"/>
            </w:tcMar>
            <w:shd w:val="clear" w:color="auto" w:fill="E5F5FF"/>
          </w:tcPr>
          <w:p>
            <w:pPr>
              <w:pStyle w:val="BDOITable"/>
            </w:pPr>
            <w:r>
              <w:rPr>
                <w:sz w:val="16"/>
              </w:rPr>
              <w:t>Every change</w:t>
            </w:r>
          </w:p>
        </w:tc>
      </w:tr>
      <w:tr>
        <w:trPr>
          <w:cantSplit w:val="true"/>
        </w:trPr>
        <w:tc>
          <w:tcPr>
            <w:tcW w:type="dxa" w:w="2643"/>
            <w:tcMar>
              <w:top w:w="50" w:type="dxa"/>
              <w:bottom w:w="50" w:type="dxa"/>
              <w:left w:w="90" w:type="dxa"/>
              <w:right w:w="90" w:type="dxa"/>
            </w:tcMar>
          </w:tcPr>
          <w:p>
            <w:pPr>
              <w:pStyle w:val="BDOITable"/>
            </w:pPr>
            <w:r>
              <w:rPr>
                <w:sz w:val="16"/>
              </w:rPr>
              <w:t>Test execution</w:t>
            </w:r>
          </w:p>
        </w:tc>
        <w:tc>
          <w:tcPr>
            <w:tcW w:type="dxa" w:w="3965"/>
            <w:tcMar>
              <w:top w:w="50" w:type="dxa"/>
              <w:bottom w:w="50" w:type="dxa"/>
              <w:left w:w="90" w:type="dxa"/>
              <w:right w:w="90" w:type="dxa"/>
            </w:tcMar>
          </w:tcPr>
          <w:p>
            <w:pPr>
              <w:pStyle w:val="BDOITable"/>
            </w:pPr>
            <w:r>
              <w:rPr>
                <w:sz w:val="16"/>
              </w:rPr>
              <w:t>100% of the cases of the drop run; 100% of Must-have cases passed</w:t>
            </w:r>
          </w:p>
        </w:tc>
        <w:tc>
          <w:tcPr>
            <w:tcW w:type="dxa" w:w="1922"/>
            <w:tcMar>
              <w:top w:w="50" w:type="dxa"/>
              <w:bottom w:w="50" w:type="dxa"/>
              <w:left w:w="90" w:type="dxa"/>
              <w:right w:w="90" w:type="dxa"/>
            </w:tcMar>
          </w:tcPr>
          <w:p>
            <w:pPr>
              <w:pStyle w:val="BDOITable"/>
            </w:pPr>
            <w:r>
              <w:rPr>
                <w:sz w:val="16"/>
              </w:rPr>
              <w:t>Test management tool</w:t>
            </w:r>
          </w:p>
        </w:tc>
        <w:tc>
          <w:tcPr>
            <w:tcW w:type="dxa" w:w="1442"/>
            <w:tcMar>
              <w:top w:w="50" w:type="dxa"/>
              <w:bottom w:w="50" w:type="dxa"/>
              <w:left w:w="90" w:type="dxa"/>
              <w:right w:w="90" w:type="dxa"/>
            </w:tcMar>
          </w:tcPr>
          <w:p>
            <w:pPr>
              <w:pStyle w:val="BDOITable"/>
            </w:pPr>
            <w:r>
              <w:rPr>
                <w:sz w:val="16"/>
              </w:rPr>
              <w:t>SIT exit</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Automated regression</w:t>
            </w:r>
          </w:p>
        </w:tc>
        <w:tc>
          <w:tcPr>
            <w:tcW w:type="dxa" w:w="3965"/>
            <w:tcMar>
              <w:top w:w="50" w:type="dxa"/>
              <w:bottom w:w="50" w:type="dxa"/>
              <w:left w:w="90" w:type="dxa"/>
              <w:right w:w="90" w:type="dxa"/>
            </w:tcMar>
            <w:shd w:val="clear" w:color="auto" w:fill="E5F5FF"/>
          </w:tcPr>
          <w:p>
            <w:pPr>
              <w:pStyle w:val="BDOITable"/>
            </w:pPr>
            <w:r>
              <w:rPr>
                <w:sz w:val="16"/>
              </w:rPr>
              <w:t>The positive main flow of every Must-have FR in the automated regression set</w:t>
            </w:r>
          </w:p>
        </w:tc>
        <w:tc>
          <w:tcPr>
            <w:tcW w:type="dxa" w:w="1922"/>
            <w:tcMar>
              <w:top w:w="50" w:type="dxa"/>
              <w:bottom w:w="50" w:type="dxa"/>
              <w:left w:w="90" w:type="dxa"/>
              <w:right w:w="90" w:type="dxa"/>
            </w:tcMar>
            <w:shd w:val="clear" w:color="auto" w:fill="E5F5FF"/>
          </w:tcPr>
          <w:p>
            <w:pPr>
              <w:pStyle w:val="BDOITable"/>
            </w:pPr>
            <w:r>
              <w:rPr>
                <w:sz w:val="16"/>
              </w:rPr>
              <w:t>Regression suite report</w:t>
            </w:r>
          </w:p>
        </w:tc>
        <w:tc>
          <w:tcPr>
            <w:tcW w:type="dxa" w:w="1442"/>
            <w:tcMar>
              <w:top w:w="50" w:type="dxa"/>
              <w:bottom w:w="50" w:type="dxa"/>
              <w:left w:w="90" w:type="dxa"/>
              <w:right w:w="90" w:type="dxa"/>
            </w:tcMar>
            <w:shd w:val="clear" w:color="auto" w:fill="E5F5FF"/>
          </w:tcPr>
          <w:p>
            <w:pPr>
              <w:pStyle w:val="BDOITable"/>
            </w:pPr>
            <w:r>
              <w:rPr>
                <w:sz w:val="16"/>
              </w:rPr>
              <w:t>SIT exit of each drop</w:t>
            </w:r>
          </w:p>
        </w:tc>
      </w:tr>
      <w:tr>
        <w:trPr>
          <w:cantSplit w:val="true"/>
        </w:trPr>
        <w:tc>
          <w:tcPr>
            <w:tcW w:type="dxa" w:w="2643"/>
            <w:tcMar>
              <w:top w:w="50" w:type="dxa"/>
              <w:bottom w:w="50" w:type="dxa"/>
              <w:left w:w="90" w:type="dxa"/>
              <w:right w:w="90" w:type="dxa"/>
            </w:tcMar>
          </w:tcPr>
          <w:p>
            <w:pPr>
              <w:pStyle w:val="BDOITable"/>
            </w:pPr>
            <w:r>
              <w:rPr>
                <w:sz w:val="16"/>
              </w:rPr>
              <w:t>NFRs</w:t>
            </w:r>
          </w:p>
        </w:tc>
        <w:tc>
          <w:tcPr>
            <w:tcW w:type="dxa" w:w="3965"/>
            <w:tcMar>
              <w:top w:w="50" w:type="dxa"/>
              <w:bottom w:w="50" w:type="dxa"/>
              <w:left w:w="90" w:type="dxa"/>
              <w:right w:w="90" w:type="dxa"/>
            </w:tcMar>
          </w:tcPr>
          <w:p>
            <w:pPr>
              <w:pStyle w:val="BDOITable"/>
            </w:pPr>
            <w:r>
              <w:rPr>
                <w:sz w:val="16"/>
              </w:rPr>
              <w:t>Evidence for every NFR at its stage</w:t>
            </w:r>
          </w:p>
        </w:tc>
        <w:tc>
          <w:tcPr>
            <w:tcW w:type="dxa" w:w="1922"/>
            <w:tcMar>
              <w:top w:w="50" w:type="dxa"/>
              <w:bottom w:w="50" w:type="dxa"/>
              <w:left w:w="90" w:type="dxa"/>
              <w:right w:w="90" w:type="dxa"/>
            </w:tcMar>
          </w:tcPr>
          <w:p>
            <w:pPr>
              <w:pStyle w:val="BDOITable"/>
            </w:pPr>
            <w:r>
              <w:rPr>
                <w:sz w:val="16"/>
              </w:rPr>
              <w:t>NFR register</w:t>
            </w:r>
          </w:p>
        </w:tc>
        <w:tc>
          <w:tcPr>
            <w:tcW w:type="dxa" w:w="1442"/>
            <w:tcMar>
              <w:top w:w="50" w:type="dxa"/>
              <w:bottom w:w="50" w:type="dxa"/>
              <w:left w:w="90" w:type="dxa"/>
              <w:right w:w="90" w:type="dxa"/>
            </w:tcMar>
          </w:tcPr>
          <w:p>
            <w:pPr>
              <w:pStyle w:val="BDOITable"/>
            </w:pPr>
            <w:r>
              <w:rPr>
                <w:sz w:val="16"/>
              </w:rPr>
              <w:t>ORR / PRR</w:t>
            </w:r>
          </w:p>
        </w:tc>
      </w:tr>
    </w:tbl>
    <w:p>
      <w:pPr>
        <w:pStyle w:val="BDOISpacer"/>
      </w:pPr>
    </w:p>
    <w:p>
      <w:r>
        <w:rPr/>
        <w:t>Today the traceability matrix v1.0 covers 2279 of the 2284 in-scope BRD requirement IDs (99.8%); 4 rows are traced to umbrella FRs whose cases sit in the function test plans, and 6 wait for a BDOI decision.</w:t>
      </w:r>
    </w:p>
    <w:p>
      <w:pPr>
        <w:pStyle w:val="Heading1"/>
        <w:pageBreakBefore/>
        <w:pBdr>
          <w:bottom w:val="single" w:sz="4" w:space="4" w:color="99C1E7"/>
        </w:pBdr>
      </w:pPr>
      <w:bookmarkStart w:id="114" w:name="_Toc000114"/>
      <w:r>
        <w:rPr/>
        <w:t>6 Test environments</w:t>
      </w:r>
      <w:bookmarkEnd w:id="114"/>
    </w:p>
    <w:p>
      <w:pPr>
        <w:pStyle w:val="Heading2"/>
      </w:pPr>
      <w:bookmarkStart w:id="115" w:name="_Toc000115"/>
      <w:r>
        <w:rPr/>
        <w:t>6.1 Environment set</w:t>
      </w:r>
      <w:bookmarkEnd w:id="115"/>
    </w:p>
    <w:p>
      <w:pPr>
        <w:pStyle w:val="Caption"/>
        <w:keepNext/>
        <w:spacing w:after="60"/>
      </w:pPr>
      <w:r>
        <w:rPr>
          <w:b/>
          <w:i w:val="0"/>
        </w:rPr>
        <w:t xml:space="preserve">Table 8: </w:t>
      </w:r>
      <w:r>
        <w:rPr/>
        <w:t>Test environments (IER workbook v20; project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2763"/>
        <w:gridCol w:w="2162"/>
        <w:gridCol w:w="1562"/>
        <w:gridCol w:w="2162"/>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5"/>
              </w:rPr>
              <w:t>Environment</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5"/>
              </w:rPr>
              <w:t>Data</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5"/>
              </w:rPr>
              <w:t>Ready by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5"/>
              </w:rPr>
              <w:t>Hours and size</w:t>
            </w:r>
          </w:p>
        </w:tc>
      </w:tr>
      <w:tr>
        <w:trPr>
          <w:cantSplit w:val="true"/>
        </w:trPr>
        <w:tc>
          <w:tcPr>
            <w:tcW w:type="dxa" w:w="1322"/>
            <w:tcMar>
              <w:top w:w="50" w:type="dxa"/>
              <w:bottom w:w="50" w:type="dxa"/>
              <w:left w:w="90" w:type="dxa"/>
              <w:right w:w="90" w:type="dxa"/>
            </w:tcMar>
          </w:tcPr>
          <w:p>
            <w:pPr>
              <w:pStyle w:val="BDOITable"/>
            </w:pPr>
            <w:r>
              <w:rPr>
                <w:sz w:val="15"/>
              </w:rPr>
              <w:t>DEV</w:t>
            </w:r>
          </w:p>
        </w:tc>
        <w:tc>
          <w:tcPr>
            <w:tcW w:type="dxa" w:w="2763"/>
            <w:tcMar>
              <w:top w:w="50" w:type="dxa"/>
              <w:bottom w:w="50" w:type="dxa"/>
              <w:left w:w="90" w:type="dxa"/>
              <w:right w:w="90" w:type="dxa"/>
            </w:tcMar>
          </w:tcPr>
          <w:p>
            <w:pPr>
              <w:pStyle w:val="BDOITable"/>
            </w:pPr>
            <w:r>
              <w:rPr>
                <w:sz w:val="15"/>
              </w:rPr>
              <w:t>Development, unit and integration testing</w:t>
            </w:r>
          </w:p>
        </w:tc>
        <w:tc>
          <w:tcPr>
            <w:tcW w:type="dxa" w:w="2163"/>
            <w:tcMar>
              <w:top w:w="50" w:type="dxa"/>
              <w:bottom w:w="50" w:type="dxa"/>
              <w:left w:w="90" w:type="dxa"/>
              <w:right w:w="90" w:type="dxa"/>
            </w:tcMar>
          </w:tcPr>
          <w:p>
            <w:pPr>
              <w:pStyle w:val="BDOITable"/>
            </w:pPr>
            <w:r>
              <w:rPr>
                <w:sz w:val="15"/>
              </w:rPr>
              <w:t>Seed data</w:t>
            </w:r>
          </w:p>
        </w:tc>
        <w:tc>
          <w:tcPr>
            <w:tcW w:type="dxa" w:w="1562"/>
            <w:tcMar>
              <w:top w:w="50" w:type="dxa"/>
              <w:bottom w:w="50" w:type="dxa"/>
              <w:left w:w="90" w:type="dxa"/>
              <w:right w:w="90" w:type="dxa"/>
            </w:tcMar>
          </w:tcPr>
          <w:p>
            <w:pPr>
              <w:pStyle w:val="BDOITable"/>
            </w:pPr>
            <w:r>
              <w:rPr>
                <w:sz w:val="15"/>
              </w:rPr>
              <w:t>In use</w:t>
            </w:r>
          </w:p>
        </w:tc>
        <w:tc>
          <w:tcPr>
            <w:tcW w:type="dxa" w:w="2163"/>
            <w:tcMar>
              <w:top w:w="50" w:type="dxa"/>
              <w:bottom w:w="50" w:type="dxa"/>
              <w:left w:w="90" w:type="dxa"/>
              <w:right w:w="90" w:type="dxa"/>
            </w:tcMar>
          </w:tcPr>
          <w:p>
            <w:pPr>
              <w:pStyle w:val="BDOITable"/>
            </w:pPr>
            <w:r>
              <w:rPr>
                <w:sz w:val="15"/>
              </w:rPr>
              <w:t>12 x 5; backend 1-2 pods</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SIT</w:t>
            </w:r>
          </w:p>
        </w:tc>
        <w:tc>
          <w:tcPr>
            <w:tcW w:type="dxa" w:w="2763"/>
            <w:tcMar>
              <w:top w:w="50" w:type="dxa"/>
              <w:bottom w:w="50" w:type="dxa"/>
              <w:left w:w="90" w:type="dxa"/>
              <w:right w:w="90" w:type="dxa"/>
            </w:tcMar>
            <w:shd w:val="clear" w:color="auto" w:fill="E5F5FF"/>
          </w:tcPr>
          <w:p>
            <w:pPr>
              <w:pStyle w:val="BDOITable"/>
            </w:pPr>
            <w:r>
              <w:rPr>
                <w:sz w:val="15"/>
              </w:rPr>
              <w:t>System integration test, service interface tests, trial migrations 1 and 2, early security scan</w:t>
            </w:r>
          </w:p>
        </w:tc>
        <w:tc>
          <w:tcPr>
            <w:tcW w:type="dxa" w:w="2163"/>
            <w:tcMar>
              <w:top w:w="50" w:type="dxa"/>
              <w:bottom w:w="50" w:type="dxa"/>
              <w:left w:w="90" w:type="dxa"/>
              <w:right w:w="90" w:type="dxa"/>
            </w:tcMar>
            <w:shd w:val="clear" w:color="auto" w:fill="E5F5FF"/>
          </w:tcPr>
          <w:p>
            <w:pPr>
              <w:pStyle w:val="BDOITable"/>
            </w:pPr>
            <w:r>
              <w:rPr>
                <w:sz w:val="15"/>
              </w:rPr>
              <w:t>Seed data; masked migration loads</w:t>
            </w:r>
          </w:p>
        </w:tc>
        <w:tc>
          <w:tcPr>
            <w:tcW w:type="dxa" w:w="1562"/>
            <w:tcMar>
              <w:top w:w="50" w:type="dxa"/>
              <w:bottom w:w="50" w:type="dxa"/>
              <w:left w:w="90" w:type="dxa"/>
              <w:right w:w="90" w:type="dxa"/>
            </w:tcMar>
            <w:shd w:val="clear" w:color="auto" w:fill="E5F5FF"/>
          </w:tcPr>
          <w:p>
            <w:pPr>
              <w:pStyle w:val="BDOITable"/>
            </w:pPr>
            <w:r>
              <w:rPr>
                <w:sz w:val="15"/>
              </w:rPr>
              <w:t>4 Jan 2027 (DEP-06)</w:t>
            </w:r>
          </w:p>
        </w:tc>
        <w:tc>
          <w:tcPr>
            <w:tcW w:type="dxa" w:w="2163"/>
            <w:tcMar>
              <w:top w:w="50" w:type="dxa"/>
              <w:bottom w:w="50" w:type="dxa"/>
              <w:left w:w="90" w:type="dxa"/>
              <w:right w:w="90" w:type="dxa"/>
            </w:tcMar>
            <w:shd w:val="clear" w:color="auto" w:fill="E5F5FF"/>
          </w:tcPr>
          <w:p>
            <w:pPr>
              <w:pStyle w:val="BDOITable"/>
            </w:pPr>
            <w:r>
              <w:rPr>
                <w:sz w:val="15"/>
              </w:rPr>
              <w:t>12 x 5 plus extended hours for batch and trial migrations; backend 2-3 pods</w:t>
            </w:r>
          </w:p>
        </w:tc>
      </w:tr>
      <w:tr>
        <w:trPr>
          <w:cantSplit w:val="true"/>
        </w:trPr>
        <w:tc>
          <w:tcPr>
            <w:tcW w:type="dxa" w:w="1322"/>
            <w:tcMar>
              <w:top w:w="50" w:type="dxa"/>
              <w:bottom w:w="50" w:type="dxa"/>
              <w:left w:w="90" w:type="dxa"/>
              <w:right w:w="90" w:type="dxa"/>
            </w:tcMar>
          </w:tcPr>
          <w:p>
            <w:pPr>
              <w:pStyle w:val="BDOITable"/>
            </w:pPr>
            <w:r>
              <w:rPr>
                <w:sz w:val="15"/>
              </w:rPr>
              <w:t>UAT</w:t>
            </w:r>
          </w:p>
        </w:tc>
        <w:tc>
          <w:tcPr>
            <w:tcW w:type="dxa" w:w="2763"/>
            <w:tcMar>
              <w:top w:w="50" w:type="dxa"/>
              <w:bottom w:w="50" w:type="dxa"/>
              <w:left w:w="90" w:type="dxa"/>
              <w:right w:w="90" w:type="dxa"/>
            </w:tcMar>
          </w:tcPr>
          <w:p>
            <w:pPr>
              <w:pStyle w:val="BDOITable"/>
            </w:pPr>
            <w:r>
              <w:rPr>
                <w:sz w:val="15"/>
              </w:rPr>
              <w:t>User acceptance test, trial migrations 3 and 4</w:t>
            </w:r>
          </w:p>
        </w:tc>
        <w:tc>
          <w:tcPr>
            <w:tcW w:type="dxa" w:w="2163"/>
            <w:tcMar>
              <w:top w:w="50" w:type="dxa"/>
              <w:bottom w:w="50" w:type="dxa"/>
              <w:left w:w="90" w:type="dxa"/>
              <w:right w:w="90" w:type="dxa"/>
            </w:tcMar>
          </w:tcPr>
          <w:p>
            <w:pPr>
              <w:pStyle w:val="BDOITable"/>
            </w:pPr>
            <w:r>
              <w:rPr>
                <w:sz w:val="15"/>
              </w:rPr>
              <w:t>Masked migrated data (trial migration 3)</w:t>
            </w:r>
          </w:p>
        </w:tc>
        <w:tc>
          <w:tcPr>
            <w:tcW w:type="dxa" w:w="1562"/>
            <w:tcMar>
              <w:top w:w="50" w:type="dxa"/>
              <w:bottom w:w="50" w:type="dxa"/>
              <w:left w:w="90" w:type="dxa"/>
              <w:right w:w="90" w:type="dxa"/>
            </w:tcMar>
          </w:tcPr>
          <w:p>
            <w:pPr>
              <w:pStyle w:val="BDOITable"/>
            </w:pPr>
            <w:r>
              <w:rPr>
                <w:sz w:val="15"/>
              </w:rPr>
              <w:t>19 Jul 2027 (DEP-21)</w:t>
            </w:r>
          </w:p>
        </w:tc>
        <w:tc>
          <w:tcPr>
            <w:tcW w:type="dxa" w:w="2163"/>
            <w:tcMar>
              <w:top w:w="50" w:type="dxa"/>
              <w:bottom w:w="50" w:type="dxa"/>
              <w:left w:w="90" w:type="dxa"/>
              <w:right w:w="90" w:type="dxa"/>
            </w:tcMar>
          </w:tcPr>
          <w:p>
            <w:pPr>
              <w:pStyle w:val="BDOITable"/>
            </w:pPr>
            <w:r>
              <w:rPr>
                <w:sz w:val="15"/>
              </w:rPr>
              <w:t>12 x 5 plus UAT month-end runs; backend 2-4 pods</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Training</w:t>
            </w:r>
          </w:p>
        </w:tc>
        <w:tc>
          <w:tcPr>
            <w:tcW w:type="dxa" w:w="2763"/>
            <w:tcMar>
              <w:top w:w="50" w:type="dxa"/>
              <w:bottom w:w="50" w:type="dxa"/>
              <w:left w:w="90" w:type="dxa"/>
              <w:right w:w="90" w:type="dxa"/>
            </w:tcMar>
            <w:shd w:val="clear" w:color="auto" w:fill="E5F5FF"/>
          </w:tcPr>
          <w:p>
            <w:pPr>
              <w:pStyle w:val="BDOITable"/>
            </w:pPr>
            <w:r>
              <w:rPr>
                <w:sz w:val="15"/>
              </w:rPr>
              <w:t>Key-user and end-user training</w:t>
            </w:r>
          </w:p>
        </w:tc>
        <w:tc>
          <w:tcPr>
            <w:tcW w:type="dxa" w:w="2163"/>
            <w:tcMar>
              <w:top w:w="50" w:type="dxa"/>
              <w:bottom w:w="50" w:type="dxa"/>
              <w:left w:w="90" w:type="dxa"/>
              <w:right w:w="90" w:type="dxa"/>
            </w:tcMar>
            <w:shd w:val="clear" w:color="auto" w:fill="E5F5FF"/>
          </w:tcPr>
          <w:p>
            <w:pPr>
              <w:pStyle w:val="BDOITable"/>
            </w:pPr>
            <w:r>
              <w:rPr>
                <w:sz w:val="15"/>
              </w:rPr>
              <w:t>Seed and masked data, training users</w:t>
            </w:r>
          </w:p>
        </w:tc>
        <w:tc>
          <w:tcPr>
            <w:tcW w:type="dxa" w:w="1562"/>
            <w:tcMar>
              <w:top w:w="50" w:type="dxa"/>
              <w:bottom w:w="50" w:type="dxa"/>
              <w:left w:w="90" w:type="dxa"/>
              <w:right w:w="90" w:type="dxa"/>
            </w:tcMar>
            <w:shd w:val="clear" w:color="auto" w:fill="E5F5FF"/>
          </w:tcPr>
          <w:p>
            <w:pPr>
              <w:pStyle w:val="BDOITable"/>
            </w:pPr>
            <w:r>
              <w:rPr>
                <w:sz w:val="15"/>
              </w:rPr>
              <w:t>19 Jul 2027 (DEP-21)</w:t>
            </w:r>
          </w:p>
        </w:tc>
        <w:tc>
          <w:tcPr>
            <w:tcW w:type="dxa" w:w="2163"/>
            <w:tcMar>
              <w:top w:w="50" w:type="dxa"/>
              <w:bottom w:w="50" w:type="dxa"/>
              <w:left w:w="90" w:type="dxa"/>
              <w:right w:w="90" w:type="dxa"/>
            </w:tcMar>
            <w:shd w:val="clear" w:color="auto" w:fill="E5F5FF"/>
          </w:tcPr>
          <w:p>
            <w:pPr>
              <w:pStyle w:val="BDOITable"/>
            </w:pPr>
            <w:r>
              <w:rPr>
                <w:sz w:val="15"/>
              </w:rPr>
              <w:t>12 x 5</w:t>
            </w:r>
          </w:p>
        </w:tc>
      </w:tr>
      <w:tr>
        <w:trPr>
          <w:cantSplit w:val="true"/>
        </w:trPr>
        <w:tc>
          <w:tcPr>
            <w:tcW w:type="dxa" w:w="1322"/>
            <w:tcMar>
              <w:top w:w="50" w:type="dxa"/>
              <w:bottom w:w="50" w:type="dxa"/>
              <w:left w:w="90" w:type="dxa"/>
              <w:right w:w="90" w:type="dxa"/>
            </w:tcMar>
          </w:tcPr>
          <w:p>
            <w:pPr>
              <w:pStyle w:val="BDOITable"/>
            </w:pPr>
            <w:r>
              <w:rPr>
                <w:sz w:val="15"/>
              </w:rPr>
              <w:t>Pre-Prod</w:t>
            </w:r>
          </w:p>
        </w:tc>
        <w:tc>
          <w:tcPr>
            <w:tcW w:type="dxa" w:w="2763"/>
            <w:tcMar>
              <w:top w:w="50" w:type="dxa"/>
              <w:bottom w:w="50" w:type="dxa"/>
              <w:left w:w="90" w:type="dxa"/>
              <w:right w:w="90" w:type="dxa"/>
            </w:tcMar>
          </w:tcPr>
          <w:p>
            <w:pPr>
              <w:pStyle w:val="BDOITable"/>
            </w:pPr>
            <w:r>
              <w:rPr>
                <w:sz w:val="15"/>
              </w:rPr>
              <w:t>NFT, penetration test, dress rehearsal, release and rollback rehearsal</w:t>
            </w:r>
          </w:p>
        </w:tc>
        <w:tc>
          <w:tcPr>
            <w:tcW w:type="dxa" w:w="2163"/>
            <w:tcMar>
              <w:top w:w="50" w:type="dxa"/>
              <w:bottom w:w="50" w:type="dxa"/>
              <w:left w:w="90" w:type="dxa"/>
              <w:right w:w="90" w:type="dxa"/>
            </w:tcMar>
          </w:tcPr>
          <w:p>
            <w:pPr>
              <w:pStyle w:val="BDOITable"/>
            </w:pPr>
            <w:r>
              <w:rPr>
                <w:sz w:val="15"/>
              </w:rPr>
              <w:t>Production-sized synthetic and masked data</w:t>
            </w:r>
          </w:p>
        </w:tc>
        <w:tc>
          <w:tcPr>
            <w:tcW w:type="dxa" w:w="1562"/>
            <w:tcMar>
              <w:top w:w="50" w:type="dxa"/>
              <w:bottom w:w="50" w:type="dxa"/>
              <w:left w:w="90" w:type="dxa"/>
              <w:right w:w="90" w:type="dxa"/>
            </w:tcMar>
          </w:tcPr>
          <w:p>
            <w:pPr>
              <w:pStyle w:val="BDOITable"/>
            </w:pPr>
            <w:r>
              <w:rPr>
                <w:sz w:val="15"/>
              </w:rPr>
              <w:t>1 Oct 2027 (DEP-23)</w:t>
            </w:r>
          </w:p>
        </w:tc>
        <w:tc>
          <w:tcPr>
            <w:tcW w:type="dxa" w:w="2163"/>
            <w:tcMar>
              <w:top w:w="50" w:type="dxa"/>
              <w:bottom w:w="50" w:type="dxa"/>
              <w:left w:w="90" w:type="dxa"/>
              <w:right w:w="90" w:type="dxa"/>
            </w:tcMar>
          </w:tcPr>
          <w:p>
            <w:pPr>
              <w:pStyle w:val="BDOITable"/>
            </w:pPr>
            <w:r>
              <w:rPr>
                <w:sz w:val="15"/>
              </w:rPr>
              <w:t>Production size; backend 3-6 pods</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DR</w:t>
            </w:r>
          </w:p>
        </w:tc>
        <w:tc>
          <w:tcPr>
            <w:tcW w:type="dxa" w:w="2763"/>
            <w:tcMar>
              <w:top w:w="50" w:type="dxa"/>
              <w:bottom w:w="50" w:type="dxa"/>
              <w:left w:w="90" w:type="dxa"/>
              <w:right w:w="90" w:type="dxa"/>
            </w:tcMar>
            <w:shd w:val="clear" w:color="auto" w:fill="E5F5FF"/>
          </w:tcPr>
          <w:p>
            <w:pPr>
              <w:pStyle w:val="BDOITable"/>
            </w:pPr>
            <w:r>
              <w:rPr>
                <w:sz w:val="15"/>
              </w:rPr>
              <w:t>DR drill and failover</w:t>
            </w:r>
          </w:p>
        </w:tc>
        <w:tc>
          <w:tcPr>
            <w:tcW w:type="dxa" w:w="2163"/>
            <w:tcMar>
              <w:top w:w="50" w:type="dxa"/>
              <w:bottom w:w="50" w:type="dxa"/>
              <w:left w:w="90" w:type="dxa"/>
              <w:right w:w="90" w:type="dxa"/>
            </w:tcMar>
            <w:shd w:val="clear" w:color="auto" w:fill="E5F5FF"/>
          </w:tcPr>
          <w:p>
            <w:pPr>
              <w:pStyle w:val="BDOITable"/>
            </w:pPr>
            <w:r>
              <w:rPr>
                <w:sz w:val="15"/>
              </w:rPr>
              <w:t>Replica of Pre-Prod or production</w:t>
            </w:r>
          </w:p>
        </w:tc>
        <w:tc>
          <w:tcPr>
            <w:tcW w:type="dxa" w:w="1562"/>
            <w:tcMar>
              <w:top w:w="50" w:type="dxa"/>
              <w:bottom w:w="50" w:type="dxa"/>
              <w:left w:w="90" w:type="dxa"/>
              <w:right w:w="90" w:type="dxa"/>
            </w:tcMar>
            <w:shd w:val="clear" w:color="auto" w:fill="E5F5FF"/>
          </w:tcPr>
          <w:p>
            <w:pPr>
              <w:pStyle w:val="BDOITable"/>
            </w:pPr>
            <w:r>
              <w:rPr>
                <w:sz w:val="15"/>
              </w:rPr>
              <w:t>1 Nov 2027 (DEP-25)</w:t>
            </w:r>
          </w:p>
        </w:tc>
        <w:tc>
          <w:tcPr>
            <w:tcW w:type="dxa" w:w="2163"/>
            <w:tcMar>
              <w:top w:w="50" w:type="dxa"/>
              <w:bottom w:w="50" w:type="dxa"/>
              <w:left w:w="90" w:type="dxa"/>
              <w:right w:w="90" w:type="dxa"/>
            </w:tcMar>
            <w:shd w:val="clear" w:color="auto" w:fill="E5F5FF"/>
          </w:tcPr>
          <w:p>
            <w:pPr>
              <w:pStyle w:val="BDOITable"/>
            </w:pPr>
            <w:r>
              <w:rPr>
                <w:sz w:val="15"/>
              </w:rPr>
              <w:t>Standby; scaled at failover</w:t>
            </w:r>
          </w:p>
        </w:tc>
      </w:tr>
      <w:tr>
        <w:trPr>
          <w:cantSplit w:val="true"/>
        </w:trPr>
        <w:tc>
          <w:tcPr>
            <w:tcW w:type="dxa" w:w="1322"/>
            <w:tcMar>
              <w:top w:w="50" w:type="dxa"/>
              <w:bottom w:w="50" w:type="dxa"/>
              <w:left w:w="90" w:type="dxa"/>
              <w:right w:w="90" w:type="dxa"/>
            </w:tcMar>
          </w:tcPr>
          <w:p>
            <w:pPr>
              <w:pStyle w:val="BDOITable"/>
            </w:pPr>
            <w:r>
              <w:rPr>
                <w:sz w:val="15"/>
              </w:rPr>
              <w:t>Production</w:t>
            </w:r>
          </w:p>
        </w:tc>
        <w:tc>
          <w:tcPr>
            <w:tcW w:type="dxa" w:w="2763"/>
            <w:tcMar>
              <w:top w:w="50" w:type="dxa"/>
              <w:bottom w:w="50" w:type="dxa"/>
              <w:left w:w="90" w:type="dxa"/>
              <w:right w:w="90" w:type="dxa"/>
            </w:tcMar>
          </w:tcPr>
          <w:p>
            <w:pPr>
              <w:pStyle w:val="BDOITable"/>
            </w:pPr>
            <w:r>
              <w:rPr>
                <w:sz w:val="15"/>
              </w:rPr>
              <w:t>Go-live check only; no testing with business data</w:t>
            </w:r>
          </w:p>
        </w:tc>
        <w:tc>
          <w:tcPr>
            <w:tcW w:type="dxa" w:w="2163"/>
            <w:tcMar>
              <w:top w:w="50" w:type="dxa"/>
              <w:bottom w:w="50" w:type="dxa"/>
              <w:left w:w="90" w:type="dxa"/>
              <w:right w:w="90" w:type="dxa"/>
            </w:tcMar>
          </w:tcPr>
          <w:p>
            <w:pPr>
              <w:pStyle w:val="BDOITable"/>
            </w:pPr>
            <w:r>
              <w:rPr>
                <w:sz w:val="15"/>
              </w:rPr>
              <w:t>Production</w:t>
            </w:r>
          </w:p>
        </w:tc>
        <w:tc>
          <w:tcPr>
            <w:tcW w:type="dxa" w:w="1562"/>
            <w:tcMar>
              <w:top w:w="50" w:type="dxa"/>
              <w:bottom w:w="50" w:type="dxa"/>
              <w:left w:w="90" w:type="dxa"/>
              <w:right w:w="90" w:type="dxa"/>
            </w:tcMar>
          </w:tcPr>
          <w:p>
            <w:pPr>
              <w:pStyle w:val="BDOITable"/>
            </w:pPr>
            <w:r>
              <w:rPr>
                <w:sz w:val="15"/>
              </w:rPr>
              <w:t>1 Nov 2027 (DEP-25)</w:t>
            </w:r>
          </w:p>
        </w:tc>
        <w:tc>
          <w:tcPr>
            <w:tcW w:type="dxa" w:w="2163"/>
            <w:tcMar>
              <w:top w:w="50" w:type="dxa"/>
              <w:bottom w:w="50" w:type="dxa"/>
              <w:left w:w="90" w:type="dxa"/>
              <w:right w:w="90" w:type="dxa"/>
            </w:tcMar>
          </w:tcPr>
          <w:p>
            <w:pPr>
              <w:pStyle w:val="BDOITable"/>
            </w:pPr>
            <w:r>
              <w:rPr>
                <w:sz w:val="15"/>
              </w:rPr>
              <w:t>24 x 7</w:t>
            </w:r>
          </w:p>
        </w:tc>
      </w:tr>
    </w:tbl>
    <w:p>
      <w:pPr>
        <w:pStyle w:val="BDOISpacer"/>
      </w:pPr>
    </w:p>
    <w:p>
      <w:pPr>
        <w:pStyle w:val="Heading2"/>
      </w:pPr>
      <w:bookmarkStart w:id="116" w:name="_Toc000116"/>
      <w:r>
        <w:rPr/>
        <w:t>6.2 Environment rules</w:t>
      </w:r>
      <w:bookmarkEnd w:id="116"/>
    </w:p>
    <w:p>
      <w:pPr>
        <w:tabs>
          <w:tab w:pos="312" w:val="left"/>
        </w:tabs>
        <w:spacing w:after="40"/>
        <w:ind w:left="312" w:hanging="283"/>
      </w:pPr>
      <w:r>
        <w:rPr>
          <w:color w:val="004EA8"/>
        </w:rPr>
        <w:t>•</w:t>
        <w:tab/>
      </w:r>
      <w:r>
        <w:rPr/>
        <w:t>Each environment runs the component baseline of 8 October 2026 (PostgreSQL 16, Valkey 8, Kafka 3.9, OpenJDK 21, Spring Boot 3.5, nginx, managed Kubernetes with the Gateway API) at the same versions as production.</w:t>
      </w:r>
    </w:p>
    <w:p>
      <w:pPr>
        <w:tabs>
          <w:tab w:pos="312" w:val="left"/>
        </w:tabs>
        <w:spacing w:after="40"/>
        <w:ind w:left="312" w:hanging="283"/>
      </w:pPr>
      <w:r>
        <w:rPr>
          <w:color w:val="004EA8"/>
        </w:rPr>
        <w:t>•</w:t>
        <w:tab/>
      </w:r>
      <w:r>
        <w:rPr/>
        <w:t>Releases reach SIT, UAT and Pre-Prod through the same pipeline and release notes; no change is made by hand in an environment.</w:t>
      </w:r>
    </w:p>
    <w:p>
      <w:pPr>
        <w:tabs>
          <w:tab w:pos="312" w:val="left"/>
        </w:tabs>
        <w:spacing w:after="40"/>
        <w:ind w:left="312" w:hanging="283"/>
      </w:pPr>
      <w:r>
        <w:rPr>
          <w:color w:val="004EA8"/>
        </w:rPr>
        <w:t>•</w:t>
        <w:tab/>
      </w:r>
      <w:r>
        <w:rPr/>
        <w:t>Scheduled jobs of non-production environments run inside the 12 x 5 hours; batch, month-end and trial-migration cycles get extended hours booked one week ahead with BDOI IT.</w:t>
      </w:r>
    </w:p>
    <w:p>
      <w:pPr>
        <w:tabs>
          <w:tab w:pos="312" w:val="left"/>
        </w:tabs>
        <w:spacing w:after="40"/>
        <w:ind w:left="312" w:hanging="283"/>
      </w:pPr>
      <w:r>
        <w:rPr>
          <w:color w:val="004EA8"/>
        </w:rPr>
        <w:t>•</w:t>
        <w:tab/>
      </w:r>
      <w:r>
        <w:rPr/>
        <w:t>Partner systems that are not ready are replaced by simulators that follow the agreed contract; each simulator is switched to the real system as soon as it is available, and the interface cases are re-run.</w:t>
      </w:r>
    </w:p>
    <w:p>
      <w:pPr>
        <w:tabs>
          <w:tab w:pos="312" w:val="left"/>
        </w:tabs>
        <w:spacing w:after="120"/>
        <w:ind w:left="312" w:hanging="283"/>
      </w:pPr>
      <w:r>
        <w:rPr>
          <w:color w:val="004EA8"/>
        </w:rPr>
        <w:t>•</w:t>
        <w:tab/>
      </w:r>
      <w:r>
        <w:rPr/>
        <w:t>Access to SIT and UAT is by named SIT and UAT users per persona; access to Pre-Prod and DR follows production rules.</w:t>
      </w:r>
    </w:p>
    <w:p>
      <w:pPr>
        <w:pStyle w:val="Heading1"/>
        <w:pageBreakBefore/>
        <w:pBdr>
          <w:bottom w:val="single" w:sz="4" w:space="4" w:color="99C1E7"/>
        </w:pBdr>
      </w:pPr>
      <w:bookmarkStart w:id="117" w:name="_Toc000117"/>
      <w:r>
        <w:rPr/>
        <w:t>7 Non-functional testing</w:t>
      </w:r>
      <w:bookmarkEnd w:id="117"/>
    </w:p>
    <w:p>
      <w:pPr>
        <w:pStyle w:val="Heading2"/>
      </w:pPr>
      <w:bookmarkStart w:id="118" w:name="_Toc000118"/>
      <w:r>
        <w:rPr/>
        <w:t>7.1 Performance and volume</w:t>
      </w:r>
      <w:bookmarkEnd w:id="118"/>
    </w:p>
    <w:p>
      <w:pPr>
        <w:tabs>
          <w:tab w:pos="312" w:val="left"/>
        </w:tabs>
        <w:spacing w:after="40"/>
        <w:ind w:left="312" w:hanging="283"/>
      </w:pPr>
      <w:r>
        <w:rPr>
          <w:color w:val="004EA8"/>
        </w:rPr>
        <w:t>•</w:t>
        <w:tab/>
      </w:r>
      <w:r>
        <w:rPr>
          <w:b/>
        </w:rPr>
        <w:t>Workload model.</w:t>
      </w:r>
      <w:r>
        <w:rPr/>
        <w:t xml:space="preserve"> From NFR-CAP-02 and the peaks of NFR-CAP-05: transaction mix per persona, hourly rates and think times, approved by the BIBS Product Owner before the runs.</w:t>
      </w:r>
    </w:p>
    <w:p>
      <w:pPr>
        <w:tabs>
          <w:tab w:pos="312" w:val="left"/>
        </w:tabs>
        <w:spacing w:after="40"/>
        <w:ind w:left="312" w:hanging="283"/>
      </w:pPr>
      <w:r>
        <w:rPr>
          <w:color w:val="004EA8"/>
        </w:rPr>
        <w:t>•</w:t>
        <w:tab/>
      </w:r>
      <w:r>
        <w:rPr>
          <w:b/>
        </w:rPr>
        <w:t>Scenarios.</w:t>
      </w:r>
      <w:r>
        <w:rPr/>
        <w:t xml:space="preserve"> Load: 60 minutes at the design load (150 concurrent users, year 1). Peak: 60 minutes at 429 concurrent sessions. Stress: steps of 10% above the peak until a target breaks. Soak: 8 hours at the design load. Volume: reports, files and the night window on year-5 data.</w:t>
      </w:r>
    </w:p>
    <w:p>
      <w:pPr>
        <w:tabs>
          <w:tab w:pos="312" w:val="left"/>
        </w:tabs>
        <w:spacing w:after="40"/>
        <w:ind w:left="312" w:hanging="283"/>
      </w:pPr>
      <w:r>
        <w:rPr>
          <w:color w:val="004EA8"/>
        </w:rPr>
        <w:t>•</w:t>
        <w:tab/>
      </w:r>
      <w:r>
        <w:rPr>
          <w:b/>
        </w:rPr>
        <w:t>Tool.</w:t>
      </w:r>
      <w:r>
        <w:rPr/>
        <w:t xml:space="preserve"> Apache JMeter 5.6 (IER VDI list); results with the server metrics of the monitoring platform.</w:t>
      </w:r>
    </w:p>
    <w:p>
      <w:pPr>
        <w:tabs>
          <w:tab w:pos="312" w:val="left"/>
        </w:tabs>
        <w:spacing w:after="120"/>
        <w:ind w:left="312" w:hanging="283"/>
      </w:pPr>
      <w:r>
        <w:rPr>
          <w:color w:val="004EA8"/>
        </w:rPr>
        <w:t>•</w:t>
        <w:tab/>
      </w:r>
      <w:r>
        <w:rPr>
          <w:b/>
        </w:rPr>
        <w:t>Baseline.</w:t>
      </w:r>
      <w:r>
        <w:rPr/>
        <w:t xml:space="preserve"> A first load run in SIT in June 2027 finds design issues early; the formal NFT runs on Pre-Prod from 1 November to 15 December 2027.</w:t>
      </w:r>
    </w:p>
    <w:p>
      <w:pPr>
        <w:pStyle w:val="Caption"/>
        <w:keepNext/>
        <w:spacing w:after="60"/>
      </w:pPr>
      <w:r>
        <w:rPr>
          <w:b/>
          <w:i w:val="0"/>
        </w:rPr>
        <w:t xml:space="preserve">Table 9: </w:t>
      </w:r>
      <w:r>
        <w:rPr/>
        <w:t>Targets of the non-functional tests (from the NFR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NFR-PRF-04</w:t>
            </w:r>
          </w:p>
        </w:tc>
        <w:tc>
          <w:tcPr>
            <w:tcW w:type="dxa" w:w="1802"/>
            <w:tcMar>
              <w:top w:w="50" w:type="dxa"/>
              <w:bottom w:w="50" w:type="dxa"/>
              <w:left w:w="90" w:type="dxa"/>
              <w:right w:w="90" w:type="dxa"/>
            </w:tcMar>
            <w:shd w:val="clear" w:color="auto" w:fill="E5F5FF"/>
          </w:tcPr>
          <w:p>
            <w:pPr>
              <w:pStyle w:val="BDOITable"/>
            </w:pPr>
            <w:r>
              <w:rPr>
                <w:sz w:val="16"/>
              </w:rPr>
              <w:t>Long-running reports, extracts and scheduled files</w:t>
            </w:r>
          </w:p>
        </w:tc>
        <w:tc>
          <w:tcPr>
            <w:tcW w:type="dxa" w:w="5647"/>
            <w:tcMar>
              <w:top w:w="50" w:type="dxa"/>
              <w:bottom w:w="50" w:type="dxa"/>
              <w:left w:w="90" w:type="dxa"/>
              <w:right w:w="90" w:type="dxa"/>
            </w:tcMar>
            <w:shd w:val="clear" w:color="auto" w:fill="E5F5FF"/>
          </w:tcPr>
          <w:p>
            <w:pPr>
              <w:pStyle w:val="BDOITable"/>
            </w:pPr>
            <w:r>
              <w:rPr>
                <w:sz w:val="16"/>
              </w:rPr>
              <w:t>Daily file at most 3 minutes, weekly at most 10 minutes, monthly at most 15 minutes, at year-5 volumes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NFR-PRF-05</w:t>
            </w:r>
          </w:p>
        </w:tc>
        <w:tc>
          <w:tcPr>
            <w:tcW w:type="dxa" w:w="1802"/>
            <w:tcMar>
              <w:top w:w="50" w:type="dxa"/>
              <w:bottom w:w="50" w:type="dxa"/>
              <w:left w:w="90" w:type="dxa"/>
              <w:right w:w="90" w:type="dxa"/>
            </w:tcMar>
          </w:tcPr>
          <w:p>
            <w:pPr>
              <w:pStyle w:val="BDOITable"/>
            </w:pPr>
            <w:r>
              <w:rPr>
                <w:sz w:val="16"/>
              </w:rPr>
              <w:t>Bulk uploads</w:t>
            </w:r>
          </w:p>
        </w:tc>
        <w:tc>
          <w:tcPr>
            <w:tcW w:type="dxa" w:w="5647"/>
            <w:tcMar>
              <w:top w:w="50" w:type="dxa"/>
              <w:bottom w:w="50" w:type="dxa"/>
              <w:left w:w="90" w:type="dxa"/>
              <w:right w:w="90" w:type="dxa"/>
            </w:tcMar>
          </w:tcPr>
          <w:p>
            <w:pPr>
              <w:pStyle w:val="BDOITable"/>
            </w:pPr>
            <w:r>
              <w:rPr>
                <w:sz w:val="16"/>
              </w:rPr>
              <w:t>Acknowledgement within 3 seconds; a 5,000-row file validated and committed within 10 minutes</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NFR-PRF-07</w:t>
            </w:r>
          </w:p>
        </w:tc>
        <w:tc>
          <w:tcPr>
            <w:tcW w:type="dxa" w:w="1802"/>
            <w:tcMar>
              <w:top w:w="50" w:type="dxa"/>
              <w:bottom w:w="50" w:type="dxa"/>
              <w:left w:w="90" w:type="dxa"/>
              <w:right w:w="90" w:type="dxa"/>
            </w:tcMar>
            <w:shd w:val="clear" w:color="auto" w:fill="E5F5FF"/>
          </w:tcPr>
          <w:p>
            <w:pPr>
              <w:pStyle w:val="BDOITable"/>
            </w:pPr>
            <w:r>
              <w:rPr>
                <w:sz w:val="16"/>
              </w:rPr>
              <w:t>Night batch window</w:t>
            </w:r>
          </w:p>
        </w:tc>
        <w:tc>
          <w:tcPr>
            <w:tcW w:type="dxa" w:w="5647"/>
            <w:tcMar>
              <w:top w:w="50" w:type="dxa"/>
              <w:bottom w:w="50" w:type="dxa"/>
              <w:left w:w="90" w:type="dxa"/>
              <w:right w:w="90" w:type="dxa"/>
            </w:tcMar>
            <w:shd w:val="clear" w:color="auto" w:fill="E5F5FF"/>
          </w:tcPr>
          <w:p>
            <w:pPr>
              <w:pStyle w:val="BDOITable"/>
            </w:pPr>
            <w:r>
              <w:rPr>
                <w:sz w:val="16"/>
              </w:rPr>
              <w:t>The chain from 20:00 to 05:30 PHT completes before 06:00 PHT at year-5 volumes; a failed job can be re-run within the window</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NFR-CAP-01</w:t>
            </w:r>
          </w:p>
        </w:tc>
        <w:tc>
          <w:tcPr>
            <w:tcW w:type="dxa" w:w="1802"/>
            <w:tcMar>
              <w:top w:w="50" w:type="dxa"/>
              <w:bottom w:w="50" w:type="dxa"/>
              <w:left w:w="90" w:type="dxa"/>
              <w:right w:w="90" w:type="dxa"/>
            </w:tcMar>
          </w:tcPr>
          <w:p>
            <w:pPr>
              <w:pStyle w:val="BDOITable"/>
            </w:pPr>
            <w:r>
              <w:rPr>
                <w:sz w:val="16"/>
              </w:rPr>
              <w:t>Users</w:t>
            </w:r>
          </w:p>
        </w:tc>
        <w:tc>
          <w:tcPr>
            <w:tcW w:type="dxa" w:w="5647"/>
            <w:tcMar>
              <w:top w:w="50" w:type="dxa"/>
              <w:bottom w:w="50" w:type="dxa"/>
              <w:left w:w="90" w:type="dxa"/>
              <w:right w:w="90" w:type="dxa"/>
            </w:tcMar>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NFR-CAP-02</w:t>
            </w:r>
          </w:p>
        </w:tc>
        <w:tc>
          <w:tcPr>
            <w:tcW w:type="dxa" w:w="1802"/>
            <w:tcMar>
              <w:top w:w="50" w:type="dxa"/>
              <w:bottom w:w="50" w:type="dxa"/>
              <w:left w:w="90" w:type="dxa"/>
              <w:right w:w="90" w:type="dxa"/>
            </w:tcMar>
            <w:shd w:val="clear" w:color="auto" w:fill="E5F5FF"/>
          </w:tcPr>
          <w:p>
            <w:pPr>
              <w:pStyle w:val="BDOITable"/>
            </w:pPr>
            <w:r>
              <w:rPr>
                <w:sz w:val="16"/>
              </w:rPr>
              <w:t>Transaction volumes</w:t>
            </w:r>
          </w:p>
        </w:tc>
        <w:tc>
          <w:tcPr>
            <w:tcW w:type="dxa" w:w="5647"/>
            <w:tcMar>
              <w:top w:w="50" w:type="dxa"/>
              <w:bottom w:w="50" w:type="dxa"/>
              <w:left w:w="90" w:type="dxa"/>
              <w:right w:w="90" w:type="dxa"/>
            </w:tcMar>
            <w:shd w:val="clear" w:color="auto" w:fill="E5F5FF"/>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NFR-CAP-05</w:t>
            </w:r>
          </w:p>
        </w:tc>
        <w:tc>
          <w:tcPr>
            <w:tcW w:type="dxa" w:w="1802"/>
            <w:tcMar>
              <w:top w:w="50" w:type="dxa"/>
              <w:bottom w:w="50" w:type="dxa"/>
              <w:left w:w="90" w:type="dxa"/>
              <w:right w:w="90" w:type="dxa"/>
            </w:tcMar>
          </w:tcPr>
          <w:p>
            <w:pPr>
              <w:pStyle w:val="BDOITable"/>
            </w:pPr>
            <w:r>
              <w:rPr>
                <w:sz w:val="16"/>
              </w:rPr>
              <w:t>Peak periods</w:t>
            </w:r>
          </w:p>
        </w:tc>
        <w:tc>
          <w:tcPr>
            <w:tcW w:type="dxa" w:w="5647"/>
            <w:tcMar>
              <w:top w:w="50" w:type="dxa"/>
              <w:bottom w:w="50" w:type="dxa"/>
              <w:left w:w="90" w:type="dxa"/>
              <w:right w:w="90" w:type="dxa"/>
            </w:tcMar>
          </w:tcPr>
          <w:p>
            <w:pPr>
              <w:pStyle w:val="BDOITable"/>
            </w:pPr>
            <w:r>
              <w:rPr>
                <w:sz w:val="16"/>
              </w:rPr>
              <w:t>1.5 times the average daily volume on the 15th, the 30th, month-end and year-end, within NFR-PRF-01 and NFR-PRF-02</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NFR-SCL-01</w:t>
            </w:r>
          </w:p>
        </w:tc>
        <w:tc>
          <w:tcPr>
            <w:tcW w:type="dxa" w:w="1802"/>
            <w:tcMar>
              <w:top w:w="50" w:type="dxa"/>
              <w:bottom w:w="50" w:type="dxa"/>
              <w:left w:w="90" w:type="dxa"/>
              <w:right w:w="90" w:type="dxa"/>
            </w:tcMar>
            <w:shd w:val="clear" w:color="auto" w:fill="E5F5FF"/>
          </w:tcPr>
          <w:p>
            <w:pPr>
              <w:pStyle w:val="BDOITable"/>
            </w:pPr>
            <w:r>
              <w:rPr>
                <w:sz w:val="16"/>
              </w:rPr>
              <w:t>Horizontal scaling without downtime</w:t>
            </w:r>
          </w:p>
        </w:tc>
        <w:tc>
          <w:tcPr>
            <w:tcW w:type="dxa" w:w="5647"/>
            <w:tcMar>
              <w:top w:w="50" w:type="dxa"/>
              <w:bottom w:w="50" w:type="dxa"/>
              <w:left w:w="90" w:type="dxa"/>
              <w:right w:w="90" w:type="dxa"/>
            </w:tcMar>
            <w:shd w:val="clear" w:color="auto" w:fill="E5F5FF"/>
          </w:tcPr>
          <w:p>
            <w:pPr>
              <w:pStyle w:val="BDOITable"/>
            </w:pPr>
            <w:r>
              <w:rPr>
                <w:sz w:val="16"/>
              </w:rPr>
              <w:t>Production backend 3 to 6 pods in year 1 and 4 to 8 in year 5 by CPU-based autoscaling; a scale-out completes within 5 minutes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NFR-SCL-04</w:t>
            </w:r>
          </w:p>
        </w:tc>
        <w:tc>
          <w:tcPr>
            <w:tcW w:type="dxa" w:w="1802"/>
            <w:tcMar>
              <w:top w:w="50" w:type="dxa"/>
              <w:bottom w:w="50" w:type="dxa"/>
              <w:left w:w="90" w:type="dxa"/>
              <w:right w:w="90" w:type="dxa"/>
            </w:tcMar>
          </w:tcPr>
          <w:p>
            <w:pPr>
              <w:pStyle w:val="BDOITable"/>
            </w:pPr>
            <w:r>
              <w:rPr>
                <w:sz w:val="16"/>
              </w:rPr>
              <w:t>Growth headroom</w:t>
            </w:r>
          </w:p>
        </w:tc>
        <w:tc>
          <w:tcPr>
            <w:tcW w:type="dxa" w:w="5647"/>
            <w:tcMar>
              <w:top w:w="50" w:type="dxa"/>
              <w:bottom w:w="50" w:type="dxa"/>
              <w:left w:w="90" w:type="dxa"/>
              <w:right w:w="90" w:type="dxa"/>
            </w:tcMar>
          </w:tcPr>
          <w:p>
            <w:pPr>
              <w:pStyle w:val="BDOITable"/>
            </w:pPr>
            <w:r>
              <w:rPr>
                <w:sz w:val="16"/>
              </w:rPr>
              <w:t>At the year-5 peak, CPU and memory use of the cluster below 70%</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NFR-AVL-04</w:t>
            </w:r>
          </w:p>
        </w:tc>
        <w:tc>
          <w:tcPr>
            <w:tcW w:type="dxa" w:w="1802"/>
            <w:tcMar>
              <w:top w:w="50" w:type="dxa"/>
              <w:bottom w:w="50" w:type="dxa"/>
              <w:left w:w="90" w:type="dxa"/>
              <w:right w:w="90" w:type="dxa"/>
            </w:tcMar>
            <w:shd w:val="clear" w:color="auto" w:fill="E5F5FF"/>
          </w:tcPr>
          <w:p>
            <w:pPr>
              <w:pStyle w:val="BDOITable"/>
            </w:pPr>
            <w:r>
              <w:rPr>
                <w:sz w:val="16"/>
              </w:rPr>
              <w:t>No single point of failure</w:t>
            </w:r>
          </w:p>
        </w:tc>
        <w:tc>
          <w:tcPr>
            <w:tcW w:type="dxa" w:w="5647"/>
            <w:tcMar>
              <w:top w:w="50" w:type="dxa"/>
              <w:bottom w:w="50" w:type="dxa"/>
              <w:left w:w="90" w:type="dxa"/>
              <w:right w:w="90" w:type="dxa"/>
            </w:tcMar>
            <w:shd w:val="clear" w:color="auto" w:fill="E5F5FF"/>
          </w:tcPr>
          <w:p>
            <w:pPr>
              <w:pStyle w:val="BDOITable"/>
            </w:pPr>
            <w:r>
              <w:rPr>
                <w:sz w:val="16"/>
              </w:rPr>
              <w:t>Backend at least 3 pods over 3 availability zones (at least 2 available during changes); web tier at least 2 pods; PostgreSQL 16 Multi-AZ; Kafka 3 brokers; Valkey primary and replica in two zones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NFR-AVL-05</w:t>
            </w:r>
          </w:p>
        </w:tc>
        <w:tc>
          <w:tcPr>
            <w:tcW w:type="dxa" w:w="1802"/>
            <w:tcMar>
              <w:top w:w="50" w:type="dxa"/>
              <w:bottom w:w="50" w:type="dxa"/>
              <w:left w:w="90" w:type="dxa"/>
              <w:right w:w="90" w:type="dxa"/>
            </w:tcMar>
          </w:tcPr>
          <w:p>
            <w:pPr>
              <w:pStyle w:val="BDOITable"/>
            </w:pPr>
            <w:r>
              <w:rPr>
                <w:sz w:val="16"/>
              </w:rPr>
              <w:t>Graceful degradation</w:t>
            </w:r>
          </w:p>
        </w:tc>
        <w:tc>
          <w:tcPr>
            <w:tcW w:type="dxa" w:w="5647"/>
            <w:tcMar>
              <w:top w:w="50" w:type="dxa"/>
              <w:bottom w:w="50" w:type="dxa"/>
              <w:left w:w="90" w:type="dxa"/>
              <w:right w:w="90" w:type="dxa"/>
            </w:tcMar>
          </w:tcPr>
          <w:p>
            <w:pPr>
              <w:pStyle w:val="BDOITable"/>
            </w:pPr>
            <w:r>
              <w:rPr>
                <w:sz w:val="16"/>
              </w:rPr>
              <w:t>Valkey outage - sign-in checks fall back to PostgreSQL; Kafka outage - events wait in the outbox and are delivered on recovery with none lost or delivered twice to the consumer</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NFR-REC-01</w:t>
            </w:r>
          </w:p>
        </w:tc>
        <w:tc>
          <w:tcPr>
            <w:tcW w:type="dxa" w:w="1802"/>
            <w:tcMar>
              <w:top w:w="50" w:type="dxa"/>
              <w:bottom w:w="50" w:type="dxa"/>
              <w:left w:w="90" w:type="dxa"/>
              <w:right w:w="90" w:type="dxa"/>
            </w:tcMar>
            <w:shd w:val="clear" w:color="auto" w:fill="E5F5FF"/>
          </w:tcPr>
          <w:p>
            <w:pPr>
              <w:pStyle w:val="BDOITable"/>
            </w:pPr>
            <w:r>
              <w:rPr>
                <w:sz w:val="16"/>
              </w:rPr>
              <w:t>Recovery point objective (RPO)</w:t>
            </w:r>
          </w:p>
        </w:tc>
        <w:tc>
          <w:tcPr>
            <w:tcW w:type="dxa" w:w="5647"/>
            <w:tcMar>
              <w:top w:w="50" w:type="dxa"/>
              <w:bottom w:w="50" w:type="dxa"/>
              <w:left w:w="90" w:type="dxa"/>
              <w:right w:w="90" w:type="dxa"/>
            </w:tcMar>
            <w:shd w:val="clear" w:color="auto" w:fill="E5F5FF"/>
          </w:tcPr>
          <w:p>
            <w:pPr>
              <w:pStyle w:val="BDOITable"/>
            </w:pPr>
            <w:r>
              <w:rPr>
                <w:sz w:val="16"/>
              </w:rPr>
              <w:t>RPO at most 15 minutes for data and documents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NFR-REC-02</w:t>
            </w:r>
          </w:p>
        </w:tc>
        <w:tc>
          <w:tcPr>
            <w:tcW w:type="dxa" w:w="1802"/>
            <w:tcMar>
              <w:top w:w="50" w:type="dxa"/>
              <w:bottom w:w="50" w:type="dxa"/>
              <w:left w:w="90" w:type="dxa"/>
              <w:right w:w="90" w:type="dxa"/>
            </w:tcMar>
          </w:tcPr>
          <w:p>
            <w:pPr>
              <w:pStyle w:val="BDOITable"/>
            </w:pPr>
            <w:r>
              <w:rPr>
                <w:sz w:val="16"/>
              </w:rPr>
              <w:t>Recovery time objective (RTO)</w:t>
            </w:r>
          </w:p>
        </w:tc>
        <w:tc>
          <w:tcPr>
            <w:tcW w:type="dxa" w:w="5647"/>
            <w:tcMar>
              <w:top w:w="50" w:type="dxa"/>
              <w:bottom w:w="50" w:type="dxa"/>
              <w:left w:w="90" w:type="dxa"/>
              <w:right w:w="90" w:type="dxa"/>
            </w:tcMar>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tcPr>
          <w:p>
            <w:pPr>
              <w:pStyle w:val="BDOITable"/>
            </w:pPr>
            <w:r>
              <w:rPr>
                <w:sz w:val="16"/>
              </w:rPr>
              <w:t>ALIGNED</w:t>
            </w:r>
          </w:p>
        </w:tc>
      </w:tr>
    </w:tbl>
    <w:p>
      <w:pPr>
        <w:pStyle w:val="BDOISpacer"/>
      </w:pPr>
    </w:p>
    <w:p>
      <w:pPr>
        <w:pStyle w:val="Heading2"/>
      </w:pPr>
      <w:bookmarkStart w:id="119" w:name="_Toc000119"/>
      <w:r>
        <w:rPr/>
        <w:t>7.2 Security</w:t>
      </w:r>
      <w:bookmarkEnd w:id="119"/>
    </w:p>
    <w:p>
      <w:pPr>
        <w:tabs>
          <w:tab w:pos="312" w:val="left"/>
        </w:tabs>
        <w:spacing w:after="40"/>
        <w:ind w:left="312" w:hanging="283"/>
      </w:pPr>
      <w:r>
        <w:rPr>
          <w:color w:val="004EA8"/>
        </w:rPr>
        <w:t>•</w:t>
        <w:tab/>
      </w:r>
      <w:r>
        <w:rPr/>
        <w:t>Every change: SAST, dependency, container image and secret scans of the CI pipeline (NFR-SEC-07).</w:t>
      </w:r>
    </w:p>
    <w:p>
      <w:pPr>
        <w:tabs>
          <w:tab w:pos="312" w:val="left"/>
        </w:tabs>
        <w:spacing w:after="40"/>
        <w:ind w:left="312" w:hanging="283"/>
      </w:pPr>
      <w:r>
        <w:rPr>
          <w:color w:val="004EA8"/>
        </w:rPr>
        <w:t>•</w:t>
        <w:tab/>
      </w:r>
      <w:r>
        <w:rPr/>
        <w:t>Each release candidate in SIT and Pre-Prod: DAST scan (OWASP ZAP proposed); no open high or critical finding.</w:t>
      </w:r>
    </w:p>
    <w:p>
      <w:pPr>
        <w:tabs>
          <w:tab w:pos="312" w:val="left"/>
        </w:tabs>
        <w:spacing w:after="40"/>
        <w:ind w:left="312" w:hanging="283"/>
      </w:pPr>
      <w:r>
        <w:rPr>
          <w:color w:val="004EA8"/>
        </w:rPr>
        <w:t>•</w:t>
        <w:tab/>
      </w:r>
      <w:r>
        <w:rPr/>
        <w:t>Early security scan in SIT in June 2027; independent penetration test on Pre-Prod between 1 November and 15 December 2027 by a provider BDOI Information Security names (DEP-19); every critical and high finding fixed and re-tested before go-live.</w:t>
      </w:r>
    </w:p>
    <w:p>
      <w:pPr>
        <w:tabs>
          <w:tab w:pos="312" w:val="left"/>
        </w:tabs>
        <w:spacing w:after="120"/>
        <w:ind w:left="312" w:hanging="283"/>
      </w:pPr>
      <w:r>
        <w:rPr>
          <w:color w:val="004EA8"/>
        </w:rPr>
        <w:t>•</w:t>
        <w:tab/>
      </w:r>
      <w:r>
        <w:rPr/>
        <w:t>Security-access cases of every test plan (each protected action against personas without the permission and outside the data scope).</w:t>
      </w:r>
    </w:p>
    <w:p>
      <w:pPr>
        <w:pStyle w:val="Heading2"/>
      </w:pPr>
      <w:bookmarkStart w:id="120" w:name="_Toc000120"/>
      <w:r>
        <w:rPr/>
        <w:t>7.3 Resilience and DR</w:t>
      </w:r>
      <w:bookmarkEnd w:id="120"/>
    </w:p>
    <w:p>
      <w:pPr>
        <w:tabs>
          <w:tab w:pos="312" w:val="left"/>
        </w:tabs>
        <w:spacing w:after="40"/>
        <w:ind w:left="312" w:hanging="283"/>
      </w:pPr>
      <w:r>
        <w:rPr>
          <w:color w:val="004EA8"/>
        </w:rPr>
        <w:t>•</w:t>
        <w:tab/>
      </w:r>
      <w:r>
        <w:rPr/>
        <w:t>Resilience: stop a backend pod, drain a node, fail over the database, lose an availability zone, stop Valkey and Kafka for 15 minutes, switch a partner simulator off - each under load, with no lost transaction (NFR-AVL-04, 05; NFR-INT-02, 06).</w:t>
      </w:r>
    </w:p>
    <w:p>
      <w:pPr>
        <w:tabs>
          <w:tab w:pos="312" w:val="left"/>
        </w:tabs>
        <w:spacing w:after="120"/>
        <w:ind w:left="312" w:hanging="283"/>
      </w:pPr>
      <w:r>
        <w:rPr>
          <w:color w:val="004EA8"/>
        </w:rPr>
        <w:t>•</w:t>
        <w:tab/>
      </w:r>
      <w:r>
        <w:rPr/>
        <w:t>DR drill in December 2027: failover to the DR region and back, measuring the RPO (RPO at most 15 minutes for data and documents) and the RTO (RTO at most 4 hours; sign-in, Cashiering, Remittance, booking and the GL first).</w:t>
      </w:r>
    </w:p>
    <w:p>
      <w:pPr>
        <w:pStyle w:val="Heading2"/>
      </w:pPr>
      <w:bookmarkStart w:id="121" w:name="_Toc000121"/>
      <w:r>
        <w:rPr/>
        <w:t>7.4 Accessibility, responsive and usability</w:t>
      </w:r>
      <w:bookmarkEnd w:id="121"/>
    </w:p>
    <w:p>
      <w:pPr>
        <w:tabs>
          <w:tab w:pos="312" w:val="left"/>
        </w:tabs>
        <w:spacing w:after="40"/>
        <w:ind w:left="312" w:hanging="283"/>
      </w:pPr>
      <w:r>
        <w:rPr>
          <w:color w:val="004EA8"/>
        </w:rPr>
        <w:t>•</w:t>
        <w:tab/>
      </w:r>
      <w:r>
        <w:rPr/>
        <w:t>Accessibility scan of every screen and a manual keyboard and screen-reader pass of the main journey of each persona in SIT (NFR-ACC-01 to 04).</w:t>
      </w:r>
    </w:p>
    <w:p>
      <w:pPr>
        <w:tabs>
          <w:tab w:pos="312" w:val="left"/>
        </w:tabs>
        <w:spacing w:after="40"/>
        <w:ind w:left="312" w:hanging="283"/>
      </w:pPr>
      <w:r>
        <w:rPr>
          <w:color w:val="004EA8"/>
        </w:rPr>
        <w:t>•</w:t>
        <w:tab/>
      </w:r>
      <w:r>
        <w:rPr/>
        <w:t>Every screen family at 360, 768, 1280 and 1920 pixels and on the supported browsers (NFR-RSP-01 to 03).</w:t>
      </w:r>
    </w:p>
    <w:p>
      <w:pPr>
        <w:tabs>
          <w:tab w:pos="312" w:val="left"/>
        </w:tabs>
        <w:spacing w:after="120"/>
        <w:ind w:left="312" w:hanging="283"/>
      </w:pPr>
      <w:r>
        <w:rPr>
          <w:color w:val="004EA8"/>
        </w:rPr>
        <w:t>•</w:t>
        <w:tab/>
      </w:r>
      <w:r>
        <w:rPr/>
        <w:t>Click counts of the top tasks in SIT; first-attempt success and the SUS survey in UAT (NFR-USE-01, 05).</w:t>
      </w:r>
    </w:p>
    <w:p>
      <w:pPr>
        <w:pStyle w:val="Heading1"/>
        <w:pageBreakBefore/>
        <w:pBdr>
          <w:bottom w:val="single" w:sz="4" w:space="4" w:color="99C1E7"/>
        </w:pBdr>
      </w:pPr>
      <w:bookmarkStart w:id="122" w:name="_Toc000122"/>
      <w:r>
        <w:rPr/>
        <w:t>8 Test data management</w:t>
      </w:r>
      <w:bookmarkEnd w:id="122"/>
    </w:p>
    <w:p>
      <w:pPr>
        <w:pStyle w:val="Caption"/>
        <w:keepNext/>
        <w:spacing w:after="60"/>
      </w:pPr>
      <w:r>
        <w:rPr>
          <w:b/>
          <w:i w:val="0"/>
        </w:rPr>
        <w:t xml:space="preserve">Table 10: </w:t>
      </w:r>
      <w:r>
        <w:rPr/>
        <w:t>Test data by environment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4085"/>
        <w:gridCol w:w="2162"/>
        <w:gridCol w:w="2042"/>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Data</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6"/>
              </w:rPr>
              <w:t>Content and rules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Environments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1682"/>
            <w:tcMar>
              <w:top w:w="50" w:type="dxa"/>
              <w:bottom w:w="50" w:type="dxa"/>
              <w:left w:w="90" w:type="dxa"/>
              <w:right w:w="90" w:type="dxa"/>
            </w:tcMar>
          </w:tcPr>
          <w:p>
            <w:pPr>
              <w:pStyle w:val="BDOITable"/>
            </w:pPr>
            <w:r>
              <w:rPr>
                <w:sz w:val="16"/>
              </w:rPr>
              <w:t>Seed data</w:t>
            </w:r>
          </w:p>
        </w:tc>
        <w:tc>
          <w:tcPr>
            <w:tcW w:type="dxa" w:w="4085"/>
            <w:tcMar>
              <w:top w:w="50" w:type="dxa"/>
              <w:bottom w:w="50" w:type="dxa"/>
              <w:left w:w="90" w:type="dxa"/>
              <w:right w:w="90" w:type="dxa"/>
            </w:tcMar>
          </w:tcPr>
          <w:p>
            <w:pPr>
              <w:pStyle w:val="BDOITable"/>
            </w:pPr>
            <w:r>
              <w:rPr>
                <w:sz w:val="16"/>
              </w:rPr>
              <w:t>Reference data, products, clients, accounts and transactions created for testing (profile seed); named data sets TD-xx of each test plan; SIT and UAT users per persona</w:t>
            </w:r>
          </w:p>
        </w:tc>
        <w:tc>
          <w:tcPr>
            <w:tcW w:type="dxa" w:w="2163"/>
            <w:tcMar>
              <w:top w:w="50" w:type="dxa"/>
              <w:bottom w:w="50" w:type="dxa"/>
              <w:left w:w="90" w:type="dxa"/>
              <w:right w:w="90" w:type="dxa"/>
            </w:tcMar>
          </w:tcPr>
          <w:p>
            <w:pPr>
              <w:pStyle w:val="BDOITable"/>
            </w:pPr>
            <w:r>
              <w:rPr>
                <w:sz w:val="16"/>
              </w:rPr>
              <w:t>DEV, SIT, Training</w:t>
            </w:r>
          </w:p>
        </w:tc>
        <w:tc>
          <w:tcPr>
            <w:tcW w:type="dxa" w:w="2042"/>
            <w:tcMar>
              <w:top w:w="50" w:type="dxa"/>
              <w:bottom w:w="50" w:type="dxa"/>
              <w:left w:w="90" w:type="dxa"/>
              <w:right w:w="90" w:type="dxa"/>
            </w:tcMar>
          </w:tcPr>
          <w:p>
            <w:pPr>
              <w:pStyle w:val="BDOITable"/>
            </w:pPr>
            <w:r>
              <w:rPr>
                <w:sz w:val="16"/>
              </w:rPr>
              <w:t>iorta QA lead</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Masked migrated data</w:t>
            </w:r>
          </w:p>
        </w:tc>
        <w:tc>
          <w:tcPr>
            <w:tcW w:type="dxa" w:w="4085"/>
            <w:tcMar>
              <w:top w:w="50" w:type="dxa"/>
              <w:bottom w:w="50" w:type="dxa"/>
              <w:left w:w="90" w:type="dxa"/>
              <w:right w:w="90" w:type="dxa"/>
            </w:tcMar>
            <w:shd w:val="clear" w:color="auto" w:fill="E5F5FF"/>
          </w:tcPr>
          <w:p>
            <w:pPr>
              <w:pStyle w:val="BDOITable"/>
            </w:pPr>
            <w:r>
              <w:rPr>
                <w:sz w:val="16"/>
              </w:rPr>
              <w:t>Extracts from the legacy systems loaded through the Migration Console with names, TIN, addresses, contact details and bank account numbers masked; the masking key is held outside the environment</w:t>
            </w:r>
          </w:p>
        </w:tc>
        <w:tc>
          <w:tcPr>
            <w:tcW w:type="dxa" w:w="2163"/>
            <w:tcMar>
              <w:top w:w="50" w:type="dxa"/>
              <w:bottom w:w="50" w:type="dxa"/>
              <w:left w:w="90" w:type="dxa"/>
              <w:right w:w="90" w:type="dxa"/>
            </w:tcMar>
            <w:shd w:val="clear" w:color="auto" w:fill="E5F5FF"/>
          </w:tcPr>
          <w:p>
            <w:pPr>
              <w:pStyle w:val="BDOITable"/>
            </w:pPr>
            <w:r>
              <w:rPr>
                <w:sz w:val="16"/>
              </w:rPr>
              <w:t>SIT (trials 1, 2), UAT (trials 3, 4)</w:t>
            </w:r>
          </w:p>
        </w:tc>
        <w:tc>
          <w:tcPr>
            <w:tcW w:type="dxa" w:w="2042"/>
            <w:tcMar>
              <w:top w:w="50" w:type="dxa"/>
              <w:bottom w:w="50" w:type="dxa"/>
              <w:left w:w="90" w:type="dxa"/>
              <w:right w:w="90" w:type="dxa"/>
            </w:tcMar>
            <w:shd w:val="clear" w:color="auto" w:fill="E5F5FF"/>
          </w:tcPr>
          <w:p>
            <w:pPr>
              <w:pStyle w:val="BDOITable"/>
            </w:pPr>
            <w:r>
              <w:rPr>
                <w:sz w:val="16"/>
              </w:rPr>
              <w:t>iorta Migration Lead; BDOI Data Migration Lead</w:t>
            </w:r>
          </w:p>
        </w:tc>
      </w:tr>
      <w:tr>
        <w:trPr>
          <w:cantSplit w:val="true"/>
        </w:trPr>
        <w:tc>
          <w:tcPr>
            <w:tcW w:type="dxa" w:w="1682"/>
            <w:tcMar>
              <w:top w:w="50" w:type="dxa"/>
              <w:bottom w:w="50" w:type="dxa"/>
              <w:left w:w="90" w:type="dxa"/>
              <w:right w:w="90" w:type="dxa"/>
            </w:tcMar>
          </w:tcPr>
          <w:p>
            <w:pPr>
              <w:pStyle w:val="BDOITable"/>
            </w:pPr>
            <w:r>
              <w:rPr>
                <w:sz w:val="16"/>
              </w:rPr>
              <w:t>Production-sized data</w:t>
            </w:r>
          </w:p>
        </w:tc>
        <w:tc>
          <w:tcPr>
            <w:tcW w:type="dxa" w:w="4085"/>
            <w:tcMar>
              <w:top w:w="50" w:type="dxa"/>
              <w:bottom w:w="50" w:type="dxa"/>
              <w:left w:w="90" w:type="dxa"/>
              <w:right w:w="90" w:type="dxa"/>
            </w:tcMar>
          </w:tcPr>
          <w:p>
            <w:pPr>
              <w:pStyle w:val="BDOITable"/>
            </w:pPr>
            <w:r>
              <w:rPr>
                <w:sz w:val="16"/>
              </w:rPr>
              <w:t>Year-5 volumes generated from the profile of the masked data for NFT</w:t>
            </w:r>
          </w:p>
        </w:tc>
        <w:tc>
          <w:tcPr>
            <w:tcW w:type="dxa" w:w="2163"/>
            <w:tcMar>
              <w:top w:w="50" w:type="dxa"/>
              <w:bottom w:w="50" w:type="dxa"/>
              <w:left w:w="90" w:type="dxa"/>
              <w:right w:w="90" w:type="dxa"/>
            </w:tcMar>
          </w:tcPr>
          <w:p>
            <w:pPr>
              <w:pStyle w:val="BDOITable"/>
            </w:pPr>
            <w:r>
              <w:rPr>
                <w:sz w:val="16"/>
              </w:rPr>
              <w:t>Pre-Prod</w:t>
            </w:r>
          </w:p>
        </w:tc>
        <w:tc>
          <w:tcPr>
            <w:tcW w:type="dxa" w:w="2042"/>
            <w:tcMar>
              <w:top w:w="50" w:type="dxa"/>
              <w:bottom w:w="50" w:type="dxa"/>
              <w:left w:w="90" w:type="dxa"/>
              <w:right w:w="90" w:type="dxa"/>
            </w:tcMar>
          </w:tcPr>
          <w:p>
            <w:pPr>
              <w:pStyle w:val="BDOITable"/>
            </w:pPr>
            <w:r>
              <w:rPr>
                <w:sz w:val="16"/>
              </w:rPr>
              <w:t>iorta Performance Test Lead</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Configuration values</w:t>
            </w:r>
          </w:p>
        </w:tc>
        <w:tc>
          <w:tcPr>
            <w:tcW w:type="dxa" w:w="4085"/>
            <w:tcMar>
              <w:top w:w="50" w:type="dxa"/>
              <w:bottom w:w="50" w:type="dxa"/>
              <w:left w:w="90" w:type="dxa"/>
              <w:right w:w="90" w:type="dxa"/>
            </w:tcMar>
            <w:shd w:val="clear" w:color="auto" w:fill="E5F5FF"/>
          </w:tcPr>
          <w:p>
            <w:pPr>
              <w:pStyle w:val="BDOITable"/>
            </w:pPr>
            <w:r>
              <w:rPr>
                <w:sz w:val="16"/>
              </w:rPr>
              <w:t>Organisation, chart of accounts, accounting rules, bank accounts and lists from the Drop 0 configuration inputs (D2, D3, D5)</w:t>
            </w:r>
          </w:p>
        </w:tc>
        <w:tc>
          <w:tcPr>
            <w:tcW w:type="dxa" w:w="2163"/>
            <w:tcMar>
              <w:top w:w="50" w:type="dxa"/>
              <w:bottom w:w="50" w:type="dxa"/>
              <w:left w:w="90" w:type="dxa"/>
              <w:right w:w="90" w:type="dxa"/>
            </w:tcMar>
            <w:shd w:val="clear" w:color="auto" w:fill="E5F5FF"/>
          </w:tcPr>
          <w:p>
            <w:pPr>
              <w:pStyle w:val="BDOITable"/>
            </w:pPr>
            <w:r>
              <w:rPr>
                <w:sz w:val="16"/>
              </w:rPr>
              <w:t>SIT, UAT</w:t>
            </w:r>
          </w:p>
        </w:tc>
        <w:tc>
          <w:tcPr>
            <w:tcW w:type="dxa" w:w="2042"/>
            <w:tcMar>
              <w:top w:w="50" w:type="dxa"/>
              <w:bottom w:w="50" w:type="dxa"/>
              <w:left w:w="90" w:type="dxa"/>
              <w:right w:w="90" w:type="dxa"/>
            </w:tcMar>
            <w:shd w:val="clear" w:color="auto" w:fill="E5F5FF"/>
          </w:tcPr>
          <w:p>
            <w:pPr>
              <w:pStyle w:val="BDOITable"/>
            </w:pPr>
            <w:r>
              <w:rPr>
                <w:sz w:val="16"/>
              </w:rPr>
              <w:t>Configuration owners (BDOI)</w:t>
            </w:r>
          </w:p>
        </w:tc>
      </w:tr>
    </w:tbl>
    <w:p>
      <w:pPr>
        <w:pStyle w:val="BDOISpacer"/>
      </w:pPr>
    </w:p>
    <w:p>
      <w:r>
        <w:rPr/>
        <w:t>Rules:</w:t>
      </w:r>
    </w:p>
    <w:p>
      <w:pPr>
        <w:tabs>
          <w:tab w:pos="312" w:val="left"/>
        </w:tabs>
        <w:spacing w:after="40"/>
        <w:ind w:left="312" w:hanging="283"/>
      </w:pPr>
      <w:r>
        <w:rPr>
          <w:color w:val="004EA8"/>
        </w:rPr>
        <w:t>•</w:t>
        <w:tab/>
      </w:r>
      <w:r>
        <w:rPr/>
        <w:t>No unmasked personal data in any non-production environment; each load is checked by the masking verification before testers get access (NFR-PRV-01).</w:t>
      </w:r>
    </w:p>
    <w:p>
      <w:pPr>
        <w:tabs>
          <w:tab w:pos="312" w:val="left"/>
        </w:tabs>
        <w:spacing w:after="40"/>
        <w:ind w:left="312" w:hanging="283"/>
      </w:pPr>
      <w:r>
        <w:rPr>
          <w:color w:val="004EA8"/>
        </w:rPr>
        <w:t>•</w:t>
        <w:tab/>
      </w:r>
      <w:r>
        <w:rPr/>
        <w:t>Migration staging data is purged within 5 days of the batch sign-off (NFR-PRV-05).</w:t>
      </w:r>
    </w:p>
    <w:p>
      <w:pPr>
        <w:tabs>
          <w:tab w:pos="312" w:val="left"/>
        </w:tabs>
        <w:spacing w:after="40"/>
        <w:ind w:left="312" w:hanging="283"/>
      </w:pPr>
      <w:r>
        <w:rPr>
          <w:color w:val="004EA8"/>
        </w:rPr>
        <w:t>•</w:t>
        <w:tab/>
      </w:r>
      <w:r>
        <w:rPr/>
        <w:t>Each test case names its data set; a data set that a run consumes is restored from its snapshot before the next run.</w:t>
      </w:r>
    </w:p>
    <w:p>
      <w:pPr>
        <w:tabs>
          <w:tab w:pos="312" w:val="left"/>
        </w:tabs>
        <w:spacing w:after="40"/>
        <w:ind w:left="312" w:hanging="283"/>
      </w:pPr>
      <w:r>
        <w:rPr>
          <w:color w:val="004EA8"/>
        </w:rPr>
        <w:t>•</w:t>
        <w:tab/>
      </w:r>
      <w:r>
        <w:rPr/>
        <w:t>UAT data is refreshed only at a trial migration; the refresh dates are in the schedule (chapter 14).</w:t>
      </w:r>
    </w:p>
    <w:p>
      <w:pPr>
        <w:tabs>
          <w:tab w:pos="312" w:val="left"/>
        </w:tabs>
        <w:spacing w:after="120"/>
        <w:ind w:left="312" w:hanging="283"/>
      </w:pPr>
      <w:r>
        <w:rPr>
          <w:color w:val="004EA8"/>
        </w:rPr>
        <w:t>•</w:t>
        <w:tab/>
      </w:r>
      <w:r>
        <w:rPr/>
        <w:t>Test evidence that holds data is stored in the test management tool with access for the project and the UAT testers only.</w:t>
      </w:r>
    </w:p>
    <w:p>
      <w:pPr>
        <w:pStyle w:val="Heading1"/>
        <w:pageBreakBefore/>
        <w:pBdr>
          <w:bottom w:val="single" w:sz="4" w:space="4" w:color="99C1E7"/>
        </w:pBdr>
      </w:pPr>
      <w:bookmarkStart w:id="123" w:name="_Toc000123"/>
      <w:r>
        <w:rPr/>
        <w:t>9 Entry and exit criteria</w:t>
      </w:r>
      <w:bookmarkEnd w:id="123"/>
    </w:p>
    <w:p>
      <w:pPr>
        <w:pStyle w:val="Caption"/>
        <w:keepNext/>
        <w:spacing w:after="60"/>
      </w:pPr>
      <w:r>
        <w:rPr>
          <w:b/>
          <w:i w:val="0"/>
        </w:rPr>
        <w:t xml:space="preserve">Table 11: </w:t>
      </w:r>
      <w:r>
        <w:rPr/>
        <w:t>Entry and exit criteria per level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205"/>
        <w:gridCol w:w="4205"/>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5"/>
              </w:rPr>
              <w:t>Level</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5"/>
              </w:rPr>
              <w:t>Entry</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5"/>
              </w:rPr>
              <w:t>Exit</w:t>
            </w:r>
          </w:p>
        </w:tc>
      </w:tr>
      <w:tr>
        <w:trPr>
          <w:cantSplit w:val="true"/>
        </w:trPr>
        <w:tc>
          <w:tcPr>
            <w:tcW w:type="dxa" w:w="1562"/>
            <w:tcMar>
              <w:top w:w="50" w:type="dxa"/>
              <w:bottom w:w="50" w:type="dxa"/>
              <w:left w:w="90" w:type="dxa"/>
              <w:right w:w="90" w:type="dxa"/>
            </w:tcMar>
          </w:tcPr>
          <w:p>
            <w:pPr>
              <w:pStyle w:val="BDOITable"/>
            </w:pPr>
            <w:r>
              <w:rPr>
                <w:sz w:val="15"/>
              </w:rPr>
              <w:t>SIT (per drop)</w:t>
            </w:r>
          </w:p>
        </w:tc>
        <w:tc>
          <w:tcPr>
            <w:tcW w:type="dxa" w:w="4205"/>
            <w:tcMar>
              <w:top w:w="50" w:type="dxa"/>
              <w:bottom w:w="50" w:type="dxa"/>
              <w:left w:w="90" w:type="dxa"/>
              <w:right w:w="90" w:type="dxa"/>
            </w:tcMar>
          </w:tcPr>
          <w:p>
            <w:pPr>
              <w:pStyle w:val="BDOITable"/>
            </w:pPr>
            <w:r>
              <w:rPr>
                <w:sz w:val="15"/>
              </w:rPr>
              <w:t>Test plans approved (Drop 1 18 Dec 2026; Drop 2 30 Jun 2027); SIT environment and configuration set-up ready; release notes of the release candidate delivered; smoke test passed</w:t>
            </w:r>
          </w:p>
        </w:tc>
        <w:tc>
          <w:tcPr>
            <w:tcW w:type="dxa" w:w="4205"/>
            <w:tcMar>
              <w:top w:w="50" w:type="dxa"/>
              <w:bottom w:w="50" w:type="dxa"/>
              <w:left w:w="90" w:type="dxa"/>
              <w:right w:w="90" w:type="dxa"/>
            </w:tcMar>
          </w:tcPr>
          <w:p>
            <w:pPr>
              <w:pStyle w:val="BDOITable"/>
            </w:pPr>
            <w:r>
              <w:rPr>
                <w:sz w:val="15"/>
              </w:rPr>
              <w:t>100% of the cases run; all Must-have cases passed; no open Severity 1 or 2 incident; Severity 3 incidents with a workaround agreed by the BDOI owner; regression passed on the last release candidate; SIT exit report issued</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UAT (per drop)</w:t>
            </w:r>
          </w:p>
        </w:tc>
        <w:tc>
          <w:tcPr>
            <w:tcW w:type="dxa" w:w="4205"/>
            <w:tcMar>
              <w:top w:w="50" w:type="dxa"/>
              <w:bottom w:w="50" w:type="dxa"/>
              <w:left w:w="90" w:type="dxa"/>
              <w:right w:w="90" w:type="dxa"/>
            </w:tcMar>
            <w:shd w:val="clear" w:color="auto" w:fill="E5F5FF"/>
          </w:tcPr>
          <w:p>
            <w:pPr>
              <w:pStyle w:val="BDOITable"/>
            </w:pPr>
            <w:r>
              <w:rPr>
                <w:sz w:val="15"/>
              </w:rPr>
              <w:t>SIT exit; UAT readiness statement (Drop 1 30 Jul 2027; Drop 2 30 Sep 2027); UAT scenarios and sign-off forms issued (16 Jul 2027); testers named and trained; trial migration 3 loaded and verified</w:t>
            </w:r>
          </w:p>
        </w:tc>
        <w:tc>
          <w:tcPr>
            <w:tcW w:type="dxa" w:w="4205"/>
            <w:tcMar>
              <w:top w:w="50" w:type="dxa"/>
              <w:bottom w:w="50" w:type="dxa"/>
              <w:left w:w="90" w:type="dxa"/>
              <w:right w:w="90" w:type="dxa"/>
            </w:tcMar>
            <w:shd w:val="clear" w:color="auto" w:fill="E5F5FF"/>
          </w:tcPr>
          <w:p>
            <w:pPr>
              <w:pStyle w:val="BDOITable"/>
            </w:pPr>
            <w:r>
              <w:rPr>
                <w:sz w:val="15"/>
              </w:rPr>
              <w:t>Every UAT scenario passed or accepted with a workaround; no open Severity 1 or 2 incident; UAT sign-off certificate per BRD</w:t>
            </w:r>
          </w:p>
        </w:tc>
      </w:tr>
      <w:tr>
        <w:trPr>
          <w:cantSplit w:val="true"/>
        </w:trPr>
        <w:tc>
          <w:tcPr>
            <w:tcW w:type="dxa" w:w="1562"/>
            <w:tcMar>
              <w:top w:w="50" w:type="dxa"/>
              <w:bottom w:w="50" w:type="dxa"/>
              <w:left w:w="90" w:type="dxa"/>
              <w:right w:w="90" w:type="dxa"/>
            </w:tcMar>
          </w:tcPr>
          <w:p>
            <w:pPr>
              <w:pStyle w:val="BDOITable"/>
            </w:pPr>
            <w:r>
              <w:rPr>
                <w:sz w:val="15"/>
              </w:rPr>
              <w:t>Data migration (per trial)</w:t>
            </w:r>
          </w:p>
        </w:tc>
        <w:tc>
          <w:tcPr>
            <w:tcW w:type="dxa" w:w="4205"/>
            <w:tcMar>
              <w:top w:w="50" w:type="dxa"/>
              <w:bottom w:w="50" w:type="dxa"/>
              <w:left w:w="90" w:type="dxa"/>
              <w:right w:w="90" w:type="dxa"/>
            </w:tcMar>
          </w:tcPr>
          <w:p>
            <w:pPr>
              <w:pStyle w:val="BDOITable"/>
            </w:pPr>
            <w:r>
              <w:rPr>
                <w:sz w:val="15"/>
              </w:rPr>
              <w:t>Extracts and control files received; code maps of the trial approved; Migration Console ready</w:t>
            </w:r>
          </w:p>
        </w:tc>
        <w:tc>
          <w:tcPr>
            <w:tcW w:type="dxa" w:w="4205"/>
            <w:tcMar>
              <w:top w:w="50" w:type="dxa"/>
              <w:bottom w:w="50" w:type="dxa"/>
              <w:left w:w="90" w:type="dxa"/>
              <w:right w:w="90" w:type="dxa"/>
            </w:tcMar>
          </w:tcPr>
          <w:p>
            <w:pPr>
              <w:pStyle w:val="BDOITable"/>
            </w:pPr>
            <w:r>
              <w:rPr>
                <w:sz w:val="15"/>
              </w:rPr>
              <w:t>All objects of the trial loaded; L1 to L5 reconciled; Migration Clearing 0.00; timings recorded</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NFT</w:t>
            </w:r>
          </w:p>
        </w:tc>
        <w:tc>
          <w:tcPr>
            <w:tcW w:type="dxa" w:w="4205"/>
            <w:tcMar>
              <w:top w:w="50" w:type="dxa"/>
              <w:bottom w:w="50" w:type="dxa"/>
              <w:left w:w="90" w:type="dxa"/>
              <w:right w:w="90" w:type="dxa"/>
            </w:tcMar>
            <w:shd w:val="clear" w:color="auto" w:fill="E5F5FF"/>
          </w:tcPr>
          <w:p>
            <w:pPr>
              <w:pStyle w:val="BDOITable"/>
            </w:pPr>
            <w:r>
              <w:rPr>
                <w:sz w:val="15"/>
              </w:rPr>
              <w:t>Pre-Prod at production size (1 Oct 2027); workload model approved; release candidate passed SIT regression</w:t>
            </w:r>
          </w:p>
        </w:tc>
        <w:tc>
          <w:tcPr>
            <w:tcW w:type="dxa" w:w="4205"/>
            <w:tcMar>
              <w:top w:w="50" w:type="dxa"/>
              <w:bottom w:w="50" w:type="dxa"/>
              <w:left w:w="90" w:type="dxa"/>
              <w:right w:w="90" w:type="dxa"/>
            </w:tcMar>
            <w:shd w:val="clear" w:color="auto" w:fill="E5F5FF"/>
          </w:tcPr>
          <w:p>
            <w:pPr>
              <w:pStyle w:val="BDOITable"/>
            </w:pPr>
            <w:r>
              <w:rPr>
                <w:sz w:val="15"/>
              </w:rPr>
              <w:t>Every NFT target of chapter 7 met, or a deviation accepted by the NFR acceptor; no open critical or high security finding</w:t>
            </w:r>
          </w:p>
        </w:tc>
      </w:tr>
      <w:tr>
        <w:trPr>
          <w:cantSplit w:val="true"/>
        </w:trPr>
        <w:tc>
          <w:tcPr>
            <w:tcW w:type="dxa" w:w="1562"/>
            <w:tcMar>
              <w:top w:w="50" w:type="dxa"/>
              <w:bottom w:w="50" w:type="dxa"/>
              <w:left w:w="90" w:type="dxa"/>
              <w:right w:w="90" w:type="dxa"/>
            </w:tcMar>
          </w:tcPr>
          <w:p>
            <w:pPr>
              <w:pStyle w:val="BDOITable"/>
            </w:pPr>
            <w:r>
              <w:rPr>
                <w:sz w:val="15"/>
              </w:rPr>
              <w:t>DR drill</w:t>
            </w:r>
          </w:p>
        </w:tc>
        <w:tc>
          <w:tcPr>
            <w:tcW w:type="dxa" w:w="4205"/>
            <w:tcMar>
              <w:top w:w="50" w:type="dxa"/>
              <w:bottom w:w="50" w:type="dxa"/>
              <w:left w:w="90" w:type="dxa"/>
              <w:right w:w="90" w:type="dxa"/>
            </w:tcMar>
          </w:tcPr>
          <w:p>
            <w:pPr>
              <w:pStyle w:val="BDOITable"/>
            </w:pPr>
            <w:r>
              <w:rPr>
                <w:sz w:val="15"/>
              </w:rPr>
              <w:t>DR environment ready; DR runbook reviewed</w:t>
            </w:r>
          </w:p>
        </w:tc>
        <w:tc>
          <w:tcPr>
            <w:tcW w:type="dxa" w:w="4205"/>
            <w:tcMar>
              <w:top w:w="50" w:type="dxa"/>
              <w:bottom w:w="50" w:type="dxa"/>
              <w:left w:w="90" w:type="dxa"/>
              <w:right w:w="90" w:type="dxa"/>
            </w:tcMar>
          </w:tcPr>
          <w:p>
            <w:pPr>
              <w:pStyle w:val="BDOITable"/>
            </w:pPr>
            <w:r>
              <w:rPr>
                <w:sz w:val="15"/>
              </w:rPr>
              <w:t>RPO and RTO met; failback done; report signed</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Go-live check</w:t>
            </w:r>
          </w:p>
        </w:tc>
        <w:tc>
          <w:tcPr>
            <w:tcW w:type="dxa" w:w="4205"/>
            <w:tcMar>
              <w:top w:w="50" w:type="dxa"/>
              <w:bottom w:w="50" w:type="dxa"/>
              <w:left w:w="90" w:type="dxa"/>
              <w:right w:w="90" w:type="dxa"/>
            </w:tcMar>
            <w:shd w:val="clear" w:color="auto" w:fill="E5F5FF"/>
          </w:tcPr>
          <w:p>
            <w:pPr>
              <w:pStyle w:val="BDOITable"/>
            </w:pPr>
            <w:r>
              <w:rPr>
                <w:sz w:val="15"/>
              </w:rPr>
              <w:t>Go decision on T-1</w:t>
            </w:r>
          </w:p>
        </w:tc>
        <w:tc>
          <w:tcPr>
            <w:tcW w:type="dxa" w:w="4205"/>
            <w:tcMar>
              <w:top w:w="50" w:type="dxa"/>
              <w:bottom w:w="50" w:type="dxa"/>
              <w:left w:w="90" w:type="dxa"/>
              <w:right w:w="90" w:type="dxa"/>
            </w:tcMar>
            <w:shd w:val="clear" w:color="auto" w:fill="E5F5FF"/>
          </w:tcPr>
          <w:p>
            <w:pPr>
              <w:pStyle w:val="BDOITable"/>
            </w:pPr>
            <w:r>
              <w:rPr>
                <w:sz w:val="15"/>
              </w:rPr>
              <w:t>Smoke check of every module passed; command centre opens the system to users</w:t>
            </w:r>
          </w:p>
        </w:tc>
      </w:tr>
    </w:tbl>
    <w:p>
      <w:pPr>
        <w:pStyle w:val="BDOISpacer"/>
      </w:pPr>
    </w:p>
    <w:p>
      <w:r>
        <w:rPr/>
        <w:t>Suspension: testing of a drop stops when a Severity 1 incident blocks more than 20% of the planned cases or the environment is unavailable for more than one business day; it resumes when the cause is fixed and the smoke test passes.</w:t>
      </w:r>
    </w:p>
    <w:p>
      <w:pPr>
        <w:pStyle w:val="Heading1"/>
        <w:pageBreakBefore/>
        <w:pBdr>
          <w:bottom w:val="single" w:sz="4" w:space="4" w:color="99C1E7"/>
        </w:pBdr>
      </w:pPr>
      <w:bookmarkStart w:id="124" w:name="_Toc000124"/>
      <w:r>
        <w:rPr/>
        <w:t>10 Test incident management</w:t>
      </w:r>
      <w:bookmarkEnd w:id="124"/>
    </w:p>
    <w:p>
      <w:pPr>
        <w:pStyle w:val="Heading2"/>
      </w:pPr>
      <w:bookmarkStart w:id="125" w:name="_Toc000125"/>
      <w:r>
        <w:rPr/>
        <w:t>10.1 Life cycle</w:t>
      </w:r>
      <w:bookmarkEnd w:id="125"/>
    </w:p>
    <w:p>
      <w:pPr>
        <w:keepNext/>
        <w:spacing w:before="80" w:after="0"/>
        <w:jc w:val="center"/>
      </w:pPr>
      <w:r>
        <w:drawing>
          <wp:inline xmlns:a="http://schemas.openxmlformats.org/drawingml/2006/main" xmlns:pic="http://schemas.openxmlformats.org/drawingml/2006/picture">
            <wp:extent cx="5040000" cy="2388218"/>
            <wp:docPr id="4" name="Picture 4"/>
            <wp:cNvGraphicFramePr>
              <a:graphicFrameLocks noChangeAspect="1"/>
            </wp:cNvGraphicFramePr>
            <a:graphic>
              <a:graphicData uri="http://schemas.openxmlformats.org/drawingml/2006/picture">
                <pic:pic>
                  <pic:nvPicPr>
                    <pic:cNvPr id="0" name="ts_incident_937.jpg"/>
                    <pic:cNvPicPr/>
                  </pic:nvPicPr>
                  <pic:blipFill>
                    <a:blip r:embed="rId16"/>
                    <a:stretch>
                      <a:fillRect/>
                    </a:stretch>
                  </pic:blipFill>
                  <pic:spPr>
                    <a:xfrm>
                      <a:off x="0" y="0"/>
                      <a:ext cx="5040000" cy="2388218"/>
                    </a:xfrm>
                    <a:prstGeom prst="rect"/>
                  </pic:spPr>
                </pic:pic>
              </a:graphicData>
            </a:graphic>
          </wp:inline>
        </w:drawing>
      </w:r>
    </w:p>
    <w:p>
      <w:pPr>
        <w:pStyle w:val="Caption"/>
        <w:jc w:val="center"/>
      </w:pPr>
      <w:r>
        <w:rPr>
          <w:b/>
          <w:i w:val="0"/>
        </w:rPr>
        <w:t xml:space="preserve">Figure 2: </w:t>
      </w:r>
      <w:r>
        <w:rPr/>
        <w:t>Life cycle of a test incident</w:t>
      </w:r>
    </w:p>
    <w:p>
      <w:pPr>
        <w:pStyle w:val="Heading2"/>
      </w:pPr>
      <w:bookmarkStart w:id="126" w:name="_Toc000126"/>
      <w:r>
        <w:rPr/>
        <w:t>10.2 Severity</w:t>
      </w:r>
      <w:bookmarkEnd w:id="126"/>
    </w:p>
    <w:p>
      <w:pPr>
        <w:pStyle w:val="Caption"/>
        <w:keepNext/>
        <w:spacing w:after="60"/>
      </w:pPr>
      <w:r>
        <w:rPr>
          <w:b/>
          <w:i w:val="0"/>
        </w:rPr>
        <w:t xml:space="preserve">Table 12: </w:t>
      </w:r>
      <w:r>
        <w:rPr/>
        <w:t>Severity of a test incident and the fix target during testing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926"/>
        <w:gridCol w:w="1802"/>
        <w:gridCol w:w="168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Severity</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6"/>
              </w:rPr>
              <w:t>Definition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Examples</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6"/>
              </w:rPr>
              <w:t>Fix target in test</w:t>
            </w:r>
          </w:p>
        </w:tc>
      </w:tr>
      <w:tr>
        <w:trPr>
          <w:cantSplit w:val="true"/>
        </w:trPr>
        <w:tc>
          <w:tcPr>
            <w:tcW w:type="dxa" w:w="1562"/>
            <w:tcMar>
              <w:top w:w="50" w:type="dxa"/>
              <w:bottom w:w="50" w:type="dxa"/>
              <w:left w:w="90" w:type="dxa"/>
              <w:right w:w="90" w:type="dxa"/>
            </w:tcMar>
          </w:tcPr>
          <w:p>
            <w:pPr>
              <w:pStyle w:val="BDOITable"/>
            </w:pPr>
            <w:r>
              <w:rPr>
                <w:sz w:val="16"/>
              </w:rPr>
              <w:t>Severity 1 - Critical</w:t>
            </w:r>
          </w:p>
        </w:tc>
        <w:tc>
          <w:tcPr>
            <w:tcW w:type="dxa" w:w="4926"/>
            <w:tcMar>
              <w:top w:w="50" w:type="dxa"/>
              <w:bottom w:w="50" w:type="dxa"/>
              <w:left w:w="90" w:type="dxa"/>
              <w:right w:w="90" w:type="dxa"/>
            </w:tcMar>
          </w:tcPr>
          <w:p>
            <w:pPr>
              <w:pStyle w:val="BDOITable"/>
            </w:pPr>
            <w:r>
              <w:rPr>
                <w:sz w:val="16"/>
              </w:rPr>
              <w:t>A function or module cannot be used, data is lost or corrupted, money or the GL is wrong, or security is breached; no workaround; testing is blocked</w:t>
            </w:r>
          </w:p>
        </w:tc>
        <w:tc>
          <w:tcPr>
            <w:tcW w:type="dxa" w:w="1802"/>
            <w:tcMar>
              <w:top w:w="50" w:type="dxa"/>
              <w:bottom w:w="50" w:type="dxa"/>
              <w:left w:w="90" w:type="dxa"/>
              <w:right w:w="90" w:type="dxa"/>
            </w:tcMar>
          </w:tcPr>
          <w:p>
            <w:pPr>
              <w:pStyle w:val="BDOITable"/>
            </w:pPr>
            <w:r>
              <w:rPr>
                <w:sz w:val="16"/>
              </w:rPr>
              <w:t>Receipt posts the wrong amount; a persona sees another company's records</w:t>
            </w:r>
          </w:p>
        </w:tc>
        <w:tc>
          <w:tcPr>
            <w:tcW w:type="dxa" w:w="1682"/>
            <w:tcMar>
              <w:top w:w="50" w:type="dxa"/>
              <w:bottom w:w="50" w:type="dxa"/>
              <w:left w:w="90" w:type="dxa"/>
              <w:right w:w="90" w:type="dxa"/>
            </w:tcMar>
          </w:tcPr>
          <w:p>
            <w:pPr>
              <w:pStyle w:val="BDOITable"/>
            </w:pPr>
            <w:r>
              <w:rPr>
                <w:sz w:val="16"/>
              </w:rPr>
              <w:t>Fix or workaround within 1 business day</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Severity 2 - High</w:t>
            </w:r>
          </w:p>
        </w:tc>
        <w:tc>
          <w:tcPr>
            <w:tcW w:type="dxa" w:w="4926"/>
            <w:tcMar>
              <w:top w:w="50" w:type="dxa"/>
              <w:bottom w:w="50" w:type="dxa"/>
              <w:left w:w="90" w:type="dxa"/>
              <w:right w:w="90" w:type="dxa"/>
            </w:tcMar>
            <w:shd w:val="clear" w:color="auto" w:fill="E5F5FF"/>
          </w:tcPr>
          <w:p>
            <w:pPr>
              <w:pStyle w:val="BDOITable"/>
            </w:pPr>
            <w:r>
              <w:rPr>
                <w:sz w:val="16"/>
              </w:rPr>
              <w:t>A main function fails or gives a wrong result; a workaround exists but is costly or risky</w:t>
            </w:r>
          </w:p>
        </w:tc>
        <w:tc>
          <w:tcPr>
            <w:tcW w:type="dxa" w:w="1802"/>
            <w:tcMar>
              <w:top w:w="50" w:type="dxa"/>
              <w:bottom w:w="50" w:type="dxa"/>
              <w:left w:w="90" w:type="dxa"/>
              <w:right w:w="90" w:type="dxa"/>
            </w:tcMar>
            <w:shd w:val="clear" w:color="auto" w:fill="E5F5FF"/>
          </w:tcPr>
          <w:p>
            <w:pPr>
              <w:pStyle w:val="BDOITable"/>
            </w:pPr>
            <w:r>
              <w:rPr>
                <w:sz w:val="16"/>
              </w:rPr>
              <w:t>Remittance schedule misses eligible invoices; a report total is wrong</w:t>
            </w:r>
          </w:p>
        </w:tc>
        <w:tc>
          <w:tcPr>
            <w:tcW w:type="dxa" w:w="1682"/>
            <w:tcMar>
              <w:top w:w="50" w:type="dxa"/>
              <w:bottom w:w="50" w:type="dxa"/>
              <w:left w:w="90" w:type="dxa"/>
              <w:right w:w="90" w:type="dxa"/>
            </w:tcMar>
            <w:shd w:val="clear" w:color="auto" w:fill="E5F5FF"/>
          </w:tcPr>
          <w:p>
            <w:pPr>
              <w:pStyle w:val="BDOITable"/>
            </w:pPr>
            <w:r>
              <w:rPr>
                <w:sz w:val="16"/>
              </w:rPr>
              <w:t>Within 3 business days</w:t>
            </w:r>
          </w:p>
        </w:tc>
      </w:tr>
      <w:tr>
        <w:trPr>
          <w:cantSplit w:val="true"/>
        </w:trPr>
        <w:tc>
          <w:tcPr>
            <w:tcW w:type="dxa" w:w="1562"/>
            <w:tcMar>
              <w:top w:w="50" w:type="dxa"/>
              <w:bottom w:w="50" w:type="dxa"/>
              <w:left w:w="90" w:type="dxa"/>
              <w:right w:w="90" w:type="dxa"/>
            </w:tcMar>
          </w:tcPr>
          <w:p>
            <w:pPr>
              <w:pStyle w:val="BDOITable"/>
            </w:pPr>
            <w:r>
              <w:rPr>
                <w:sz w:val="16"/>
              </w:rPr>
              <w:t>Severity 3 - Medium</w:t>
            </w:r>
          </w:p>
        </w:tc>
        <w:tc>
          <w:tcPr>
            <w:tcW w:type="dxa" w:w="4926"/>
            <w:tcMar>
              <w:top w:w="50" w:type="dxa"/>
              <w:bottom w:w="50" w:type="dxa"/>
              <w:left w:w="90" w:type="dxa"/>
              <w:right w:w="90" w:type="dxa"/>
            </w:tcMar>
          </w:tcPr>
          <w:p>
            <w:pPr>
              <w:pStyle w:val="BDOITable"/>
            </w:pPr>
            <w:r>
              <w:rPr>
                <w:sz w:val="16"/>
              </w:rPr>
              <w:t>A function works with a reasonable workaround; a secondary function fails</w:t>
            </w:r>
          </w:p>
        </w:tc>
        <w:tc>
          <w:tcPr>
            <w:tcW w:type="dxa" w:w="1802"/>
            <w:tcMar>
              <w:top w:w="50" w:type="dxa"/>
              <w:bottom w:w="50" w:type="dxa"/>
              <w:left w:w="90" w:type="dxa"/>
              <w:right w:w="90" w:type="dxa"/>
            </w:tcMar>
          </w:tcPr>
          <w:p>
            <w:pPr>
              <w:pStyle w:val="BDOITable"/>
            </w:pPr>
            <w:r>
              <w:rPr>
                <w:sz w:val="16"/>
              </w:rPr>
              <w:t>A filter does not work; an e-mail template shows a wrong field</w:t>
            </w:r>
          </w:p>
        </w:tc>
        <w:tc>
          <w:tcPr>
            <w:tcW w:type="dxa" w:w="1682"/>
            <w:tcMar>
              <w:top w:w="50" w:type="dxa"/>
              <w:bottom w:w="50" w:type="dxa"/>
              <w:left w:w="90" w:type="dxa"/>
              <w:right w:w="90" w:type="dxa"/>
            </w:tcMar>
          </w:tcPr>
          <w:p>
            <w:pPr>
              <w:pStyle w:val="BDOITable"/>
            </w:pPr>
            <w:r>
              <w:rPr>
                <w:sz w:val="16"/>
              </w:rPr>
              <w:t>In the next release candidate (within 10 business days)</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Severity 4 - Low</w:t>
            </w:r>
          </w:p>
        </w:tc>
        <w:tc>
          <w:tcPr>
            <w:tcW w:type="dxa" w:w="4926"/>
            <w:tcMar>
              <w:top w:w="50" w:type="dxa"/>
              <w:bottom w:w="50" w:type="dxa"/>
              <w:left w:w="90" w:type="dxa"/>
              <w:right w:w="90" w:type="dxa"/>
            </w:tcMar>
            <w:shd w:val="clear" w:color="auto" w:fill="E5F5FF"/>
          </w:tcPr>
          <w:p>
            <w:pPr>
              <w:pStyle w:val="BDOITable"/>
            </w:pPr>
            <w:r>
              <w:rPr>
                <w:sz w:val="16"/>
              </w:rPr>
              <w:t>Wording, layout or cosmetic point with no effect on the result</w:t>
            </w:r>
          </w:p>
        </w:tc>
        <w:tc>
          <w:tcPr>
            <w:tcW w:type="dxa" w:w="1802"/>
            <w:tcMar>
              <w:top w:w="50" w:type="dxa"/>
              <w:bottom w:w="50" w:type="dxa"/>
              <w:left w:w="90" w:type="dxa"/>
              <w:right w:w="90" w:type="dxa"/>
            </w:tcMar>
            <w:shd w:val="clear" w:color="auto" w:fill="E5F5FF"/>
          </w:tcPr>
          <w:p>
            <w:pPr>
              <w:pStyle w:val="BDOITable"/>
            </w:pPr>
            <w:r>
              <w:rPr>
                <w:sz w:val="16"/>
              </w:rPr>
              <w:t>Label differs from the specification; alignment of a column</w:t>
            </w:r>
          </w:p>
        </w:tc>
        <w:tc>
          <w:tcPr>
            <w:tcW w:type="dxa" w:w="1682"/>
            <w:tcMar>
              <w:top w:w="50" w:type="dxa"/>
              <w:bottom w:w="50" w:type="dxa"/>
              <w:left w:w="90" w:type="dxa"/>
              <w:right w:w="90" w:type="dxa"/>
            </w:tcMar>
            <w:shd w:val="clear" w:color="auto" w:fill="E5F5FF"/>
          </w:tcPr>
          <w:p>
            <w:pPr>
              <w:pStyle w:val="BDOITable"/>
            </w:pPr>
            <w:r>
              <w:rPr>
                <w:sz w:val="16"/>
              </w:rPr>
              <w:t>Planned release</w:t>
            </w:r>
          </w:p>
        </w:tc>
      </w:tr>
    </w:tbl>
    <w:p>
      <w:pPr>
        <w:pStyle w:val="BDOISpacer"/>
      </w:pPr>
    </w:p>
    <w:p>
      <w:r>
        <w:rPr/>
        <w:t>The tester proposes the severity; the daily triage (iorta QA lead with the BDOI owner of the BRD during UAT) confirms it and sets the fix priority. A point that changes a requirement is not a test incident: it becomes a change request for the Change Control Board, and the FRS and test cases follow its decision. Production incidents after go-live follow the priorities P1 to P4 of the production support approach.</w:t>
      </w:r>
    </w:p>
    <w:p>
      <w:pPr>
        <w:pStyle w:val="Heading2"/>
      </w:pPr>
      <w:bookmarkStart w:id="127" w:name="_Toc000127"/>
      <w:r>
        <w:rPr/>
        <w:t>10.3 Recording and reporting</w:t>
      </w:r>
      <w:bookmarkEnd w:id="127"/>
    </w:p>
    <w:p>
      <w:pPr>
        <w:tabs>
          <w:tab w:pos="312" w:val="left"/>
        </w:tabs>
        <w:spacing w:after="40"/>
        <w:ind w:left="312" w:hanging="283"/>
      </w:pPr>
      <w:r>
        <w:rPr>
          <w:color w:val="004EA8"/>
        </w:rPr>
        <w:t>•</w:t>
        <w:tab/>
      </w:r>
      <w:r>
        <w:rPr/>
        <w:t>Each incident records the case ID, the release candidate, the steps, the expected and actual result, the evidence, the severity, the BRD and FR, the environment and the owner.</w:t>
      </w:r>
    </w:p>
    <w:p>
      <w:pPr>
        <w:tabs>
          <w:tab w:pos="312" w:val="left"/>
        </w:tabs>
        <w:spacing w:after="40"/>
        <w:ind w:left="312" w:hanging="283"/>
      </w:pPr>
      <w:r>
        <w:rPr>
          <w:color w:val="004EA8"/>
        </w:rPr>
        <w:t>•</w:t>
        <w:tab/>
      </w:r>
      <w:r>
        <w:rPr/>
        <w:t>Daily during SIT and UAT: triage of new incidents and of incidents due for re-test.</w:t>
      </w:r>
    </w:p>
    <w:p>
      <w:pPr>
        <w:tabs>
          <w:tab w:pos="312" w:val="left"/>
        </w:tabs>
        <w:spacing w:after="120"/>
        <w:ind w:left="312" w:hanging="283"/>
      </w:pPr>
      <w:r>
        <w:rPr>
          <w:color w:val="004EA8"/>
        </w:rPr>
        <w:t>•</w:t>
        <w:tab/>
      </w:r>
      <w:r>
        <w:rPr/>
        <w:t>Weekly: open incidents by severity and age, fix rate, re-test pass rate, cases run and passed per BRD, coverage of the BRD IDs.</w:t>
      </w:r>
    </w:p>
    <w:p>
      <w:pPr>
        <w:pStyle w:val="Heading1"/>
        <w:pageBreakBefore/>
        <w:pBdr>
          <w:bottom w:val="single" w:sz="4" w:space="4" w:color="99C1E7"/>
        </w:pBdr>
      </w:pPr>
      <w:bookmarkStart w:id="128" w:name="_Toc000128"/>
      <w:r>
        <w:rPr/>
        <w:t>11 Automation and regression</w:t>
      </w:r>
      <w:bookmarkEnd w:id="128"/>
    </w:p>
    <w:p>
      <w:pPr>
        <w:tabs>
          <w:tab w:pos="312" w:val="left"/>
        </w:tabs>
        <w:spacing w:after="40"/>
        <w:ind w:left="312" w:hanging="283"/>
      </w:pPr>
      <w:r>
        <w:rPr>
          <w:color w:val="004EA8"/>
        </w:rPr>
        <w:t>•</w:t>
        <w:tab/>
      </w:r>
      <w:r>
        <w:rPr>
          <w:b/>
        </w:rPr>
        <w:t>In the CI pipeline, on every change:</w:t>
      </w:r>
      <w:r>
        <w:rPr/>
        <w:t xml:space="preserve"> unit testing, integration testing, coverage, static analysis and security scans (quality gates). A change that fails a gate is not merged.</w:t>
      </w:r>
    </w:p>
    <w:p>
      <w:pPr>
        <w:tabs>
          <w:tab w:pos="312" w:val="left"/>
        </w:tabs>
        <w:spacing w:after="40"/>
        <w:ind w:left="312" w:hanging="283"/>
      </w:pPr>
      <w:r>
        <w:rPr>
          <w:color w:val="004EA8"/>
        </w:rPr>
        <w:t>•</w:t>
        <w:tab/>
      </w:r>
      <w:r>
        <w:rPr>
          <w:b/>
        </w:rPr>
        <w:t>Service interface checks:</w:t>
      </w:r>
      <w:r>
        <w:rPr/>
        <w:t xml:space="preserve"> contract checks of each interface with Postman collections (IER VDI list) run on every release candidate in SIT.</w:t>
      </w:r>
    </w:p>
    <w:p>
      <w:pPr>
        <w:tabs>
          <w:tab w:pos="312" w:val="left"/>
        </w:tabs>
        <w:spacing w:after="40"/>
        <w:ind w:left="312" w:hanging="283"/>
      </w:pPr>
      <w:r>
        <w:rPr>
          <w:color w:val="004EA8"/>
        </w:rPr>
        <w:t>•</w:t>
        <w:tab/>
      </w:r>
      <w:r>
        <w:rPr>
          <w:b/>
        </w:rPr>
        <w:t>Automated regression testing of the screens:</w:t>
      </w:r>
      <w:r>
        <w:rPr/>
        <w:t xml:space="preserve"> the positive main flow of every Must-have FR in Katalon (IER VDI list), run on every release candidate in SIT and UAT; the suite grows with each drop.</w:t>
      </w:r>
    </w:p>
    <w:p>
      <w:pPr>
        <w:tabs>
          <w:tab w:pos="312" w:val="left"/>
        </w:tabs>
        <w:spacing w:after="40"/>
        <w:ind w:left="312" w:hanging="283"/>
      </w:pPr>
      <w:r>
        <w:rPr>
          <w:color w:val="004EA8"/>
        </w:rPr>
        <w:t>•</w:t>
        <w:tab/>
      </w:r>
      <w:r>
        <w:rPr>
          <w:b/>
        </w:rPr>
        <w:t>Risk-based manual regression:</w:t>
      </w:r>
      <w:r>
        <w:rPr/>
        <w:t xml:space="preserve"> the cases of the FRs a release changes, plus the money, ledger, compliance and access sets.</w:t>
      </w:r>
    </w:p>
    <w:p>
      <w:pPr>
        <w:tabs>
          <w:tab w:pos="312" w:val="left"/>
        </w:tabs>
        <w:spacing w:after="120"/>
        <w:ind w:left="312" w:hanging="283"/>
      </w:pPr>
      <w:r>
        <w:rPr>
          <w:color w:val="004EA8"/>
        </w:rPr>
        <w:t>•</w:t>
        <w:tab/>
      </w:r>
      <w:r>
        <w:rPr>
          <w:b/>
        </w:rPr>
        <w:t>Smoke set:</w:t>
      </w:r>
      <w:r>
        <w:rPr/>
        <w:t xml:space="preserve"> sign-in, one transaction per module, one report, one job - on every deployment to SIT, UAT, Pre-Prod and production.</w:t>
      </w:r>
    </w:p>
    <w:p>
      <w:pPr>
        <w:pStyle w:val="Heading1"/>
        <w:pageBreakBefore/>
        <w:pBdr>
          <w:bottom w:val="single" w:sz="4" w:space="4" w:color="99C1E7"/>
        </w:pBdr>
      </w:pPr>
      <w:bookmarkStart w:id="129" w:name="_Toc000129"/>
      <w:r>
        <w:rPr/>
        <w:t>12 Tools</w:t>
      </w:r>
      <w:bookmarkEnd w:id="129"/>
    </w:p>
    <w:p>
      <w:pPr>
        <w:pStyle w:val="Caption"/>
        <w:keepNext/>
        <w:spacing w:after="60"/>
      </w:pPr>
      <w:r>
        <w:rPr>
          <w:b/>
          <w:i w:val="0"/>
        </w:rPr>
        <w:t xml:space="preserve">Table 13: </w:t>
      </w:r>
      <w:r>
        <w:rPr/>
        <w:t>Test tools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4205"/>
        <w:gridCol w:w="3244"/>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Purpose</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Tool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Source</w:t>
            </w:r>
          </w:p>
        </w:tc>
      </w:tr>
      <w:tr>
        <w:trPr>
          <w:cantSplit w:val="true"/>
        </w:trPr>
        <w:tc>
          <w:tcPr>
            <w:tcW w:type="dxa" w:w="2523"/>
            <w:tcMar>
              <w:top w:w="50" w:type="dxa"/>
              <w:bottom w:w="50" w:type="dxa"/>
              <w:left w:w="90" w:type="dxa"/>
              <w:right w:w="90" w:type="dxa"/>
            </w:tcMar>
          </w:tcPr>
          <w:p>
            <w:pPr>
              <w:pStyle w:val="BDOITable"/>
            </w:pPr>
            <w:r>
              <w:rPr>
                <w:sz w:val="16"/>
              </w:rPr>
              <w:t>Test management, execution and incidents</w:t>
            </w:r>
          </w:p>
        </w:tc>
        <w:tc>
          <w:tcPr>
            <w:tcW w:type="dxa" w:w="4205"/>
            <w:tcMar>
              <w:top w:w="50" w:type="dxa"/>
              <w:bottom w:w="50" w:type="dxa"/>
              <w:left w:w="90" w:type="dxa"/>
              <w:right w:w="90" w:type="dxa"/>
            </w:tcMar>
          </w:tcPr>
          <w:p>
            <w:pPr>
              <w:pStyle w:val="BDOITable"/>
            </w:pPr>
            <w:r>
              <w:rPr>
                <w:sz w:val="16"/>
              </w:rPr>
              <w:t>Xray or TestRail (BDOI chooses)</w:t>
            </w:r>
          </w:p>
        </w:tc>
        <w:tc>
          <w:tcPr>
            <w:tcW w:type="dxa" w:w="3244"/>
            <w:tcMar>
              <w:top w:w="50" w:type="dxa"/>
              <w:bottom w:w="50" w:type="dxa"/>
              <w:left w:w="90" w:type="dxa"/>
              <w:right w:w="90" w:type="dxa"/>
            </w:tcMar>
          </w:tcPr>
          <w:p>
            <w:pPr>
              <w:pStyle w:val="BDOITable"/>
            </w:pPr>
            <w:r>
              <w:rPr>
                <w:sz w:val="16"/>
              </w:rPr>
              <w:t>IER VDI list</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Test plans and traceability</w:t>
            </w:r>
          </w:p>
        </w:tc>
        <w:tc>
          <w:tcPr>
            <w:tcW w:type="dxa" w:w="4205"/>
            <w:tcMar>
              <w:top w:w="50" w:type="dxa"/>
              <w:bottom w:w="50" w:type="dxa"/>
              <w:left w:w="90" w:type="dxa"/>
              <w:right w:w="90" w:type="dxa"/>
            </w:tcMar>
            <w:shd w:val="clear" w:color="auto" w:fill="E5F5FF"/>
          </w:tcPr>
          <w:p>
            <w:pPr>
              <w:pStyle w:val="BDOITable"/>
            </w:pPr>
            <w:r>
              <w:rPr>
                <w:sz w:val="16"/>
              </w:rPr>
              <w:t>Test plan workbooks per BRD; traceability matrix</w:t>
            </w:r>
          </w:p>
        </w:tc>
        <w:tc>
          <w:tcPr>
            <w:tcW w:type="dxa" w:w="3244"/>
            <w:tcMar>
              <w:top w:w="50" w:type="dxa"/>
              <w:bottom w:w="50" w:type="dxa"/>
              <w:left w:w="90" w:type="dxa"/>
              <w:right w:w="90" w:type="dxa"/>
            </w:tcMar>
            <w:shd w:val="clear" w:color="auto" w:fill="E5F5FF"/>
          </w:tcPr>
          <w:p>
            <w:pPr>
              <w:pStyle w:val="BDOITable"/>
            </w:pPr>
            <w:r>
              <w:rPr>
                <w:sz w:val="16"/>
              </w:rPr>
              <w:t>Client pack</w:t>
            </w:r>
          </w:p>
        </w:tc>
      </w:tr>
      <w:tr>
        <w:trPr>
          <w:cantSplit w:val="true"/>
        </w:trPr>
        <w:tc>
          <w:tcPr>
            <w:tcW w:type="dxa" w:w="2523"/>
            <w:tcMar>
              <w:top w:w="50" w:type="dxa"/>
              <w:bottom w:w="50" w:type="dxa"/>
              <w:left w:w="90" w:type="dxa"/>
              <w:right w:w="90" w:type="dxa"/>
            </w:tcMar>
          </w:tcPr>
          <w:p>
            <w:pPr>
              <w:pStyle w:val="BDOITable"/>
            </w:pPr>
            <w:r>
              <w:rPr>
                <w:sz w:val="16"/>
              </w:rPr>
              <w:t>Unit and integration testing, coverage</w:t>
            </w:r>
          </w:p>
        </w:tc>
        <w:tc>
          <w:tcPr>
            <w:tcW w:type="dxa" w:w="4205"/>
            <w:tcMar>
              <w:top w:w="50" w:type="dxa"/>
              <w:bottom w:w="50" w:type="dxa"/>
              <w:left w:w="90" w:type="dxa"/>
              <w:right w:w="90" w:type="dxa"/>
            </w:tcMar>
          </w:tcPr>
          <w:p>
            <w:pPr>
              <w:pStyle w:val="BDOITable"/>
            </w:pPr>
            <w:r>
              <w:rPr>
                <w:sz w:val="16"/>
              </w:rPr>
              <w:t>Java and TypeScript unit testing frameworks of the CI pipeline; integration testing against PostgreSQL 16; coverage reports</w:t>
            </w:r>
          </w:p>
        </w:tc>
        <w:tc>
          <w:tcPr>
            <w:tcW w:type="dxa" w:w="3244"/>
            <w:tcMar>
              <w:top w:w="50" w:type="dxa"/>
              <w:bottom w:w="50" w:type="dxa"/>
              <w:left w:w="90" w:type="dxa"/>
              <w:right w:w="90" w:type="dxa"/>
            </w:tcMar>
          </w:tcPr>
          <w:p>
            <w:pPr>
              <w:pStyle w:val="BDOITable"/>
            </w:pPr>
            <w:r>
              <w:rPr>
                <w:sz w:val="16"/>
              </w:rPr>
              <w:t>Quality gates</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Static analysis and quality gate</w:t>
            </w:r>
          </w:p>
        </w:tc>
        <w:tc>
          <w:tcPr>
            <w:tcW w:type="dxa" w:w="4205"/>
            <w:tcMar>
              <w:top w:w="50" w:type="dxa"/>
              <w:bottom w:w="50" w:type="dxa"/>
              <w:left w:w="90" w:type="dxa"/>
              <w:right w:w="90" w:type="dxa"/>
            </w:tcMar>
            <w:shd w:val="clear" w:color="auto" w:fill="E5F5FF"/>
          </w:tcPr>
          <w:p>
            <w:pPr>
              <w:pStyle w:val="BDOITable"/>
            </w:pPr>
            <w:r>
              <w:rPr>
                <w:sz w:val="16"/>
              </w:rPr>
              <w:t>Checkstyle, PMD, SpotBugs, ArchUnit, ESLint with SonarJS, SonarQube</w:t>
            </w:r>
          </w:p>
        </w:tc>
        <w:tc>
          <w:tcPr>
            <w:tcW w:type="dxa" w:w="3244"/>
            <w:tcMar>
              <w:top w:w="50" w:type="dxa"/>
              <w:bottom w:w="50" w:type="dxa"/>
              <w:left w:w="90" w:type="dxa"/>
              <w:right w:w="90" w:type="dxa"/>
            </w:tcMar>
            <w:shd w:val="clear" w:color="auto" w:fill="E5F5FF"/>
          </w:tcPr>
          <w:p>
            <w:pPr>
              <w:pStyle w:val="BDOITable"/>
            </w:pPr>
            <w:r>
              <w:rPr>
                <w:sz w:val="16"/>
              </w:rPr>
              <w:t>Quality gates</w:t>
            </w:r>
          </w:p>
        </w:tc>
      </w:tr>
      <w:tr>
        <w:trPr>
          <w:cantSplit w:val="true"/>
        </w:trPr>
        <w:tc>
          <w:tcPr>
            <w:tcW w:type="dxa" w:w="2523"/>
            <w:tcMar>
              <w:top w:w="50" w:type="dxa"/>
              <w:bottom w:w="50" w:type="dxa"/>
              <w:left w:w="90" w:type="dxa"/>
              <w:right w:w="90" w:type="dxa"/>
            </w:tcMar>
          </w:tcPr>
          <w:p>
            <w:pPr>
              <w:pStyle w:val="BDOITable"/>
            </w:pPr>
            <w:r>
              <w:rPr>
                <w:sz w:val="16"/>
              </w:rPr>
              <w:t>Security scans</w:t>
            </w:r>
          </w:p>
        </w:tc>
        <w:tc>
          <w:tcPr>
            <w:tcW w:type="dxa" w:w="4205"/>
            <w:tcMar>
              <w:top w:w="50" w:type="dxa"/>
              <w:bottom w:w="50" w:type="dxa"/>
              <w:left w:w="90" w:type="dxa"/>
              <w:right w:w="90" w:type="dxa"/>
            </w:tcMar>
          </w:tcPr>
          <w:p>
            <w:pPr>
              <w:pStyle w:val="BDOITable"/>
            </w:pPr>
            <w:r>
              <w:rPr>
                <w:sz w:val="16"/>
              </w:rPr>
              <w:t>CodeQL, OWASP dependency-check, npm audit, Trivy, gitleaks, CycloneDX bill of materials; OWASP ZAP for DAST (proposed)</w:t>
            </w:r>
          </w:p>
        </w:tc>
        <w:tc>
          <w:tcPr>
            <w:tcW w:type="dxa" w:w="3244"/>
            <w:tcMar>
              <w:top w:w="50" w:type="dxa"/>
              <w:bottom w:w="50" w:type="dxa"/>
              <w:left w:w="90" w:type="dxa"/>
              <w:right w:w="90" w:type="dxa"/>
            </w:tcMar>
          </w:tcPr>
          <w:p>
            <w:pPr>
              <w:pStyle w:val="BDOITable"/>
            </w:pPr>
            <w:r>
              <w:rPr>
                <w:sz w:val="16"/>
              </w:rPr>
              <w:t>Quality gates</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Service interface testing</w:t>
            </w:r>
          </w:p>
        </w:tc>
        <w:tc>
          <w:tcPr>
            <w:tcW w:type="dxa" w:w="4205"/>
            <w:tcMar>
              <w:top w:w="50" w:type="dxa"/>
              <w:bottom w:w="50" w:type="dxa"/>
              <w:left w:w="90" w:type="dxa"/>
              <w:right w:w="90" w:type="dxa"/>
            </w:tcMar>
            <w:shd w:val="clear" w:color="auto" w:fill="E5F5FF"/>
          </w:tcPr>
          <w:p>
            <w:pPr>
              <w:pStyle w:val="BDOITable"/>
            </w:pPr>
            <w:r>
              <w:rPr>
                <w:sz w:val="16"/>
              </w:rPr>
              <w:t>Postman</w:t>
            </w:r>
          </w:p>
        </w:tc>
        <w:tc>
          <w:tcPr>
            <w:tcW w:type="dxa" w:w="3244"/>
            <w:tcMar>
              <w:top w:w="50" w:type="dxa"/>
              <w:bottom w:w="50" w:type="dxa"/>
              <w:left w:w="90" w:type="dxa"/>
              <w:right w:w="90" w:type="dxa"/>
            </w:tcMar>
            <w:shd w:val="clear" w:color="auto" w:fill="E5F5FF"/>
          </w:tcPr>
          <w:p>
            <w:pPr>
              <w:pStyle w:val="BDOITable"/>
            </w:pPr>
            <w:r>
              <w:rPr>
                <w:sz w:val="16"/>
              </w:rPr>
              <w:t>IER VDI list</w:t>
            </w:r>
          </w:p>
        </w:tc>
      </w:tr>
      <w:tr>
        <w:trPr>
          <w:cantSplit w:val="true"/>
        </w:trPr>
        <w:tc>
          <w:tcPr>
            <w:tcW w:type="dxa" w:w="2523"/>
            <w:tcMar>
              <w:top w:w="50" w:type="dxa"/>
              <w:bottom w:w="50" w:type="dxa"/>
              <w:left w:w="90" w:type="dxa"/>
              <w:right w:w="90" w:type="dxa"/>
            </w:tcMar>
          </w:tcPr>
          <w:p>
            <w:pPr>
              <w:pStyle w:val="BDOITable"/>
            </w:pPr>
            <w:r>
              <w:rPr>
                <w:sz w:val="16"/>
              </w:rPr>
              <w:t>Automated regression of screens</w:t>
            </w:r>
          </w:p>
        </w:tc>
        <w:tc>
          <w:tcPr>
            <w:tcW w:type="dxa" w:w="4205"/>
            <w:tcMar>
              <w:top w:w="50" w:type="dxa"/>
              <w:bottom w:w="50" w:type="dxa"/>
              <w:left w:w="90" w:type="dxa"/>
              <w:right w:w="90" w:type="dxa"/>
            </w:tcMar>
          </w:tcPr>
          <w:p>
            <w:pPr>
              <w:pStyle w:val="BDOITable"/>
            </w:pPr>
            <w:r>
              <w:rPr>
                <w:sz w:val="16"/>
              </w:rPr>
              <w:t>Katalon</w:t>
            </w:r>
          </w:p>
        </w:tc>
        <w:tc>
          <w:tcPr>
            <w:tcW w:type="dxa" w:w="3244"/>
            <w:tcMar>
              <w:top w:w="50" w:type="dxa"/>
              <w:bottom w:w="50" w:type="dxa"/>
              <w:left w:w="90" w:type="dxa"/>
              <w:right w:w="90" w:type="dxa"/>
            </w:tcMar>
          </w:tcPr>
          <w:p>
            <w:pPr>
              <w:pStyle w:val="BDOITable"/>
            </w:pPr>
            <w:r>
              <w:rPr>
                <w:sz w:val="16"/>
              </w:rPr>
              <w:t>IER VDI list</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Performance and volume</w:t>
            </w:r>
          </w:p>
        </w:tc>
        <w:tc>
          <w:tcPr>
            <w:tcW w:type="dxa" w:w="4205"/>
            <w:tcMar>
              <w:top w:w="50" w:type="dxa"/>
              <w:bottom w:w="50" w:type="dxa"/>
              <w:left w:w="90" w:type="dxa"/>
              <w:right w:w="90" w:type="dxa"/>
            </w:tcMar>
            <w:shd w:val="clear" w:color="auto" w:fill="E5F5FF"/>
          </w:tcPr>
          <w:p>
            <w:pPr>
              <w:pStyle w:val="BDOITable"/>
            </w:pPr>
            <w:r>
              <w:rPr>
                <w:sz w:val="16"/>
              </w:rPr>
              <w:t>Apache JMeter 5.6</w:t>
            </w:r>
          </w:p>
        </w:tc>
        <w:tc>
          <w:tcPr>
            <w:tcW w:type="dxa" w:w="3244"/>
            <w:tcMar>
              <w:top w:w="50" w:type="dxa"/>
              <w:bottom w:w="50" w:type="dxa"/>
              <w:left w:w="90" w:type="dxa"/>
              <w:right w:w="90" w:type="dxa"/>
            </w:tcMar>
            <w:shd w:val="clear" w:color="auto" w:fill="E5F5FF"/>
          </w:tcPr>
          <w:p>
            <w:pPr>
              <w:pStyle w:val="BDOITable"/>
            </w:pPr>
            <w:r>
              <w:rPr>
                <w:sz w:val="16"/>
              </w:rPr>
              <w:t>IER VDI list</w:t>
            </w:r>
          </w:p>
        </w:tc>
      </w:tr>
      <w:tr>
        <w:trPr>
          <w:cantSplit w:val="true"/>
        </w:trPr>
        <w:tc>
          <w:tcPr>
            <w:tcW w:type="dxa" w:w="2523"/>
            <w:tcMar>
              <w:top w:w="50" w:type="dxa"/>
              <w:bottom w:w="50" w:type="dxa"/>
              <w:left w:w="90" w:type="dxa"/>
              <w:right w:w="90" w:type="dxa"/>
            </w:tcMar>
          </w:tcPr>
          <w:p>
            <w:pPr>
              <w:pStyle w:val="BDOITable"/>
            </w:pPr>
            <w:r>
              <w:rPr>
                <w:sz w:val="16"/>
              </w:rPr>
              <w:t>Monitoring during NFT</w:t>
            </w:r>
          </w:p>
        </w:tc>
        <w:tc>
          <w:tcPr>
            <w:tcW w:type="dxa" w:w="4205"/>
            <w:tcMar>
              <w:top w:w="50" w:type="dxa"/>
              <w:bottom w:w="50" w:type="dxa"/>
              <w:left w:w="90" w:type="dxa"/>
              <w:right w:w="90" w:type="dxa"/>
            </w:tcMar>
          </w:tcPr>
          <w:p>
            <w:pPr>
              <w:pStyle w:val="BDOITable"/>
            </w:pPr>
            <w:r>
              <w:rPr>
                <w:sz w:val="16"/>
              </w:rPr>
              <w:t>Dynatrace or Prometheus and Grafana (NFR-OBS-01)</w:t>
            </w:r>
          </w:p>
        </w:tc>
        <w:tc>
          <w:tcPr>
            <w:tcW w:type="dxa" w:w="3244"/>
            <w:tcMar>
              <w:top w:w="50" w:type="dxa"/>
              <w:bottom w:w="50" w:type="dxa"/>
              <w:left w:w="90" w:type="dxa"/>
              <w:right w:w="90" w:type="dxa"/>
            </w:tcMar>
          </w:tcPr>
          <w:p>
            <w:pPr>
              <w:pStyle w:val="BDOITable"/>
            </w:pPr>
            <w:r>
              <w:rPr>
                <w:sz w:val="16"/>
              </w:rPr>
              <w:t>IER</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Accessibility</w:t>
            </w:r>
          </w:p>
        </w:tc>
        <w:tc>
          <w:tcPr>
            <w:tcW w:type="dxa" w:w="4205"/>
            <w:tcMar>
              <w:top w:w="50" w:type="dxa"/>
              <w:bottom w:w="50" w:type="dxa"/>
              <w:left w:w="90" w:type="dxa"/>
              <w:right w:w="90" w:type="dxa"/>
            </w:tcMar>
            <w:shd w:val="clear" w:color="auto" w:fill="E5F5FF"/>
          </w:tcPr>
          <w:p>
            <w:pPr>
              <w:pStyle w:val="BDOITable"/>
            </w:pPr>
            <w:r>
              <w:rPr>
                <w:sz w:val="16"/>
              </w:rPr>
              <w:t>Accessibility checker of the browser developer tools; NVDA screen reader</w:t>
            </w:r>
          </w:p>
        </w:tc>
        <w:tc>
          <w:tcPr>
            <w:tcW w:type="dxa" w:w="3244"/>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ageBreakBefore/>
        <w:pBdr>
          <w:bottom w:val="single" w:sz="4" w:space="4" w:color="99C1E7"/>
        </w:pBdr>
      </w:pPr>
      <w:bookmarkStart w:id="130" w:name="_Toc000130"/>
      <w:r>
        <w:rPr/>
        <w:t>13 Roles and responsibilities</w:t>
      </w:r>
      <w:bookmarkEnd w:id="130"/>
    </w:p>
    <w:p>
      <w:pPr>
        <w:pStyle w:val="Heading2"/>
      </w:pPr>
      <w:bookmarkStart w:id="131" w:name="_Toc000131"/>
      <w:r>
        <w:rPr/>
        <w:t>13.1 Roles</w:t>
      </w:r>
      <w:bookmarkEnd w:id="131"/>
    </w:p>
    <w:p>
      <w:pPr>
        <w:pStyle w:val="Caption"/>
        <w:keepNext/>
        <w:spacing w:after="60"/>
      </w:pPr>
      <w:r>
        <w:rPr>
          <w:b/>
          <w:i w:val="0"/>
        </w:rPr>
        <w:t xml:space="preserve">Table 14: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7329"/>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7329"/>
            <w:shd w:val="clear" w:color="auto" w:fill="004EA8"/>
            <w:tcMar>
              <w:top w:w="50" w:type="dxa"/>
              <w:bottom w:w="50" w:type="dxa"/>
              <w:left w:w="90" w:type="dxa"/>
              <w:right w:w="90" w:type="dxa"/>
            </w:tcMar>
            <w:vAlign w:val="center"/>
          </w:tcPr>
          <w:p>
            <w:pPr>
              <w:pStyle w:val="BDOITableHeader"/>
            </w:pPr>
            <w:r>
              <w:rPr>
                <w:b/>
                <w:color w:val="FFFFFF"/>
                <w:sz w:val="17"/>
              </w:rPr>
              <w:t>Responsibilities</w:t>
            </w:r>
          </w:p>
        </w:tc>
      </w:tr>
      <w:tr>
        <w:trPr>
          <w:cantSplit w:val="true"/>
        </w:trPr>
        <w:tc>
          <w:tcPr>
            <w:tcW w:type="dxa" w:w="2643"/>
            <w:tcMar>
              <w:top w:w="50" w:type="dxa"/>
              <w:bottom w:w="50" w:type="dxa"/>
              <w:left w:w="90" w:type="dxa"/>
              <w:right w:w="90" w:type="dxa"/>
            </w:tcMar>
          </w:tcPr>
          <w:p>
            <w:pPr>
              <w:pStyle w:val="BDOITable"/>
            </w:pPr>
            <w:r>
              <w:rPr>
                <w:sz w:val="17"/>
              </w:rPr>
              <w:t>iorta QA lead (test manager)</w:t>
            </w:r>
          </w:p>
        </w:tc>
        <w:tc>
          <w:tcPr>
            <w:tcW w:type="dxa" w:w="7329"/>
            <w:tcMar>
              <w:top w:w="50" w:type="dxa"/>
              <w:bottom w:w="50" w:type="dxa"/>
              <w:left w:w="90" w:type="dxa"/>
              <w:right w:w="90" w:type="dxa"/>
            </w:tcMar>
          </w:tcPr>
          <w:p>
            <w:pPr>
              <w:pStyle w:val="BDOITable"/>
            </w:pPr>
            <w:r>
              <w:rPr>
                <w:sz w:val="17"/>
              </w:rPr>
              <w:t>Test strategy and plans, SIT execution, triage, reporting, SIT exit report, UAT support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iorta test analysts</w:t>
            </w:r>
          </w:p>
        </w:tc>
        <w:tc>
          <w:tcPr>
            <w:tcW w:type="dxa" w:w="7329"/>
            <w:tcMar>
              <w:top w:w="50" w:type="dxa"/>
              <w:bottom w:w="50" w:type="dxa"/>
              <w:left w:w="90" w:type="dxa"/>
              <w:right w:w="90" w:type="dxa"/>
            </w:tcMar>
            <w:shd w:val="clear" w:color="auto" w:fill="E5F5FF"/>
          </w:tcPr>
          <w:p>
            <w:pPr>
              <w:pStyle w:val="BDOITable"/>
            </w:pPr>
            <w:r>
              <w:rPr>
                <w:sz w:val="17"/>
              </w:rPr>
              <w:t>Test cases and data, execution, incident logging, re-test, regression</w:t>
            </w:r>
          </w:p>
        </w:tc>
      </w:tr>
      <w:tr>
        <w:trPr>
          <w:cantSplit w:val="true"/>
        </w:trPr>
        <w:tc>
          <w:tcPr>
            <w:tcW w:type="dxa" w:w="2643"/>
            <w:tcMar>
              <w:top w:w="50" w:type="dxa"/>
              <w:bottom w:w="50" w:type="dxa"/>
              <w:left w:w="90" w:type="dxa"/>
              <w:right w:w="90" w:type="dxa"/>
            </w:tcMar>
          </w:tcPr>
          <w:p>
            <w:pPr>
              <w:pStyle w:val="BDOITable"/>
            </w:pPr>
            <w:r>
              <w:rPr>
                <w:sz w:val="17"/>
              </w:rPr>
              <w:t>iorta Performance Test Lead</w:t>
            </w:r>
          </w:p>
        </w:tc>
        <w:tc>
          <w:tcPr>
            <w:tcW w:type="dxa" w:w="7329"/>
            <w:tcMar>
              <w:top w:w="50" w:type="dxa"/>
              <w:bottom w:w="50" w:type="dxa"/>
              <w:left w:w="90" w:type="dxa"/>
              <w:right w:w="90" w:type="dxa"/>
            </w:tcMar>
          </w:tcPr>
          <w:p>
            <w:pPr>
              <w:pStyle w:val="BDOITable"/>
            </w:pPr>
            <w:r>
              <w:rPr>
                <w:sz w:val="17"/>
              </w:rPr>
              <w:t>Workload model, NFT scripts and runs, NFT report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iorta Security Lead</w:t>
            </w:r>
          </w:p>
        </w:tc>
        <w:tc>
          <w:tcPr>
            <w:tcW w:type="dxa" w:w="7329"/>
            <w:tcMar>
              <w:top w:w="50" w:type="dxa"/>
              <w:bottom w:w="50" w:type="dxa"/>
              <w:left w:w="90" w:type="dxa"/>
              <w:right w:w="90" w:type="dxa"/>
            </w:tcMar>
            <w:shd w:val="clear" w:color="auto" w:fill="E5F5FF"/>
          </w:tcPr>
          <w:p>
            <w:pPr>
              <w:pStyle w:val="BDOITable"/>
            </w:pPr>
            <w:r>
              <w:rPr>
                <w:sz w:val="17"/>
              </w:rPr>
              <w:t>Security gates, DAST, coordination of the penetration test, security report</w:t>
            </w:r>
          </w:p>
        </w:tc>
      </w:tr>
      <w:tr>
        <w:trPr>
          <w:cantSplit w:val="true"/>
        </w:trPr>
        <w:tc>
          <w:tcPr>
            <w:tcW w:type="dxa" w:w="2643"/>
            <w:tcMar>
              <w:top w:w="50" w:type="dxa"/>
              <w:bottom w:w="50" w:type="dxa"/>
              <w:left w:w="90" w:type="dxa"/>
              <w:right w:w="90" w:type="dxa"/>
            </w:tcMar>
          </w:tcPr>
          <w:p>
            <w:pPr>
              <w:pStyle w:val="BDOITable"/>
            </w:pPr>
            <w:r>
              <w:rPr>
                <w:sz w:val="17"/>
              </w:rPr>
              <w:t>iorta Development Lead and developers</w:t>
            </w:r>
          </w:p>
        </w:tc>
        <w:tc>
          <w:tcPr>
            <w:tcW w:type="dxa" w:w="7329"/>
            <w:tcMar>
              <w:top w:w="50" w:type="dxa"/>
              <w:bottom w:w="50" w:type="dxa"/>
              <w:left w:w="90" w:type="dxa"/>
              <w:right w:w="90" w:type="dxa"/>
            </w:tcMar>
          </w:tcPr>
          <w:p>
            <w:pPr>
              <w:pStyle w:val="BDOITable"/>
            </w:pPr>
            <w:r>
              <w:rPr>
                <w:sz w:val="17"/>
              </w:rPr>
              <w:t>Unit and integration testing, coverage, fixes and release notes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iorta DevOps and Platform Lead</w:t>
            </w:r>
          </w:p>
        </w:tc>
        <w:tc>
          <w:tcPr>
            <w:tcW w:type="dxa" w:w="7329"/>
            <w:tcMar>
              <w:top w:w="50" w:type="dxa"/>
              <w:bottom w:w="50" w:type="dxa"/>
              <w:left w:w="90" w:type="dxa"/>
              <w:right w:w="90" w:type="dxa"/>
            </w:tcMar>
            <w:shd w:val="clear" w:color="auto" w:fill="E5F5FF"/>
          </w:tcPr>
          <w:p>
            <w:pPr>
              <w:pStyle w:val="BDOITable"/>
            </w:pPr>
            <w:r>
              <w:rPr>
                <w:sz w:val="17"/>
              </w:rPr>
              <w:t>Environments with BDOI IT, pipeline, resilience and DR tests</w:t>
            </w:r>
          </w:p>
        </w:tc>
      </w:tr>
      <w:tr>
        <w:trPr>
          <w:cantSplit w:val="true"/>
        </w:trPr>
        <w:tc>
          <w:tcPr>
            <w:tcW w:type="dxa" w:w="2643"/>
            <w:tcMar>
              <w:top w:w="50" w:type="dxa"/>
              <w:bottom w:w="50" w:type="dxa"/>
              <w:left w:w="90" w:type="dxa"/>
              <w:right w:w="90" w:type="dxa"/>
            </w:tcMar>
          </w:tcPr>
          <w:p>
            <w:pPr>
              <w:pStyle w:val="BDOITable"/>
            </w:pPr>
            <w:r>
              <w:rPr>
                <w:sz w:val="17"/>
              </w:rPr>
              <w:t>iorta Migration Lead</w:t>
            </w:r>
          </w:p>
        </w:tc>
        <w:tc>
          <w:tcPr>
            <w:tcW w:type="dxa" w:w="7329"/>
            <w:tcMar>
              <w:top w:w="50" w:type="dxa"/>
              <w:bottom w:w="50" w:type="dxa"/>
              <w:left w:w="90" w:type="dxa"/>
              <w:right w:w="90" w:type="dxa"/>
            </w:tcMar>
          </w:tcPr>
          <w:p>
            <w:pPr>
              <w:pStyle w:val="BDOITable"/>
            </w:pPr>
            <w:r>
              <w:rPr>
                <w:sz w:val="17"/>
              </w:rPr>
              <w:t>Trial migrations, reconciliation, masking verification</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iorta Business Analyst lead</w:t>
            </w:r>
          </w:p>
        </w:tc>
        <w:tc>
          <w:tcPr>
            <w:tcW w:type="dxa" w:w="7329"/>
            <w:tcMar>
              <w:top w:w="50" w:type="dxa"/>
              <w:bottom w:w="50" w:type="dxa"/>
              <w:left w:w="90" w:type="dxa"/>
              <w:right w:w="90" w:type="dxa"/>
            </w:tcMar>
            <w:shd w:val="clear" w:color="auto" w:fill="E5F5FF"/>
          </w:tcPr>
          <w:p>
            <w:pPr>
              <w:pStyle w:val="BDOITable"/>
            </w:pPr>
            <w:r>
              <w:rPr>
                <w:sz w:val="17"/>
              </w:rPr>
              <w:t>Traceability, UAT scenarios with the business, change requests</w:t>
            </w:r>
          </w:p>
        </w:tc>
      </w:tr>
      <w:tr>
        <w:trPr>
          <w:cantSplit w:val="true"/>
        </w:trPr>
        <w:tc>
          <w:tcPr>
            <w:tcW w:type="dxa" w:w="2643"/>
            <w:tcMar>
              <w:top w:w="50" w:type="dxa"/>
              <w:bottom w:w="50" w:type="dxa"/>
              <w:left w:w="90" w:type="dxa"/>
              <w:right w:w="90" w:type="dxa"/>
            </w:tcMar>
          </w:tcPr>
          <w:p>
            <w:pPr>
              <w:pStyle w:val="BDOITable"/>
            </w:pPr>
            <w:r>
              <w:rPr>
                <w:sz w:val="17"/>
              </w:rPr>
              <w:t>BIBS Product Owner</w:t>
            </w:r>
          </w:p>
        </w:tc>
        <w:tc>
          <w:tcPr>
            <w:tcW w:type="dxa" w:w="7329"/>
            <w:tcMar>
              <w:top w:w="50" w:type="dxa"/>
              <w:bottom w:w="50" w:type="dxa"/>
              <w:left w:w="90" w:type="dxa"/>
              <w:right w:w="90" w:type="dxa"/>
            </w:tcMar>
          </w:tcPr>
          <w:p>
            <w:pPr>
              <w:pStyle w:val="BDOITable"/>
            </w:pPr>
            <w:r>
              <w:rPr>
                <w:sz w:val="17"/>
              </w:rPr>
              <w:t>Approves the strategy, the workload model and the UAT readiness; signs the UAT summary</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BRD product owners and UAT testers (BDOI)</w:t>
            </w:r>
          </w:p>
        </w:tc>
        <w:tc>
          <w:tcPr>
            <w:tcW w:type="dxa" w:w="7329"/>
            <w:tcMar>
              <w:top w:w="50" w:type="dxa"/>
              <w:bottom w:w="50" w:type="dxa"/>
              <w:left w:w="90" w:type="dxa"/>
              <w:right w:w="90" w:type="dxa"/>
            </w:tcMar>
            <w:shd w:val="clear" w:color="auto" w:fill="E5F5FF"/>
          </w:tcPr>
          <w:p>
            <w:pPr>
              <w:pStyle w:val="BDOITable"/>
            </w:pPr>
            <w:r>
              <w:rPr>
                <w:sz w:val="17"/>
              </w:rPr>
              <w:t>Approve test plans; run UAT; sign the UAT certificate of their BRD</w:t>
            </w:r>
          </w:p>
        </w:tc>
      </w:tr>
      <w:tr>
        <w:trPr>
          <w:cantSplit w:val="true"/>
        </w:trPr>
        <w:tc>
          <w:tcPr>
            <w:tcW w:type="dxa" w:w="2643"/>
            <w:tcMar>
              <w:top w:w="50" w:type="dxa"/>
              <w:bottom w:w="50" w:type="dxa"/>
              <w:left w:w="90" w:type="dxa"/>
              <w:right w:w="90" w:type="dxa"/>
            </w:tcMar>
          </w:tcPr>
          <w:p>
            <w:pPr>
              <w:pStyle w:val="BDOITable"/>
            </w:pPr>
            <w:r>
              <w:rPr>
                <w:sz w:val="17"/>
              </w:rPr>
              <w:t>BDOI IT</w:t>
            </w:r>
          </w:p>
        </w:tc>
        <w:tc>
          <w:tcPr>
            <w:tcW w:type="dxa" w:w="7329"/>
            <w:tcMar>
              <w:top w:w="50" w:type="dxa"/>
              <w:bottom w:w="50" w:type="dxa"/>
              <w:left w:w="90" w:type="dxa"/>
              <w:right w:w="90" w:type="dxa"/>
            </w:tcMar>
          </w:tcPr>
          <w:p>
            <w:pPr>
              <w:pStyle w:val="BDOITable"/>
            </w:pPr>
            <w:r>
              <w:rPr>
                <w:sz w:val="17"/>
              </w:rPr>
              <w:t>Environments, integrations, partner test systems, DR region</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BDOI Information Security</w:t>
            </w:r>
          </w:p>
        </w:tc>
        <w:tc>
          <w:tcPr>
            <w:tcW w:type="dxa" w:w="7329"/>
            <w:tcMar>
              <w:top w:w="50" w:type="dxa"/>
              <w:bottom w:w="50" w:type="dxa"/>
              <w:left w:w="90" w:type="dxa"/>
              <w:right w:w="90" w:type="dxa"/>
            </w:tcMar>
            <w:shd w:val="clear" w:color="auto" w:fill="E5F5FF"/>
          </w:tcPr>
          <w:p>
            <w:pPr>
              <w:pStyle w:val="BDOITable"/>
            </w:pPr>
            <w:r>
              <w:rPr>
                <w:sz w:val="17"/>
              </w:rPr>
              <w:t>Security acceptance; names the penetration test provider</w:t>
            </w:r>
          </w:p>
        </w:tc>
      </w:tr>
      <w:tr>
        <w:trPr>
          <w:cantSplit w:val="true"/>
        </w:trPr>
        <w:tc>
          <w:tcPr>
            <w:tcW w:type="dxa" w:w="2643"/>
            <w:tcMar>
              <w:top w:w="50" w:type="dxa"/>
              <w:bottom w:w="50" w:type="dxa"/>
              <w:left w:w="90" w:type="dxa"/>
              <w:right w:w="90" w:type="dxa"/>
            </w:tcMar>
          </w:tcPr>
          <w:p>
            <w:pPr>
              <w:pStyle w:val="BDOITable"/>
            </w:pPr>
            <w:r>
              <w:rPr>
                <w:sz w:val="17"/>
              </w:rPr>
              <w:t>BDOI Data Migration Lead and data owners</w:t>
            </w:r>
          </w:p>
        </w:tc>
        <w:tc>
          <w:tcPr>
            <w:tcW w:type="dxa" w:w="7329"/>
            <w:tcMar>
              <w:top w:w="50" w:type="dxa"/>
              <w:bottom w:w="50" w:type="dxa"/>
              <w:left w:w="90" w:type="dxa"/>
              <w:right w:w="90" w:type="dxa"/>
            </w:tcMar>
          </w:tcPr>
          <w:p>
            <w:pPr>
              <w:pStyle w:val="BDOITable"/>
            </w:pPr>
            <w:r>
              <w:rPr>
                <w:sz w:val="17"/>
              </w:rPr>
              <w:t>Extracts, code maps, business verification of migrated data</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Data Protection Officer</w:t>
            </w:r>
          </w:p>
        </w:tc>
        <w:tc>
          <w:tcPr>
            <w:tcW w:type="dxa" w:w="7329"/>
            <w:tcMar>
              <w:top w:w="50" w:type="dxa"/>
              <w:bottom w:w="50" w:type="dxa"/>
              <w:left w:w="90" w:type="dxa"/>
              <w:right w:w="90" w:type="dxa"/>
            </w:tcMar>
            <w:shd w:val="clear" w:color="auto" w:fill="E5F5FF"/>
          </w:tcPr>
          <w:p>
            <w:pPr>
              <w:pStyle w:val="BDOITable"/>
            </w:pPr>
            <w:r>
              <w:rPr>
                <w:sz w:val="17"/>
              </w:rPr>
              <w:t>Accepts the masking rules and the privacy tests</w:t>
            </w:r>
          </w:p>
        </w:tc>
      </w:tr>
    </w:tbl>
    <w:p>
      <w:pPr>
        <w:pStyle w:val="BDOISpacer"/>
      </w:pPr>
    </w:p>
    <w:p>
      <w:pPr>
        <w:pStyle w:val="Heading2"/>
      </w:pPr>
      <w:bookmarkStart w:id="132" w:name="_Toc000132"/>
      <w:r>
        <w:rPr/>
        <w:t>13.2 RACI</w:t>
      </w:r>
      <w:bookmarkEnd w:id="132"/>
    </w:p>
    <w:p>
      <w:pPr>
        <w:pStyle w:val="Caption"/>
        <w:keepNext/>
        <w:spacing w:after="60"/>
      </w:pPr>
      <w:r>
        <w:rPr>
          <w:b/>
          <w:i w:val="0"/>
        </w:rPr>
        <w:t xml:space="preserve">Table 15: </w:t>
      </w:r>
      <w:r>
        <w:rPr/>
        <w:t>RACI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38"/>
        <w:gridCol w:w="906"/>
        <w:gridCol w:w="906"/>
        <w:gridCol w:w="906"/>
        <w:gridCol w:w="906"/>
        <w:gridCol w:w="906"/>
        <w:gridCol w:w="967"/>
        <w:gridCol w:w="967"/>
        <w:gridCol w:w="967"/>
      </w:tblGrid>
      <w:tr>
        <w:trPr>
          <w:tblHeader w:val="true"/>
          <w:cantSplit w:val="true"/>
        </w:trPr>
        <w:tc>
          <w:tcPr>
            <w:tcW w:type="dxa" w:w="2538"/>
            <w:shd w:val="clear" w:color="auto" w:fill="004EA8"/>
            <w:tcMar>
              <w:top w:w="50" w:type="dxa"/>
              <w:bottom w:w="50" w:type="dxa"/>
              <w:left w:w="90" w:type="dxa"/>
              <w:right w:w="90" w:type="dxa"/>
            </w:tcMar>
            <w:vAlign w:val="center"/>
          </w:tcPr>
          <w:p>
            <w:pPr>
              <w:pStyle w:val="BDOITableHeader"/>
            </w:pPr>
            <w:r>
              <w:rPr>
                <w:b/>
                <w:color w:val="FFFFFF"/>
                <w:sz w:val="15"/>
              </w:rPr>
              <w:t>Activity</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QA lead</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Perf. / Sec. leads</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Dev. lead</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Migration lead</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BIBS PO</w:t>
            </w:r>
          </w:p>
        </w:tc>
        <w:tc>
          <w:tcPr>
            <w:tcW w:type="dxa" w:w="967"/>
            <w:shd w:val="clear" w:color="auto" w:fill="004EA8"/>
            <w:tcMar>
              <w:top w:w="50" w:type="dxa"/>
              <w:bottom w:w="50" w:type="dxa"/>
              <w:left w:w="90" w:type="dxa"/>
              <w:right w:w="90" w:type="dxa"/>
            </w:tcMar>
            <w:vAlign w:val="center"/>
          </w:tcPr>
          <w:p>
            <w:pPr>
              <w:pStyle w:val="BDOITableHeader"/>
            </w:pPr>
            <w:r>
              <w:rPr>
                <w:b/>
                <w:color w:val="FFFFFF"/>
                <w:sz w:val="15"/>
              </w:rPr>
              <w:t>BRD owners and testers</w:t>
            </w:r>
          </w:p>
        </w:tc>
        <w:tc>
          <w:tcPr>
            <w:tcW w:type="dxa" w:w="967"/>
            <w:shd w:val="clear" w:color="auto" w:fill="004EA8"/>
            <w:tcMar>
              <w:top w:w="50" w:type="dxa"/>
              <w:bottom w:w="50" w:type="dxa"/>
              <w:left w:w="90" w:type="dxa"/>
              <w:right w:w="90" w:type="dxa"/>
            </w:tcMar>
            <w:vAlign w:val="center"/>
          </w:tcPr>
          <w:p>
            <w:pPr>
              <w:pStyle w:val="BDOITableHeader"/>
            </w:pPr>
            <w:r>
              <w:rPr>
                <w:b/>
                <w:color w:val="FFFFFF"/>
                <w:sz w:val="15"/>
              </w:rPr>
              <w:t>BDOI IT</w:t>
            </w:r>
          </w:p>
        </w:tc>
        <w:tc>
          <w:tcPr>
            <w:tcW w:type="dxa" w:w="967"/>
            <w:shd w:val="clear" w:color="auto" w:fill="004EA8"/>
            <w:tcMar>
              <w:top w:w="50" w:type="dxa"/>
              <w:bottom w:w="50" w:type="dxa"/>
              <w:left w:w="90" w:type="dxa"/>
              <w:right w:w="90" w:type="dxa"/>
            </w:tcMar>
            <w:vAlign w:val="center"/>
          </w:tcPr>
          <w:p>
            <w:pPr>
              <w:pStyle w:val="BDOITableHeader"/>
            </w:pPr>
            <w:r>
              <w:rPr>
                <w:b/>
                <w:color w:val="FFFFFF"/>
                <w:sz w:val="15"/>
              </w:rPr>
              <w:t>BDOI InfoSec</w:t>
            </w:r>
          </w:p>
        </w:tc>
      </w:tr>
      <w:tr>
        <w:trPr>
          <w:cantSplit w:val="true"/>
        </w:trPr>
        <w:tc>
          <w:tcPr>
            <w:tcW w:type="dxa" w:w="2538"/>
            <w:tcMar>
              <w:top w:w="50" w:type="dxa"/>
              <w:bottom w:w="50" w:type="dxa"/>
              <w:left w:w="90" w:type="dxa"/>
              <w:right w:w="90" w:type="dxa"/>
            </w:tcMar>
          </w:tcPr>
          <w:p>
            <w:pPr>
              <w:pStyle w:val="BDOITable"/>
            </w:pPr>
            <w:r>
              <w:rPr>
                <w:sz w:val="15"/>
              </w:rPr>
              <w:t>Test strategy and test plans</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A</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Test environments</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A</w:t>
            </w:r>
          </w:p>
        </w:tc>
        <w:tc>
          <w:tcPr>
            <w:tcW w:type="dxa" w:w="967"/>
            <w:tcMar>
              <w:top w:w="50" w:type="dxa"/>
              <w:bottom w:w="50" w:type="dxa"/>
              <w:left w:w="90" w:type="dxa"/>
              <w:right w:w="90" w:type="dxa"/>
            </w:tcMar>
            <w:shd w:val="clear" w:color="auto" w:fill="E5F5FF"/>
          </w:tcPr>
          <w:p>
            <w:pPr>
              <w:pStyle w:val="BDOITable"/>
            </w:pPr>
            <w:r>
              <w:rPr>
                <w:sz w:val="15"/>
              </w:rPr>
              <w:t>C</w:t>
            </w:r>
          </w:p>
        </w:tc>
      </w:tr>
      <w:tr>
        <w:trPr>
          <w:cantSplit w:val="true"/>
        </w:trPr>
        <w:tc>
          <w:tcPr>
            <w:tcW w:type="dxa" w:w="2538"/>
            <w:tcMar>
              <w:top w:w="50" w:type="dxa"/>
              <w:bottom w:w="50" w:type="dxa"/>
              <w:left w:w="90" w:type="dxa"/>
              <w:right w:w="90" w:type="dxa"/>
            </w:tcMar>
          </w:tcPr>
          <w:p>
            <w:pPr>
              <w:pStyle w:val="BDOITable"/>
            </w:pPr>
            <w:r>
              <w:rPr>
                <w:sz w:val="15"/>
              </w:rPr>
              <w:t>Test data (seed and masked)</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A</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Unit and integration testing</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A</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r>
      <w:tr>
        <w:trPr>
          <w:cantSplit w:val="true"/>
        </w:trPr>
        <w:tc>
          <w:tcPr>
            <w:tcW w:type="dxa" w:w="2538"/>
            <w:tcMar>
              <w:top w:w="50" w:type="dxa"/>
              <w:bottom w:w="50" w:type="dxa"/>
              <w:left w:w="90" w:type="dxa"/>
              <w:right w:w="90" w:type="dxa"/>
            </w:tcMar>
          </w:tcPr>
          <w:p>
            <w:pPr>
              <w:pStyle w:val="BDOITable"/>
            </w:pPr>
            <w:r>
              <w:rPr>
                <w:sz w:val="15"/>
              </w:rPr>
              <w:t>SIT execution and exit report</w:t>
            </w:r>
          </w:p>
        </w:tc>
        <w:tc>
          <w:tcPr>
            <w:tcW w:type="dxa" w:w="907"/>
            <w:tcMar>
              <w:top w:w="50" w:type="dxa"/>
              <w:bottom w:w="50" w:type="dxa"/>
              <w:left w:w="90" w:type="dxa"/>
              <w:right w:w="90" w:type="dxa"/>
            </w:tcMar>
          </w:tcPr>
          <w:p>
            <w:pPr>
              <w:pStyle w:val="BDOITable"/>
            </w:pPr>
            <w:r>
              <w:rPr>
                <w:sz w:val="15"/>
              </w:rPr>
              <w:t>A</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I</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Incident triage and fixes</w:t>
            </w:r>
          </w:p>
        </w:tc>
        <w:tc>
          <w:tcPr>
            <w:tcW w:type="dxa" w:w="907"/>
            <w:tcMar>
              <w:top w:w="50" w:type="dxa"/>
              <w:bottom w:w="50" w:type="dxa"/>
              <w:left w:w="90" w:type="dxa"/>
              <w:right w:w="90" w:type="dxa"/>
            </w:tcMar>
            <w:shd w:val="clear" w:color="auto" w:fill="E5F5FF"/>
          </w:tcPr>
          <w:p>
            <w:pPr>
              <w:pStyle w:val="BDOITable"/>
            </w:pPr>
            <w:r>
              <w:rPr>
                <w:sz w:val="15"/>
              </w:rPr>
              <w:t>R</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R</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C</w:t>
            </w:r>
          </w:p>
        </w:tc>
        <w:tc>
          <w:tcPr>
            <w:tcW w:type="dxa" w:w="967"/>
            <w:tcMar>
              <w:top w:w="50" w:type="dxa"/>
              <w:bottom w:w="50" w:type="dxa"/>
              <w:left w:w="90" w:type="dxa"/>
              <w:right w:w="90" w:type="dxa"/>
            </w:tcMar>
            <w:shd w:val="clear" w:color="auto" w:fill="E5F5FF"/>
          </w:tcPr>
          <w:p>
            <w:pPr>
              <w:pStyle w:val="BDOITable"/>
            </w:pPr>
            <w:r>
              <w:rPr>
                <w:sz w:val="15"/>
              </w:rPr>
              <w:t>C</w:t>
            </w:r>
          </w:p>
        </w:tc>
        <w:tc>
          <w:tcPr>
            <w:tcW w:type="dxa" w:w="967"/>
            <w:tcMar>
              <w:top w:w="50" w:type="dxa"/>
              <w:bottom w:w="50" w:type="dxa"/>
              <w:left w:w="90" w:type="dxa"/>
              <w:right w:w="90" w:type="dxa"/>
            </w:tcMar>
            <w:shd w:val="clear" w:color="auto" w:fill="E5F5FF"/>
          </w:tcPr>
          <w:p>
            <w:pPr>
              <w:pStyle w:val="BDOITable"/>
            </w:pPr>
            <w:r>
              <w:rPr>
                <w:sz w:val="15"/>
              </w:rPr>
              <w:t>I</w:t>
            </w:r>
          </w:p>
        </w:tc>
      </w:tr>
      <w:tr>
        <w:trPr>
          <w:cantSplit w:val="true"/>
        </w:trPr>
        <w:tc>
          <w:tcPr>
            <w:tcW w:type="dxa" w:w="2538"/>
            <w:tcMar>
              <w:top w:w="50" w:type="dxa"/>
              <w:bottom w:w="50" w:type="dxa"/>
              <w:left w:w="90" w:type="dxa"/>
              <w:right w:w="90" w:type="dxa"/>
            </w:tcMar>
          </w:tcPr>
          <w:p>
            <w:pPr>
              <w:pStyle w:val="BDOITable"/>
            </w:pPr>
            <w:r>
              <w:rPr>
                <w:sz w:val="15"/>
              </w:rPr>
              <w:t>UAT scenarios and readiness</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A</w:t>
            </w:r>
          </w:p>
        </w:tc>
        <w:tc>
          <w:tcPr>
            <w:tcW w:type="dxa" w:w="967"/>
            <w:tcMar>
              <w:top w:w="50" w:type="dxa"/>
              <w:bottom w:w="50" w:type="dxa"/>
              <w:left w:w="90" w:type="dxa"/>
              <w:right w:w="90" w:type="dxa"/>
            </w:tcMar>
          </w:tcPr>
          <w:p>
            <w:pPr>
              <w:pStyle w:val="BDOITable"/>
            </w:pPr>
            <w:r>
              <w:rPr>
                <w:sz w:val="15"/>
              </w:rPr>
              <w:t>R</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UAT execution and sign-off</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A</w:t>
            </w:r>
          </w:p>
        </w:tc>
        <w:tc>
          <w:tcPr>
            <w:tcW w:type="dxa" w:w="967"/>
            <w:tcMar>
              <w:top w:w="50" w:type="dxa"/>
              <w:bottom w:w="50" w:type="dxa"/>
              <w:left w:w="90" w:type="dxa"/>
              <w:right w:w="90" w:type="dxa"/>
            </w:tcMar>
            <w:shd w:val="clear" w:color="auto" w:fill="E5F5FF"/>
          </w:tcPr>
          <w:p>
            <w:pPr>
              <w:pStyle w:val="BDOITable"/>
            </w:pPr>
            <w:r>
              <w:rPr>
                <w:sz w:val="15"/>
              </w:rPr>
              <w:t>R</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r>
      <w:tr>
        <w:trPr>
          <w:cantSplit w:val="true"/>
        </w:trPr>
        <w:tc>
          <w:tcPr>
            <w:tcW w:type="dxa" w:w="2538"/>
            <w:tcMar>
              <w:top w:w="50" w:type="dxa"/>
              <w:bottom w:w="50" w:type="dxa"/>
              <w:left w:w="90" w:type="dxa"/>
              <w:right w:w="90" w:type="dxa"/>
            </w:tcMar>
          </w:tcPr>
          <w:p>
            <w:pPr>
              <w:pStyle w:val="BDOITable"/>
            </w:pPr>
            <w:r>
              <w:rPr>
                <w:sz w:val="15"/>
              </w:rPr>
              <w:t>Trial migrations and reconciliation</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R</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I</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Performance and volume test</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R</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A</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C</w:t>
            </w:r>
          </w:p>
        </w:tc>
        <w:tc>
          <w:tcPr>
            <w:tcW w:type="dxa" w:w="967"/>
            <w:tcMar>
              <w:top w:w="50" w:type="dxa"/>
              <w:bottom w:w="50" w:type="dxa"/>
              <w:left w:w="90" w:type="dxa"/>
              <w:right w:w="90" w:type="dxa"/>
            </w:tcMar>
            <w:shd w:val="clear" w:color="auto" w:fill="E5F5FF"/>
          </w:tcPr>
          <w:p>
            <w:pPr>
              <w:pStyle w:val="BDOITable"/>
            </w:pPr>
            <w:r>
              <w:rPr>
                <w:sz w:val="15"/>
              </w:rPr>
              <w:t>I</w:t>
            </w:r>
          </w:p>
        </w:tc>
      </w:tr>
      <w:tr>
        <w:trPr>
          <w:cantSplit w:val="true"/>
        </w:trPr>
        <w:tc>
          <w:tcPr>
            <w:tcW w:type="dxa" w:w="2538"/>
            <w:tcMar>
              <w:top w:w="50" w:type="dxa"/>
              <w:bottom w:w="50" w:type="dxa"/>
              <w:left w:w="90" w:type="dxa"/>
              <w:right w:w="90" w:type="dxa"/>
            </w:tcMar>
          </w:tcPr>
          <w:p>
            <w:pPr>
              <w:pStyle w:val="BDOITable"/>
            </w:pPr>
            <w:r>
              <w:rPr>
                <w:sz w:val="15"/>
              </w:rPr>
              <w:t>Security tests and penetration test</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A</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DR drill</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A</w:t>
            </w:r>
          </w:p>
        </w:tc>
        <w:tc>
          <w:tcPr>
            <w:tcW w:type="dxa" w:w="967"/>
            <w:tcMar>
              <w:top w:w="50" w:type="dxa"/>
              <w:bottom w:w="50" w:type="dxa"/>
              <w:left w:w="90" w:type="dxa"/>
              <w:right w:w="90" w:type="dxa"/>
            </w:tcMar>
            <w:shd w:val="clear" w:color="auto" w:fill="E5F5FF"/>
          </w:tcPr>
          <w:p>
            <w:pPr>
              <w:pStyle w:val="BDOITable"/>
            </w:pPr>
            <w:r>
              <w:rPr>
                <w:sz w:val="15"/>
              </w:rPr>
              <w:t>C</w:t>
            </w:r>
          </w:p>
        </w:tc>
      </w:tr>
      <w:tr>
        <w:trPr>
          <w:cantSplit w:val="true"/>
        </w:trPr>
        <w:tc>
          <w:tcPr>
            <w:tcW w:type="dxa" w:w="2538"/>
            <w:tcMar>
              <w:top w:w="50" w:type="dxa"/>
              <w:bottom w:w="50" w:type="dxa"/>
              <w:left w:w="90" w:type="dxa"/>
              <w:right w:w="90" w:type="dxa"/>
            </w:tcMar>
          </w:tcPr>
          <w:p>
            <w:pPr>
              <w:pStyle w:val="BDOITable"/>
            </w:pPr>
            <w:r>
              <w:rPr>
                <w:sz w:val="15"/>
              </w:rPr>
              <w:t>Go-live check</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A</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I</w:t>
            </w:r>
          </w:p>
        </w:tc>
      </w:tr>
    </w:tbl>
    <w:p>
      <w:pPr>
        <w:pStyle w:val="BDOISpacer"/>
      </w:pPr>
    </w:p>
    <w:p>
      <w:pPr>
        <w:pStyle w:val="Heading1"/>
        <w:pageBreakBefore/>
        <w:pBdr>
          <w:bottom w:val="single" w:sz="4" w:space="4" w:color="99C1E7"/>
        </w:pBdr>
      </w:pPr>
      <w:bookmarkStart w:id="133" w:name="_Toc000133"/>
      <w:r>
        <w:rPr/>
        <w:t>14 Schedule per drop</w:t>
      </w:r>
      <w:bookmarkEnd w:id="133"/>
    </w:p>
    <w:p>
      <w:pPr>
        <w:pStyle w:val="Caption"/>
        <w:keepNext/>
        <w:spacing w:after="60"/>
      </w:pPr>
      <w:r>
        <w:rPr>
          <w:b/>
          <w:i w:val="0"/>
        </w:rPr>
        <w:t xml:space="preserve">Table 16: </w:t>
      </w:r>
      <w:r>
        <w:rPr/>
        <w:t>Test windows (project plan; BDOI programme timeline)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441"/>
        <w:gridCol w:w="2162"/>
        <w:gridCol w:w="4085"/>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6"/>
              </w:rPr>
              <w:t>Window</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Environment</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Dates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6"/>
              </w:rPr>
              <w:t>Gate</w:t>
            </w:r>
          </w:p>
        </w:tc>
      </w:tr>
      <w:tr>
        <w:trPr>
          <w:cantSplit w:val="true"/>
        </w:trPr>
        <w:tc>
          <w:tcPr>
            <w:tcW w:type="dxa" w:w="2283"/>
            <w:tcMar>
              <w:top w:w="50" w:type="dxa"/>
              <w:bottom w:w="50" w:type="dxa"/>
              <w:left w:w="90" w:type="dxa"/>
              <w:right w:w="90" w:type="dxa"/>
            </w:tcMar>
          </w:tcPr>
          <w:p>
            <w:pPr>
              <w:pStyle w:val="BDOITable"/>
            </w:pPr>
            <w:r>
              <w:rPr>
                <w:sz w:val="16"/>
              </w:rPr>
              <w:t>Drop 1 test plans approved</w:t>
            </w:r>
          </w:p>
        </w:tc>
        <w:tc>
          <w:tcPr>
            <w:tcW w:type="dxa" w:w="1442"/>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18 Dec 2026</w:t>
            </w:r>
          </w:p>
        </w:tc>
        <w:tc>
          <w:tcPr>
            <w:tcW w:type="dxa" w:w="4085"/>
            <w:tcMar>
              <w:top w:w="50" w:type="dxa"/>
              <w:bottom w:w="50" w:type="dxa"/>
              <w:left w:w="90" w:type="dxa"/>
              <w:right w:w="90" w:type="dxa"/>
            </w:tcMar>
          </w:tcPr>
          <w:p>
            <w:pPr>
              <w:pStyle w:val="BDOITable"/>
            </w:pPr>
            <w:r>
              <w:rPr>
                <w:sz w:val="16"/>
              </w:rPr>
              <w:t>Test plans of BRD-01, 02, 04, 05, 06, 09, 10, 12 and the Drop 0 sets</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Drop 1 SIT (with Drop 0 setup)</w:t>
            </w:r>
          </w:p>
        </w:tc>
        <w:tc>
          <w:tcPr>
            <w:tcW w:type="dxa" w:w="1442"/>
            <w:tcMar>
              <w:top w:w="50" w:type="dxa"/>
              <w:bottom w:w="50" w:type="dxa"/>
              <w:left w:w="90" w:type="dxa"/>
              <w:right w:w="90" w:type="dxa"/>
            </w:tcMar>
            <w:shd w:val="clear" w:color="auto" w:fill="E5F5FF"/>
          </w:tcPr>
          <w:p>
            <w:pPr>
              <w:pStyle w:val="BDOITable"/>
            </w:pPr>
            <w:r>
              <w:rPr>
                <w:sz w:val="16"/>
              </w:rPr>
              <w:t>SIT</w:t>
            </w:r>
          </w:p>
        </w:tc>
        <w:tc>
          <w:tcPr>
            <w:tcW w:type="dxa" w:w="2163"/>
            <w:tcMar>
              <w:top w:w="50" w:type="dxa"/>
              <w:bottom w:w="50" w:type="dxa"/>
              <w:left w:w="90" w:type="dxa"/>
              <w:right w:w="90" w:type="dxa"/>
            </w:tcMar>
            <w:shd w:val="clear" w:color="auto" w:fill="E5F5FF"/>
          </w:tcPr>
          <w:p>
            <w:pPr>
              <w:pStyle w:val="BDOITable"/>
            </w:pPr>
            <w:r>
              <w:rPr>
                <w:sz w:val="16"/>
              </w:rPr>
              <w:t>4 Jan to 30 Jul 2027</w:t>
            </w:r>
          </w:p>
        </w:tc>
        <w:tc>
          <w:tcPr>
            <w:tcW w:type="dxa" w:w="4085"/>
            <w:tcMar>
              <w:top w:w="50" w:type="dxa"/>
              <w:bottom w:w="50" w:type="dxa"/>
              <w:left w:w="90" w:type="dxa"/>
              <w:right w:w="90" w:type="dxa"/>
            </w:tcMar>
            <w:shd w:val="clear" w:color="auto" w:fill="E5F5FF"/>
          </w:tcPr>
          <w:p>
            <w:pPr>
              <w:pStyle w:val="BDOITable"/>
            </w:pPr>
            <w:r>
              <w:rPr>
                <w:sz w:val="16"/>
              </w:rPr>
              <w:t>SIT exit report; UAT readiness statement 30 Jul 2027</w:t>
            </w:r>
          </w:p>
        </w:tc>
      </w:tr>
      <w:tr>
        <w:trPr>
          <w:cantSplit w:val="true"/>
        </w:trPr>
        <w:tc>
          <w:tcPr>
            <w:tcW w:type="dxa" w:w="2283"/>
            <w:tcMar>
              <w:top w:w="50" w:type="dxa"/>
              <w:bottom w:w="50" w:type="dxa"/>
              <w:left w:w="90" w:type="dxa"/>
              <w:right w:w="90" w:type="dxa"/>
            </w:tcMar>
          </w:tcPr>
          <w:p>
            <w:pPr>
              <w:pStyle w:val="BDOITable"/>
            </w:pPr>
            <w:r>
              <w:rPr>
                <w:sz w:val="16"/>
              </w:rPr>
              <w:t>Trial migration 1</w:t>
            </w:r>
          </w:p>
        </w:tc>
        <w:tc>
          <w:tcPr>
            <w:tcW w:type="dxa" w:w="1442"/>
            <w:tcMar>
              <w:top w:w="50" w:type="dxa"/>
              <w:bottom w:w="50" w:type="dxa"/>
              <w:left w:w="90" w:type="dxa"/>
              <w:right w:w="90" w:type="dxa"/>
            </w:tcMar>
          </w:tcPr>
          <w:p>
            <w:pPr>
              <w:pStyle w:val="BDOITable"/>
            </w:pPr>
            <w:r>
              <w:rPr>
                <w:sz w:val="16"/>
              </w:rPr>
              <w:t>SIT</w:t>
            </w:r>
          </w:p>
        </w:tc>
        <w:tc>
          <w:tcPr>
            <w:tcW w:type="dxa" w:w="2163"/>
            <w:tcMar>
              <w:top w:w="50" w:type="dxa"/>
              <w:bottom w:w="50" w:type="dxa"/>
              <w:left w:w="90" w:type="dxa"/>
              <w:right w:w="90" w:type="dxa"/>
            </w:tcMar>
          </w:tcPr>
          <w:p>
            <w:pPr>
              <w:pStyle w:val="BDOITable"/>
            </w:pPr>
            <w:r>
              <w:rPr>
                <w:sz w:val="16"/>
              </w:rPr>
              <w:t>19 to 30 Apr 2027</w:t>
            </w:r>
          </w:p>
        </w:tc>
        <w:tc>
          <w:tcPr>
            <w:tcW w:type="dxa" w:w="4085"/>
            <w:tcMar>
              <w:top w:w="50" w:type="dxa"/>
              <w:bottom w:w="50" w:type="dxa"/>
              <w:left w:w="90" w:type="dxa"/>
              <w:right w:w="90" w:type="dxa"/>
            </w:tcMar>
          </w:tcPr>
          <w:p>
            <w:pPr>
              <w:pStyle w:val="BDOITable"/>
            </w:pPr>
            <w:r>
              <w:rPr>
                <w:sz w:val="16"/>
              </w:rPr>
              <w:t>Profiling report; timings</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Early security scan and SIT load baseline</w:t>
            </w:r>
          </w:p>
        </w:tc>
        <w:tc>
          <w:tcPr>
            <w:tcW w:type="dxa" w:w="1442"/>
            <w:tcMar>
              <w:top w:w="50" w:type="dxa"/>
              <w:bottom w:w="50" w:type="dxa"/>
              <w:left w:w="90" w:type="dxa"/>
              <w:right w:w="90" w:type="dxa"/>
            </w:tcMar>
            <w:shd w:val="clear" w:color="auto" w:fill="E5F5FF"/>
          </w:tcPr>
          <w:p>
            <w:pPr>
              <w:pStyle w:val="BDOITable"/>
            </w:pPr>
            <w:r>
              <w:rPr>
                <w:sz w:val="16"/>
              </w:rPr>
              <w:t>SIT</w:t>
            </w:r>
          </w:p>
        </w:tc>
        <w:tc>
          <w:tcPr>
            <w:tcW w:type="dxa" w:w="2163"/>
            <w:tcMar>
              <w:top w:w="50" w:type="dxa"/>
              <w:bottom w:w="50" w:type="dxa"/>
              <w:left w:w="90" w:type="dxa"/>
              <w:right w:w="90" w:type="dxa"/>
            </w:tcMar>
            <w:shd w:val="clear" w:color="auto" w:fill="E5F5FF"/>
          </w:tcPr>
          <w:p>
            <w:pPr>
              <w:pStyle w:val="BDOITable"/>
            </w:pPr>
            <w:r>
              <w:rPr>
                <w:sz w:val="16"/>
              </w:rPr>
              <w:t>Jun 2027</w:t>
            </w:r>
          </w:p>
        </w:tc>
        <w:tc>
          <w:tcPr>
            <w:tcW w:type="dxa" w:w="4085"/>
            <w:tcMar>
              <w:top w:w="50" w:type="dxa"/>
              <w:bottom w:w="50" w:type="dxa"/>
              <w:left w:w="90" w:type="dxa"/>
              <w:right w:w="90" w:type="dxa"/>
            </w:tcMar>
            <w:shd w:val="clear" w:color="auto" w:fill="E5F5FF"/>
          </w:tcPr>
          <w:p>
            <w:pPr>
              <w:pStyle w:val="BDOITable"/>
            </w:pPr>
            <w:r>
              <w:rPr>
                <w:sz w:val="16"/>
              </w:rPr>
              <w:t>Findings triaged before UAT</w:t>
            </w:r>
          </w:p>
        </w:tc>
      </w:tr>
      <w:tr>
        <w:trPr>
          <w:cantSplit w:val="true"/>
        </w:trPr>
        <w:tc>
          <w:tcPr>
            <w:tcW w:type="dxa" w:w="2283"/>
            <w:tcMar>
              <w:top w:w="50" w:type="dxa"/>
              <w:bottom w:w="50" w:type="dxa"/>
              <w:left w:w="90" w:type="dxa"/>
              <w:right w:w="90" w:type="dxa"/>
            </w:tcMar>
          </w:tcPr>
          <w:p>
            <w:pPr>
              <w:pStyle w:val="BDOITable"/>
            </w:pPr>
            <w:r>
              <w:rPr>
                <w:sz w:val="16"/>
              </w:rPr>
              <w:t>Drop 2 test plans approved</w:t>
            </w:r>
          </w:p>
        </w:tc>
        <w:tc>
          <w:tcPr>
            <w:tcW w:type="dxa" w:w="1442"/>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30 Jun 2027</w:t>
            </w:r>
          </w:p>
        </w:tc>
        <w:tc>
          <w:tcPr>
            <w:tcW w:type="dxa" w:w="4085"/>
            <w:tcMar>
              <w:top w:w="50" w:type="dxa"/>
              <w:bottom w:w="50" w:type="dxa"/>
              <w:left w:w="90" w:type="dxa"/>
              <w:right w:w="90" w:type="dxa"/>
            </w:tcMar>
          </w:tcPr>
          <w:p>
            <w:pPr>
              <w:pStyle w:val="BDOITable"/>
            </w:pPr>
            <w:r>
              <w:rPr>
                <w:sz w:val="16"/>
              </w:rPr>
              <w:t>Test plans of BRD-07, BRD-08</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Drop 2 SIT</w:t>
            </w:r>
          </w:p>
        </w:tc>
        <w:tc>
          <w:tcPr>
            <w:tcW w:type="dxa" w:w="1442"/>
            <w:tcMar>
              <w:top w:w="50" w:type="dxa"/>
              <w:bottom w:w="50" w:type="dxa"/>
              <w:left w:w="90" w:type="dxa"/>
              <w:right w:w="90" w:type="dxa"/>
            </w:tcMar>
            <w:shd w:val="clear" w:color="auto" w:fill="E5F5FF"/>
          </w:tcPr>
          <w:p>
            <w:pPr>
              <w:pStyle w:val="BDOITable"/>
            </w:pPr>
            <w:r>
              <w:rPr>
                <w:sz w:val="16"/>
              </w:rPr>
              <w:t>SIT</w:t>
            </w:r>
          </w:p>
        </w:tc>
        <w:tc>
          <w:tcPr>
            <w:tcW w:type="dxa" w:w="2163"/>
            <w:tcMar>
              <w:top w:w="50" w:type="dxa"/>
              <w:bottom w:w="50" w:type="dxa"/>
              <w:left w:w="90" w:type="dxa"/>
              <w:right w:w="90" w:type="dxa"/>
            </w:tcMar>
            <w:shd w:val="clear" w:color="auto" w:fill="E5F5FF"/>
          </w:tcPr>
          <w:p>
            <w:pPr>
              <w:pStyle w:val="BDOITable"/>
            </w:pPr>
            <w:r>
              <w:rPr>
                <w:sz w:val="16"/>
              </w:rPr>
              <w:t>1 Jul to 30 Sep 2027</w:t>
            </w:r>
          </w:p>
        </w:tc>
        <w:tc>
          <w:tcPr>
            <w:tcW w:type="dxa" w:w="4085"/>
            <w:tcMar>
              <w:top w:w="50" w:type="dxa"/>
              <w:bottom w:w="50" w:type="dxa"/>
              <w:left w:w="90" w:type="dxa"/>
              <w:right w:w="90" w:type="dxa"/>
            </w:tcMar>
            <w:shd w:val="clear" w:color="auto" w:fill="E5F5FF"/>
          </w:tcPr>
          <w:p>
            <w:pPr>
              <w:pStyle w:val="BDOITable"/>
            </w:pPr>
            <w:r>
              <w:rPr>
                <w:sz w:val="16"/>
              </w:rPr>
              <w:t>SIT exit; UAT readiness statement 30 Sep 2027</w:t>
            </w:r>
          </w:p>
        </w:tc>
      </w:tr>
      <w:tr>
        <w:trPr>
          <w:cantSplit w:val="true"/>
        </w:trPr>
        <w:tc>
          <w:tcPr>
            <w:tcW w:type="dxa" w:w="2283"/>
            <w:tcMar>
              <w:top w:w="50" w:type="dxa"/>
              <w:bottom w:w="50" w:type="dxa"/>
              <w:left w:w="90" w:type="dxa"/>
              <w:right w:w="90" w:type="dxa"/>
            </w:tcMar>
          </w:tcPr>
          <w:p>
            <w:pPr>
              <w:pStyle w:val="BDOITable"/>
            </w:pPr>
            <w:r>
              <w:rPr>
                <w:sz w:val="16"/>
              </w:rPr>
              <w:t>Trial migration 2</w:t>
            </w:r>
          </w:p>
        </w:tc>
        <w:tc>
          <w:tcPr>
            <w:tcW w:type="dxa" w:w="1442"/>
            <w:tcMar>
              <w:top w:w="50" w:type="dxa"/>
              <w:bottom w:w="50" w:type="dxa"/>
              <w:left w:w="90" w:type="dxa"/>
              <w:right w:w="90" w:type="dxa"/>
            </w:tcMar>
          </w:tcPr>
          <w:p>
            <w:pPr>
              <w:pStyle w:val="BDOITable"/>
            </w:pPr>
            <w:r>
              <w:rPr>
                <w:sz w:val="16"/>
              </w:rPr>
              <w:t>SIT</w:t>
            </w:r>
          </w:p>
        </w:tc>
        <w:tc>
          <w:tcPr>
            <w:tcW w:type="dxa" w:w="2163"/>
            <w:tcMar>
              <w:top w:w="50" w:type="dxa"/>
              <w:bottom w:w="50" w:type="dxa"/>
              <w:left w:w="90" w:type="dxa"/>
              <w:right w:w="90" w:type="dxa"/>
            </w:tcMar>
          </w:tcPr>
          <w:p>
            <w:pPr>
              <w:pStyle w:val="BDOITable"/>
            </w:pPr>
            <w:r>
              <w:rPr>
                <w:sz w:val="16"/>
              </w:rPr>
              <w:t>5 to 16 Jul 2027</w:t>
            </w:r>
          </w:p>
        </w:tc>
        <w:tc>
          <w:tcPr>
            <w:tcW w:type="dxa" w:w="4085"/>
            <w:tcMar>
              <w:top w:w="50" w:type="dxa"/>
              <w:bottom w:w="50" w:type="dxa"/>
              <w:left w:w="90" w:type="dxa"/>
              <w:right w:w="90" w:type="dxa"/>
            </w:tcMar>
          </w:tcPr>
          <w:p>
            <w:pPr>
              <w:pStyle w:val="BDOITable"/>
            </w:pPr>
            <w:r>
              <w:rPr>
                <w:sz w:val="16"/>
              </w:rPr>
              <w:t>L1 to L5 reconciled; Migration Clearing 0.00</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Drop 1 UAT (end to end)</w:t>
            </w:r>
          </w:p>
        </w:tc>
        <w:tc>
          <w:tcPr>
            <w:tcW w:type="dxa" w:w="1442"/>
            <w:tcMar>
              <w:top w:w="50" w:type="dxa"/>
              <w:bottom w:w="50" w:type="dxa"/>
              <w:left w:w="90" w:type="dxa"/>
              <w:right w:w="90" w:type="dxa"/>
            </w:tcMar>
            <w:shd w:val="clear" w:color="auto" w:fill="E5F5FF"/>
          </w:tcPr>
          <w:p>
            <w:pPr>
              <w:pStyle w:val="BDOITable"/>
            </w:pPr>
            <w:r>
              <w:rPr>
                <w:sz w:val="16"/>
              </w:rPr>
              <w:t>UAT</w:t>
            </w:r>
          </w:p>
        </w:tc>
        <w:tc>
          <w:tcPr>
            <w:tcW w:type="dxa" w:w="2163"/>
            <w:tcMar>
              <w:top w:w="50" w:type="dxa"/>
              <w:bottom w:w="50" w:type="dxa"/>
              <w:left w:w="90" w:type="dxa"/>
              <w:right w:w="90" w:type="dxa"/>
            </w:tcMar>
            <w:shd w:val="clear" w:color="auto" w:fill="E5F5FF"/>
          </w:tcPr>
          <w:p>
            <w:pPr>
              <w:pStyle w:val="BDOITable"/>
            </w:pPr>
            <w:r>
              <w:rPr>
                <w:sz w:val="16"/>
              </w:rPr>
              <w:t>2 Aug to 17 Dec 2027</w:t>
            </w:r>
          </w:p>
        </w:tc>
        <w:tc>
          <w:tcPr>
            <w:tcW w:type="dxa" w:w="4085"/>
            <w:tcMar>
              <w:top w:w="50" w:type="dxa"/>
              <w:bottom w:w="50" w:type="dxa"/>
              <w:left w:w="90" w:type="dxa"/>
              <w:right w:w="90" w:type="dxa"/>
            </w:tcMar>
            <w:shd w:val="clear" w:color="auto" w:fill="E5F5FF"/>
          </w:tcPr>
          <w:p>
            <w:pPr>
              <w:pStyle w:val="BDOITable"/>
            </w:pPr>
            <w:r>
              <w:rPr>
                <w:sz w:val="16"/>
              </w:rPr>
              <w:t>UAT sign-off certificate per BRD</w:t>
            </w:r>
          </w:p>
        </w:tc>
      </w:tr>
      <w:tr>
        <w:trPr>
          <w:cantSplit w:val="true"/>
        </w:trPr>
        <w:tc>
          <w:tcPr>
            <w:tcW w:type="dxa" w:w="2283"/>
            <w:tcMar>
              <w:top w:w="50" w:type="dxa"/>
              <w:bottom w:w="50" w:type="dxa"/>
              <w:left w:w="90" w:type="dxa"/>
              <w:right w:w="90" w:type="dxa"/>
            </w:tcMar>
          </w:tcPr>
          <w:p>
            <w:pPr>
              <w:pStyle w:val="BDOITable"/>
            </w:pPr>
            <w:r>
              <w:rPr>
                <w:sz w:val="16"/>
              </w:rPr>
              <w:t>Trial migration 3 (UAT load)</w:t>
            </w:r>
          </w:p>
        </w:tc>
        <w:tc>
          <w:tcPr>
            <w:tcW w:type="dxa" w:w="1442"/>
            <w:tcMar>
              <w:top w:w="50" w:type="dxa"/>
              <w:bottom w:w="50" w:type="dxa"/>
              <w:left w:w="90" w:type="dxa"/>
              <w:right w:w="90" w:type="dxa"/>
            </w:tcMar>
          </w:tcPr>
          <w:p>
            <w:pPr>
              <w:pStyle w:val="BDOITable"/>
            </w:pPr>
            <w:r>
              <w:rPr>
                <w:sz w:val="16"/>
              </w:rPr>
              <w:t>UAT</w:t>
            </w:r>
          </w:p>
        </w:tc>
        <w:tc>
          <w:tcPr>
            <w:tcW w:type="dxa" w:w="2163"/>
            <w:tcMar>
              <w:top w:w="50" w:type="dxa"/>
              <w:bottom w:w="50" w:type="dxa"/>
              <w:left w:w="90" w:type="dxa"/>
              <w:right w:w="90" w:type="dxa"/>
            </w:tcMar>
          </w:tcPr>
          <w:p>
            <w:pPr>
              <w:pStyle w:val="BDOITable"/>
            </w:pPr>
            <w:r>
              <w:rPr>
                <w:sz w:val="16"/>
              </w:rPr>
              <w:t>2 to 13 Aug 2027</w:t>
            </w:r>
          </w:p>
        </w:tc>
        <w:tc>
          <w:tcPr>
            <w:tcW w:type="dxa" w:w="4085"/>
            <w:tcMar>
              <w:top w:w="50" w:type="dxa"/>
              <w:bottom w:w="50" w:type="dxa"/>
              <w:left w:w="90" w:type="dxa"/>
              <w:right w:w="90" w:type="dxa"/>
            </w:tcMar>
          </w:tcPr>
          <w:p>
            <w:pPr>
              <w:pStyle w:val="BDOITable"/>
            </w:pPr>
            <w:r>
              <w:rPr>
                <w:sz w:val="16"/>
              </w:rPr>
              <w:t>Business verification on screen</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Trial migration 4</w:t>
            </w:r>
          </w:p>
        </w:tc>
        <w:tc>
          <w:tcPr>
            <w:tcW w:type="dxa" w:w="1442"/>
            <w:tcMar>
              <w:top w:w="50" w:type="dxa"/>
              <w:bottom w:w="50" w:type="dxa"/>
              <w:left w:w="90" w:type="dxa"/>
              <w:right w:w="90" w:type="dxa"/>
            </w:tcMar>
            <w:shd w:val="clear" w:color="auto" w:fill="E5F5FF"/>
          </w:tcPr>
          <w:p>
            <w:pPr>
              <w:pStyle w:val="BDOITable"/>
            </w:pPr>
            <w:r>
              <w:rPr>
                <w:sz w:val="16"/>
              </w:rPr>
              <w:t>UAT</w:t>
            </w:r>
          </w:p>
        </w:tc>
        <w:tc>
          <w:tcPr>
            <w:tcW w:type="dxa" w:w="2163"/>
            <w:tcMar>
              <w:top w:w="50" w:type="dxa"/>
              <w:bottom w:w="50" w:type="dxa"/>
              <w:left w:w="90" w:type="dxa"/>
              <w:right w:w="90" w:type="dxa"/>
            </w:tcMar>
            <w:shd w:val="clear" w:color="auto" w:fill="E5F5FF"/>
          </w:tcPr>
          <w:p>
            <w:pPr>
              <w:pStyle w:val="BDOITable"/>
            </w:pPr>
            <w:r>
              <w:rPr>
                <w:sz w:val="16"/>
              </w:rPr>
              <w:t>4 to 15 Oct 2027</w:t>
            </w:r>
          </w:p>
        </w:tc>
        <w:tc>
          <w:tcPr>
            <w:tcW w:type="dxa" w:w="4085"/>
            <w:tcMar>
              <w:top w:w="50" w:type="dxa"/>
              <w:bottom w:w="50" w:type="dxa"/>
              <w:left w:w="90" w:type="dxa"/>
              <w:right w:w="90" w:type="dxa"/>
            </w:tcMar>
            <w:shd w:val="clear" w:color="auto" w:fill="E5F5FF"/>
          </w:tcPr>
          <w:p>
            <w:pPr>
              <w:pStyle w:val="BDOITable"/>
            </w:pPr>
            <w:r>
              <w:rPr>
                <w:sz w:val="16"/>
              </w:rPr>
              <w:t>Timed as a cut-over</w:t>
            </w:r>
          </w:p>
        </w:tc>
      </w:tr>
      <w:tr>
        <w:trPr>
          <w:cantSplit w:val="true"/>
        </w:trPr>
        <w:tc>
          <w:tcPr>
            <w:tcW w:type="dxa" w:w="2283"/>
            <w:tcMar>
              <w:top w:w="50" w:type="dxa"/>
              <w:bottom w:w="50" w:type="dxa"/>
              <w:left w:w="90" w:type="dxa"/>
              <w:right w:w="90" w:type="dxa"/>
            </w:tcMar>
          </w:tcPr>
          <w:p>
            <w:pPr>
              <w:pStyle w:val="BDOITable"/>
            </w:pPr>
            <w:r>
              <w:rPr>
                <w:sz w:val="16"/>
              </w:rPr>
              <w:t>Drop 2 UAT</w:t>
            </w:r>
          </w:p>
        </w:tc>
        <w:tc>
          <w:tcPr>
            <w:tcW w:type="dxa" w:w="1442"/>
            <w:tcMar>
              <w:top w:w="50" w:type="dxa"/>
              <w:bottom w:w="50" w:type="dxa"/>
              <w:left w:w="90" w:type="dxa"/>
              <w:right w:w="90" w:type="dxa"/>
            </w:tcMar>
          </w:tcPr>
          <w:p>
            <w:pPr>
              <w:pStyle w:val="BDOITable"/>
            </w:pPr>
            <w:r>
              <w:rPr>
                <w:sz w:val="16"/>
              </w:rPr>
              <w:t>UAT</w:t>
            </w:r>
          </w:p>
        </w:tc>
        <w:tc>
          <w:tcPr>
            <w:tcW w:type="dxa" w:w="2163"/>
            <w:tcMar>
              <w:top w:w="50" w:type="dxa"/>
              <w:bottom w:w="50" w:type="dxa"/>
              <w:left w:w="90" w:type="dxa"/>
              <w:right w:w="90" w:type="dxa"/>
            </w:tcMar>
          </w:tcPr>
          <w:p>
            <w:pPr>
              <w:pStyle w:val="BDOITable"/>
            </w:pPr>
            <w:r>
              <w:rPr>
                <w:sz w:val="16"/>
              </w:rPr>
              <w:t>1 Oct to 30 Nov 2027</w:t>
            </w:r>
          </w:p>
        </w:tc>
        <w:tc>
          <w:tcPr>
            <w:tcW w:type="dxa" w:w="4085"/>
            <w:tcMar>
              <w:top w:w="50" w:type="dxa"/>
              <w:bottom w:w="50" w:type="dxa"/>
              <w:left w:w="90" w:type="dxa"/>
              <w:right w:w="90" w:type="dxa"/>
            </w:tcMar>
          </w:tcPr>
          <w:p>
            <w:pPr>
              <w:pStyle w:val="BDOITable"/>
            </w:pPr>
            <w:r>
              <w:rPr>
                <w:sz w:val="16"/>
              </w:rPr>
              <w:t>Sign-off certificates of BRD-07 and BRD-08</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Performance and penetration test</w:t>
            </w:r>
          </w:p>
        </w:tc>
        <w:tc>
          <w:tcPr>
            <w:tcW w:type="dxa" w:w="1442"/>
            <w:tcMar>
              <w:top w:w="50" w:type="dxa"/>
              <w:bottom w:w="50" w:type="dxa"/>
              <w:left w:w="90" w:type="dxa"/>
              <w:right w:w="90" w:type="dxa"/>
            </w:tcMar>
            <w:shd w:val="clear" w:color="auto" w:fill="E5F5FF"/>
          </w:tcPr>
          <w:p>
            <w:pPr>
              <w:pStyle w:val="BDOITable"/>
            </w:pPr>
            <w:r>
              <w:rPr>
                <w:sz w:val="16"/>
              </w:rPr>
              <w:t>Pre-Prod</w:t>
            </w:r>
          </w:p>
        </w:tc>
        <w:tc>
          <w:tcPr>
            <w:tcW w:type="dxa" w:w="2163"/>
            <w:tcMar>
              <w:top w:w="50" w:type="dxa"/>
              <w:bottom w:w="50" w:type="dxa"/>
              <w:left w:w="90" w:type="dxa"/>
              <w:right w:w="90" w:type="dxa"/>
            </w:tcMar>
            <w:shd w:val="clear" w:color="auto" w:fill="E5F5FF"/>
          </w:tcPr>
          <w:p>
            <w:pPr>
              <w:pStyle w:val="BDOITable"/>
            </w:pPr>
            <w:r>
              <w:rPr>
                <w:sz w:val="16"/>
              </w:rPr>
              <w:t>1 Nov to 15 Dec 2027</w:t>
            </w:r>
          </w:p>
        </w:tc>
        <w:tc>
          <w:tcPr>
            <w:tcW w:type="dxa" w:w="4085"/>
            <w:tcMar>
              <w:top w:w="50" w:type="dxa"/>
              <w:bottom w:w="50" w:type="dxa"/>
              <w:left w:w="90" w:type="dxa"/>
              <w:right w:w="90" w:type="dxa"/>
            </w:tcMar>
            <w:shd w:val="clear" w:color="auto" w:fill="E5F5FF"/>
          </w:tcPr>
          <w:p>
            <w:pPr>
              <w:pStyle w:val="BDOITable"/>
            </w:pPr>
            <w:r>
              <w:rPr>
                <w:sz w:val="16"/>
              </w:rPr>
              <w:t>NFT and security reports; 429 concurrent users within the targets; no open critical or high finding</w:t>
            </w:r>
          </w:p>
        </w:tc>
      </w:tr>
      <w:tr>
        <w:trPr>
          <w:cantSplit w:val="true"/>
        </w:trPr>
        <w:tc>
          <w:tcPr>
            <w:tcW w:type="dxa" w:w="2283"/>
            <w:tcMar>
              <w:top w:w="50" w:type="dxa"/>
              <w:bottom w:w="50" w:type="dxa"/>
              <w:left w:w="90" w:type="dxa"/>
              <w:right w:w="90" w:type="dxa"/>
            </w:tcMar>
          </w:tcPr>
          <w:p>
            <w:pPr>
              <w:pStyle w:val="BDOITable"/>
            </w:pPr>
            <w:r>
              <w:rPr>
                <w:sz w:val="16"/>
              </w:rPr>
              <w:t>Dress rehearsal</w:t>
            </w:r>
          </w:p>
        </w:tc>
        <w:tc>
          <w:tcPr>
            <w:tcW w:type="dxa" w:w="1442"/>
            <w:tcMar>
              <w:top w:w="50" w:type="dxa"/>
              <w:bottom w:w="50" w:type="dxa"/>
              <w:left w:w="90" w:type="dxa"/>
              <w:right w:w="90" w:type="dxa"/>
            </w:tcMar>
          </w:tcPr>
          <w:p>
            <w:pPr>
              <w:pStyle w:val="BDOITable"/>
            </w:pPr>
            <w:r>
              <w:rPr>
                <w:sz w:val="16"/>
              </w:rPr>
              <w:t>Pre-Prod</w:t>
            </w:r>
          </w:p>
        </w:tc>
        <w:tc>
          <w:tcPr>
            <w:tcW w:type="dxa" w:w="2163"/>
            <w:tcMar>
              <w:top w:w="50" w:type="dxa"/>
              <w:bottom w:w="50" w:type="dxa"/>
              <w:left w:w="90" w:type="dxa"/>
              <w:right w:w="90" w:type="dxa"/>
            </w:tcMar>
          </w:tcPr>
          <w:p>
            <w:pPr>
              <w:pStyle w:val="BDOITable"/>
            </w:pPr>
            <w:r>
              <w:rPr>
                <w:sz w:val="16"/>
              </w:rPr>
              <w:t>15 to 26 Nov 2027</w:t>
            </w:r>
          </w:p>
        </w:tc>
        <w:tc>
          <w:tcPr>
            <w:tcW w:type="dxa" w:w="4085"/>
            <w:tcMar>
              <w:top w:w="50" w:type="dxa"/>
              <w:bottom w:w="50" w:type="dxa"/>
              <w:left w:w="90" w:type="dxa"/>
              <w:right w:w="90" w:type="dxa"/>
            </w:tcMar>
          </w:tcPr>
          <w:p>
            <w:pPr>
              <w:pStyle w:val="BDOITable"/>
            </w:pPr>
            <w:r>
              <w:rPr>
                <w:sz w:val="16"/>
              </w:rPr>
              <w:t>Full volume within the window with 20% margin; rollback rehearsed</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DR drill</w:t>
            </w:r>
          </w:p>
        </w:tc>
        <w:tc>
          <w:tcPr>
            <w:tcW w:type="dxa" w:w="1442"/>
            <w:tcMar>
              <w:top w:w="50" w:type="dxa"/>
              <w:bottom w:w="50" w:type="dxa"/>
              <w:left w:w="90" w:type="dxa"/>
              <w:right w:w="90" w:type="dxa"/>
            </w:tcMar>
            <w:shd w:val="clear" w:color="auto" w:fill="E5F5FF"/>
          </w:tcPr>
          <w:p>
            <w:pPr>
              <w:pStyle w:val="BDOITable"/>
            </w:pPr>
            <w:r>
              <w:rPr>
                <w:sz w:val="16"/>
              </w:rPr>
              <w:t>Pre-Prod and DR</w:t>
            </w:r>
          </w:p>
        </w:tc>
        <w:tc>
          <w:tcPr>
            <w:tcW w:type="dxa" w:w="2163"/>
            <w:tcMar>
              <w:top w:w="50" w:type="dxa"/>
              <w:bottom w:w="50" w:type="dxa"/>
              <w:left w:w="90" w:type="dxa"/>
              <w:right w:w="90" w:type="dxa"/>
            </w:tcMar>
            <w:shd w:val="clear" w:color="auto" w:fill="E5F5FF"/>
          </w:tcPr>
          <w:p>
            <w:pPr>
              <w:pStyle w:val="BDOITable"/>
            </w:pPr>
            <w:r>
              <w:rPr>
                <w:sz w:val="16"/>
              </w:rPr>
              <w:t>Dec 2027</w:t>
            </w:r>
          </w:p>
        </w:tc>
        <w:tc>
          <w:tcPr>
            <w:tcW w:type="dxa" w:w="4085"/>
            <w:tcMar>
              <w:top w:w="50" w:type="dxa"/>
              <w:bottom w:w="50" w:type="dxa"/>
              <w:left w:w="90" w:type="dxa"/>
              <w:right w:w="90" w:type="dxa"/>
            </w:tcMar>
            <w:shd w:val="clear" w:color="auto" w:fill="E5F5FF"/>
          </w:tcPr>
          <w:p>
            <w:pPr>
              <w:pStyle w:val="BDOITable"/>
            </w:pPr>
            <w:r>
              <w:rPr>
                <w:sz w:val="16"/>
              </w:rPr>
              <w:t>RPO and RTO met</w:t>
            </w:r>
          </w:p>
        </w:tc>
      </w:tr>
      <w:tr>
        <w:trPr>
          <w:cantSplit w:val="true"/>
        </w:trPr>
        <w:tc>
          <w:tcPr>
            <w:tcW w:type="dxa" w:w="2283"/>
            <w:tcMar>
              <w:top w:w="50" w:type="dxa"/>
              <w:bottom w:w="50" w:type="dxa"/>
              <w:left w:w="90" w:type="dxa"/>
              <w:right w:w="90" w:type="dxa"/>
            </w:tcMar>
          </w:tcPr>
          <w:p>
            <w:pPr>
              <w:pStyle w:val="BDOITable"/>
            </w:pPr>
            <w:r>
              <w:rPr>
                <w:sz w:val="16"/>
              </w:rPr>
              <w:t>ORR / PRR</w:t>
            </w:r>
          </w:p>
        </w:tc>
        <w:tc>
          <w:tcPr>
            <w:tcW w:type="dxa" w:w="1442"/>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Dec 2027 (evidence by 15 Dec 2027)</w:t>
            </w:r>
          </w:p>
        </w:tc>
        <w:tc>
          <w:tcPr>
            <w:tcW w:type="dxa" w:w="4085"/>
            <w:tcMar>
              <w:top w:w="50" w:type="dxa"/>
              <w:bottom w:w="50" w:type="dxa"/>
              <w:left w:w="90" w:type="dxa"/>
              <w:right w:w="90" w:type="dxa"/>
            </w:tcMar>
          </w:tcPr>
          <w:p>
            <w:pPr>
              <w:pStyle w:val="BDOITable"/>
            </w:pPr>
            <w:r>
              <w:rPr>
                <w:sz w:val="16"/>
              </w:rPr>
              <w:t>ORR / PRR approved</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Go / no-go and go-live check</w:t>
            </w:r>
          </w:p>
        </w:tc>
        <w:tc>
          <w:tcPr>
            <w:tcW w:type="dxa" w:w="1442"/>
            <w:tcMar>
              <w:top w:w="50" w:type="dxa"/>
              <w:bottom w:w="50" w:type="dxa"/>
              <w:left w:w="90" w:type="dxa"/>
              <w:right w:w="90" w:type="dxa"/>
            </w:tcMar>
            <w:shd w:val="clear" w:color="auto" w:fill="E5F5FF"/>
          </w:tcPr>
          <w:p>
            <w:pPr>
              <w:pStyle w:val="BDOITable"/>
            </w:pPr>
            <w:r>
              <w:rPr>
                <w:sz w:val="16"/>
              </w:rPr>
              <w:t>Production</w:t>
            </w:r>
          </w:p>
        </w:tc>
        <w:tc>
          <w:tcPr>
            <w:tcW w:type="dxa" w:w="2163"/>
            <w:tcMar>
              <w:top w:w="50" w:type="dxa"/>
              <w:bottom w:w="50" w:type="dxa"/>
              <w:left w:w="90" w:type="dxa"/>
              <w:right w:w="90" w:type="dxa"/>
            </w:tcMar>
            <w:shd w:val="clear" w:color="auto" w:fill="E5F5FF"/>
          </w:tcPr>
          <w:p>
            <w:pPr>
              <w:pStyle w:val="BDOITable"/>
            </w:pPr>
            <w:r>
              <w:rPr>
                <w:sz w:val="16"/>
              </w:rPr>
              <w:t>2 and 3 Jan 2028</w:t>
            </w:r>
          </w:p>
        </w:tc>
        <w:tc>
          <w:tcPr>
            <w:tcW w:type="dxa" w:w="4085"/>
            <w:tcMar>
              <w:top w:w="50" w:type="dxa"/>
              <w:bottom w:w="50" w:type="dxa"/>
              <w:left w:w="90" w:type="dxa"/>
              <w:right w:w="90" w:type="dxa"/>
            </w:tcMar>
            <w:shd w:val="clear" w:color="auto" w:fill="E5F5FF"/>
          </w:tcPr>
          <w:p>
            <w:pPr>
              <w:pStyle w:val="BDOITable"/>
            </w:pPr>
            <w:r>
              <w:rPr>
                <w:sz w:val="16"/>
              </w:rPr>
              <w:t>Go decision; smoke check passed</w:t>
            </w:r>
          </w:p>
        </w:tc>
      </w:tr>
      <w:tr>
        <w:trPr>
          <w:cantSplit w:val="true"/>
        </w:trPr>
        <w:tc>
          <w:tcPr>
            <w:tcW w:type="dxa" w:w="2283"/>
            <w:tcMar>
              <w:top w:w="50" w:type="dxa"/>
              <w:bottom w:w="50" w:type="dxa"/>
              <w:left w:w="90" w:type="dxa"/>
              <w:right w:w="90" w:type="dxa"/>
            </w:tcMar>
          </w:tcPr>
          <w:p>
            <w:pPr>
              <w:pStyle w:val="BDOITable"/>
            </w:pPr>
            <w:r>
              <w:rPr>
                <w:sz w:val="16"/>
              </w:rPr>
              <w:t>Hypercare regression</w:t>
            </w:r>
          </w:p>
        </w:tc>
        <w:tc>
          <w:tcPr>
            <w:tcW w:type="dxa" w:w="1442"/>
            <w:tcMar>
              <w:top w:w="50" w:type="dxa"/>
              <w:bottom w:w="50" w:type="dxa"/>
              <w:left w:w="90" w:type="dxa"/>
              <w:right w:w="90" w:type="dxa"/>
            </w:tcMar>
          </w:tcPr>
          <w:p>
            <w:pPr>
              <w:pStyle w:val="BDOITable"/>
            </w:pPr>
            <w:r>
              <w:rPr>
                <w:sz w:val="16"/>
              </w:rPr>
              <w:t>Production and UAT</w:t>
            </w:r>
          </w:p>
        </w:tc>
        <w:tc>
          <w:tcPr>
            <w:tcW w:type="dxa" w:w="2163"/>
            <w:tcMar>
              <w:top w:w="50" w:type="dxa"/>
              <w:bottom w:w="50" w:type="dxa"/>
              <w:left w:w="90" w:type="dxa"/>
              <w:right w:w="90" w:type="dxa"/>
            </w:tcMar>
          </w:tcPr>
          <w:p>
            <w:pPr>
              <w:pStyle w:val="BDOITable"/>
            </w:pPr>
            <w:r>
              <w:rPr>
                <w:sz w:val="16"/>
              </w:rPr>
              <w:t>4 Jan to 2 Feb 2028</w:t>
            </w:r>
          </w:p>
        </w:tc>
        <w:tc>
          <w:tcPr>
            <w:tcW w:type="dxa" w:w="4085"/>
            <w:tcMar>
              <w:top w:w="50" w:type="dxa"/>
              <w:bottom w:w="50" w:type="dxa"/>
              <w:left w:w="90" w:type="dxa"/>
              <w:right w:w="90" w:type="dxa"/>
            </w:tcMar>
          </w:tcPr>
          <w:p>
            <w:pPr>
              <w:pStyle w:val="BDOITable"/>
            </w:pPr>
            <w:r>
              <w:rPr>
                <w:sz w:val="16"/>
              </w:rPr>
              <w:t>Every hypercare fix re-tested in UAT before release</w:t>
            </w:r>
          </w:p>
        </w:tc>
      </w:tr>
    </w:tbl>
    <w:p>
      <w:pPr>
        <w:pStyle w:val="BDOISpacer"/>
      </w:pPr>
    </w:p>
    <w:p>
      <w:pPr>
        <w:pStyle w:val="Heading1"/>
        <w:pageBreakBefore/>
        <w:pBdr>
          <w:bottom w:val="single" w:sz="4" w:space="4" w:color="99C1E7"/>
        </w:pBdr>
      </w:pPr>
      <w:bookmarkStart w:id="134" w:name="_Toc000134"/>
      <w:r>
        <w:rPr/>
        <w:t>15 Reporting and sign-off</w:t>
      </w:r>
      <w:bookmarkEnd w:id="134"/>
    </w:p>
    <w:p>
      <w:pPr>
        <w:pStyle w:val="Caption"/>
        <w:keepNext/>
        <w:spacing w:after="60"/>
      </w:pPr>
      <w:r>
        <w:rPr>
          <w:b/>
          <w:i w:val="0"/>
        </w:rPr>
        <w:t xml:space="preserve">Table 17: </w:t>
      </w:r>
      <w:r>
        <w:rPr/>
        <w:t>Test reports and who signs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484"/>
        <w:gridCol w:w="1922"/>
        <w:gridCol w:w="192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Report</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Prepared by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Signed by</w:t>
            </w:r>
          </w:p>
        </w:tc>
      </w:tr>
      <w:tr>
        <w:trPr>
          <w:cantSplit w:val="true"/>
        </w:trPr>
        <w:tc>
          <w:tcPr>
            <w:tcW w:type="dxa" w:w="2643"/>
            <w:tcMar>
              <w:top w:w="50" w:type="dxa"/>
              <w:bottom w:w="50" w:type="dxa"/>
              <w:left w:w="90" w:type="dxa"/>
              <w:right w:w="90" w:type="dxa"/>
            </w:tcMar>
          </w:tcPr>
          <w:p>
            <w:pPr>
              <w:pStyle w:val="BDOITable"/>
            </w:pPr>
            <w:r>
              <w:rPr>
                <w:sz w:val="16"/>
              </w:rPr>
              <w:t>Weekly test report</w:t>
            </w:r>
          </w:p>
        </w:tc>
        <w:tc>
          <w:tcPr>
            <w:tcW w:type="dxa" w:w="3484"/>
            <w:tcMar>
              <w:top w:w="50" w:type="dxa"/>
              <w:bottom w:w="50" w:type="dxa"/>
              <w:left w:w="90" w:type="dxa"/>
              <w:right w:w="90" w:type="dxa"/>
            </w:tcMar>
          </w:tcPr>
          <w:p>
            <w:pPr>
              <w:pStyle w:val="BDOITable"/>
            </w:pPr>
            <w:r>
              <w:rPr>
                <w:sz w:val="16"/>
              </w:rPr>
              <w:t>Cases run and passed per BRD, incidents by severity and age, coverage, risks</w:t>
            </w:r>
          </w:p>
        </w:tc>
        <w:tc>
          <w:tcPr>
            <w:tcW w:type="dxa" w:w="1922"/>
            <w:tcMar>
              <w:top w:w="50" w:type="dxa"/>
              <w:bottom w:w="50" w:type="dxa"/>
              <w:left w:w="90" w:type="dxa"/>
              <w:right w:w="90" w:type="dxa"/>
            </w:tcMar>
          </w:tcPr>
          <w:p>
            <w:pPr>
              <w:pStyle w:val="BDOITable"/>
            </w:pPr>
            <w:r>
              <w:rPr>
                <w:sz w:val="16"/>
              </w:rPr>
              <w:t>iorta QA lead</w:t>
            </w:r>
          </w:p>
        </w:tc>
        <w:tc>
          <w:tcPr>
            <w:tcW w:type="dxa" w:w="1922"/>
            <w:tcMar>
              <w:top w:w="50" w:type="dxa"/>
              <w:bottom w:w="50" w:type="dxa"/>
              <w:left w:w="90" w:type="dxa"/>
              <w:right w:w="90" w:type="dxa"/>
            </w:tcMar>
          </w:tcPr>
          <w:p>
            <w:pPr>
              <w:pStyle w:val="BDOITable"/>
            </w:pPr>
            <w:r>
              <w:rPr>
                <w:sz w:val="16"/>
              </w:rPr>
              <w:t>- (to the steering committee)</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SIT exit report (per drop)</w:t>
            </w:r>
          </w:p>
        </w:tc>
        <w:tc>
          <w:tcPr>
            <w:tcW w:type="dxa" w:w="3484"/>
            <w:tcMar>
              <w:top w:w="50" w:type="dxa"/>
              <w:bottom w:w="50" w:type="dxa"/>
              <w:left w:w="90" w:type="dxa"/>
              <w:right w:w="90" w:type="dxa"/>
            </w:tcMar>
            <w:shd w:val="clear" w:color="auto" w:fill="E5F5FF"/>
          </w:tcPr>
          <w:p>
            <w:pPr>
              <w:pStyle w:val="BDOITable"/>
            </w:pPr>
            <w:r>
              <w:rPr>
                <w:sz w:val="16"/>
              </w:rPr>
              <w:t>Results against the exit criteria, open incidents with workarounds, coverage</w:t>
            </w:r>
          </w:p>
        </w:tc>
        <w:tc>
          <w:tcPr>
            <w:tcW w:type="dxa" w:w="1922"/>
            <w:tcMar>
              <w:top w:w="50" w:type="dxa"/>
              <w:bottom w:w="50" w:type="dxa"/>
              <w:left w:w="90" w:type="dxa"/>
              <w:right w:w="90" w:type="dxa"/>
            </w:tcMar>
            <w:shd w:val="clear" w:color="auto" w:fill="E5F5FF"/>
          </w:tcPr>
          <w:p>
            <w:pPr>
              <w:pStyle w:val="BDOITable"/>
            </w:pPr>
            <w:r>
              <w:rPr>
                <w:sz w:val="16"/>
              </w:rPr>
              <w:t>iorta QA lead</w:t>
            </w:r>
          </w:p>
        </w:tc>
        <w:tc>
          <w:tcPr>
            <w:tcW w:type="dxa" w:w="1922"/>
            <w:tcMar>
              <w:top w:w="50" w:type="dxa"/>
              <w:bottom w:w="50" w:type="dxa"/>
              <w:left w:w="90" w:type="dxa"/>
              <w:right w:w="90" w:type="dxa"/>
            </w:tcMar>
            <w:shd w:val="clear" w:color="auto" w:fill="E5F5FF"/>
          </w:tcPr>
          <w:p>
            <w:pPr>
              <w:pStyle w:val="BDOITable"/>
            </w:pPr>
            <w:r>
              <w:rPr>
                <w:sz w:val="16"/>
              </w:rPr>
              <w:t>BIBS Product Owner</w:t>
            </w:r>
          </w:p>
        </w:tc>
      </w:tr>
      <w:tr>
        <w:trPr>
          <w:cantSplit w:val="true"/>
        </w:trPr>
        <w:tc>
          <w:tcPr>
            <w:tcW w:type="dxa" w:w="2643"/>
            <w:tcMar>
              <w:top w:w="50" w:type="dxa"/>
              <w:bottom w:w="50" w:type="dxa"/>
              <w:left w:w="90" w:type="dxa"/>
              <w:right w:w="90" w:type="dxa"/>
            </w:tcMar>
          </w:tcPr>
          <w:p>
            <w:pPr>
              <w:pStyle w:val="BDOITable"/>
            </w:pPr>
            <w:r>
              <w:rPr>
                <w:sz w:val="16"/>
              </w:rPr>
              <w:t>UAT readiness statement (per drop)</w:t>
            </w:r>
          </w:p>
        </w:tc>
        <w:tc>
          <w:tcPr>
            <w:tcW w:type="dxa" w:w="3484"/>
            <w:tcMar>
              <w:top w:w="50" w:type="dxa"/>
              <w:bottom w:w="50" w:type="dxa"/>
              <w:left w:w="90" w:type="dxa"/>
              <w:right w:w="90" w:type="dxa"/>
            </w:tcMar>
          </w:tcPr>
          <w:p>
            <w:pPr>
              <w:pStyle w:val="BDOITable"/>
            </w:pPr>
            <w:r>
              <w:rPr>
                <w:sz w:val="16"/>
              </w:rPr>
              <w:t>SIT exit, data loaded, testers trained, scenarios issued</w:t>
            </w:r>
          </w:p>
        </w:tc>
        <w:tc>
          <w:tcPr>
            <w:tcW w:type="dxa" w:w="1922"/>
            <w:tcMar>
              <w:top w:w="50" w:type="dxa"/>
              <w:bottom w:w="50" w:type="dxa"/>
              <w:left w:w="90" w:type="dxa"/>
              <w:right w:w="90" w:type="dxa"/>
            </w:tcMar>
          </w:tcPr>
          <w:p>
            <w:pPr>
              <w:pStyle w:val="BDOITable"/>
            </w:pPr>
            <w:r>
              <w:rPr>
                <w:sz w:val="16"/>
              </w:rPr>
              <w:t>iorta QA lead</w:t>
            </w:r>
          </w:p>
        </w:tc>
        <w:tc>
          <w:tcPr>
            <w:tcW w:type="dxa" w:w="1922"/>
            <w:tcMar>
              <w:top w:w="50" w:type="dxa"/>
              <w:bottom w:w="50" w:type="dxa"/>
              <w:left w:w="90" w:type="dxa"/>
              <w:right w:w="90" w:type="dxa"/>
            </w:tcMar>
          </w:tcPr>
          <w:p>
            <w:pPr>
              <w:pStyle w:val="BDOITable"/>
            </w:pPr>
            <w:r>
              <w:rPr>
                <w:sz w:val="16"/>
              </w:rPr>
              <w:t>BIBS Product Owner</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UAT sign-off certificate (per BRD)</w:t>
            </w:r>
          </w:p>
        </w:tc>
        <w:tc>
          <w:tcPr>
            <w:tcW w:type="dxa" w:w="3484"/>
            <w:tcMar>
              <w:top w:w="50" w:type="dxa"/>
              <w:bottom w:w="50" w:type="dxa"/>
              <w:left w:w="90" w:type="dxa"/>
              <w:right w:w="90" w:type="dxa"/>
            </w:tcMar>
            <w:shd w:val="clear" w:color="auto" w:fill="E5F5FF"/>
          </w:tcPr>
          <w:p>
            <w:pPr>
              <w:pStyle w:val="BDOITable"/>
            </w:pPr>
            <w:r>
              <w:rPr>
                <w:sz w:val="16"/>
              </w:rPr>
              <w:t>Scenarios run, open points accepted</w:t>
            </w:r>
          </w:p>
        </w:tc>
        <w:tc>
          <w:tcPr>
            <w:tcW w:type="dxa" w:w="1922"/>
            <w:tcMar>
              <w:top w:w="50" w:type="dxa"/>
              <w:bottom w:w="50" w:type="dxa"/>
              <w:left w:w="90" w:type="dxa"/>
              <w:right w:w="90" w:type="dxa"/>
            </w:tcMar>
            <w:shd w:val="clear" w:color="auto" w:fill="E5F5FF"/>
          </w:tcPr>
          <w:p>
            <w:pPr>
              <w:pStyle w:val="BDOITable"/>
            </w:pPr>
            <w:r>
              <w:rPr>
                <w:sz w:val="16"/>
              </w:rPr>
              <w:t>iorta QA lead</w:t>
            </w:r>
          </w:p>
        </w:tc>
        <w:tc>
          <w:tcPr>
            <w:tcW w:type="dxa" w:w="1922"/>
            <w:tcMar>
              <w:top w:w="50" w:type="dxa"/>
              <w:bottom w:w="50" w:type="dxa"/>
              <w:left w:w="90" w:type="dxa"/>
              <w:right w:w="90" w:type="dxa"/>
            </w:tcMar>
            <w:shd w:val="clear" w:color="auto" w:fill="E5F5FF"/>
          </w:tcPr>
          <w:p>
            <w:pPr>
              <w:pStyle w:val="BDOITable"/>
            </w:pPr>
            <w:r>
              <w:rPr>
                <w:sz w:val="16"/>
              </w:rPr>
              <w:t>Product owner of the BRD</w:t>
            </w:r>
          </w:p>
        </w:tc>
      </w:tr>
      <w:tr>
        <w:trPr>
          <w:cantSplit w:val="true"/>
        </w:trPr>
        <w:tc>
          <w:tcPr>
            <w:tcW w:type="dxa" w:w="2643"/>
            <w:tcMar>
              <w:top w:w="50" w:type="dxa"/>
              <w:bottom w:w="50" w:type="dxa"/>
              <w:left w:w="90" w:type="dxa"/>
              <w:right w:w="90" w:type="dxa"/>
            </w:tcMar>
          </w:tcPr>
          <w:p>
            <w:pPr>
              <w:pStyle w:val="BDOITable"/>
            </w:pPr>
            <w:r>
              <w:rPr>
                <w:sz w:val="16"/>
              </w:rPr>
              <w:t>NFT report</w:t>
            </w:r>
          </w:p>
        </w:tc>
        <w:tc>
          <w:tcPr>
            <w:tcW w:type="dxa" w:w="3484"/>
            <w:tcMar>
              <w:top w:w="50" w:type="dxa"/>
              <w:bottom w:w="50" w:type="dxa"/>
              <w:left w:w="90" w:type="dxa"/>
              <w:right w:w="90" w:type="dxa"/>
            </w:tcMar>
          </w:tcPr>
          <w:p>
            <w:pPr>
              <w:pStyle w:val="BDOITable"/>
            </w:pPr>
            <w:r>
              <w:rPr>
                <w:sz w:val="16"/>
              </w:rPr>
              <w:t>Results against each NFR target, deviations</w:t>
            </w:r>
          </w:p>
        </w:tc>
        <w:tc>
          <w:tcPr>
            <w:tcW w:type="dxa" w:w="1922"/>
            <w:tcMar>
              <w:top w:w="50" w:type="dxa"/>
              <w:bottom w:w="50" w:type="dxa"/>
              <w:left w:w="90" w:type="dxa"/>
              <w:right w:w="90" w:type="dxa"/>
            </w:tcMar>
          </w:tcPr>
          <w:p>
            <w:pPr>
              <w:pStyle w:val="BDOITable"/>
            </w:pPr>
            <w:r>
              <w:rPr>
                <w:sz w:val="16"/>
              </w:rPr>
              <w:t>iorta Performance Test Lead</w:t>
            </w:r>
          </w:p>
        </w:tc>
        <w:tc>
          <w:tcPr>
            <w:tcW w:type="dxa" w:w="1922"/>
            <w:tcMar>
              <w:top w:w="50" w:type="dxa"/>
              <w:bottom w:w="50" w:type="dxa"/>
              <w:left w:w="90" w:type="dxa"/>
              <w:right w:w="90" w:type="dxa"/>
            </w:tcMar>
          </w:tcPr>
          <w:p>
            <w:pPr>
              <w:pStyle w:val="BDOITable"/>
            </w:pPr>
            <w:r>
              <w:rPr>
                <w:sz w:val="16"/>
              </w:rPr>
              <w:t>BIBS Product Owner; Head, BDOI IT</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Security test report</w:t>
            </w:r>
          </w:p>
        </w:tc>
        <w:tc>
          <w:tcPr>
            <w:tcW w:type="dxa" w:w="3484"/>
            <w:tcMar>
              <w:top w:w="50" w:type="dxa"/>
              <w:bottom w:w="50" w:type="dxa"/>
              <w:left w:w="90" w:type="dxa"/>
              <w:right w:w="90" w:type="dxa"/>
            </w:tcMar>
            <w:shd w:val="clear" w:color="auto" w:fill="E5F5FF"/>
          </w:tcPr>
          <w:p>
            <w:pPr>
              <w:pStyle w:val="BDOITable"/>
            </w:pPr>
            <w:r>
              <w:rPr>
                <w:sz w:val="16"/>
              </w:rPr>
              <w:t>DAST and penetration test findings and re-tests</w:t>
            </w:r>
          </w:p>
        </w:tc>
        <w:tc>
          <w:tcPr>
            <w:tcW w:type="dxa" w:w="1922"/>
            <w:tcMar>
              <w:top w:w="50" w:type="dxa"/>
              <w:bottom w:w="50" w:type="dxa"/>
              <w:left w:w="90" w:type="dxa"/>
              <w:right w:w="90" w:type="dxa"/>
            </w:tcMar>
            <w:shd w:val="clear" w:color="auto" w:fill="E5F5FF"/>
          </w:tcPr>
          <w:p>
            <w:pPr>
              <w:pStyle w:val="BDOITable"/>
            </w:pPr>
            <w:r>
              <w:rPr>
                <w:sz w:val="16"/>
              </w:rPr>
              <w:t>iorta Security Lead</w:t>
            </w:r>
          </w:p>
        </w:tc>
        <w:tc>
          <w:tcPr>
            <w:tcW w:type="dxa" w:w="1922"/>
            <w:tcMar>
              <w:top w:w="50" w:type="dxa"/>
              <w:bottom w:w="50" w:type="dxa"/>
              <w:left w:w="90" w:type="dxa"/>
              <w:right w:w="90" w:type="dxa"/>
            </w:tcMar>
            <w:shd w:val="clear" w:color="auto" w:fill="E5F5FF"/>
          </w:tcPr>
          <w:p>
            <w:pPr>
              <w:pStyle w:val="BDOITable"/>
            </w:pPr>
            <w:r>
              <w:rPr>
                <w:sz w:val="16"/>
              </w:rPr>
              <w:t>BDOI Information Security</w:t>
            </w:r>
          </w:p>
        </w:tc>
      </w:tr>
      <w:tr>
        <w:trPr>
          <w:cantSplit w:val="true"/>
        </w:trPr>
        <w:tc>
          <w:tcPr>
            <w:tcW w:type="dxa" w:w="2643"/>
            <w:tcMar>
              <w:top w:w="50" w:type="dxa"/>
              <w:bottom w:w="50" w:type="dxa"/>
              <w:left w:w="90" w:type="dxa"/>
              <w:right w:w="90" w:type="dxa"/>
            </w:tcMar>
          </w:tcPr>
          <w:p>
            <w:pPr>
              <w:pStyle w:val="BDOITable"/>
            </w:pPr>
            <w:r>
              <w:rPr>
                <w:sz w:val="16"/>
              </w:rPr>
              <w:t>Migration reconciliation and dress rehearsal reports</w:t>
            </w:r>
          </w:p>
        </w:tc>
        <w:tc>
          <w:tcPr>
            <w:tcW w:type="dxa" w:w="3484"/>
            <w:tcMar>
              <w:top w:w="50" w:type="dxa"/>
              <w:bottom w:w="50" w:type="dxa"/>
              <w:left w:w="90" w:type="dxa"/>
              <w:right w:w="90" w:type="dxa"/>
            </w:tcMar>
          </w:tcPr>
          <w:p>
            <w:pPr>
              <w:pStyle w:val="BDOITable"/>
            </w:pPr>
            <w:r>
              <w:rPr>
                <w:sz w:val="16"/>
              </w:rPr>
              <w:t>Reconciliation L1 to L5, timings, rollback</w:t>
            </w:r>
          </w:p>
        </w:tc>
        <w:tc>
          <w:tcPr>
            <w:tcW w:type="dxa" w:w="1922"/>
            <w:tcMar>
              <w:top w:w="50" w:type="dxa"/>
              <w:bottom w:w="50" w:type="dxa"/>
              <w:left w:w="90" w:type="dxa"/>
              <w:right w:w="90" w:type="dxa"/>
            </w:tcMar>
          </w:tcPr>
          <w:p>
            <w:pPr>
              <w:pStyle w:val="BDOITable"/>
            </w:pPr>
            <w:r>
              <w:rPr>
                <w:sz w:val="16"/>
              </w:rPr>
              <w:t>iorta Migration Lead</w:t>
            </w:r>
          </w:p>
        </w:tc>
        <w:tc>
          <w:tcPr>
            <w:tcW w:type="dxa" w:w="1922"/>
            <w:tcMar>
              <w:top w:w="50" w:type="dxa"/>
              <w:bottom w:w="50" w:type="dxa"/>
              <w:left w:w="90" w:type="dxa"/>
              <w:right w:w="90" w:type="dxa"/>
            </w:tcMar>
          </w:tcPr>
          <w:p>
            <w:pPr>
              <w:pStyle w:val="BDOITable"/>
            </w:pPr>
            <w:r>
              <w:rPr>
                <w:sz w:val="16"/>
              </w:rPr>
              <w:t>BDOI Data Migration Lead</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DR drill report</w:t>
            </w:r>
          </w:p>
        </w:tc>
        <w:tc>
          <w:tcPr>
            <w:tcW w:type="dxa" w:w="3484"/>
            <w:tcMar>
              <w:top w:w="50" w:type="dxa"/>
              <w:bottom w:w="50" w:type="dxa"/>
              <w:left w:w="90" w:type="dxa"/>
              <w:right w:w="90" w:type="dxa"/>
            </w:tcMar>
            <w:shd w:val="clear" w:color="auto" w:fill="E5F5FF"/>
          </w:tcPr>
          <w:p>
            <w:pPr>
              <w:pStyle w:val="BDOITable"/>
            </w:pPr>
            <w:r>
              <w:rPr>
                <w:sz w:val="16"/>
              </w:rPr>
              <w:t>RPO, RTO, issues</w:t>
            </w:r>
          </w:p>
        </w:tc>
        <w:tc>
          <w:tcPr>
            <w:tcW w:type="dxa" w:w="1922"/>
            <w:tcMar>
              <w:top w:w="50" w:type="dxa"/>
              <w:bottom w:w="50" w:type="dxa"/>
              <w:left w:w="90" w:type="dxa"/>
              <w:right w:w="90" w:type="dxa"/>
            </w:tcMar>
            <w:shd w:val="clear" w:color="auto" w:fill="E5F5FF"/>
          </w:tcPr>
          <w:p>
            <w:pPr>
              <w:pStyle w:val="BDOITable"/>
            </w:pPr>
            <w:r>
              <w:rPr>
                <w:sz w:val="16"/>
              </w:rPr>
              <w:t>iorta DevOps and Platform Lead</w:t>
            </w:r>
          </w:p>
        </w:tc>
        <w:tc>
          <w:tcPr>
            <w:tcW w:type="dxa" w:w="1922"/>
            <w:tcMar>
              <w:top w:w="50" w:type="dxa"/>
              <w:bottom w:w="50" w:type="dxa"/>
              <w:left w:w="90" w:type="dxa"/>
              <w:right w:w="90" w:type="dxa"/>
            </w:tcMar>
            <w:shd w:val="clear" w:color="auto" w:fill="E5F5FF"/>
          </w:tcPr>
          <w:p>
            <w:pPr>
              <w:pStyle w:val="BDOITable"/>
            </w:pPr>
            <w:r>
              <w:rPr>
                <w:sz w:val="16"/>
              </w:rPr>
              <w:t>Head, BDOI IT</w:t>
            </w:r>
          </w:p>
        </w:tc>
      </w:tr>
    </w:tbl>
    <w:p>
      <w:pPr>
        <w:pStyle w:val="BDOISpacer"/>
      </w:pPr>
    </w:p>
    <w:p>
      <w:pPr>
        <w:pStyle w:val="Heading1"/>
        <w:pageBreakBefore/>
        <w:pBdr>
          <w:bottom w:val="single" w:sz="4" w:space="4" w:color="99C1E7"/>
        </w:pBdr>
      </w:pPr>
      <w:bookmarkStart w:id="135" w:name="_Toc000135"/>
      <w:r>
        <w:rPr/>
        <w:t>16 Risks</w:t>
      </w:r>
      <w:bookmarkEnd w:id="135"/>
    </w:p>
    <w:p>
      <w:pPr>
        <w:pStyle w:val="Caption"/>
        <w:keepNext/>
        <w:spacing w:after="60"/>
      </w:pPr>
      <w:r>
        <w:rPr>
          <w:b/>
          <w:i w:val="0"/>
        </w:rPr>
        <w:t xml:space="preserve">Table 18: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1201"/>
        <w:gridCol w:w="5527"/>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6"/>
              </w:rPr>
              <w:t>Risk</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6"/>
              </w:rPr>
              <w:t>Impact</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6"/>
              </w:rPr>
              <w:t>Mitigation</w:t>
            </w:r>
          </w:p>
        </w:tc>
      </w:tr>
      <w:tr>
        <w:trPr>
          <w:cantSplit w:val="true"/>
        </w:trPr>
        <w:tc>
          <w:tcPr>
            <w:tcW w:type="dxa" w:w="3244"/>
            <w:tcMar>
              <w:top w:w="50" w:type="dxa"/>
              <w:bottom w:w="50" w:type="dxa"/>
              <w:left w:w="90" w:type="dxa"/>
              <w:right w:w="90" w:type="dxa"/>
            </w:tcMar>
          </w:tcPr>
          <w:p>
            <w:pPr>
              <w:pStyle w:val="BDOITable"/>
            </w:pPr>
            <w:r>
              <w:rPr>
                <w:sz w:val="16"/>
              </w:rPr>
              <w:t>Integration specifications and partner test systems arrive late (DEP-07, 08, 10, 11, 13)</w:t>
            </w:r>
          </w:p>
        </w:tc>
        <w:tc>
          <w:tcPr>
            <w:tcW w:type="dxa" w:w="1201"/>
            <w:tcMar>
              <w:top w:w="50" w:type="dxa"/>
              <w:bottom w:w="50" w:type="dxa"/>
              <w:left w:w="90" w:type="dxa"/>
              <w:right w:w="90" w:type="dxa"/>
            </w:tcMar>
          </w:tcPr>
          <w:p>
            <w:pPr>
              <w:pStyle w:val="BDOITable"/>
            </w:pPr>
            <w:r>
              <w:rPr>
                <w:sz w:val="16"/>
              </w:rPr>
              <w:t>High</w:t>
            </w:r>
          </w:p>
        </w:tc>
        <w:tc>
          <w:tcPr>
            <w:tcW w:type="dxa" w:w="5527"/>
            <w:tcMar>
              <w:top w:w="50" w:type="dxa"/>
              <w:bottom w:w="50" w:type="dxa"/>
              <w:left w:w="90" w:type="dxa"/>
              <w:right w:w="90" w:type="dxa"/>
            </w:tcMar>
          </w:tcPr>
          <w:p>
            <w:pPr>
              <w:pStyle w:val="BDOITable"/>
            </w:pPr>
            <w:r>
              <w:rPr>
                <w:sz w:val="16"/>
              </w:rPr>
              <w:t>Simulators on the agreed contracts; interface cases re-run when the partner is available; dates tracked in the project plan</w:t>
            </w:r>
          </w:p>
        </w:tc>
      </w:tr>
      <w:tr>
        <w:trPr>
          <w:cantSplit w:val="true"/>
        </w:trPr>
        <w:tc>
          <w:tcPr>
            <w:tcW w:type="dxa" w:w="3244"/>
            <w:tcMar>
              <w:top w:w="50" w:type="dxa"/>
              <w:bottom w:w="50" w:type="dxa"/>
              <w:left w:w="90" w:type="dxa"/>
              <w:right w:w="90" w:type="dxa"/>
            </w:tcMar>
            <w:shd w:val="clear" w:color="auto" w:fill="E5F5FF"/>
          </w:tcPr>
          <w:p>
            <w:pPr>
              <w:pStyle w:val="BDOITable"/>
            </w:pPr>
            <w:r>
              <w:rPr>
                <w:sz w:val="16"/>
              </w:rPr>
              <w:t>Environments late (SIT 4 Jan 2027, Pre-Prod 1 Oct 2027)</w:t>
            </w:r>
          </w:p>
        </w:tc>
        <w:tc>
          <w:tcPr>
            <w:tcW w:type="dxa" w:w="1201"/>
            <w:tcMar>
              <w:top w:w="50" w:type="dxa"/>
              <w:bottom w:w="50" w:type="dxa"/>
              <w:left w:w="90" w:type="dxa"/>
              <w:right w:w="90" w:type="dxa"/>
            </w:tcMar>
            <w:shd w:val="clear" w:color="auto" w:fill="E5F5FF"/>
          </w:tcPr>
          <w:p>
            <w:pPr>
              <w:pStyle w:val="BDOITable"/>
            </w:pPr>
            <w:r>
              <w:rPr>
                <w:sz w:val="16"/>
              </w:rPr>
              <w:t>High</w:t>
            </w:r>
          </w:p>
        </w:tc>
        <w:tc>
          <w:tcPr>
            <w:tcW w:type="dxa" w:w="5527"/>
            <w:tcMar>
              <w:top w:w="50" w:type="dxa"/>
              <w:bottom w:w="50" w:type="dxa"/>
              <w:left w:w="90" w:type="dxa"/>
              <w:right w:w="90" w:type="dxa"/>
            </w:tcMar>
            <w:shd w:val="clear" w:color="auto" w:fill="E5F5FF"/>
          </w:tcPr>
          <w:p>
            <w:pPr>
              <w:pStyle w:val="BDOITable"/>
            </w:pPr>
            <w:r>
              <w:rPr>
                <w:sz w:val="16"/>
              </w:rPr>
              <w:t>Environment readiness checklist one month ahead; DEV used for early SIT cycles</w:t>
            </w:r>
          </w:p>
        </w:tc>
      </w:tr>
      <w:tr>
        <w:trPr>
          <w:cantSplit w:val="true"/>
        </w:trPr>
        <w:tc>
          <w:tcPr>
            <w:tcW w:type="dxa" w:w="3244"/>
            <w:tcMar>
              <w:top w:w="50" w:type="dxa"/>
              <w:bottom w:w="50" w:type="dxa"/>
              <w:left w:w="90" w:type="dxa"/>
              <w:right w:w="90" w:type="dxa"/>
            </w:tcMar>
          </w:tcPr>
          <w:p>
            <w:pPr>
              <w:pStyle w:val="BDOITable"/>
            </w:pPr>
            <w:r>
              <w:rPr>
                <w:sz w:val="16"/>
              </w:rPr>
              <w:t>FRS re-issued on the BRD versions of 8 October 2026 change the test cases</w:t>
            </w:r>
          </w:p>
        </w:tc>
        <w:tc>
          <w:tcPr>
            <w:tcW w:type="dxa" w:w="1201"/>
            <w:tcMar>
              <w:top w:w="50" w:type="dxa"/>
              <w:bottom w:w="50" w:type="dxa"/>
              <w:left w:w="90" w:type="dxa"/>
              <w:right w:w="90" w:type="dxa"/>
            </w:tcMar>
          </w:tcPr>
          <w:p>
            <w:pPr>
              <w:pStyle w:val="BDOITable"/>
            </w:pPr>
            <w:r>
              <w:rPr>
                <w:sz w:val="16"/>
              </w:rPr>
              <w:t>Medium</w:t>
            </w:r>
          </w:p>
        </w:tc>
        <w:tc>
          <w:tcPr>
            <w:tcW w:type="dxa" w:w="5527"/>
            <w:tcMar>
              <w:top w:w="50" w:type="dxa"/>
              <w:bottom w:w="50" w:type="dxa"/>
              <w:left w:w="90" w:type="dxa"/>
              <w:right w:w="90" w:type="dxa"/>
            </w:tcMar>
          </w:tcPr>
          <w:p>
            <w:pPr>
              <w:pStyle w:val="BDOITable"/>
            </w:pPr>
            <w:r>
              <w:rPr>
                <w:sz w:val="16"/>
              </w:rPr>
              <w:t>Test plans re-based with the FRS; the traceability matrix regenerated from the FRS at each issue</w:t>
            </w:r>
          </w:p>
        </w:tc>
      </w:tr>
      <w:tr>
        <w:trPr>
          <w:cantSplit w:val="true"/>
        </w:trPr>
        <w:tc>
          <w:tcPr>
            <w:tcW w:type="dxa" w:w="3244"/>
            <w:tcMar>
              <w:top w:w="50" w:type="dxa"/>
              <w:bottom w:w="50" w:type="dxa"/>
              <w:left w:w="90" w:type="dxa"/>
              <w:right w:w="90" w:type="dxa"/>
            </w:tcMar>
            <w:shd w:val="clear" w:color="auto" w:fill="E5F5FF"/>
          </w:tcPr>
          <w:p>
            <w:pPr>
              <w:pStyle w:val="BDOITable"/>
            </w:pPr>
            <w:r>
              <w:rPr>
                <w:sz w:val="16"/>
              </w:rPr>
              <w:t>UAT testers not released (DEP-20)</w:t>
            </w:r>
          </w:p>
        </w:tc>
        <w:tc>
          <w:tcPr>
            <w:tcW w:type="dxa" w:w="1201"/>
            <w:tcMar>
              <w:top w:w="50" w:type="dxa"/>
              <w:bottom w:w="50" w:type="dxa"/>
              <w:left w:w="90" w:type="dxa"/>
              <w:right w:w="90" w:type="dxa"/>
            </w:tcMar>
            <w:shd w:val="clear" w:color="auto" w:fill="E5F5FF"/>
          </w:tcPr>
          <w:p>
            <w:pPr>
              <w:pStyle w:val="BDOITable"/>
            </w:pPr>
            <w:r>
              <w:rPr>
                <w:sz w:val="16"/>
              </w:rPr>
              <w:t>High</w:t>
            </w:r>
          </w:p>
        </w:tc>
        <w:tc>
          <w:tcPr>
            <w:tcW w:type="dxa" w:w="5527"/>
            <w:tcMar>
              <w:top w:w="50" w:type="dxa"/>
              <w:bottom w:w="50" w:type="dxa"/>
              <w:left w:w="90" w:type="dxa"/>
              <w:right w:w="90" w:type="dxa"/>
            </w:tcMar>
            <w:shd w:val="clear" w:color="auto" w:fill="E5F5FF"/>
          </w:tcPr>
          <w:p>
            <w:pPr>
              <w:pStyle w:val="BDOITable"/>
            </w:pPr>
            <w:r>
              <w:rPr>
                <w:sz w:val="16"/>
              </w:rPr>
              <w:t>Testers named by 16 Jul 2027; UAT calendar per BRD agreed with the owners</w:t>
            </w:r>
          </w:p>
        </w:tc>
      </w:tr>
      <w:tr>
        <w:trPr>
          <w:cantSplit w:val="true"/>
        </w:trPr>
        <w:tc>
          <w:tcPr>
            <w:tcW w:type="dxa" w:w="3244"/>
            <w:tcMar>
              <w:top w:w="50" w:type="dxa"/>
              <w:bottom w:w="50" w:type="dxa"/>
              <w:left w:w="90" w:type="dxa"/>
              <w:right w:w="90" w:type="dxa"/>
            </w:tcMar>
          </w:tcPr>
          <w:p>
            <w:pPr>
              <w:pStyle w:val="BDOITable"/>
            </w:pPr>
            <w:r>
              <w:rPr>
                <w:sz w:val="16"/>
              </w:rPr>
              <w:t>NFR values not decided (XQ08)</w:t>
            </w:r>
          </w:p>
        </w:tc>
        <w:tc>
          <w:tcPr>
            <w:tcW w:type="dxa" w:w="1201"/>
            <w:tcMar>
              <w:top w:w="50" w:type="dxa"/>
              <w:bottom w:w="50" w:type="dxa"/>
              <w:left w:w="90" w:type="dxa"/>
              <w:right w:w="90" w:type="dxa"/>
            </w:tcMar>
          </w:tcPr>
          <w:p>
            <w:pPr>
              <w:pStyle w:val="BDOITable"/>
            </w:pPr>
            <w:r>
              <w:rPr>
                <w:sz w:val="16"/>
              </w:rPr>
              <w:t>Medium</w:t>
            </w:r>
          </w:p>
        </w:tc>
        <w:tc>
          <w:tcPr>
            <w:tcW w:type="dxa" w:w="5527"/>
            <w:tcMar>
              <w:top w:w="50" w:type="dxa"/>
              <w:bottom w:w="50" w:type="dxa"/>
              <w:left w:w="90" w:type="dxa"/>
              <w:right w:w="90" w:type="dxa"/>
            </w:tcMar>
          </w:tcPr>
          <w:p>
            <w:pPr>
              <w:pStyle w:val="BDOITable"/>
            </w:pPr>
            <w:r>
              <w:rPr>
                <w:sz w:val="16"/>
              </w:rPr>
              <w:t>NFT runs against the catalogue values; results reported against both values where BDOI has not decided</w:t>
            </w:r>
          </w:p>
        </w:tc>
      </w:tr>
      <w:tr>
        <w:trPr>
          <w:cantSplit w:val="true"/>
        </w:trPr>
        <w:tc>
          <w:tcPr>
            <w:tcW w:type="dxa" w:w="3244"/>
            <w:tcMar>
              <w:top w:w="50" w:type="dxa"/>
              <w:bottom w:w="50" w:type="dxa"/>
              <w:left w:w="90" w:type="dxa"/>
              <w:right w:w="90" w:type="dxa"/>
            </w:tcMar>
            <w:shd w:val="clear" w:color="auto" w:fill="E5F5FF"/>
          </w:tcPr>
          <w:p>
            <w:pPr>
              <w:pStyle w:val="BDOITable"/>
            </w:pPr>
            <w:r>
              <w:rPr>
                <w:sz w:val="16"/>
              </w:rPr>
              <w:t>Penetration test findings late</w:t>
            </w:r>
          </w:p>
        </w:tc>
        <w:tc>
          <w:tcPr>
            <w:tcW w:type="dxa" w:w="1201"/>
            <w:tcMar>
              <w:top w:w="50" w:type="dxa"/>
              <w:bottom w:w="50" w:type="dxa"/>
              <w:left w:w="90" w:type="dxa"/>
              <w:right w:w="90" w:type="dxa"/>
            </w:tcMar>
            <w:shd w:val="clear" w:color="auto" w:fill="E5F5FF"/>
          </w:tcPr>
          <w:p>
            <w:pPr>
              <w:pStyle w:val="BDOITable"/>
            </w:pPr>
            <w:r>
              <w:rPr>
                <w:sz w:val="16"/>
              </w:rPr>
              <w:t>Medium</w:t>
            </w:r>
          </w:p>
        </w:tc>
        <w:tc>
          <w:tcPr>
            <w:tcW w:type="dxa" w:w="5527"/>
            <w:tcMar>
              <w:top w:w="50" w:type="dxa"/>
              <w:bottom w:w="50" w:type="dxa"/>
              <w:left w:w="90" w:type="dxa"/>
              <w:right w:w="90" w:type="dxa"/>
            </w:tcMar>
            <w:shd w:val="clear" w:color="auto" w:fill="E5F5FF"/>
          </w:tcPr>
          <w:p>
            <w:pPr>
              <w:pStyle w:val="BDOITable"/>
            </w:pPr>
            <w:r>
              <w:rPr>
                <w:sz w:val="16"/>
              </w:rPr>
              <w:t>Early scan in SIT in June 2027; provider named by 31 May 2027 (DEP-19)</w:t>
            </w:r>
          </w:p>
        </w:tc>
      </w:tr>
      <w:tr>
        <w:trPr>
          <w:cantSplit w:val="true"/>
        </w:trPr>
        <w:tc>
          <w:tcPr>
            <w:tcW w:type="dxa" w:w="3244"/>
            <w:tcMar>
              <w:top w:w="50" w:type="dxa"/>
              <w:bottom w:w="50" w:type="dxa"/>
              <w:left w:w="90" w:type="dxa"/>
              <w:right w:w="90" w:type="dxa"/>
            </w:tcMar>
          </w:tcPr>
          <w:p>
            <w:pPr>
              <w:pStyle w:val="BDOITable"/>
            </w:pPr>
            <w:r>
              <w:rPr>
                <w:sz w:val="16"/>
              </w:rPr>
              <w:t>Masked data incomplete or masking fails</w:t>
            </w:r>
          </w:p>
        </w:tc>
        <w:tc>
          <w:tcPr>
            <w:tcW w:type="dxa" w:w="1201"/>
            <w:tcMar>
              <w:top w:w="50" w:type="dxa"/>
              <w:bottom w:w="50" w:type="dxa"/>
              <w:left w:w="90" w:type="dxa"/>
              <w:right w:w="90" w:type="dxa"/>
            </w:tcMar>
          </w:tcPr>
          <w:p>
            <w:pPr>
              <w:pStyle w:val="BDOITable"/>
            </w:pPr>
            <w:r>
              <w:rPr>
                <w:sz w:val="16"/>
              </w:rPr>
              <w:t>High</w:t>
            </w:r>
          </w:p>
        </w:tc>
        <w:tc>
          <w:tcPr>
            <w:tcW w:type="dxa" w:w="5527"/>
            <w:tcMar>
              <w:top w:w="50" w:type="dxa"/>
              <w:bottom w:w="50" w:type="dxa"/>
              <w:left w:w="90" w:type="dxa"/>
              <w:right w:w="90" w:type="dxa"/>
            </w:tcMar>
          </w:tcPr>
          <w:p>
            <w:pPr>
              <w:pStyle w:val="BDOITable"/>
            </w:pPr>
            <w:r>
              <w:rPr>
                <w:sz w:val="16"/>
              </w:rPr>
              <w:t>Masking verification before tester access; DPO accepts the rules before trial migration 1</w:t>
            </w:r>
          </w:p>
        </w:tc>
      </w:tr>
    </w:tbl>
    <w:p>
      <w:pPr>
        <w:pStyle w:val="BDOISpacer"/>
      </w:pPr>
    </w:p>
    <w:p>
      <w:pPr>
        <w:pStyle w:val="Heading1"/>
        <w:pageBreakBefore/>
        <w:pBdr>
          <w:bottom w:val="single" w:sz="4" w:space="4" w:color="99C1E7"/>
        </w:pBdr>
      </w:pPr>
      <w:bookmarkStart w:id="136" w:name="_Toc000136"/>
      <w:r>
        <w:rPr/>
        <w:t>17 Decisions and open points for BDOI</w:t>
      </w:r>
      <w:bookmarkEnd w:id="136"/>
    </w:p>
    <w:p>
      <w:pPr>
        <w:pStyle w:val="Caption"/>
        <w:keepNext/>
        <w:spacing w:after="60"/>
      </w:pPr>
      <w:r>
        <w:rPr>
          <w:b/>
          <w:i w:val="0"/>
        </w:rPr>
        <w:t xml:space="preserve">Table 19: </w:t>
      </w:r>
      <w:r>
        <w:rPr/>
        <w:t>Decisions requested from BDOI on testing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1"/>
        <w:gridCol w:w="5311"/>
        <w:gridCol w:w="2124"/>
        <w:gridCol w:w="1180"/>
        <w:gridCol w:w="826"/>
      </w:tblGrid>
      <w:tr>
        <w:trPr>
          <w:tblHeader w:val="true"/>
          <w:cantSplit w:val="true"/>
        </w:trPr>
        <w:tc>
          <w:tcPr>
            <w:tcW w:type="dxa" w:w="531"/>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5311"/>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2124"/>
            <w:shd w:val="clear" w:color="auto" w:fill="004EA8"/>
            <w:tcMar>
              <w:top w:w="50" w:type="dxa"/>
              <w:bottom w:w="50" w:type="dxa"/>
              <w:left w:w="90" w:type="dxa"/>
              <w:right w:w="90" w:type="dxa"/>
            </w:tcMar>
            <w:vAlign w:val="center"/>
          </w:tcPr>
          <w:p>
            <w:pPr>
              <w:pStyle w:val="BDOITableHeader"/>
            </w:pPr>
            <w:r>
              <w:rPr>
                <w:b/>
                <w:color w:val="FFFFFF"/>
                <w:sz w:val="16"/>
              </w:rPr>
              <w:t>Owner (BDOI)</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826"/>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531"/>
            <w:tcMar>
              <w:top w:w="50" w:type="dxa"/>
              <w:bottom w:w="50" w:type="dxa"/>
              <w:left w:w="90" w:type="dxa"/>
              <w:right w:w="90" w:type="dxa"/>
            </w:tcMar>
          </w:tcPr>
          <w:p>
            <w:pPr>
              <w:pStyle w:val="BDOITable"/>
            </w:pPr>
            <w:r>
              <w:rPr>
                <w:sz w:val="16"/>
              </w:rPr>
              <w:t>1</w:t>
            </w:r>
          </w:p>
        </w:tc>
        <w:tc>
          <w:tcPr>
            <w:tcW w:type="dxa" w:w="5311"/>
            <w:tcMar>
              <w:top w:w="50" w:type="dxa"/>
              <w:bottom w:w="50" w:type="dxa"/>
              <w:left w:w="90" w:type="dxa"/>
              <w:right w:w="90" w:type="dxa"/>
            </w:tcMar>
          </w:tcPr>
          <w:p>
            <w:pPr>
              <w:pStyle w:val="BDOITable"/>
            </w:pPr>
            <w:r>
              <w:rPr>
                <w:sz w:val="16"/>
              </w:rPr>
              <w:t>Approve the severity definitions, the entry and exit criteria and the suspension rule of this strategy</w:t>
            </w:r>
          </w:p>
        </w:tc>
        <w:tc>
          <w:tcPr>
            <w:tcW w:type="dxa" w:w="2124"/>
            <w:tcMar>
              <w:top w:w="50" w:type="dxa"/>
              <w:bottom w:w="50" w:type="dxa"/>
              <w:left w:w="90" w:type="dxa"/>
              <w:right w:w="90" w:type="dxa"/>
            </w:tcMar>
          </w:tcPr>
          <w:p>
            <w:pPr>
              <w:pStyle w:val="BDOITable"/>
            </w:pPr>
            <w:r>
              <w:rPr>
                <w:sz w:val="16"/>
              </w:rPr>
              <w:t>BIBS Product Owner</w:t>
            </w:r>
          </w:p>
        </w:tc>
        <w:tc>
          <w:tcPr>
            <w:tcW w:type="dxa" w:w="1180"/>
            <w:tcMar>
              <w:top w:w="50" w:type="dxa"/>
              <w:bottom w:w="50" w:type="dxa"/>
              <w:left w:w="90" w:type="dxa"/>
              <w:right w:w="90" w:type="dxa"/>
            </w:tcMar>
          </w:tcPr>
          <w:p>
            <w:pPr>
              <w:pStyle w:val="BDOITable"/>
            </w:pPr>
            <w:r>
              <w:rPr>
                <w:sz w:val="16"/>
              </w:rPr>
              <w:t>30 Nov 2026</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shd w:val="clear" w:color="auto" w:fill="E5F5FF"/>
          </w:tcPr>
          <w:p>
            <w:pPr>
              <w:pStyle w:val="BDOITable"/>
            </w:pPr>
            <w:r>
              <w:rPr>
                <w:sz w:val="16"/>
              </w:rPr>
              <w:t>2</w:t>
            </w:r>
          </w:p>
        </w:tc>
        <w:tc>
          <w:tcPr>
            <w:tcW w:type="dxa" w:w="5311"/>
            <w:tcMar>
              <w:top w:w="50" w:type="dxa"/>
              <w:bottom w:w="50" w:type="dxa"/>
              <w:left w:w="90" w:type="dxa"/>
              <w:right w:w="90" w:type="dxa"/>
            </w:tcMar>
            <w:shd w:val="clear" w:color="auto" w:fill="E5F5FF"/>
          </w:tcPr>
          <w:p>
            <w:pPr>
              <w:pStyle w:val="BDOITable"/>
            </w:pPr>
            <w:r>
              <w:rPr>
                <w:sz w:val="16"/>
              </w:rPr>
              <w:t>Choose the test management tool (Xray or TestRail) and grant the UAT testers access</w:t>
            </w:r>
          </w:p>
        </w:tc>
        <w:tc>
          <w:tcPr>
            <w:tcW w:type="dxa" w:w="2124"/>
            <w:tcMar>
              <w:top w:w="50" w:type="dxa"/>
              <w:bottom w:w="50" w:type="dxa"/>
              <w:left w:w="90" w:type="dxa"/>
              <w:right w:w="90" w:type="dxa"/>
            </w:tcMar>
            <w:shd w:val="clear" w:color="auto" w:fill="E5F5FF"/>
          </w:tcPr>
          <w:p>
            <w:pPr>
              <w:pStyle w:val="BDOITable"/>
            </w:pPr>
            <w:r>
              <w:rPr>
                <w:sz w:val="16"/>
              </w:rPr>
              <w:t>BDOI IT</w:t>
            </w:r>
          </w:p>
        </w:tc>
        <w:tc>
          <w:tcPr>
            <w:tcW w:type="dxa" w:w="1180"/>
            <w:tcMar>
              <w:top w:w="50" w:type="dxa"/>
              <w:bottom w:w="50" w:type="dxa"/>
              <w:left w:w="90" w:type="dxa"/>
              <w:right w:w="90" w:type="dxa"/>
            </w:tcMar>
            <w:shd w:val="clear" w:color="auto" w:fill="E5F5FF"/>
          </w:tcPr>
          <w:p>
            <w:pPr>
              <w:pStyle w:val="BDOITable"/>
            </w:pPr>
            <w:r>
              <w:rPr>
                <w:sz w:val="16"/>
              </w:rPr>
              <w:t>15 Dec 2026</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tcPr>
          <w:p>
            <w:pPr>
              <w:pStyle w:val="BDOITable"/>
            </w:pPr>
            <w:r>
              <w:rPr>
                <w:sz w:val="16"/>
              </w:rPr>
              <w:t>3</w:t>
            </w:r>
          </w:p>
        </w:tc>
        <w:tc>
          <w:tcPr>
            <w:tcW w:type="dxa" w:w="5311"/>
            <w:tcMar>
              <w:top w:w="50" w:type="dxa"/>
              <w:bottom w:w="50" w:type="dxa"/>
              <w:left w:w="90" w:type="dxa"/>
              <w:right w:w="90" w:type="dxa"/>
            </w:tcMar>
          </w:tcPr>
          <w:p>
            <w:pPr>
              <w:pStyle w:val="BDOITable"/>
            </w:pPr>
            <w:r>
              <w:rPr>
                <w:sz w:val="16"/>
              </w:rPr>
              <w:t>Switch on the new-code coverage gate (above 90%) in the BDO SonarQube instance</w:t>
            </w:r>
          </w:p>
        </w:tc>
        <w:tc>
          <w:tcPr>
            <w:tcW w:type="dxa" w:w="2124"/>
            <w:tcMar>
              <w:top w:w="50" w:type="dxa"/>
              <w:bottom w:w="50" w:type="dxa"/>
              <w:left w:w="90" w:type="dxa"/>
              <w:right w:w="90" w:type="dxa"/>
            </w:tcMar>
          </w:tcPr>
          <w:p>
            <w:pPr>
              <w:pStyle w:val="BDOITable"/>
            </w:pPr>
            <w:r>
              <w:rPr>
                <w:sz w:val="16"/>
              </w:rPr>
              <w:t>BDOI IT</w:t>
            </w:r>
          </w:p>
        </w:tc>
        <w:tc>
          <w:tcPr>
            <w:tcW w:type="dxa" w:w="1180"/>
            <w:tcMar>
              <w:top w:w="50" w:type="dxa"/>
              <w:bottom w:w="50" w:type="dxa"/>
              <w:left w:w="90" w:type="dxa"/>
              <w:right w:w="90" w:type="dxa"/>
            </w:tcMar>
          </w:tcPr>
          <w:p>
            <w:pPr>
              <w:pStyle w:val="BDOITable"/>
            </w:pPr>
            <w:r>
              <w:rPr>
                <w:sz w:val="16"/>
              </w:rPr>
              <w:t>15 Dec 2026</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shd w:val="clear" w:color="auto" w:fill="E5F5FF"/>
          </w:tcPr>
          <w:p>
            <w:pPr>
              <w:pStyle w:val="BDOITable"/>
            </w:pPr>
            <w:r>
              <w:rPr>
                <w:sz w:val="16"/>
              </w:rPr>
              <w:t>4</w:t>
            </w:r>
          </w:p>
        </w:tc>
        <w:tc>
          <w:tcPr>
            <w:tcW w:type="dxa" w:w="5311"/>
            <w:tcMar>
              <w:top w:w="50" w:type="dxa"/>
              <w:bottom w:w="50" w:type="dxa"/>
              <w:left w:w="90" w:type="dxa"/>
              <w:right w:w="90" w:type="dxa"/>
            </w:tcMar>
            <w:shd w:val="clear" w:color="auto" w:fill="E5F5FF"/>
          </w:tcPr>
          <w:p>
            <w:pPr>
              <w:pStyle w:val="BDOITable"/>
            </w:pPr>
            <w:r>
              <w:rPr>
                <w:sz w:val="16"/>
              </w:rPr>
              <w:t>Name the penetration test provider and approve the early scan in SIT (DEP-19, IQ35)</w:t>
            </w:r>
          </w:p>
        </w:tc>
        <w:tc>
          <w:tcPr>
            <w:tcW w:type="dxa" w:w="2124"/>
            <w:tcMar>
              <w:top w:w="50" w:type="dxa"/>
              <w:bottom w:w="50" w:type="dxa"/>
              <w:left w:w="90" w:type="dxa"/>
              <w:right w:w="90" w:type="dxa"/>
            </w:tcMar>
            <w:shd w:val="clear" w:color="auto" w:fill="E5F5FF"/>
          </w:tcPr>
          <w:p>
            <w:pPr>
              <w:pStyle w:val="BDOITable"/>
            </w:pPr>
            <w:r>
              <w:rPr>
                <w:sz w:val="16"/>
              </w:rPr>
              <w:t>BDOI Information Security</w:t>
            </w:r>
          </w:p>
        </w:tc>
        <w:tc>
          <w:tcPr>
            <w:tcW w:type="dxa" w:w="1180"/>
            <w:tcMar>
              <w:top w:w="50" w:type="dxa"/>
              <w:bottom w:w="50" w:type="dxa"/>
              <w:left w:w="90" w:type="dxa"/>
              <w:right w:w="90" w:type="dxa"/>
            </w:tcMar>
            <w:shd w:val="clear" w:color="auto" w:fill="E5F5FF"/>
          </w:tcPr>
          <w:p>
            <w:pPr>
              <w:pStyle w:val="BDOITable"/>
            </w:pPr>
            <w:r>
              <w:rPr>
                <w:sz w:val="16"/>
              </w:rPr>
              <w:t>31 May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tcPr>
          <w:p>
            <w:pPr>
              <w:pStyle w:val="BDOITable"/>
            </w:pPr>
            <w:r>
              <w:rPr>
                <w:sz w:val="16"/>
              </w:rPr>
              <w:t>5</w:t>
            </w:r>
          </w:p>
        </w:tc>
        <w:tc>
          <w:tcPr>
            <w:tcW w:type="dxa" w:w="5311"/>
            <w:tcMar>
              <w:top w:w="50" w:type="dxa"/>
              <w:bottom w:w="50" w:type="dxa"/>
              <w:left w:w="90" w:type="dxa"/>
              <w:right w:w="90" w:type="dxa"/>
            </w:tcMar>
          </w:tcPr>
          <w:p>
            <w:pPr>
              <w:pStyle w:val="BDOITable"/>
            </w:pPr>
            <w:r>
              <w:rPr>
                <w:sz w:val="16"/>
              </w:rPr>
              <w:t>Accept the masking rules of the test data before trial migration 1</w:t>
            </w:r>
          </w:p>
        </w:tc>
        <w:tc>
          <w:tcPr>
            <w:tcW w:type="dxa" w:w="2124"/>
            <w:tcMar>
              <w:top w:w="50" w:type="dxa"/>
              <w:bottom w:w="50" w:type="dxa"/>
              <w:left w:w="90" w:type="dxa"/>
              <w:right w:w="90" w:type="dxa"/>
            </w:tcMar>
          </w:tcPr>
          <w:p>
            <w:pPr>
              <w:pStyle w:val="BDOITable"/>
            </w:pPr>
            <w:r>
              <w:rPr>
                <w:sz w:val="16"/>
              </w:rPr>
              <w:t>Data Protection Officer</w:t>
            </w:r>
          </w:p>
        </w:tc>
        <w:tc>
          <w:tcPr>
            <w:tcW w:type="dxa" w:w="1180"/>
            <w:tcMar>
              <w:top w:w="50" w:type="dxa"/>
              <w:bottom w:w="50" w:type="dxa"/>
              <w:left w:w="90" w:type="dxa"/>
              <w:right w:w="90" w:type="dxa"/>
            </w:tcMar>
          </w:tcPr>
          <w:p>
            <w:pPr>
              <w:pStyle w:val="BDOITable"/>
            </w:pPr>
            <w:r>
              <w:rPr>
                <w:sz w:val="16"/>
              </w:rPr>
              <w:t>31 Mar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shd w:val="clear" w:color="auto" w:fill="E5F5FF"/>
          </w:tcPr>
          <w:p>
            <w:pPr>
              <w:pStyle w:val="BDOITable"/>
            </w:pPr>
            <w:r>
              <w:rPr>
                <w:sz w:val="16"/>
              </w:rPr>
              <w:t>6</w:t>
            </w:r>
          </w:p>
        </w:tc>
        <w:tc>
          <w:tcPr>
            <w:tcW w:type="dxa" w:w="5311"/>
            <w:tcMar>
              <w:top w:w="50" w:type="dxa"/>
              <w:bottom w:w="50" w:type="dxa"/>
              <w:left w:w="90" w:type="dxa"/>
              <w:right w:w="90" w:type="dxa"/>
            </w:tcMar>
            <w:shd w:val="clear" w:color="auto" w:fill="E5F5FF"/>
          </w:tcPr>
          <w:p>
            <w:pPr>
              <w:pStyle w:val="BDOITable"/>
            </w:pPr>
            <w:r>
              <w:rPr>
                <w:sz w:val="16"/>
              </w:rPr>
              <w:t>Approve the NFT workload model (transaction mix and rates per persona)</w:t>
            </w:r>
          </w:p>
        </w:tc>
        <w:tc>
          <w:tcPr>
            <w:tcW w:type="dxa" w:w="2124"/>
            <w:tcMar>
              <w:top w:w="50" w:type="dxa"/>
              <w:bottom w:w="50" w:type="dxa"/>
              <w:left w:w="90" w:type="dxa"/>
              <w:right w:w="90" w:type="dxa"/>
            </w:tcMar>
            <w:shd w:val="clear" w:color="auto" w:fill="E5F5FF"/>
          </w:tcPr>
          <w:p>
            <w:pPr>
              <w:pStyle w:val="BDOITable"/>
            </w:pPr>
            <w:r>
              <w:rPr>
                <w:sz w:val="16"/>
              </w:rPr>
              <w:t>BIBS Product Owner</w:t>
            </w:r>
          </w:p>
        </w:tc>
        <w:tc>
          <w:tcPr>
            <w:tcW w:type="dxa" w:w="1180"/>
            <w:tcMar>
              <w:top w:w="50" w:type="dxa"/>
              <w:bottom w:w="50" w:type="dxa"/>
              <w:left w:w="90" w:type="dxa"/>
              <w:right w:w="90" w:type="dxa"/>
            </w:tcMar>
            <w:shd w:val="clear" w:color="auto" w:fill="E5F5FF"/>
          </w:tcPr>
          <w:p>
            <w:pPr>
              <w:pStyle w:val="BDOITable"/>
            </w:pPr>
            <w:r>
              <w:rPr>
                <w:sz w:val="16"/>
              </w:rPr>
              <w:t>30 Sep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tcPr>
          <w:p>
            <w:pPr>
              <w:pStyle w:val="BDOITable"/>
            </w:pPr>
            <w:r>
              <w:rPr>
                <w:sz w:val="16"/>
              </w:rPr>
              <w:t>7</w:t>
            </w:r>
          </w:p>
        </w:tc>
        <w:tc>
          <w:tcPr>
            <w:tcW w:type="dxa" w:w="5311"/>
            <w:tcMar>
              <w:top w:w="50" w:type="dxa"/>
              <w:bottom w:w="50" w:type="dxa"/>
              <w:left w:w="90" w:type="dxa"/>
              <w:right w:w="90" w:type="dxa"/>
            </w:tcMar>
          </w:tcPr>
          <w:p>
            <w:pPr>
              <w:pStyle w:val="BDOITable"/>
            </w:pPr>
            <w:r>
              <w:rPr>
                <w:sz w:val="16"/>
              </w:rPr>
              <w:t>Name at least two UAT testers per business unit and release them for the UAT windows (DEP-20)</w:t>
            </w:r>
          </w:p>
        </w:tc>
        <w:tc>
          <w:tcPr>
            <w:tcW w:type="dxa" w:w="2124"/>
            <w:tcMar>
              <w:top w:w="50" w:type="dxa"/>
              <w:bottom w:w="50" w:type="dxa"/>
              <w:left w:w="90" w:type="dxa"/>
              <w:right w:w="90" w:type="dxa"/>
            </w:tcMar>
          </w:tcPr>
          <w:p>
            <w:pPr>
              <w:pStyle w:val="BDOITable"/>
            </w:pPr>
            <w:r>
              <w:rPr>
                <w:sz w:val="16"/>
              </w:rPr>
              <w:t>Product owners of the BRDs</w:t>
            </w:r>
          </w:p>
        </w:tc>
        <w:tc>
          <w:tcPr>
            <w:tcW w:type="dxa" w:w="1180"/>
            <w:tcMar>
              <w:top w:w="50" w:type="dxa"/>
              <w:bottom w:w="50" w:type="dxa"/>
              <w:left w:w="90" w:type="dxa"/>
              <w:right w:w="90" w:type="dxa"/>
            </w:tcMar>
          </w:tcPr>
          <w:p>
            <w:pPr>
              <w:pStyle w:val="BDOITable"/>
            </w:pPr>
            <w:r>
              <w:rPr>
                <w:sz w:val="16"/>
              </w:rPr>
              <w:t>16 Jul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shd w:val="clear" w:color="auto" w:fill="E5F5FF"/>
          </w:tcPr>
          <w:p>
            <w:pPr>
              <w:pStyle w:val="BDOITable"/>
            </w:pPr>
            <w:r>
              <w:rPr>
                <w:sz w:val="16"/>
              </w:rPr>
              <w:t>8</w:t>
            </w:r>
          </w:p>
        </w:tc>
        <w:tc>
          <w:tcPr>
            <w:tcW w:type="dxa" w:w="5311"/>
            <w:tcMar>
              <w:top w:w="50" w:type="dxa"/>
              <w:bottom w:w="50" w:type="dxa"/>
              <w:left w:w="90" w:type="dxa"/>
              <w:right w:w="90" w:type="dxa"/>
            </w:tcMar>
            <w:shd w:val="clear" w:color="auto" w:fill="E5F5FF"/>
          </w:tcPr>
          <w:p>
            <w:pPr>
              <w:pStyle w:val="BDOITable"/>
            </w:pPr>
            <w:r>
              <w:rPr>
                <w:sz w:val="16"/>
              </w:rPr>
              <w:t>Partner test systems and test accounts for every interface of Drop 0 and Drop 1 in SIT</w:t>
            </w:r>
          </w:p>
        </w:tc>
        <w:tc>
          <w:tcPr>
            <w:tcW w:type="dxa" w:w="2124"/>
            <w:tcMar>
              <w:top w:w="50" w:type="dxa"/>
              <w:bottom w:w="50" w:type="dxa"/>
              <w:left w:w="90" w:type="dxa"/>
              <w:right w:w="90" w:type="dxa"/>
            </w:tcMar>
            <w:shd w:val="clear" w:color="auto" w:fill="E5F5FF"/>
          </w:tcPr>
          <w:p>
            <w:pPr>
              <w:pStyle w:val="BDOITable"/>
            </w:pPr>
            <w:r>
              <w:rPr>
                <w:sz w:val="16"/>
              </w:rPr>
              <w:t>BDOI IT</w:t>
            </w:r>
          </w:p>
        </w:tc>
        <w:tc>
          <w:tcPr>
            <w:tcW w:type="dxa" w:w="1180"/>
            <w:tcMar>
              <w:top w:w="50" w:type="dxa"/>
              <w:bottom w:w="50" w:type="dxa"/>
              <w:left w:w="90" w:type="dxa"/>
              <w:right w:w="90" w:type="dxa"/>
            </w:tcMar>
            <w:shd w:val="clear" w:color="auto" w:fill="E5F5FF"/>
          </w:tcPr>
          <w:p>
            <w:pPr>
              <w:pStyle w:val="BDOITable"/>
            </w:pPr>
            <w:r>
              <w:rPr>
                <w:sz w:val="16"/>
              </w:rPr>
              <w:t>31 Mar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tcPr>
          <w:p>
            <w:pPr>
              <w:pStyle w:val="BDOITable"/>
            </w:pPr>
            <w:r>
              <w:rPr>
                <w:sz w:val="16"/>
              </w:rPr>
              <w:t>9</w:t>
            </w:r>
          </w:p>
        </w:tc>
        <w:tc>
          <w:tcPr>
            <w:tcW w:type="dxa" w:w="5311"/>
            <w:tcMar>
              <w:top w:w="50" w:type="dxa"/>
              <w:bottom w:w="50" w:type="dxa"/>
              <w:left w:w="90" w:type="dxa"/>
              <w:right w:w="90" w:type="dxa"/>
            </w:tcMar>
          </w:tcPr>
          <w:p>
            <w:pPr>
              <w:pStyle w:val="BDOITable"/>
            </w:pPr>
            <w:r>
              <w:rPr>
                <w:sz w:val="16"/>
              </w:rPr>
              <w:t>Date of the DR drill in December 2027 and the DR region (IQ26)</w:t>
            </w:r>
          </w:p>
        </w:tc>
        <w:tc>
          <w:tcPr>
            <w:tcW w:type="dxa" w:w="2124"/>
            <w:tcMar>
              <w:top w:w="50" w:type="dxa"/>
              <w:bottom w:w="50" w:type="dxa"/>
              <w:left w:w="90" w:type="dxa"/>
              <w:right w:w="90" w:type="dxa"/>
            </w:tcMar>
          </w:tcPr>
          <w:p>
            <w:pPr>
              <w:pStyle w:val="BDOITable"/>
            </w:pPr>
            <w:r>
              <w:rPr>
                <w:sz w:val="16"/>
              </w:rPr>
              <w:t>BDOI IT</w:t>
            </w:r>
          </w:p>
        </w:tc>
        <w:tc>
          <w:tcPr>
            <w:tcW w:type="dxa" w:w="1180"/>
            <w:tcMar>
              <w:top w:w="50" w:type="dxa"/>
              <w:bottom w:w="50" w:type="dxa"/>
              <w:left w:w="90" w:type="dxa"/>
              <w:right w:w="90" w:type="dxa"/>
            </w:tcMar>
          </w:tcPr>
          <w:p>
            <w:pPr>
              <w:pStyle w:val="BDOITable"/>
            </w:pPr>
            <w:r>
              <w:rPr>
                <w:sz w:val="16"/>
              </w:rPr>
              <w:t>31 Mar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137" w:name="_Toc000137"/>
      <w:r>
        <w:rPr/>
        <w:t>Sign-off</w:t>
      </w:r>
      <w:bookmarkEnd w:id="137"/>
    </w:p>
    <w:p>
      <w:r>
        <w:rPr/>
        <w:t>By signing, BDOI approves this Test Strategy as the basis of the test plans, the test windows of each drop and the acceptance of BIBS phase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QA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Strategy - BIBS</w:t>
    </w:r>
    <w:r>
      <w:rPr>
        <w:color w:val="656565"/>
        <w:sz w:val="16"/>
      </w:rPr>
      <w:t xml:space="preserve">   Test Strategy</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TestStrategy BRD-00 Test Strategy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