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NON-FUNCTIONAL REQUIREMENTS CATALOGUE</w:t>
      </w:r>
    </w:p>
    <w:p>
      <w:pPr>
        <w:spacing w:after="80" w:line="240" w:lineRule="auto"/>
      </w:pPr>
      <w:r>
        <w:rPr>
          <w:b/>
          <w:color w:val="004EA8"/>
          <w:sz w:val="56"/>
        </w:rPr>
        <w:t>Non-Functional Requirements</w:t>
      </w:r>
    </w:p>
    <w:p>
      <w:pPr>
        <w:spacing w:after="40"/>
      </w:pPr>
      <w:r>
        <w:rPr>
          <w:color w:val="2E2E2E"/>
          <w:sz w:val="28"/>
        </w:rPr>
        <w:t>Measurable quality targets of BIBS with verification, owners and test types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BIBS-NFR-BRD-00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QA lead; iorta TechNXT Security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reconciles the non-functional chapters of the FRS, the NFR comparison of the discrepancy register v1.2 and the IER workbook v20</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Decisions on the conflicting BRD values (XQ08)</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BDOI IT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Availability, recovery, observability and operations targets</w:t>
            </w:r>
          </w:p>
        </w:tc>
      </w:tr>
      <w:tr>
        <w:trPr>
          <w:cantSplit w:val="true"/>
        </w:trPr>
        <w:tc>
          <w:tcPr>
            <w:tcW w:type="dxa" w:w="2606"/>
            <w:tcMar>
              <w:top w:w="50" w:type="dxa"/>
              <w:bottom w:w="50" w:type="dxa"/>
              <w:left w:w="90" w:type="dxa"/>
              <w:right w:w="90" w:type="dxa"/>
            </w:tcMar>
          </w:tcPr>
          <w:p>
            <w:pPr>
              <w:pStyle w:val="BDOITable"/>
            </w:pPr>
            <w:r>
              <w:rPr>
                <w:sz w:val="18"/>
              </w:rPr>
              <w:t>Cloud and Digital Operations Engineering (IER owner)</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 IT</w:t>
            </w:r>
          </w:p>
        </w:tc>
        <w:tc>
          <w:tcPr>
            <w:tcW w:type="dxa" w:w="2833"/>
            <w:tcMar>
              <w:top w:w="50" w:type="dxa"/>
              <w:bottom w:w="50" w:type="dxa"/>
              <w:left w:w="90" w:type="dxa"/>
              <w:right w:w="90" w:type="dxa"/>
            </w:tcMar>
          </w:tcPr>
          <w:p>
            <w:pPr>
              <w:pStyle w:val="BDOITable"/>
            </w:pPr>
            <w:r>
              <w:rPr>
                <w:sz w:val="18"/>
              </w:rPr>
              <w:t>Capacity, scalability, DR and the IER changes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Information Security; Data Protection Officer</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Security and privacy targets</w:t>
            </w:r>
          </w:p>
        </w:tc>
      </w:tr>
      <w:tr>
        <w:trPr>
          <w:cantSplit w:val="true"/>
        </w:trPr>
        <w:tc>
          <w:tcPr>
            <w:tcW w:type="dxa" w:w="2606"/>
            <w:tcMar>
              <w:top w:w="50" w:type="dxa"/>
              <w:bottom w:w="50" w:type="dxa"/>
              <w:left w:w="90" w:type="dxa"/>
              <w:right w:w="90" w:type="dxa"/>
            </w:tcMar>
          </w:tcPr>
          <w:p>
            <w:pPr>
              <w:pStyle w:val="BDOITable"/>
            </w:pPr>
            <w:r>
              <w:rPr>
                <w:sz w:val="18"/>
              </w:rPr>
              <w:t>Product owners of BRD-1 to BRD-13</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Targets that replace the values of their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Design, test and evidence of each NFR</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 and use</w:t>
        </w:r>
        <w:r>
          <w:t xml:space="preserve">	</w:t>
        </w:r>
        <w:r>
          <w:t xml:space="preserve">4</w:t>
        </w:r>
      </w:hyperlink>
    </w:p>
    <w:p>
      <w:pPr>
        <w:pStyle w:val="toc2"/>
      </w:pPr>
      <w:hyperlink w:anchor="_Toc000104" w:history="1">
        <w:r>
          <w:t xml:space="preserve">1.3 How the targets were set</w:t>
        </w:r>
        <w:r>
          <w:t xml:space="preserve">	</w:t>
        </w:r>
        <w:r>
          <w:t xml:space="preserve">4</w:t>
        </w:r>
      </w:hyperlink>
    </w:p>
    <w:p>
      <w:pPr>
        <w:pStyle w:val="toc2"/>
      </w:pPr>
      <w:hyperlink w:anchor="_Toc000105" w:history="1">
        <w:r>
          <w:t xml:space="preserve">1.4 Summary</w:t>
        </w:r>
        <w:r>
          <w:t xml:space="preserve">	</w:t>
        </w:r>
        <w:r>
          <w:t xml:space="preserve">5</w:t>
        </w:r>
      </w:hyperlink>
    </w:p>
    <w:p>
      <w:pPr>
        <w:pStyle w:val="toc1"/>
      </w:pPr>
      <w:hyperlink w:anchor="_Toc000106" w:history="1">
        <w:r>
          <w:t xml:space="preserve">2 Performance, capacity and scalability</w:t>
        </w:r>
        <w:r>
          <w:t xml:space="preserve">	</w:t>
        </w:r>
        <w:r>
          <w:t xml:space="preserve">7</w:t>
        </w:r>
      </w:hyperlink>
    </w:p>
    <w:p>
      <w:pPr>
        <w:pStyle w:val="toc2"/>
      </w:pPr>
      <w:hyperlink w:anchor="_Toc000107" w:history="1">
        <w:r>
          <w:t xml:space="preserve">2.1 Performance</w:t>
        </w:r>
        <w:r>
          <w:t xml:space="preserve">	</w:t>
        </w:r>
        <w:r>
          <w:t xml:space="preserve">7</w:t>
        </w:r>
      </w:hyperlink>
    </w:p>
    <w:p>
      <w:pPr>
        <w:pStyle w:val="toc2"/>
      </w:pPr>
      <w:hyperlink w:anchor="_Toc000108" w:history="1">
        <w:r>
          <w:t xml:space="preserve">2.2 Capacity and volume</w:t>
        </w:r>
        <w:r>
          <w:t xml:space="preserve">	</w:t>
        </w:r>
        <w:r>
          <w:t xml:space="preserve">7</w:t>
        </w:r>
      </w:hyperlink>
    </w:p>
    <w:p>
      <w:pPr>
        <w:pStyle w:val="toc2"/>
      </w:pPr>
      <w:hyperlink w:anchor="_Toc000109" w:history="1">
        <w:r>
          <w:t xml:space="preserve">2.3 Scalability</w:t>
        </w:r>
        <w:r>
          <w:t xml:space="preserve">	</w:t>
        </w:r>
        <w:r>
          <w:t xml:space="preserve">8</w:t>
        </w:r>
      </w:hyperlink>
    </w:p>
    <w:p>
      <w:pPr>
        <w:pStyle w:val="toc1"/>
      </w:pPr>
      <w:hyperlink w:anchor="_Toc000110" w:history="1">
        <w:r>
          <w:t xml:space="preserve">3 Availability and recovery</w:t>
        </w:r>
        <w:r>
          <w:t xml:space="preserve">	</w:t>
        </w:r>
        <w:r>
          <w:t xml:space="preserve">9</w:t>
        </w:r>
      </w:hyperlink>
    </w:p>
    <w:p>
      <w:pPr>
        <w:pStyle w:val="toc2"/>
      </w:pPr>
      <w:hyperlink w:anchor="_Toc000111" w:history="1">
        <w:r>
          <w:t xml:space="preserve">3.1 Availability</w:t>
        </w:r>
        <w:r>
          <w:t xml:space="preserve">	</w:t>
        </w:r>
        <w:r>
          <w:t xml:space="preserve">9</w:t>
        </w:r>
      </w:hyperlink>
    </w:p>
    <w:p>
      <w:pPr>
        <w:pStyle w:val="toc2"/>
      </w:pPr>
      <w:hyperlink w:anchor="_Toc000112" w:history="1">
        <w:r>
          <w:t xml:space="preserve">3.2 Recovery, backup and DR</w:t>
        </w:r>
        <w:r>
          <w:t xml:space="preserve">	</w:t>
        </w:r>
        <w:r>
          <w:t xml:space="preserve">9</w:t>
        </w:r>
      </w:hyperlink>
    </w:p>
    <w:p>
      <w:pPr>
        <w:pStyle w:val="toc1"/>
      </w:pPr>
      <w:hyperlink w:anchor="_Toc000113" w:history="1">
        <w:r>
          <w:t xml:space="preserve">4 Security, privacy and auditability</w:t>
        </w:r>
        <w:r>
          <w:t xml:space="preserve">	</w:t>
        </w:r>
        <w:r>
          <w:t xml:space="preserve">10</w:t>
        </w:r>
      </w:hyperlink>
    </w:p>
    <w:p>
      <w:pPr>
        <w:pStyle w:val="toc2"/>
      </w:pPr>
      <w:hyperlink w:anchor="_Toc000114" w:history="1">
        <w:r>
          <w:t xml:space="preserve">4.1 Security</w:t>
        </w:r>
        <w:r>
          <w:t xml:space="preserve">	</w:t>
        </w:r>
        <w:r>
          <w:t xml:space="preserve">10</w:t>
        </w:r>
      </w:hyperlink>
    </w:p>
    <w:p>
      <w:pPr>
        <w:pStyle w:val="toc2"/>
      </w:pPr>
      <w:hyperlink w:anchor="_Toc000115" w:history="1">
        <w:r>
          <w:t xml:space="preserve">4.2 Privacy</w:t>
        </w:r>
        <w:r>
          <w:t xml:space="preserve">	</w:t>
        </w:r>
        <w:r>
          <w:t xml:space="preserve">11</w:t>
        </w:r>
      </w:hyperlink>
    </w:p>
    <w:p>
      <w:pPr>
        <w:pStyle w:val="toc2"/>
      </w:pPr>
      <w:hyperlink w:anchor="_Toc000116" w:history="1">
        <w:r>
          <w:t xml:space="preserve">4.3 Auditability</w:t>
        </w:r>
        <w:r>
          <w:t xml:space="preserve">	</w:t>
        </w:r>
        <w:r>
          <w:t xml:space="preserve">11</w:t>
        </w:r>
      </w:hyperlink>
    </w:p>
    <w:p>
      <w:pPr>
        <w:pStyle w:val="toc2"/>
      </w:pPr>
      <w:hyperlink w:anchor="_Toc000117" w:history="1">
        <w:r>
          <w:t xml:space="preserve">4.4 Data retention</w:t>
        </w:r>
        <w:r>
          <w:t xml:space="preserve">	</w:t>
        </w:r>
        <w:r>
          <w:t xml:space="preserve">11</w:t>
        </w:r>
      </w:hyperlink>
    </w:p>
    <w:p>
      <w:pPr>
        <w:pStyle w:val="toc1"/>
      </w:pPr>
      <w:hyperlink w:anchor="_Toc000118" w:history="1">
        <w:r>
          <w:t xml:space="preserve">5 Users, screens and language</w:t>
        </w:r>
        <w:r>
          <w:t xml:space="preserve">	</w:t>
        </w:r>
        <w:r>
          <w:t xml:space="preserve">13</w:t>
        </w:r>
      </w:hyperlink>
    </w:p>
    <w:p>
      <w:pPr>
        <w:pStyle w:val="toc2"/>
      </w:pPr>
      <w:hyperlink w:anchor="_Toc000119" w:history="1">
        <w:r>
          <w:t xml:space="preserve">5.1 Accessibility</w:t>
        </w:r>
        <w:r>
          <w:t xml:space="preserve">	</w:t>
        </w:r>
        <w:r>
          <w:t xml:space="preserve">13</w:t>
        </w:r>
      </w:hyperlink>
    </w:p>
    <w:p>
      <w:pPr>
        <w:pStyle w:val="toc2"/>
      </w:pPr>
      <w:hyperlink w:anchor="_Toc000120" w:history="1">
        <w:r>
          <w:t xml:space="preserve">5.2 Usability and low-click workflows</w:t>
        </w:r>
        <w:r>
          <w:t xml:space="preserve">	</w:t>
        </w:r>
        <w:r>
          <w:t xml:space="preserve">13</w:t>
        </w:r>
      </w:hyperlink>
    </w:p>
    <w:p>
      <w:pPr>
        <w:pStyle w:val="toc2"/>
      </w:pPr>
      <w:hyperlink w:anchor="_Toc000121" w:history="1">
        <w:r>
          <w:t xml:space="preserve">5.3 Responsive and mobile-first</w:t>
        </w:r>
        <w:r>
          <w:t xml:space="preserve">	</w:t>
        </w:r>
        <w:r>
          <w:t xml:space="preserve">14</w:t>
        </w:r>
      </w:hyperlink>
    </w:p>
    <w:p>
      <w:pPr>
        <w:pStyle w:val="toc2"/>
      </w:pPr>
      <w:hyperlink w:anchor="_Toc000122" w:history="1">
        <w:r>
          <w:t xml:space="preserve">5.4 Localisation</w:t>
        </w:r>
        <w:r>
          <w:t xml:space="preserve">	</w:t>
        </w:r>
        <w:r>
          <w:t xml:space="preserve">14</w:t>
        </w:r>
      </w:hyperlink>
    </w:p>
    <w:p>
      <w:pPr>
        <w:pStyle w:val="toc1"/>
      </w:pPr>
      <w:hyperlink w:anchor="_Toc000123" w:history="1">
        <w:r>
          <w:t xml:space="preserve">6 Operation and change</w:t>
        </w:r>
        <w:r>
          <w:t xml:space="preserve">	</w:t>
        </w:r>
        <w:r>
          <w:t xml:space="preserve">15</w:t>
        </w:r>
      </w:hyperlink>
    </w:p>
    <w:p>
      <w:pPr>
        <w:pStyle w:val="toc2"/>
      </w:pPr>
      <w:hyperlink w:anchor="_Toc000124" w:history="1">
        <w:r>
          <w:t xml:space="preserve">6.1 Maintainability</w:t>
        </w:r>
        <w:r>
          <w:t xml:space="preserve">	</w:t>
        </w:r>
        <w:r>
          <w:t xml:space="preserve">15</w:t>
        </w:r>
      </w:hyperlink>
    </w:p>
    <w:p>
      <w:pPr>
        <w:pStyle w:val="toc2"/>
      </w:pPr>
      <w:hyperlink w:anchor="_Toc000125" w:history="1">
        <w:r>
          <w:t xml:space="preserve">6.2 Configurability</w:t>
        </w:r>
        <w:r>
          <w:t xml:space="preserve">	</w:t>
        </w:r>
        <w:r>
          <w:t xml:space="preserve">15</w:t>
        </w:r>
      </w:hyperlink>
    </w:p>
    <w:p>
      <w:pPr>
        <w:pStyle w:val="toc2"/>
      </w:pPr>
      <w:hyperlink w:anchor="_Toc000126" w:history="1">
        <w:r>
          <w:t xml:space="preserve">6.3 Observability</w:t>
        </w:r>
        <w:r>
          <w:t xml:space="preserve">	</w:t>
        </w:r>
        <w:r>
          <w:t xml:space="preserve">16</w:t>
        </w:r>
      </w:hyperlink>
    </w:p>
    <w:p>
      <w:pPr>
        <w:pStyle w:val="toc2"/>
      </w:pPr>
      <w:hyperlink w:anchor="_Toc000127" w:history="1">
        <w:r>
          <w:t xml:space="preserve">6.4 Supportability</w:t>
        </w:r>
        <w:r>
          <w:t xml:space="preserve">	</w:t>
        </w:r>
        <w:r>
          <w:t xml:space="preserve">16</w:t>
        </w:r>
      </w:hyperlink>
    </w:p>
    <w:p>
      <w:pPr>
        <w:pStyle w:val="toc2"/>
      </w:pPr>
      <w:hyperlink w:anchor="_Toc000128" w:history="1">
        <w:r>
          <w:t xml:space="preserve">6.5 Interoperability</w:t>
        </w:r>
        <w:r>
          <w:t xml:space="preserve">	</w:t>
        </w:r>
        <w:r>
          <w:t xml:space="preserve">17</w:t>
        </w:r>
      </w:hyperlink>
    </w:p>
    <w:p>
      <w:pPr>
        <w:pStyle w:val="toc1"/>
      </w:pPr>
      <w:hyperlink w:anchor="_Toc000129" w:history="1">
        <w:r>
          <w:t xml:space="preserve">7 Reconciliation with the FRS and the IER workbook</w:t>
        </w:r>
        <w:r>
          <w:t xml:space="preserve">	</w:t>
        </w:r>
        <w:r>
          <w:t xml:space="preserve">18</w:t>
        </w:r>
      </w:hyperlink>
    </w:p>
    <w:p>
      <w:pPr>
        <w:pStyle w:val="toc1"/>
      </w:pPr>
      <w:hyperlink w:anchor="_Toc000130" w:history="1">
        <w:r>
          <w:t xml:space="preserve">8 Verification and ownership</w:t>
        </w:r>
        <w:r>
          <w:t xml:space="preserve">	</w:t>
        </w:r>
        <w:r>
          <w:t xml:space="preserve">20</w:t>
        </w:r>
      </w:hyperlink>
    </w:p>
    <w:p>
      <w:pPr>
        <w:pStyle w:val="toc2"/>
      </w:pPr>
      <w:hyperlink w:anchor="_Toc000131" w:history="1">
        <w:r>
          <w:t xml:space="preserve">8.1 Verification by test type</w:t>
        </w:r>
        <w:r>
          <w:t xml:space="preserve">	</w:t>
        </w:r>
        <w:r>
          <w:t xml:space="preserve">20</w:t>
        </w:r>
      </w:hyperlink>
    </w:p>
    <w:p>
      <w:pPr>
        <w:pStyle w:val="toc2"/>
      </w:pPr>
      <w:hyperlink w:anchor="_Toc000132" w:history="1">
        <w:r>
          <w:t xml:space="preserve">8.2 Ownership</w:t>
        </w:r>
        <w:r>
          <w:t xml:space="preserve">	</w:t>
        </w:r>
        <w:r>
          <w:t xml:space="preserve">20</w:t>
        </w:r>
      </w:hyperlink>
    </w:p>
    <w:p>
      <w:pPr>
        <w:pStyle w:val="toc1"/>
      </w:pPr>
      <w:hyperlink w:anchor="_Toc000133" w:history="1">
        <w:r>
          <w:t xml:space="preserve">9 Decisions and open points for BDOI</w:t>
        </w:r>
        <w:r>
          <w:t xml:space="preserve">	</w:t>
        </w:r>
        <w:r>
          <w:t xml:space="preserve">22</w:t>
        </w:r>
      </w:hyperlink>
    </w:p>
    <w:p>
      <w:pPr>
        <w:pStyle w:val="toc1"/>
      </w:pPr>
      <w:hyperlink w:anchor="_Toc000134" w:history="1">
        <w:r>
          <w:t xml:space="preserve">Sign-off</w:t>
        </w:r>
        <w:r>
          <w:t xml:space="preserve">	</w:t>
        </w:r>
        <w:r>
          <w:t xml:space="preserve">23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is the catalogue of the non-functional requirements (NFRs) of BIBS. Each NFR has an ID, a measurable target, the way it is measured, the verification method, the test type, the stage where it is verified, the iorta TechNXT owner who is accountable for meeting it and the BDOI role that accepts the evidence. The register </w:t>
      </w:r>
      <w:r>
        <w:rPr>
          <w:i/>
        </w:rPr>
        <w:t>BIBS_NFR_BRD-00_Non_Functional_Requirements_Register_v1.0.xlsx</w:t>
      </w:r>
      <w:r>
        <w:rPr/>
        <w:t xml:space="preserve"> holds the same 99 NFRs with every column, the reconciliation sheet and the counts.</w:t>
      </w:r>
    </w:p>
    <w:p>
      <w:r>
        <w:rPr/>
        <w:t>The BRDs state their own non-functional values, and they differ: response times from 2 to 10 seconds, availability from 99.9% to 100%, recovery points from 15 minutes to 24 hours. BIBS is one platform and needs one set. The catalogue gives that set; the System Requirements Specification and the Test Strategy quote it word for word.</w:t>
      </w:r>
    </w:p>
    <w:p>
      <w:pPr>
        <w:pStyle w:val="Heading2"/>
      </w:pPr>
      <w:bookmarkStart w:id="103" w:name="_Toc000103"/>
      <w:r>
        <w:rPr/>
        <w:t>1.2 Audience and use</w:t>
      </w:r>
      <w:bookmarkEnd w:id="103"/>
    </w:p>
    <w:p>
      <w:pPr>
        <w:pStyle w:val="Caption"/>
        <w:keepNext/>
        <w:spacing w:after="60"/>
      </w:pPr>
      <w:r>
        <w:rPr>
          <w:b/>
          <w:i w:val="0"/>
        </w:rPr>
        <w:t xml:space="preserve">Table 1: </w:t>
      </w:r>
      <w:r>
        <w:rPr/>
        <w:t>Readers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Reader</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2763"/>
            <w:tcMar>
              <w:top w:w="50" w:type="dxa"/>
              <w:bottom w:w="50" w:type="dxa"/>
              <w:left w:w="90" w:type="dxa"/>
              <w:right w:w="90" w:type="dxa"/>
            </w:tcMar>
          </w:tcPr>
          <w:p>
            <w:pPr>
              <w:pStyle w:val="BDOITable"/>
            </w:pPr>
            <w:r>
              <w:rPr>
                <w:sz w:val="18"/>
              </w:rPr>
              <w:t>BIBS Product Owner and the BRD owners</w:t>
            </w:r>
          </w:p>
        </w:tc>
        <w:tc>
          <w:tcPr>
            <w:tcW w:type="dxa" w:w="7209"/>
            <w:tcMar>
              <w:top w:w="50" w:type="dxa"/>
              <w:bottom w:w="50" w:type="dxa"/>
              <w:left w:w="90" w:type="dxa"/>
              <w:right w:w="90" w:type="dxa"/>
            </w:tcMar>
          </w:tcPr>
          <w:p>
            <w:pPr>
              <w:pStyle w:val="BDOITable"/>
            </w:pPr>
            <w:r>
              <w:rPr>
                <w:sz w:val="18"/>
              </w:rPr>
              <w:t>Decide the NFRs with status DECISION (chapter 9); confirm the PROPOSED ones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BDOI IT and BDO Cloud and Digital Operations Engineering</w:t>
            </w:r>
          </w:p>
        </w:tc>
        <w:tc>
          <w:tcPr>
            <w:tcW w:type="dxa" w:w="7209"/>
            <w:tcMar>
              <w:top w:w="50" w:type="dxa"/>
              <w:bottom w:w="50" w:type="dxa"/>
              <w:left w:w="90" w:type="dxa"/>
              <w:right w:w="90" w:type="dxa"/>
            </w:tcMar>
            <w:shd w:val="clear" w:color="auto" w:fill="E5F5FF"/>
          </w:tcPr>
          <w:p>
            <w:pPr>
              <w:pStyle w:val="BDOITable"/>
            </w:pPr>
            <w:r>
              <w:rPr>
                <w:sz w:val="18"/>
              </w:rPr>
              <w:t>Plan the infrastructure and the IER changes; accept availability, recovery and operations evidence</w:t>
            </w:r>
          </w:p>
        </w:tc>
      </w:tr>
      <w:tr>
        <w:trPr>
          <w:cantSplit w:val="true"/>
        </w:trPr>
        <w:tc>
          <w:tcPr>
            <w:tcW w:type="dxa" w:w="2763"/>
            <w:tcMar>
              <w:top w:w="50" w:type="dxa"/>
              <w:bottom w:w="50" w:type="dxa"/>
              <w:left w:w="90" w:type="dxa"/>
              <w:right w:w="90" w:type="dxa"/>
            </w:tcMar>
          </w:tcPr>
          <w:p>
            <w:pPr>
              <w:pStyle w:val="BDOITable"/>
            </w:pPr>
            <w:r>
              <w:rPr>
                <w:sz w:val="18"/>
              </w:rPr>
              <w:t>BDOI Information Security and the Data Protection Officer</w:t>
            </w:r>
          </w:p>
        </w:tc>
        <w:tc>
          <w:tcPr>
            <w:tcW w:type="dxa" w:w="7209"/>
            <w:tcMar>
              <w:top w:w="50" w:type="dxa"/>
              <w:bottom w:w="50" w:type="dxa"/>
              <w:left w:w="90" w:type="dxa"/>
              <w:right w:w="90" w:type="dxa"/>
            </w:tcMar>
          </w:tcPr>
          <w:p>
            <w:pPr>
              <w:pStyle w:val="BDOITable"/>
            </w:pPr>
            <w:r>
              <w:rPr>
                <w:sz w:val="18"/>
              </w:rPr>
              <w:t>Accept the security and privacy targets and their evidence</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iorta TechNXT project team</w:t>
            </w:r>
          </w:p>
        </w:tc>
        <w:tc>
          <w:tcPr>
            <w:tcW w:type="dxa" w:w="7209"/>
            <w:tcMar>
              <w:top w:w="50" w:type="dxa"/>
              <w:bottom w:w="50" w:type="dxa"/>
              <w:left w:w="90" w:type="dxa"/>
              <w:right w:w="90" w:type="dxa"/>
            </w:tcMar>
            <w:shd w:val="clear" w:color="auto" w:fill="E5F5FF"/>
          </w:tcPr>
          <w:p>
            <w:pPr>
              <w:pStyle w:val="BDOITable"/>
            </w:pPr>
            <w:r>
              <w:rPr>
                <w:sz w:val="18"/>
              </w:rPr>
              <w:t>Design to the targets; plan the non-functional tests (Test Strategy, chapter 7)</w:t>
            </w:r>
          </w:p>
        </w:tc>
      </w:tr>
    </w:tbl>
    <w:p>
      <w:pPr>
        <w:pStyle w:val="BDOISpacer"/>
      </w:pPr>
    </w:p>
    <w:p>
      <w:pPr>
        <w:pStyle w:val="Heading2"/>
      </w:pPr>
      <w:bookmarkStart w:id="104" w:name="_Toc000104"/>
      <w:r>
        <w:rPr/>
        <w:t>1.3 How the targets were set</w:t>
      </w:r>
      <w:bookmarkEnd w:id="104"/>
    </w:p>
    <w:p>
      <w:r>
        <w:rPr/>
        <w:t>The target of each NFR comes from the strongest source available, in this order:</w:t>
      </w:r>
    </w:p>
    <w:p>
      <w:pPr>
        <w:tabs>
          <w:tab w:pos="312" w:val="left"/>
        </w:tabs>
        <w:spacing w:after="40"/>
        <w:ind w:left="312" w:hanging="283"/>
      </w:pPr>
      <w:r>
        <w:rPr>
          <w:color w:val="004EA8"/>
        </w:rPr>
        <w:t>1.</w:t>
        <w:tab/>
      </w:r>
      <w:r>
        <w:rPr/>
        <w:t>a BDOI decision or answer (for example A4: documents in S3 only; the component baseline of 8 October 2026);</w:t>
      </w:r>
    </w:p>
    <w:p>
      <w:pPr>
        <w:tabs>
          <w:tab w:pos="312" w:val="left"/>
        </w:tabs>
        <w:spacing w:after="40"/>
        <w:ind w:left="312" w:hanging="283"/>
      </w:pPr>
      <w:r>
        <w:rPr>
          <w:color w:val="004EA8"/>
        </w:rPr>
        <w:t>2.</w:t>
        <w:tab/>
      </w:r>
      <w:r>
        <w:rPr/>
        <w:t>the IER workbook v20 of BDO Cloud and Digital Operations Engineering (for example RPO 15 minutes, RTO 4 hours, production 24 x 7, 60 months of use);</w:t>
      </w:r>
    </w:p>
    <w:p>
      <w:pPr>
        <w:tabs>
          <w:tab w:pos="312" w:val="left"/>
        </w:tabs>
        <w:spacing w:after="40"/>
        <w:ind w:left="312" w:hanging="283"/>
      </w:pPr>
      <w:r>
        <w:rPr>
          <w:color w:val="004EA8"/>
        </w:rPr>
        <w:t>3.</w:t>
        <w:tab/>
      </w:r>
      <w:r>
        <w:rPr/>
        <w:t>the BIBS-wide value proposed in the NFR comparison of the discrepancy register v1.2 (for example 99.9% availability in the service window);</w:t>
      </w:r>
    </w:p>
    <w:p>
      <w:pPr>
        <w:tabs>
          <w:tab w:pos="312" w:val="left"/>
        </w:tabs>
        <w:spacing w:after="40"/>
        <w:ind w:left="312" w:hanging="283"/>
      </w:pPr>
      <w:r>
        <w:rPr>
          <w:color w:val="004EA8"/>
        </w:rPr>
        <w:t>4.</w:t>
        <w:tab/>
      </w:r>
      <w:r>
        <w:rPr/>
        <w:t>the values of the BRDs, with their pages;</w:t>
      </w:r>
    </w:p>
    <w:p>
      <w:pPr>
        <w:tabs>
          <w:tab w:pos="312" w:val="left"/>
        </w:tabs>
        <w:spacing w:after="120"/>
        <w:ind w:left="312" w:hanging="283"/>
      </w:pPr>
      <w:r>
        <w:rPr>
          <w:color w:val="004EA8"/>
        </w:rPr>
        <w:t>5.</w:t>
        <w:tab/>
      </w:r>
      <w:r>
        <w:rPr/>
        <w:t>a value proposed by iorta TechNXT where no source gives one.</w:t>
      </w:r>
    </w:p>
    <w:p>
      <w:r>
        <w:rPr/>
        <w:t xml:space="preserve">Each NFR has a status: </w:t>
      </w:r>
      <w:r>
        <w:rPr>
          <w:b/>
        </w:rPr>
        <w:t>ALIGNED</w:t>
      </w:r>
      <w:r>
        <w:rPr/>
        <w:t xml:space="preserve"> - the sources agree or BDOI has answered (53 NFRs); </w:t>
      </w:r>
      <w:r>
        <w:rPr>
          <w:b/>
        </w:rPr>
        <w:t>DECISION</w:t>
      </w:r>
      <w:r>
        <w:rPr/>
        <w:t xml:space="preserve"> - the BRDs conflict and BDOI decides, our proposal applies meanwhile (15); </w:t>
      </w:r>
      <w:r>
        <w:rPr>
          <w:b/>
        </w:rPr>
        <w:t>PROPOSED</w:t>
      </w:r>
      <w:r>
        <w:rPr/>
        <w:t xml:space="preserve"> - our value, for BDOI to confirm (31).</w:t>
      </w:r>
    </w:p>
    <w:p>
      <w:pPr>
        <w:pStyle w:val="Heading2"/>
      </w:pPr>
      <w:bookmarkStart w:id="105" w:name="_Toc000105"/>
      <w:r>
        <w:rPr/>
        <w:t>1.4 Summary</w:t>
      </w:r>
      <w:bookmarkEnd w:id="105"/>
    </w:p>
    <w:p>
      <w:pPr>
        <w:pStyle w:val="Caption"/>
        <w:keepNext/>
        <w:spacing w:after="60"/>
      </w:pPr>
      <w:r>
        <w:rPr>
          <w:b/>
          <w:i w:val="0"/>
        </w:rPr>
        <w:t xml:space="preserve">Table 2: </w:t>
      </w:r>
      <w:r>
        <w:rPr/>
        <w:t>NFRs per category and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068"/>
        <w:gridCol w:w="1049"/>
        <w:gridCol w:w="1049"/>
        <w:gridCol w:w="1181"/>
        <w:gridCol w:w="1443"/>
        <w:gridCol w:w="1181"/>
      </w:tblGrid>
      <w:tr>
        <w:trPr>
          <w:tblHeader w:val="true"/>
          <w:cantSplit w:val="true"/>
        </w:trPr>
        <w:tc>
          <w:tcPr>
            <w:tcW w:type="dxa" w:w="4068"/>
            <w:shd w:val="clear" w:color="auto" w:fill="004EA8"/>
            <w:tcMar>
              <w:top w:w="50" w:type="dxa"/>
              <w:bottom w:w="50" w:type="dxa"/>
              <w:left w:w="90" w:type="dxa"/>
              <w:right w:w="90" w:type="dxa"/>
            </w:tcMar>
            <w:vAlign w:val="center"/>
          </w:tcPr>
          <w:p>
            <w:pPr>
              <w:pStyle w:val="BDOITableHeader"/>
            </w:pPr>
            <w:r>
              <w:rPr>
                <w:b/>
                <w:color w:val="FFFFFF"/>
                <w:sz w:val="17"/>
              </w:rPr>
              <w:t>Category</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7"/>
              </w:rPr>
              <w:t>NFRs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7"/>
              </w:rPr>
              <w:t>Must</w:t>
            </w:r>
          </w:p>
        </w:tc>
        <w:tc>
          <w:tcPr>
            <w:tcW w:type="dxa" w:w="1181"/>
            <w:shd w:val="clear" w:color="auto" w:fill="004EA8"/>
            <w:tcMar>
              <w:top w:w="50" w:type="dxa"/>
              <w:bottom w:w="50" w:type="dxa"/>
              <w:left w:w="90" w:type="dxa"/>
              <w:right w:w="90" w:type="dxa"/>
            </w:tcMar>
            <w:vAlign w:val="center"/>
          </w:tcPr>
          <w:p>
            <w:pPr>
              <w:pStyle w:val="BDOITableHeader"/>
            </w:pPr>
            <w:r>
              <w:rPr>
                <w:b/>
                <w:color w:val="FFFFFF"/>
                <w:sz w:val="17"/>
              </w:rPr>
              <w:t>Aligned</w:t>
            </w:r>
          </w:p>
        </w:tc>
        <w:tc>
          <w:tcPr>
            <w:tcW w:type="dxa" w:w="1443"/>
            <w:shd w:val="clear" w:color="auto" w:fill="004EA8"/>
            <w:tcMar>
              <w:top w:w="50" w:type="dxa"/>
              <w:bottom w:w="50" w:type="dxa"/>
              <w:left w:w="90" w:type="dxa"/>
              <w:right w:w="90" w:type="dxa"/>
            </w:tcMar>
            <w:vAlign w:val="center"/>
          </w:tcPr>
          <w:p>
            <w:pPr>
              <w:pStyle w:val="BDOITableHeader"/>
            </w:pPr>
            <w:r>
              <w:rPr>
                <w:b/>
                <w:color w:val="FFFFFF"/>
                <w:sz w:val="17"/>
              </w:rPr>
              <w:t>BDOI decision</w:t>
            </w:r>
          </w:p>
        </w:tc>
        <w:tc>
          <w:tcPr>
            <w:tcW w:type="dxa" w:w="1181"/>
            <w:shd w:val="clear" w:color="auto" w:fill="004EA8"/>
            <w:tcMar>
              <w:top w:w="50" w:type="dxa"/>
              <w:bottom w:w="50" w:type="dxa"/>
              <w:left w:w="90" w:type="dxa"/>
              <w:right w:w="90" w:type="dxa"/>
            </w:tcMar>
            <w:vAlign w:val="center"/>
          </w:tcPr>
          <w:p>
            <w:pPr>
              <w:pStyle w:val="BDOITableHeader"/>
            </w:pPr>
            <w:r>
              <w:rPr>
                <w:b/>
                <w:color w:val="FFFFFF"/>
                <w:sz w:val="17"/>
              </w:rPr>
              <w:t>Proposed</w:t>
            </w:r>
          </w:p>
        </w:tc>
      </w:tr>
      <w:tr>
        <w:trPr>
          <w:cantSplit w:val="true"/>
        </w:trPr>
        <w:tc>
          <w:tcPr>
            <w:tcW w:type="dxa" w:w="4068"/>
            <w:tcMar>
              <w:top w:w="50" w:type="dxa"/>
              <w:bottom w:w="50" w:type="dxa"/>
              <w:left w:w="90" w:type="dxa"/>
              <w:right w:w="90" w:type="dxa"/>
            </w:tcMar>
          </w:tcPr>
          <w:p>
            <w:pPr>
              <w:pStyle w:val="BDOITable"/>
            </w:pPr>
            <w:r>
              <w:rPr>
                <w:b/>
                <w:sz w:val="17"/>
              </w:rPr>
              <w:t>Performance</w:t>
            </w:r>
          </w:p>
        </w:tc>
        <w:tc>
          <w:tcPr>
            <w:tcW w:type="dxa" w:w="1050"/>
            <w:tcMar>
              <w:top w:w="50" w:type="dxa"/>
              <w:bottom w:w="50" w:type="dxa"/>
              <w:left w:w="90" w:type="dxa"/>
              <w:right w:w="90" w:type="dxa"/>
            </w:tcMar>
          </w:tcPr>
          <w:p>
            <w:pPr>
              <w:pStyle w:val="BDOITable"/>
            </w:pPr>
            <w:r>
              <w:rPr>
                <w:sz w:val="17"/>
              </w:rPr>
              <w:t>9</w:t>
            </w:r>
          </w:p>
        </w:tc>
        <w:tc>
          <w:tcPr>
            <w:tcW w:type="dxa" w:w="1050"/>
            <w:tcMar>
              <w:top w:w="50" w:type="dxa"/>
              <w:bottom w:w="50" w:type="dxa"/>
              <w:left w:w="90" w:type="dxa"/>
              <w:right w:w="90" w:type="dxa"/>
            </w:tcMar>
          </w:tcPr>
          <w:p>
            <w:pPr>
              <w:pStyle w:val="BDOITable"/>
            </w:pPr>
            <w:r>
              <w:rPr>
                <w:sz w:val="17"/>
              </w:rPr>
              <w:t>6</w:t>
            </w:r>
          </w:p>
        </w:tc>
        <w:tc>
          <w:tcPr>
            <w:tcW w:type="dxa" w:w="1181"/>
            <w:tcMar>
              <w:top w:w="50" w:type="dxa"/>
              <w:bottom w:w="50" w:type="dxa"/>
              <w:left w:w="90" w:type="dxa"/>
              <w:right w:w="90" w:type="dxa"/>
            </w:tcMar>
          </w:tcPr>
          <w:p>
            <w:pPr>
              <w:pStyle w:val="BDOITable"/>
            </w:pPr>
            <w:r>
              <w:rPr>
                <w:sz w:val="17"/>
              </w:rPr>
              <w:t>2</w:t>
            </w:r>
          </w:p>
        </w:tc>
        <w:tc>
          <w:tcPr>
            <w:tcW w:type="dxa" w:w="1443"/>
            <w:tcMar>
              <w:top w:w="50" w:type="dxa"/>
              <w:bottom w:w="50" w:type="dxa"/>
              <w:left w:w="90" w:type="dxa"/>
              <w:right w:w="90" w:type="dxa"/>
            </w:tcMar>
          </w:tcPr>
          <w:p>
            <w:pPr>
              <w:pStyle w:val="BDOITable"/>
            </w:pPr>
            <w:r>
              <w:rPr>
                <w:sz w:val="17"/>
              </w:rPr>
              <w:t>2</w:t>
            </w:r>
          </w:p>
        </w:tc>
        <w:tc>
          <w:tcPr>
            <w:tcW w:type="dxa" w:w="1181"/>
            <w:tcMar>
              <w:top w:w="50" w:type="dxa"/>
              <w:bottom w:w="50" w:type="dxa"/>
              <w:left w:w="90" w:type="dxa"/>
              <w:right w:w="90" w:type="dxa"/>
            </w:tcMar>
          </w:tcPr>
          <w:p>
            <w:pPr>
              <w:pStyle w:val="BDOITable"/>
            </w:pPr>
            <w:r>
              <w:rPr>
                <w:sz w:val="17"/>
              </w:rPr>
              <w:t>5</w:t>
            </w:r>
          </w:p>
        </w:tc>
      </w:tr>
      <w:tr>
        <w:trPr>
          <w:cantSplit w:val="true"/>
        </w:trPr>
        <w:tc>
          <w:tcPr>
            <w:tcW w:type="dxa" w:w="4068"/>
            <w:tcMar>
              <w:top w:w="50" w:type="dxa"/>
              <w:bottom w:w="50" w:type="dxa"/>
              <w:left w:w="90" w:type="dxa"/>
              <w:right w:w="90" w:type="dxa"/>
            </w:tcMar>
            <w:shd w:val="clear" w:color="auto" w:fill="E5F5FF"/>
          </w:tcPr>
          <w:p>
            <w:pPr>
              <w:pStyle w:val="BDOITable"/>
            </w:pPr>
            <w:r>
              <w:rPr>
                <w:b/>
                <w:sz w:val="17"/>
              </w:rPr>
              <w:t>Capacity and volume</w:t>
            </w:r>
          </w:p>
        </w:tc>
        <w:tc>
          <w:tcPr>
            <w:tcW w:type="dxa" w:w="1050"/>
            <w:tcMar>
              <w:top w:w="50" w:type="dxa"/>
              <w:bottom w:w="50" w:type="dxa"/>
              <w:left w:w="90" w:type="dxa"/>
              <w:right w:w="90" w:type="dxa"/>
            </w:tcMar>
            <w:shd w:val="clear" w:color="auto" w:fill="E5F5FF"/>
          </w:tcPr>
          <w:p>
            <w:pPr>
              <w:pStyle w:val="BDOITable"/>
            </w:pPr>
            <w:r>
              <w:rPr>
                <w:sz w:val="17"/>
              </w:rPr>
              <w:t>5</w:t>
            </w:r>
          </w:p>
        </w:tc>
        <w:tc>
          <w:tcPr>
            <w:tcW w:type="dxa" w:w="1050"/>
            <w:tcMar>
              <w:top w:w="50" w:type="dxa"/>
              <w:bottom w:w="50" w:type="dxa"/>
              <w:left w:w="90" w:type="dxa"/>
              <w:right w:w="90" w:type="dxa"/>
            </w:tcMar>
            <w:shd w:val="clear" w:color="auto" w:fill="E5F5FF"/>
          </w:tcPr>
          <w:p>
            <w:pPr>
              <w:pStyle w:val="BDOITable"/>
            </w:pPr>
            <w:r>
              <w:rPr>
                <w:sz w:val="17"/>
              </w:rPr>
              <w:t>4</w:t>
            </w:r>
          </w:p>
        </w:tc>
        <w:tc>
          <w:tcPr>
            <w:tcW w:type="dxa" w:w="1181"/>
            <w:tcMar>
              <w:top w:w="50" w:type="dxa"/>
              <w:bottom w:w="50" w:type="dxa"/>
              <w:left w:w="90" w:type="dxa"/>
              <w:right w:w="90" w:type="dxa"/>
            </w:tcMar>
            <w:shd w:val="clear" w:color="auto" w:fill="E5F5FF"/>
          </w:tcPr>
          <w:p>
            <w:pPr>
              <w:pStyle w:val="BDOITable"/>
            </w:pPr>
            <w:r>
              <w:rPr>
                <w:sz w:val="17"/>
              </w:rPr>
              <w:t>1</w:t>
            </w:r>
          </w:p>
        </w:tc>
        <w:tc>
          <w:tcPr>
            <w:tcW w:type="dxa" w:w="1443"/>
            <w:tcMar>
              <w:top w:w="50" w:type="dxa"/>
              <w:bottom w:w="50" w:type="dxa"/>
              <w:left w:w="90" w:type="dxa"/>
              <w:right w:w="90" w:type="dxa"/>
            </w:tcMar>
            <w:shd w:val="clear" w:color="auto" w:fill="E5F5FF"/>
          </w:tcPr>
          <w:p>
            <w:pPr>
              <w:pStyle w:val="BDOITable"/>
            </w:pPr>
            <w:r>
              <w:rPr>
                <w:sz w:val="17"/>
              </w:rPr>
              <w:t>1</w:t>
            </w:r>
          </w:p>
        </w:tc>
        <w:tc>
          <w:tcPr>
            <w:tcW w:type="dxa" w:w="1181"/>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4068"/>
            <w:tcMar>
              <w:top w:w="50" w:type="dxa"/>
              <w:bottom w:w="50" w:type="dxa"/>
              <w:left w:w="90" w:type="dxa"/>
              <w:right w:w="90" w:type="dxa"/>
            </w:tcMar>
          </w:tcPr>
          <w:p>
            <w:pPr>
              <w:pStyle w:val="BDOITable"/>
            </w:pPr>
            <w:r>
              <w:rPr>
                <w:b/>
                <w:sz w:val="17"/>
              </w:rPr>
              <w:t>Availability</w:t>
            </w:r>
          </w:p>
        </w:tc>
        <w:tc>
          <w:tcPr>
            <w:tcW w:type="dxa" w:w="1050"/>
            <w:tcMar>
              <w:top w:w="50" w:type="dxa"/>
              <w:bottom w:w="50" w:type="dxa"/>
              <w:left w:w="90" w:type="dxa"/>
              <w:right w:w="90" w:type="dxa"/>
            </w:tcMar>
          </w:tcPr>
          <w:p>
            <w:pPr>
              <w:pStyle w:val="BDOITable"/>
            </w:pPr>
            <w:r>
              <w:rPr>
                <w:sz w:val="17"/>
              </w:rPr>
              <w:t>5</w:t>
            </w:r>
          </w:p>
        </w:tc>
        <w:tc>
          <w:tcPr>
            <w:tcW w:type="dxa" w:w="1050"/>
            <w:tcMar>
              <w:top w:w="50" w:type="dxa"/>
              <w:bottom w:w="50" w:type="dxa"/>
              <w:left w:w="90" w:type="dxa"/>
              <w:right w:w="90" w:type="dxa"/>
            </w:tcMar>
          </w:tcPr>
          <w:p>
            <w:pPr>
              <w:pStyle w:val="BDOITable"/>
            </w:pPr>
            <w:r>
              <w:rPr>
                <w:sz w:val="17"/>
              </w:rPr>
              <w:t>5</w:t>
            </w:r>
          </w:p>
        </w:tc>
        <w:tc>
          <w:tcPr>
            <w:tcW w:type="dxa" w:w="1181"/>
            <w:tcMar>
              <w:top w:w="50" w:type="dxa"/>
              <w:bottom w:w="50" w:type="dxa"/>
              <w:left w:w="90" w:type="dxa"/>
              <w:right w:w="90" w:type="dxa"/>
            </w:tcMar>
          </w:tcPr>
          <w:p>
            <w:pPr>
              <w:pStyle w:val="BDOITable"/>
            </w:pPr>
            <w:r>
              <w:rPr>
                <w:sz w:val="17"/>
              </w:rPr>
              <w:t>2</w:t>
            </w:r>
          </w:p>
        </w:tc>
        <w:tc>
          <w:tcPr>
            <w:tcW w:type="dxa" w:w="1443"/>
            <w:tcMar>
              <w:top w:w="50" w:type="dxa"/>
              <w:bottom w:w="50" w:type="dxa"/>
              <w:left w:w="90" w:type="dxa"/>
              <w:right w:w="90" w:type="dxa"/>
            </w:tcMar>
          </w:tcPr>
          <w:p>
            <w:pPr>
              <w:pStyle w:val="BDOITable"/>
            </w:pPr>
            <w:r>
              <w:rPr>
                <w:sz w:val="17"/>
              </w:rPr>
              <w:t>3</w:t>
            </w:r>
          </w:p>
        </w:tc>
        <w:tc>
          <w:tcPr>
            <w:tcW w:type="dxa" w:w="1181"/>
            <w:tcMar>
              <w:top w:w="50" w:type="dxa"/>
              <w:bottom w:w="50" w:type="dxa"/>
              <w:left w:w="90" w:type="dxa"/>
              <w:right w:w="90" w:type="dxa"/>
            </w:tcMar>
          </w:tcPr>
          <w:p>
            <w:pPr>
              <w:pStyle w:val="BDOITable"/>
            </w:pPr>
            <w:r>
              <w:rPr>
                <w:sz w:val="17"/>
              </w:rPr>
              <w:t>0</w:t>
            </w:r>
          </w:p>
        </w:tc>
      </w:tr>
      <w:tr>
        <w:trPr>
          <w:cantSplit w:val="true"/>
        </w:trPr>
        <w:tc>
          <w:tcPr>
            <w:tcW w:type="dxa" w:w="4068"/>
            <w:tcMar>
              <w:top w:w="50" w:type="dxa"/>
              <w:bottom w:w="50" w:type="dxa"/>
              <w:left w:w="90" w:type="dxa"/>
              <w:right w:w="90" w:type="dxa"/>
            </w:tcMar>
            <w:shd w:val="clear" w:color="auto" w:fill="E5F5FF"/>
          </w:tcPr>
          <w:p>
            <w:pPr>
              <w:pStyle w:val="BDOITable"/>
            </w:pPr>
            <w:r>
              <w:rPr>
                <w:b/>
                <w:sz w:val="17"/>
              </w:rPr>
              <w:t>Recovery (RTO, RPO, backup and DR)</w:t>
            </w:r>
          </w:p>
        </w:tc>
        <w:tc>
          <w:tcPr>
            <w:tcW w:type="dxa" w:w="1050"/>
            <w:tcMar>
              <w:top w:w="50" w:type="dxa"/>
              <w:bottom w:w="50" w:type="dxa"/>
              <w:left w:w="90" w:type="dxa"/>
              <w:right w:w="90" w:type="dxa"/>
            </w:tcMar>
            <w:shd w:val="clear" w:color="auto" w:fill="E5F5FF"/>
          </w:tcPr>
          <w:p>
            <w:pPr>
              <w:pStyle w:val="BDOITable"/>
            </w:pPr>
            <w:r>
              <w:rPr>
                <w:sz w:val="17"/>
              </w:rPr>
              <w:t>5</w:t>
            </w:r>
          </w:p>
        </w:tc>
        <w:tc>
          <w:tcPr>
            <w:tcW w:type="dxa" w:w="1050"/>
            <w:tcMar>
              <w:top w:w="50" w:type="dxa"/>
              <w:bottom w:w="50" w:type="dxa"/>
              <w:left w:w="90" w:type="dxa"/>
              <w:right w:w="90" w:type="dxa"/>
            </w:tcMar>
            <w:shd w:val="clear" w:color="auto" w:fill="E5F5FF"/>
          </w:tcPr>
          <w:p>
            <w:pPr>
              <w:pStyle w:val="BDOITable"/>
            </w:pPr>
            <w:r>
              <w:rPr>
                <w:sz w:val="17"/>
              </w:rPr>
              <w:t>5</w:t>
            </w:r>
          </w:p>
        </w:tc>
        <w:tc>
          <w:tcPr>
            <w:tcW w:type="dxa" w:w="1181"/>
            <w:tcMar>
              <w:top w:w="50" w:type="dxa"/>
              <w:bottom w:w="50" w:type="dxa"/>
              <w:left w:w="90" w:type="dxa"/>
              <w:right w:w="90" w:type="dxa"/>
            </w:tcMar>
            <w:shd w:val="clear" w:color="auto" w:fill="E5F5FF"/>
          </w:tcPr>
          <w:p>
            <w:pPr>
              <w:pStyle w:val="BDOITable"/>
            </w:pPr>
            <w:r>
              <w:rPr>
                <w:sz w:val="17"/>
              </w:rPr>
              <w:t>2</w:t>
            </w:r>
          </w:p>
        </w:tc>
        <w:tc>
          <w:tcPr>
            <w:tcW w:type="dxa" w:w="1443"/>
            <w:tcMar>
              <w:top w:w="50" w:type="dxa"/>
              <w:bottom w:w="50" w:type="dxa"/>
              <w:left w:w="90" w:type="dxa"/>
              <w:right w:w="90" w:type="dxa"/>
            </w:tcMar>
            <w:shd w:val="clear" w:color="auto" w:fill="E5F5FF"/>
          </w:tcPr>
          <w:p>
            <w:pPr>
              <w:pStyle w:val="BDOITable"/>
            </w:pPr>
            <w:r>
              <w:rPr>
                <w:sz w:val="17"/>
              </w:rPr>
              <w:t>2</w:t>
            </w:r>
          </w:p>
        </w:tc>
        <w:tc>
          <w:tcPr>
            <w:tcW w:type="dxa" w:w="1181"/>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4068"/>
            <w:tcMar>
              <w:top w:w="50" w:type="dxa"/>
              <w:bottom w:w="50" w:type="dxa"/>
              <w:left w:w="90" w:type="dxa"/>
              <w:right w:w="90" w:type="dxa"/>
            </w:tcMar>
          </w:tcPr>
          <w:p>
            <w:pPr>
              <w:pStyle w:val="BDOITable"/>
            </w:pPr>
            <w:r>
              <w:rPr>
                <w:b/>
                <w:sz w:val="17"/>
              </w:rPr>
              <w:t>Scalability</w:t>
            </w:r>
          </w:p>
        </w:tc>
        <w:tc>
          <w:tcPr>
            <w:tcW w:type="dxa" w:w="1050"/>
            <w:tcMar>
              <w:top w:w="50" w:type="dxa"/>
              <w:bottom w:w="50" w:type="dxa"/>
              <w:left w:w="90" w:type="dxa"/>
              <w:right w:w="90" w:type="dxa"/>
            </w:tcMar>
          </w:tcPr>
          <w:p>
            <w:pPr>
              <w:pStyle w:val="BDOITable"/>
            </w:pPr>
            <w:r>
              <w:rPr>
                <w:sz w:val="17"/>
              </w:rPr>
              <w:t>4</w:t>
            </w:r>
          </w:p>
        </w:tc>
        <w:tc>
          <w:tcPr>
            <w:tcW w:type="dxa" w:w="1050"/>
            <w:tcMar>
              <w:top w:w="50" w:type="dxa"/>
              <w:bottom w:w="50" w:type="dxa"/>
              <w:left w:w="90" w:type="dxa"/>
              <w:right w:w="90" w:type="dxa"/>
            </w:tcMar>
          </w:tcPr>
          <w:p>
            <w:pPr>
              <w:pStyle w:val="BDOITable"/>
            </w:pPr>
            <w:r>
              <w:rPr>
                <w:sz w:val="17"/>
              </w:rPr>
              <w:t>2</w:t>
            </w:r>
          </w:p>
        </w:tc>
        <w:tc>
          <w:tcPr>
            <w:tcW w:type="dxa" w:w="1181"/>
            <w:tcMar>
              <w:top w:w="50" w:type="dxa"/>
              <w:bottom w:w="50" w:type="dxa"/>
              <w:left w:w="90" w:type="dxa"/>
              <w:right w:w="90" w:type="dxa"/>
            </w:tcMar>
          </w:tcPr>
          <w:p>
            <w:pPr>
              <w:pStyle w:val="BDOITable"/>
            </w:pPr>
            <w:r>
              <w:rPr>
                <w:sz w:val="17"/>
              </w:rPr>
              <w:t>3</w:t>
            </w:r>
          </w:p>
        </w:tc>
        <w:tc>
          <w:tcPr>
            <w:tcW w:type="dxa" w:w="1443"/>
            <w:tcMar>
              <w:top w:w="50" w:type="dxa"/>
              <w:bottom w:w="50" w:type="dxa"/>
              <w:left w:w="90" w:type="dxa"/>
              <w:right w:w="90" w:type="dxa"/>
            </w:tcMar>
          </w:tcPr>
          <w:p>
            <w:pPr>
              <w:pStyle w:val="BDOITable"/>
            </w:pPr>
            <w:r>
              <w:rPr>
                <w:sz w:val="17"/>
              </w:rPr>
              <w:t>0</w:t>
            </w:r>
          </w:p>
        </w:tc>
        <w:tc>
          <w:tcPr>
            <w:tcW w:type="dxa" w:w="1181"/>
            <w:tcMar>
              <w:top w:w="50" w:type="dxa"/>
              <w:bottom w:w="50" w:type="dxa"/>
              <w:left w:w="90" w:type="dxa"/>
              <w:right w:w="90" w:type="dxa"/>
            </w:tcMar>
          </w:tcPr>
          <w:p>
            <w:pPr>
              <w:pStyle w:val="BDOITable"/>
            </w:pPr>
            <w:r>
              <w:rPr>
                <w:sz w:val="17"/>
              </w:rPr>
              <w:t>1</w:t>
            </w:r>
          </w:p>
        </w:tc>
      </w:tr>
      <w:tr>
        <w:trPr>
          <w:cantSplit w:val="true"/>
        </w:trPr>
        <w:tc>
          <w:tcPr>
            <w:tcW w:type="dxa" w:w="4068"/>
            <w:tcMar>
              <w:top w:w="50" w:type="dxa"/>
              <w:bottom w:w="50" w:type="dxa"/>
              <w:left w:w="90" w:type="dxa"/>
              <w:right w:w="90" w:type="dxa"/>
            </w:tcMar>
            <w:shd w:val="clear" w:color="auto" w:fill="E5F5FF"/>
          </w:tcPr>
          <w:p>
            <w:pPr>
              <w:pStyle w:val="BDOITable"/>
            </w:pPr>
            <w:r>
              <w:rPr>
                <w:b/>
                <w:sz w:val="17"/>
              </w:rPr>
              <w:t>Security</w:t>
            </w:r>
          </w:p>
        </w:tc>
        <w:tc>
          <w:tcPr>
            <w:tcW w:type="dxa" w:w="1050"/>
            <w:tcMar>
              <w:top w:w="50" w:type="dxa"/>
              <w:bottom w:w="50" w:type="dxa"/>
              <w:left w:w="90" w:type="dxa"/>
              <w:right w:w="90" w:type="dxa"/>
            </w:tcMar>
            <w:shd w:val="clear" w:color="auto" w:fill="E5F5FF"/>
          </w:tcPr>
          <w:p>
            <w:pPr>
              <w:pStyle w:val="BDOITable"/>
            </w:pPr>
            <w:r>
              <w:rPr>
                <w:sz w:val="17"/>
              </w:rPr>
              <w:t>12</w:t>
            </w:r>
          </w:p>
        </w:tc>
        <w:tc>
          <w:tcPr>
            <w:tcW w:type="dxa" w:w="1050"/>
            <w:tcMar>
              <w:top w:w="50" w:type="dxa"/>
              <w:bottom w:w="50" w:type="dxa"/>
              <w:left w:w="90" w:type="dxa"/>
              <w:right w:w="90" w:type="dxa"/>
            </w:tcMar>
            <w:shd w:val="clear" w:color="auto" w:fill="E5F5FF"/>
          </w:tcPr>
          <w:p>
            <w:pPr>
              <w:pStyle w:val="BDOITable"/>
            </w:pPr>
            <w:r>
              <w:rPr>
                <w:sz w:val="17"/>
              </w:rPr>
              <w:t>12</w:t>
            </w:r>
          </w:p>
        </w:tc>
        <w:tc>
          <w:tcPr>
            <w:tcW w:type="dxa" w:w="1181"/>
            <w:tcMar>
              <w:top w:w="50" w:type="dxa"/>
              <w:bottom w:w="50" w:type="dxa"/>
              <w:left w:w="90" w:type="dxa"/>
              <w:right w:w="90" w:type="dxa"/>
            </w:tcMar>
            <w:shd w:val="clear" w:color="auto" w:fill="E5F5FF"/>
          </w:tcPr>
          <w:p>
            <w:pPr>
              <w:pStyle w:val="BDOITable"/>
            </w:pPr>
            <w:r>
              <w:rPr>
                <w:sz w:val="17"/>
              </w:rPr>
              <w:t>6</w:t>
            </w:r>
          </w:p>
        </w:tc>
        <w:tc>
          <w:tcPr>
            <w:tcW w:type="dxa" w:w="1443"/>
            <w:tcMar>
              <w:top w:w="50" w:type="dxa"/>
              <w:bottom w:w="50" w:type="dxa"/>
              <w:left w:w="90" w:type="dxa"/>
              <w:right w:w="90" w:type="dxa"/>
            </w:tcMar>
            <w:shd w:val="clear" w:color="auto" w:fill="E5F5FF"/>
          </w:tcPr>
          <w:p>
            <w:pPr>
              <w:pStyle w:val="BDOITable"/>
            </w:pPr>
            <w:r>
              <w:rPr>
                <w:sz w:val="17"/>
              </w:rPr>
              <w:t>2</w:t>
            </w:r>
          </w:p>
        </w:tc>
        <w:tc>
          <w:tcPr>
            <w:tcW w:type="dxa" w:w="1181"/>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4068"/>
            <w:tcMar>
              <w:top w:w="50" w:type="dxa"/>
              <w:bottom w:w="50" w:type="dxa"/>
              <w:left w:w="90" w:type="dxa"/>
              <w:right w:w="90" w:type="dxa"/>
            </w:tcMar>
          </w:tcPr>
          <w:p>
            <w:pPr>
              <w:pStyle w:val="BDOITable"/>
            </w:pPr>
            <w:r>
              <w:rPr>
                <w:b/>
                <w:sz w:val="17"/>
              </w:rPr>
              <w:t>Privacy</w:t>
            </w:r>
          </w:p>
        </w:tc>
        <w:tc>
          <w:tcPr>
            <w:tcW w:type="dxa" w:w="1050"/>
            <w:tcMar>
              <w:top w:w="50" w:type="dxa"/>
              <w:bottom w:w="50" w:type="dxa"/>
              <w:left w:w="90" w:type="dxa"/>
              <w:right w:w="90" w:type="dxa"/>
            </w:tcMar>
          </w:tcPr>
          <w:p>
            <w:pPr>
              <w:pStyle w:val="BDOITable"/>
            </w:pPr>
            <w:r>
              <w:rPr>
                <w:sz w:val="17"/>
              </w:rPr>
              <w:t>6</w:t>
            </w:r>
          </w:p>
        </w:tc>
        <w:tc>
          <w:tcPr>
            <w:tcW w:type="dxa" w:w="1050"/>
            <w:tcMar>
              <w:top w:w="50" w:type="dxa"/>
              <w:bottom w:w="50" w:type="dxa"/>
              <w:left w:w="90" w:type="dxa"/>
              <w:right w:w="90" w:type="dxa"/>
            </w:tcMar>
          </w:tcPr>
          <w:p>
            <w:pPr>
              <w:pStyle w:val="BDOITable"/>
            </w:pPr>
            <w:r>
              <w:rPr>
                <w:sz w:val="17"/>
              </w:rPr>
              <w:t>4</w:t>
            </w:r>
          </w:p>
        </w:tc>
        <w:tc>
          <w:tcPr>
            <w:tcW w:type="dxa" w:w="1181"/>
            <w:tcMar>
              <w:top w:w="50" w:type="dxa"/>
              <w:bottom w:w="50" w:type="dxa"/>
              <w:left w:w="90" w:type="dxa"/>
              <w:right w:w="90" w:type="dxa"/>
            </w:tcMar>
          </w:tcPr>
          <w:p>
            <w:pPr>
              <w:pStyle w:val="BDOITable"/>
            </w:pPr>
            <w:r>
              <w:rPr>
                <w:sz w:val="17"/>
              </w:rPr>
              <w:t>3</w:t>
            </w:r>
          </w:p>
        </w:tc>
        <w:tc>
          <w:tcPr>
            <w:tcW w:type="dxa" w:w="1443"/>
            <w:tcMar>
              <w:top w:w="50" w:type="dxa"/>
              <w:bottom w:w="50" w:type="dxa"/>
              <w:left w:w="90" w:type="dxa"/>
              <w:right w:w="90" w:type="dxa"/>
            </w:tcMar>
          </w:tcPr>
          <w:p>
            <w:pPr>
              <w:pStyle w:val="BDOITable"/>
            </w:pPr>
            <w:r>
              <w:rPr>
                <w:sz w:val="17"/>
              </w:rPr>
              <w:t>1</w:t>
            </w:r>
          </w:p>
        </w:tc>
        <w:tc>
          <w:tcPr>
            <w:tcW w:type="dxa" w:w="1181"/>
            <w:tcMar>
              <w:top w:w="50" w:type="dxa"/>
              <w:bottom w:w="50" w:type="dxa"/>
              <w:left w:w="90" w:type="dxa"/>
              <w:right w:w="90" w:type="dxa"/>
            </w:tcMar>
          </w:tcPr>
          <w:p>
            <w:pPr>
              <w:pStyle w:val="BDOITable"/>
            </w:pPr>
            <w:r>
              <w:rPr>
                <w:sz w:val="17"/>
              </w:rPr>
              <w:t>2</w:t>
            </w:r>
          </w:p>
        </w:tc>
      </w:tr>
      <w:tr>
        <w:trPr>
          <w:cantSplit w:val="true"/>
        </w:trPr>
        <w:tc>
          <w:tcPr>
            <w:tcW w:type="dxa" w:w="4068"/>
            <w:tcMar>
              <w:top w:w="50" w:type="dxa"/>
              <w:bottom w:w="50" w:type="dxa"/>
              <w:left w:w="90" w:type="dxa"/>
              <w:right w:w="90" w:type="dxa"/>
            </w:tcMar>
            <w:shd w:val="clear" w:color="auto" w:fill="E5F5FF"/>
          </w:tcPr>
          <w:p>
            <w:pPr>
              <w:pStyle w:val="BDOITable"/>
            </w:pPr>
            <w:r>
              <w:rPr>
                <w:b/>
                <w:sz w:val="17"/>
              </w:rPr>
              <w:t>Accessibility</w:t>
            </w:r>
          </w:p>
        </w:tc>
        <w:tc>
          <w:tcPr>
            <w:tcW w:type="dxa" w:w="1050"/>
            <w:tcMar>
              <w:top w:w="50" w:type="dxa"/>
              <w:bottom w:w="50" w:type="dxa"/>
              <w:left w:w="90" w:type="dxa"/>
              <w:right w:w="90" w:type="dxa"/>
            </w:tcMar>
            <w:shd w:val="clear" w:color="auto" w:fill="E5F5FF"/>
          </w:tcPr>
          <w:p>
            <w:pPr>
              <w:pStyle w:val="BDOITable"/>
            </w:pPr>
            <w:r>
              <w:rPr>
                <w:sz w:val="17"/>
              </w:rPr>
              <w:t>4</w:t>
            </w:r>
          </w:p>
        </w:tc>
        <w:tc>
          <w:tcPr>
            <w:tcW w:type="dxa" w:w="1050"/>
            <w:tcMar>
              <w:top w:w="50" w:type="dxa"/>
              <w:bottom w:w="50" w:type="dxa"/>
              <w:left w:w="90" w:type="dxa"/>
              <w:right w:w="90" w:type="dxa"/>
            </w:tcMar>
            <w:shd w:val="clear" w:color="auto" w:fill="E5F5FF"/>
          </w:tcPr>
          <w:p>
            <w:pPr>
              <w:pStyle w:val="BDOITable"/>
            </w:pPr>
            <w:r>
              <w:rPr>
                <w:sz w:val="17"/>
              </w:rPr>
              <w:t>3</w:t>
            </w:r>
          </w:p>
        </w:tc>
        <w:tc>
          <w:tcPr>
            <w:tcW w:type="dxa" w:w="1181"/>
            <w:tcMar>
              <w:top w:w="50" w:type="dxa"/>
              <w:bottom w:w="50" w:type="dxa"/>
              <w:left w:w="90" w:type="dxa"/>
              <w:right w:w="90" w:type="dxa"/>
            </w:tcMar>
            <w:shd w:val="clear" w:color="auto" w:fill="E5F5FF"/>
          </w:tcPr>
          <w:p>
            <w:pPr>
              <w:pStyle w:val="BDOITable"/>
            </w:pPr>
            <w:r>
              <w:rPr>
                <w:sz w:val="17"/>
              </w:rPr>
              <w:t>2</w:t>
            </w:r>
          </w:p>
        </w:tc>
        <w:tc>
          <w:tcPr>
            <w:tcW w:type="dxa" w:w="1443"/>
            <w:tcMar>
              <w:top w:w="50" w:type="dxa"/>
              <w:bottom w:w="50" w:type="dxa"/>
              <w:left w:w="90" w:type="dxa"/>
              <w:right w:w="90" w:type="dxa"/>
            </w:tcMar>
            <w:shd w:val="clear" w:color="auto" w:fill="E5F5FF"/>
          </w:tcPr>
          <w:p>
            <w:pPr>
              <w:pStyle w:val="BDOITable"/>
            </w:pPr>
            <w:r>
              <w:rPr>
                <w:sz w:val="17"/>
              </w:rPr>
              <w:t>0</w:t>
            </w:r>
          </w:p>
        </w:tc>
        <w:tc>
          <w:tcPr>
            <w:tcW w:type="dxa" w:w="1181"/>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4068"/>
            <w:tcMar>
              <w:top w:w="50" w:type="dxa"/>
              <w:bottom w:w="50" w:type="dxa"/>
              <w:left w:w="90" w:type="dxa"/>
              <w:right w:w="90" w:type="dxa"/>
            </w:tcMar>
          </w:tcPr>
          <w:p>
            <w:pPr>
              <w:pStyle w:val="BDOITable"/>
            </w:pPr>
            <w:r>
              <w:rPr>
                <w:b/>
                <w:sz w:val="17"/>
              </w:rPr>
              <w:t>Usability and low-click workflows</w:t>
            </w:r>
          </w:p>
        </w:tc>
        <w:tc>
          <w:tcPr>
            <w:tcW w:type="dxa" w:w="1050"/>
            <w:tcMar>
              <w:top w:w="50" w:type="dxa"/>
              <w:bottom w:w="50" w:type="dxa"/>
              <w:left w:w="90" w:type="dxa"/>
              <w:right w:w="90" w:type="dxa"/>
            </w:tcMar>
          </w:tcPr>
          <w:p>
            <w:pPr>
              <w:pStyle w:val="BDOITable"/>
            </w:pPr>
            <w:r>
              <w:rPr>
                <w:sz w:val="17"/>
              </w:rPr>
              <w:t>6</w:t>
            </w:r>
          </w:p>
        </w:tc>
        <w:tc>
          <w:tcPr>
            <w:tcW w:type="dxa" w:w="1050"/>
            <w:tcMar>
              <w:top w:w="50" w:type="dxa"/>
              <w:bottom w:w="50" w:type="dxa"/>
              <w:left w:w="90" w:type="dxa"/>
              <w:right w:w="90" w:type="dxa"/>
            </w:tcMar>
          </w:tcPr>
          <w:p>
            <w:pPr>
              <w:pStyle w:val="BDOITable"/>
            </w:pPr>
            <w:r>
              <w:rPr>
                <w:sz w:val="17"/>
              </w:rPr>
              <w:t>4</w:t>
            </w:r>
          </w:p>
        </w:tc>
        <w:tc>
          <w:tcPr>
            <w:tcW w:type="dxa" w:w="1181"/>
            <w:tcMar>
              <w:top w:w="50" w:type="dxa"/>
              <w:bottom w:w="50" w:type="dxa"/>
              <w:left w:w="90" w:type="dxa"/>
              <w:right w:w="90" w:type="dxa"/>
            </w:tcMar>
          </w:tcPr>
          <w:p>
            <w:pPr>
              <w:pStyle w:val="BDOITable"/>
            </w:pPr>
            <w:r>
              <w:rPr>
                <w:sz w:val="17"/>
              </w:rPr>
              <w:t>4</w:t>
            </w:r>
          </w:p>
        </w:tc>
        <w:tc>
          <w:tcPr>
            <w:tcW w:type="dxa" w:w="1443"/>
            <w:tcMar>
              <w:top w:w="50" w:type="dxa"/>
              <w:bottom w:w="50" w:type="dxa"/>
              <w:left w:w="90" w:type="dxa"/>
              <w:right w:w="90" w:type="dxa"/>
            </w:tcMar>
          </w:tcPr>
          <w:p>
            <w:pPr>
              <w:pStyle w:val="BDOITable"/>
            </w:pPr>
            <w:r>
              <w:rPr>
                <w:sz w:val="17"/>
              </w:rPr>
              <w:t>0</w:t>
            </w:r>
          </w:p>
        </w:tc>
        <w:tc>
          <w:tcPr>
            <w:tcW w:type="dxa" w:w="1181"/>
            <w:tcMar>
              <w:top w:w="50" w:type="dxa"/>
              <w:bottom w:w="50" w:type="dxa"/>
              <w:left w:w="90" w:type="dxa"/>
              <w:right w:w="90" w:type="dxa"/>
            </w:tcMar>
          </w:tcPr>
          <w:p>
            <w:pPr>
              <w:pStyle w:val="BDOITable"/>
            </w:pPr>
            <w:r>
              <w:rPr>
                <w:sz w:val="17"/>
              </w:rPr>
              <w:t>2</w:t>
            </w:r>
          </w:p>
        </w:tc>
      </w:tr>
      <w:tr>
        <w:trPr>
          <w:cantSplit w:val="true"/>
        </w:trPr>
        <w:tc>
          <w:tcPr>
            <w:tcW w:type="dxa" w:w="4068"/>
            <w:tcMar>
              <w:top w:w="50" w:type="dxa"/>
              <w:bottom w:w="50" w:type="dxa"/>
              <w:left w:w="90" w:type="dxa"/>
              <w:right w:w="90" w:type="dxa"/>
            </w:tcMar>
            <w:shd w:val="clear" w:color="auto" w:fill="E5F5FF"/>
          </w:tcPr>
          <w:p>
            <w:pPr>
              <w:pStyle w:val="BDOITable"/>
            </w:pPr>
            <w:r>
              <w:rPr>
                <w:b/>
                <w:sz w:val="17"/>
              </w:rPr>
              <w:t>Responsive and mobile-first</w:t>
            </w:r>
          </w:p>
        </w:tc>
        <w:tc>
          <w:tcPr>
            <w:tcW w:type="dxa" w:w="1050"/>
            <w:tcMar>
              <w:top w:w="50" w:type="dxa"/>
              <w:bottom w:w="50" w:type="dxa"/>
              <w:left w:w="90" w:type="dxa"/>
              <w:right w:w="90" w:type="dxa"/>
            </w:tcMar>
            <w:shd w:val="clear" w:color="auto" w:fill="E5F5FF"/>
          </w:tcPr>
          <w:p>
            <w:pPr>
              <w:pStyle w:val="BDOITable"/>
            </w:pPr>
            <w:r>
              <w:rPr>
                <w:sz w:val="17"/>
              </w:rPr>
              <w:t>3</w:t>
            </w:r>
          </w:p>
        </w:tc>
        <w:tc>
          <w:tcPr>
            <w:tcW w:type="dxa" w:w="1050"/>
            <w:tcMar>
              <w:top w:w="50" w:type="dxa"/>
              <w:bottom w:w="50" w:type="dxa"/>
              <w:left w:w="90" w:type="dxa"/>
              <w:right w:w="90" w:type="dxa"/>
            </w:tcMar>
            <w:shd w:val="clear" w:color="auto" w:fill="E5F5FF"/>
          </w:tcPr>
          <w:p>
            <w:pPr>
              <w:pStyle w:val="BDOITable"/>
            </w:pPr>
            <w:r>
              <w:rPr>
                <w:sz w:val="17"/>
              </w:rPr>
              <w:t>3</w:t>
            </w:r>
          </w:p>
        </w:tc>
        <w:tc>
          <w:tcPr>
            <w:tcW w:type="dxa" w:w="1181"/>
            <w:tcMar>
              <w:top w:w="50" w:type="dxa"/>
              <w:bottom w:w="50" w:type="dxa"/>
              <w:left w:w="90" w:type="dxa"/>
              <w:right w:w="90" w:type="dxa"/>
            </w:tcMar>
            <w:shd w:val="clear" w:color="auto" w:fill="E5F5FF"/>
          </w:tcPr>
          <w:p>
            <w:pPr>
              <w:pStyle w:val="BDOITable"/>
            </w:pPr>
            <w:r>
              <w:rPr>
                <w:sz w:val="17"/>
              </w:rPr>
              <w:t>2</w:t>
            </w:r>
          </w:p>
        </w:tc>
        <w:tc>
          <w:tcPr>
            <w:tcW w:type="dxa" w:w="1443"/>
            <w:tcMar>
              <w:top w:w="50" w:type="dxa"/>
              <w:bottom w:w="50" w:type="dxa"/>
              <w:left w:w="90" w:type="dxa"/>
              <w:right w:w="90" w:type="dxa"/>
            </w:tcMar>
            <w:shd w:val="clear" w:color="auto" w:fill="E5F5FF"/>
          </w:tcPr>
          <w:p>
            <w:pPr>
              <w:pStyle w:val="BDOITable"/>
            </w:pPr>
            <w:r>
              <w:rPr>
                <w:sz w:val="17"/>
              </w:rPr>
              <w:t>0</w:t>
            </w:r>
          </w:p>
        </w:tc>
        <w:tc>
          <w:tcPr>
            <w:tcW w:type="dxa" w:w="1181"/>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4068"/>
            <w:tcMar>
              <w:top w:w="50" w:type="dxa"/>
              <w:bottom w:w="50" w:type="dxa"/>
              <w:left w:w="90" w:type="dxa"/>
              <w:right w:w="90" w:type="dxa"/>
            </w:tcMar>
          </w:tcPr>
          <w:p>
            <w:pPr>
              <w:pStyle w:val="BDOITable"/>
            </w:pPr>
            <w:r>
              <w:rPr>
                <w:b/>
                <w:sz w:val="17"/>
              </w:rPr>
              <w:t>Localisation</w:t>
            </w:r>
          </w:p>
        </w:tc>
        <w:tc>
          <w:tcPr>
            <w:tcW w:type="dxa" w:w="1050"/>
            <w:tcMar>
              <w:top w:w="50" w:type="dxa"/>
              <w:bottom w:w="50" w:type="dxa"/>
              <w:left w:w="90" w:type="dxa"/>
              <w:right w:w="90" w:type="dxa"/>
            </w:tcMar>
          </w:tcPr>
          <w:p>
            <w:pPr>
              <w:pStyle w:val="BDOITable"/>
            </w:pPr>
            <w:r>
              <w:rPr>
                <w:sz w:val="17"/>
              </w:rPr>
              <w:t>4</w:t>
            </w:r>
          </w:p>
        </w:tc>
        <w:tc>
          <w:tcPr>
            <w:tcW w:type="dxa" w:w="1050"/>
            <w:tcMar>
              <w:top w:w="50" w:type="dxa"/>
              <w:bottom w:w="50" w:type="dxa"/>
              <w:left w:w="90" w:type="dxa"/>
              <w:right w:w="90" w:type="dxa"/>
            </w:tcMar>
          </w:tcPr>
          <w:p>
            <w:pPr>
              <w:pStyle w:val="BDOITable"/>
            </w:pPr>
            <w:r>
              <w:rPr>
                <w:sz w:val="17"/>
              </w:rPr>
              <w:t>3</w:t>
            </w:r>
          </w:p>
        </w:tc>
        <w:tc>
          <w:tcPr>
            <w:tcW w:type="dxa" w:w="1181"/>
            <w:tcMar>
              <w:top w:w="50" w:type="dxa"/>
              <w:bottom w:w="50" w:type="dxa"/>
              <w:left w:w="90" w:type="dxa"/>
              <w:right w:w="90" w:type="dxa"/>
            </w:tcMar>
          </w:tcPr>
          <w:p>
            <w:pPr>
              <w:pStyle w:val="BDOITable"/>
            </w:pPr>
            <w:r>
              <w:rPr>
                <w:sz w:val="17"/>
              </w:rPr>
              <w:t>3</w:t>
            </w:r>
          </w:p>
        </w:tc>
        <w:tc>
          <w:tcPr>
            <w:tcW w:type="dxa" w:w="1443"/>
            <w:tcMar>
              <w:top w:w="50" w:type="dxa"/>
              <w:bottom w:w="50" w:type="dxa"/>
              <w:left w:w="90" w:type="dxa"/>
              <w:right w:w="90" w:type="dxa"/>
            </w:tcMar>
          </w:tcPr>
          <w:p>
            <w:pPr>
              <w:pStyle w:val="BDOITable"/>
            </w:pPr>
            <w:r>
              <w:rPr>
                <w:sz w:val="17"/>
              </w:rPr>
              <w:t>0</w:t>
            </w:r>
          </w:p>
        </w:tc>
        <w:tc>
          <w:tcPr>
            <w:tcW w:type="dxa" w:w="1181"/>
            <w:tcMar>
              <w:top w:w="50" w:type="dxa"/>
              <w:bottom w:w="50" w:type="dxa"/>
              <w:left w:w="90" w:type="dxa"/>
              <w:right w:w="90" w:type="dxa"/>
            </w:tcMar>
          </w:tcPr>
          <w:p>
            <w:pPr>
              <w:pStyle w:val="BDOITable"/>
            </w:pPr>
            <w:r>
              <w:rPr>
                <w:sz w:val="17"/>
              </w:rPr>
              <w:t>1</w:t>
            </w:r>
          </w:p>
        </w:tc>
      </w:tr>
      <w:tr>
        <w:trPr>
          <w:cantSplit w:val="true"/>
        </w:trPr>
        <w:tc>
          <w:tcPr>
            <w:tcW w:type="dxa" w:w="4068"/>
            <w:tcMar>
              <w:top w:w="50" w:type="dxa"/>
              <w:bottom w:w="50" w:type="dxa"/>
              <w:left w:w="90" w:type="dxa"/>
              <w:right w:w="90" w:type="dxa"/>
            </w:tcMar>
            <w:shd w:val="clear" w:color="auto" w:fill="E5F5FF"/>
          </w:tcPr>
          <w:p>
            <w:pPr>
              <w:pStyle w:val="BDOITable"/>
            </w:pPr>
            <w:r>
              <w:rPr>
                <w:b/>
                <w:sz w:val="17"/>
              </w:rPr>
              <w:t>Maintainability</w:t>
            </w:r>
          </w:p>
        </w:tc>
        <w:tc>
          <w:tcPr>
            <w:tcW w:type="dxa" w:w="1050"/>
            <w:tcMar>
              <w:top w:w="50" w:type="dxa"/>
              <w:bottom w:w="50" w:type="dxa"/>
              <w:left w:w="90" w:type="dxa"/>
              <w:right w:w="90" w:type="dxa"/>
            </w:tcMar>
            <w:shd w:val="clear" w:color="auto" w:fill="E5F5FF"/>
          </w:tcPr>
          <w:p>
            <w:pPr>
              <w:pStyle w:val="BDOITable"/>
            </w:pPr>
            <w:r>
              <w:rPr>
                <w:sz w:val="17"/>
              </w:rPr>
              <w:t>6</w:t>
            </w:r>
          </w:p>
        </w:tc>
        <w:tc>
          <w:tcPr>
            <w:tcW w:type="dxa" w:w="1050"/>
            <w:tcMar>
              <w:top w:w="50" w:type="dxa"/>
              <w:bottom w:w="50" w:type="dxa"/>
              <w:left w:w="90" w:type="dxa"/>
              <w:right w:w="90" w:type="dxa"/>
            </w:tcMar>
            <w:shd w:val="clear" w:color="auto" w:fill="E5F5FF"/>
          </w:tcPr>
          <w:p>
            <w:pPr>
              <w:pStyle w:val="BDOITable"/>
            </w:pPr>
            <w:r>
              <w:rPr>
                <w:sz w:val="17"/>
              </w:rPr>
              <w:t>5</w:t>
            </w:r>
          </w:p>
        </w:tc>
        <w:tc>
          <w:tcPr>
            <w:tcW w:type="dxa" w:w="1181"/>
            <w:tcMar>
              <w:top w:w="50" w:type="dxa"/>
              <w:bottom w:w="50" w:type="dxa"/>
              <w:left w:w="90" w:type="dxa"/>
              <w:right w:w="90" w:type="dxa"/>
            </w:tcMar>
            <w:shd w:val="clear" w:color="auto" w:fill="E5F5FF"/>
          </w:tcPr>
          <w:p>
            <w:pPr>
              <w:pStyle w:val="BDOITable"/>
            </w:pPr>
            <w:r>
              <w:rPr>
                <w:sz w:val="17"/>
              </w:rPr>
              <w:t>3</w:t>
            </w:r>
          </w:p>
        </w:tc>
        <w:tc>
          <w:tcPr>
            <w:tcW w:type="dxa" w:w="1443"/>
            <w:tcMar>
              <w:top w:w="50" w:type="dxa"/>
              <w:bottom w:w="50" w:type="dxa"/>
              <w:left w:w="90" w:type="dxa"/>
              <w:right w:w="90" w:type="dxa"/>
            </w:tcMar>
            <w:shd w:val="clear" w:color="auto" w:fill="E5F5FF"/>
          </w:tcPr>
          <w:p>
            <w:pPr>
              <w:pStyle w:val="BDOITable"/>
            </w:pPr>
            <w:r>
              <w:rPr>
                <w:sz w:val="17"/>
              </w:rPr>
              <w:t>0</w:t>
            </w:r>
          </w:p>
        </w:tc>
        <w:tc>
          <w:tcPr>
            <w:tcW w:type="dxa" w:w="1181"/>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4068"/>
            <w:tcMar>
              <w:top w:w="50" w:type="dxa"/>
              <w:bottom w:w="50" w:type="dxa"/>
              <w:left w:w="90" w:type="dxa"/>
              <w:right w:w="90" w:type="dxa"/>
            </w:tcMar>
          </w:tcPr>
          <w:p>
            <w:pPr>
              <w:pStyle w:val="BDOITable"/>
            </w:pPr>
            <w:r>
              <w:rPr>
                <w:b/>
                <w:sz w:val="17"/>
              </w:rPr>
              <w:t>Configurability</w:t>
            </w:r>
          </w:p>
        </w:tc>
        <w:tc>
          <w:tcPr>
            <w:tcW w:type="dxa" w:w="1050"/>
            <w:tcMar>
              <w:top w:w="50" w:type="dxa"/>
              <w:bottom w:w="50" w:type="dxa"/>
              <w:left w:w="90" w:type="dxa"/>
              <w:right w:w="90" w:type="dxa"/>
            </w:tcMar>
          </w:tcPr>
          <w:p>
            <w:pPr>
              <w:pStyle w:val="BDOITable"/>
            </w:pPr>
            <w:r>
              <w:rPr>
                <w:sz w:val="17"/>
              </w:rPr>
              <w:t>5</w:t>
            </w:r>
          </w:p>
        </w:tc>
        <w:tc>
          <w:tcPr>
            <w:tcW w:type="dxa" w:w="1050"/>
            <w:tcMar>
              <w:top w:w="50" w:type="dxa"/>
              <w:bottom w:w="50" w:type="dxa"/>
              <w:left w:w="90" w:type="dxa"/>
              <w:right w:w="90" w:type="dxa"/>
            </w:tcMar>
          </w:tcPr>
          <w:p>
            <w:pPr>
              <w:pStyle w:val="BDOITable"/>
            </w:pPr>
            <w:r>
              <w:rPr>
                <w:sz w:val="17"/>
              </w:rPr>
              <w:t>3</w:t>
            </w:r>
          </w:p>
        </w:tc>
        <w:tc>
          <w:tcPr>
            <w:tcW w:type="dxa" w:w="1181"/>
            <w:tcMar>
              <w:top w:w="50" w:type="dxa"/>
              <w:bottom w:w="50" w:type="dxa"/>
              <w:left w:w="90" w:type="dxa"/>
              <w:right w:w="90" w:type="dxa"/>
            </w:tcMar>
          </w:tcPr>
          <w:p>
            <w:pPr>
              <w:pStyle w:val="BDOITable"/>
            </w:pPr>
            <w:r>
              <w:rPr>
                <w:sz w:val="17"/>
              </w:rPr>
              <w:t>5</w:t>
            </w:r>
          </w:p>
        </w:tc>
        <w:tc>
          <w:tcPr>
            <w:tcW w:type="dxa" w:w="1443"/>
            <w:tcMar>
              <w:top w:w="50" w:type="dxa"/>
              <w:bottom w:w="50" w:type="dxa"/>
              <w:left w:w="90" w:type="dxa"/>
              <w:right w:w="90" w:type="dxa"/>
            </w:tcMar>
          </w:tcPr>
          <w:p>
            <w:pPr>
              <w:pStyle w:val="BDOITable"/>
            </w:pPr>
            <w:r>
              <w:rPr>
                <w:sz w:val="17"/>
              </w:rPr>
              <w:t>0</w:t>
            </w:r>
          </w:p>
        </w:tc>
        <w:tc>
          <w:tcPr>
            <w:tcW w:type="dxa" w:w="1181"/>
            <w:tcMar>
              <w:top w:w="50" w:type="dxa"/>
              <w:bottom w:w="50" w:type="dxa"/>
              <w:left w:w="90" w:type="dxa"/>
              <w:right w:w="90" w:type="dxa"/>
            </w:tcMar>
          </w:tcPr>
          <w:p>
            <w:pPr>
              <w:pStyle w:val="BDOITable"/>
            </w:pPr>
            <w:r>
              <w:rPr>
                <w:sz w:val="17"/>
              </w:rPr>
              <w:t>0</w:t>
            </w:r>
          </w:p>
        </w:tc>
      </w:tr>
      <w:tr>
        <w:trPr>
          <w:cantSplit w:val="true"/>
        </w:trPr>
        <w:tc>
          <w:tcPr>
            <w:tcW w:type="dxa" w:w="4068"/>
            <w:tcMar>
              <w:top w:w="50" w:type="dxa"/>
              <w:bottom w:w="50" w:type="dxa"/>
              <w:left w:w="90" w:type="dxa"/>
              <w:right w:w="90" w:type="dxa"/>
            </w:tcMar>
            <w:shd w:val="clear" w:color="auto" w:fill="E5F5FF"/>
          </w:tcPr>
          <w:p>
            <w:pPr>
              <w:pStyle w:val="BDOITable"/>
            </w:pPr>
            <w:r>
              <w:rPr>
                <w:b/>
                <w:sz w:val="17"/>
              </w:rPr>
              <w:t>Observability</w:t>
            </w:r>
          </w:p>
        </w:tc>
        <w:tc>
          <w:tcPr>
            <w:tcW w:type="dxa" w:w="1050"/>
            <w:tcMar>
              <w:top w:w="50" w:type="dxa"/>
              <w:bottom w:w="50" w:type="dxa"/>
              <w:left w:w="90" w:type="dxa"/>
              <w:right w:w="90" w:type="dxa"/>
            </w:tcMar>
            <w:shd w:val="clear" w:color="auto" w:fill="E5F5FF"/>
          </w:tcPr>
          <w:p>
            <w:pPr>
              <w:pStyle w:val="BDOITable"/>
            </w:pPr>
            <w:r>
              <w:rPr>
                <w:sz w:val="17"/>
              </w:rPr>
              <w:t>5</w:t>
            </w:r>
          </w:p>
        </w:tc>
        <w:tc>
          <w:tcPr>
            <w:tcW w:type="dxa" w:w="1050"/>
            <w:tcMar>
              <w:top w:w="50" w:type="dxa"/>
              <w:bottom w:w="50" w:type="dxa"/>
              <w:left w:w="90" w:type="dxa"/>
              <w:right w:w="90" w:type="dxa"/>
            </w:tcMar>
            <w:shd w:val="clear" w:color="auto" w:fill="E5F5FF"/>
          </w:tcPr>
          <w:p>
            <w:pPr>
              <w:pStyle w:val="BDOITable"/>
            </w:pPr>
            <w:r>
              <w:rPr>
                <w:sz w:val="17"/>
              </w:rPr>
              <w:t>5</w:t>
            </w:r>
          </w:p>
        </w:tc>
        <w:tc>
          <w:tcPr>
            <w:tcW w:type="dxa" w:w="1181"/>
            <w:tcMar>
              <w:top w:w="50" w:type="dxa"/>
              <w:bottom w:w="50" w:type="dxa"/>
              <w:left w:w="90" w:type="dxa"/>
              <w:right w:w="90" w:type="dxa"/>
            </w:tcMar>
            <w:shd w:val="clear" w:color="auto" w:fill="E5F5FF"/>
          </w:tcPr>
          <w:p>
            <w:pPr>
              <w:pStyle w:val="BDOITable"/>
            </w:pPr>
            <w:r>
              <w:rPr>
                <w:sz w:val="17"/>
              </w:rPr>
              <w:t>2</w:t>
            </w:r>
          </w:p>
        </w:tc>
        <w:tc>
          <w:tcPr>
            <w:tcW w:type="dxa" w:w="1443"/>
            <w:tcMar>
              <w:top w:w="50" w:type="dxa"/>
              <w:bottom w:w="50" w:type="dxa"/>
              <w:left w:w="90" w:type="dxa"/>
              <w:right w:w="90" w:type="dxa"/>
            </w:tcMar>
            <w:shd w:val="clear" w:color="auto" w:fill="E5F5FF"/>
          </w:tcPr>
          <w:p>
            <w:pPr>
              <w:pStyle w:val="BDOITable"/>
            </w:pPr>
            <w:r>
              <w:rPr>
                <w:sz w:val="17"/>
              </w:rPr>
              <w:t>1</w:t>
            </w:r>
          </w:p>
        </w:tc>
        <w:tc>
          <w:tcPr>
            <w:tcW w:type="dxa" w:w="1181"/>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4068"/>
            <w:tcMar>
              <w:top w:w="50" w:type="dxa"/>
              <w:bottom w:w="50" w:type="dxa"/>
              <w:left w:w="90" w:type="dxa"/>
              <w:right w:w="90" w:type="dxa"/>
            </w:tcMar>
          </w:tcPr>
          <w:p>
            <w:pPr>
              <w:pStyle w:val="BDOITable"/>
            </w:pPr>
            <w:r>
              <w:rPr>
                <w:b/>
                <w:sz w:val="17"/>
              </w:rPr>
              <w:t>Supportability</w:t>
            </w:r>
          </w:p>
        </w:tc>
        <w:tc>
          <w:tcPr>
            <w:tcW w:type="dxa" w:w="1050"/>
            <w:tcMar>
              <w:top w:w="50" w:type="dxa"/>
              <w:bottom w:w="50" w:type="dxa"/>
              <w:left w:w="90" w:type="dxa"/>
              <w:right w:w="90" w:type="dxa"/>
            </w:tcMar>
          </w:tcPr>
          <w:p>
            <w:pPr>
              <w:pStyle w:val="BDOITable"/>
            </w:pPr>
            <w:r>
              <w:rPr>
                <w:sz w:val="17"/>
              </w:rPr>
              <w:t>5</w:t>
            </w:r>
          </w:p>
        </w:tc>
        <w:tc>
          <w:tcPr>
            <w:tcW w:type="dxa" w:w="1050"/>
            <w:tcMar>
              <w:top w:w="50" w:type="dxa"/>
              <w:bottom w:w="50" w:type="dxa"/>
              <w:left w:w="90" w:type="dxa"/>
              <w:right w:w="90" w:type="dxa"/>
            </w:tcMar>
          </w:tcPr>
          <w:p>
            <w:pPr>
              <w:pStyle w:val="BDOITable"/>
            </w:pPr>
            <w:r>
              <w:rPr>
                <w:sz w:val="17"/>
              </w:rPr>
              <w:t>4</w:t>
            </w:r>
          </w:p>
        </w:tc>
        <w:tc>
          <w:tcPr>
            <w:tcW w:type="dxa" w:w="1181"/>
            <w:tcMar>
              <w:top w:w="50" w:type="dxa"/>
              <w:bottom w:w="50" w:type="dxa"/>
              <w:left w:w="90" w:type="dxa"/>
              <w:right w:w="90" w:type="dxa"/>
            </w:tcMar>
          </w:tcPr>
          <w:p>
            <w:pPr>
              <w:pStyle w:val="BDOITable"/>
            </w:pPr>
            <w:r>
              <w:rPr>
                <w:sz w:val="17"/>
              </w:rPr>
              <w:t>4</w:t>
            </w:r>
          </w:p>
        </w:tc>
        <w:tc>
          <w:tcPr>
            <w:tcW w:type="dxa" w:w="1443"/>
            <w:tcMar>
              <w:top w:w="50" w:type="dxa"/>
              <w:bottom w:w="50" w:type="dxa"/>
              <w:left w:w="90" w:type="dxa"/>
              <w:right w:w="90" w:type="dxa"/>
            </w:tcMar>
          </w:tcPr>
          <w:p>
            <w:pPr>
              <w:pStyle w:val="BDOITable"/>
            </w:pPr>
            <w:r>
              <w:rPr>
                <w:sz w:val="17"/>
              </w:rPr>
              <w:t>0</w:t>
            </w:r>
          </w:p>
        </w:tc>
        <w:tc>
          <w:tcPr>
            <w:tcW w:type="dxa" w:w="1181"/>
            <w:tcMar>
              <w:top w:w="50" w:type="dxa"/>
              <w:bottom w:w="50" w:type="dxa"/>
              <w:left w:w="90" w:type="dxa"/>
              <w:right w:w="90" w:type="dxa"/>
            </w:tcMar>
          </w:tcPr>
          <w:p>
            <w:pPr>
              <w:pStyle w:val="BDOITable"/>
            </w:pPr>
            <w:r>
              <w:rPr>
                <w:sz w:val="17"/>
              </w:rPr>
              <w:t>1</w:t>
            </w:r>
          </w:p>
        </w:tc>
      </w:tr>
      <w:tr>
        <w:trPr>
          <w:cantSplit w:val="true"/>
        </w:trPr>
        <w:tc>
          <w:tcPr>
            <w:tcW w:type="dxa" w:w="4068"/>
            <w:tcMar>
              <w:top w:w="50" w:type="dxa"/>
              <w:bottom w:w="50" w:type="dxa"/>
              <w:left w:w="90" w:type="dxa"/>
              <w:right w:w="90" w:type="dxa"/>
            </w:tcMar>
            <w:shd w:val="clear" w:color="auto" w:fill="E5F5FF"/>
          </w:tcPr>
          <w:p>
            <w:pPr>
              <w:pStyle w:val="BDOITable"/>
            </w:pPr>
            <w:r>
              <w:rPr>
                <w:b/>
                <w:sz w:val="17"/>
              </w:rPr>
              <w:t>Auditability</w:t>
            </w:r>
          </w:p>
        </w:tc>
        <w:tc>
          <w:tcPr>
            <w:tcW w:type="dxa" w:w="1050"/>
            <w:tcMar>
              <w:top w:w="50" w:type="dxa"/>
              <w:bottom w:w="50" w:type="dxa"/>
              <w:left w:w="90" w:type="dxa"/>
              <w:right w:w="90" w:type="dxa"/>
            </w:tcMar>
            <w:shd w:val="clear" w:color="auto" w:fill="E5F5FF"/>
          </w:tcPr>
          <w:p>
            <w:pPr>
              <w:pStyle w:val="BDOITable"/>
            </w:pPr>
            <w:r>
              <w:rPr>
                <w:sz w:val="17"/>
              </w:rPr>
              <w:t>4</w:t>
            </w:r>
          </w:p>
        </w:tc>
        <w:tc>
          <w:tcPr>
            <w:tcW w:type="dxa" w:w="1050"/>
            <w:tcMar>
              <w:top w:w="50" w:type="dxa"/>
              <w:bottom w:w="50" w:type="dxa"/>
              <w:left w:w="90" w:type="dxa"/>
              <w:right w:w="90" w:type="dxa"/>
            </w:tcMar>
            <w:shd w:val="clear" w:color="auto" w:fill="E5F5FF"/>
          </w:tcPr>
          <w:p>
            <w:pPr>
              <w:pStyle w:val="BDOITable"/>
            </w:pPr>
            <w:r>
              <w:rPr>
                <w:sz w:val="17"/>
              </w:rPr>
              <w:t>3</w:t>
            </w:r>
          </w:p>
        </w:tc>
        <w:tc>
          <w:tcPr>
            <w:tcW w:type="dxa" w:w="1181"/>
            <w:tcMar>
              <w:top w:w="50" w:type="dxa"/>
              <w:bottom w:w="50" w:type="dxa"/>
              <w:left w:w="90" w:type="dxa"/>
              <w:right w:w="90" w:type="dxa"/>
            </w:tcMar>
            <w:shd w:val="clear" w:color="auto" w:fill="E5F5FF"/>
          </w:tcPr>
          <w:p>
            <w:pPr>
              <w:pStyle w:val="BDOITable"/>
            </w:pPr>
            <w:r>
              <w:rPr>
                <w:sz w:val="17"/>
              </w:rPr>
              <w:t>3</w:t>
            </w:r>
          </w:p>
        </w:tc>
        <w:tc>
          <w:tcPr>
            <w:tcW w:type="dxa" w:w="1443"/>
            <w:tcMar>
              <w:top w:w="50" w:type="dxa"/>
              <w:bottom w:w="50" w:type="dxa"/>
              <w:left w:w="90" w:type="dxa"/>
              <w:right w:w="90" w:type="dxa"/>
            </w:tcMar>
            <w:shd w:val="clear" w:color="auto" w:fill="E5F5FF"/>
          </w:tcPr>
          <w:p>
            <w:pPr>
              <w:pStyle w:val="BDOITable"/>
            </w:pPr>
            <w:r>
              <w:rPr>
                <w:sz w:val="17"/>
              </w:rPr>
              <w:t>0</w:t>
            </w:r>
          </w:p>
        </w:tc>
        <w:tc>
          <w:tcPr>
            <w:tcW w:type="dxa" w:w="1181"/>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4068"/>
            <w:tcMar>
              <w:top w:w="50" w:type="dxa"/>
              <w:bottom w:w="50" w:type="dxa"/>
              <w:left w:w="90" w:type="dxa"/>
              <w:right w:w="90" w:type="dxa"/>
            </w:tcMar>
          </w:tcPr>
          <w:p>
            <w:pPr>
              <w:pStyle w:val="BDOITable"/>
            </w:pPr>
            <w:r>
              <w:rPr>
                <w:b/>
                <w:sz w:val="17"/>
              </w:rPr>
              <w:t>Data retention</w:t>
            </w:r>
          </w:p>
        </w:tc>
        <w:tc>
          <w:tcPr>
            <w:tcW w:type="dxa" w:w="1050"/>
            <w:tcMar>
              <w:top w:w="50" w:type="dxa"/>
              <w:bottom w:w="50" w:type="dxa"/>
              <w:left w:w="90" w:type="dxa"/>
              <w:right w:w="90" w:type="dxa"/>
            </w:tcMar>
          </w:tcPr>
          <w:p>
            <w:pPr>
              <w:pStyle w:val="BDOITable"/>
            </w:pPr>
            <w:r>
              <w:rPr>
                <w:sz w:val="17"/>
              </w:rPr>
              <w:t>5</w:t>
            </w:r>
          </w:p>
        </w:tc>
        <w:tc>
          <w:tcPr>
            <w:tcW w:type="dxa" w:w="1050"/>
            <w:tcMar>
              <w:top w:w="50" w:type="dxa"/>
              <w:bottom w:w="50" w:type="dxa"/>
              <w:left w:w="90" w:type="dxa"/>
              <w:right w:w="90" w:type="dxa"/>
            </w:tcMar>
          </w:tcPr>
          <w:p>
            <w:pPr>
              <w:pStyle w:val="BDOITable"/>
            </w:pPr>
            <w:r>
              <w:rPr>
                <w:sz w:val="17"/>
              </w:rPr>
              <w:t>4</w:t>
            </w:r>
          </w:p>
        </w:tc>
        <w:tc>
          <w:tcPr>
            <w:tcW w:type="dxa" w:w="1181"/>
            <w:tcMar>
              <w:top w:w="50" w:type="dxa"/>
              <w:bottom w:w="50" w:type="dxa"/>
              <w:left w:w="90" w:type="dxa"/>
              <w:right w:w="90" w:type="dxa"/>
            </w:tcMar>
          </w:tcPr>
          <w:p>
            <w:pPr>
              <w:pStyle w:val="BDOITable"/>
            </w:pPr>
            <w:r>
              <w:rPr>
                <w:sz w:val="17"/>
              </w:rPr>
              <w:t>3</w:t>
            </w:r>
          </w:p>
        </w:tc>
        <w:tc>
          <w:tcPr>
            <w:tcW w:type="dxa" w:w="1443"/>
            <w:tcMar>
              <w:top w:w="50" w:type="dxa"/>
              <w:bottom w:w="50" w:type="dxa"/>
              <w:left w:w="90" w:type="dxa"/>
              <w:right w:w="90" w:type="dxa"/>
            </w:tcMar>
          </w:tcPr>
          <w:p>
            <w:pPr>
              <w:pStyle w:val="BDOITable"/>
            </w:pPr>
            <w:r>
              <w:rPr>
                <w:sz w:val="17"/>
              </w:rPr>
              <w:t>2</w:t>
            </w:r>
          </w:p>
        </w:tc>
        <w:tc>
          <w:tcPr>
            <w:tcW w:type="dxa" w:w="1181"/>
            <w:tcMar>
              <w:top w:w="50" w:type="dxa"/>
              <w:bottom w:w="50" w:type="dxa"/>
              <w:left w:w="90" w:type="dxa"/>
              <w:right w:w="90" w:type="dxa"/>
            </w:tcMar>
          </w:tcPr>
          <w:p>
            <w:pPr>
              <w:pStyle w:val="BDOITable"/>
            </w:pPr>
            <w:r>
              <w:rPr>
                <w:sz w:val="17"/>
              </w:rPr>
              <w:t>0</w:t>
            </w:r>
          </w:p>
        </w:tc>
      </w:tr>
      <w:tr>
        <w:trPr>
          <w:cantSplit w:val="true"/>
        </w:trPr>
        <w:tc>
          <w:tcPr>
            <w:tcW w:type="dxa" w:w="4068"/>
            <w:tcMar>
              <w:top w:w="50" w:type="dxa"/>
              <w:bottom w:w="50" w:type="dxa"/>
              <w:left w:w="90" w:type="dxa"/>
              <w:right w:w="90" w:type="dxa"/>
            </w:tcMar>
            <w:shd w:val="clear" w:color="auto" w:fill="E5F5FF"/>
          </w:tcPr>
          <w:p>
            <w:pPr>
              <w:pStyle w:val="BDOITable"/>
            </w:pPr>
            <w:r>
              <w:rPr>
                <w:b/>
                <w:sz w:val="17"/>
              </w:rPr>
              <w:t>Interoperability</w:t>
            </w:r>
          </w:p>
        </w:tc>
        <w:tc>
          <w:tcPr>
            <w:tcW w:type="dxa" w:w="1050"/>
            <w:tcMar>
              <w:top w:w="50" w:type="dxa"/>
              <w:bottom w:w="50" w:type="dxa"/>
              <w:left w:w="90" w:type="dxa"/>
              <w:right w:w="90" w:type="dxa"/>
            </w:tcMar>
            <w:shd w:val="clear" w:color="auto" w:fill="E5F5FF"/>
          </w:tcPr>
          <w:p>
            <w:pPr>
              <w:pStyle w:val="BDOITable"/>
            </w:pPr>
            <w:r>
              <w:rPr>
                <w:sz w:val="17"/>
              </w:rPr>
              <w:t>6</w:t>
            </w:r>
          </w:p>
        </w:tc>
        <w:tc>
          <w:tcPr>
            <w:tcW w:type="dxa" w:w="1050"/>
            <w:tcMar>
              <w:top w:w="50" w:type="dxa"/>
              <w:bottom w:w="50" w:type="dxa"/>
              <w:left w:w="90" w:type="dxa"/>
              <w:right w:w="90" w:type="dxa"/>
            </w:tcMar>
            <w:shd w:val="clear" w:color="auto" w:fill="E5F5FF"/>
          </w:tcPr>
          <w:p>
            <w:pPr>
              <w:pStyle w:val="BDOITable"/>
            </w:pPr>
            <w:r>
              <w:rPr>
                <w:sz w:val="17"/>
              </w:rPr>
              <w:t>5</w:t>
            </w:r>
          </w:p>
        </w:tc>
        <w:tc>
          <w:tcPr>
            <w:tcW w:type="dxa" w:w="1181"/>
            <w:tcMar>
              <w:top w:w="50" w:type="dxa"/>
              <w:bottom w:w="50" w:type="dxa"/>
              <w:left w:w="90" w:type="dxa"/>
              <w:right w:w="90" w:type="dxa"/>
            </w:tcMar>
            <w:shd w:val="clear" w:color="auto" w:fill="E5F5FF"/>
          </w:tcPr>
          <w:p>
            <w:pPr>
              <w:pStyle w:val="BDOITable"/>
            </w:pPr>
            <w:r>
              <w:rPr>
                <w:sz w:val="17"/>
              </w:rPr>
              <w:t>3</w:t>
            </w:r>
          </w:p>
        </w:tc>
        <w:tc>
          <w:tcPr>
            <w:tcW w:type="dxa" w:w="1443"/>
            <w:tcMar>
              <w:top w:w="50" w:type="dxa"/>
              <w:bottom w:w="50" w:type="dxa"/>
              <w:left w:w="90" w:type="dxa"/>
              <w:right w:w="90" w:type="dxa"/>
            </w:tcMar>
            <w:shd w:val="clear" w:color="auto" w:fill="E5F5FF"/>
          </w:tcPr>
          <w:p>
            <w:pPr>
              <w:pStyle w:val="BDOITable"/>
            </w:pPr>
            <w:r>
              <w:rPr>
                <w:sz w:val="17"/>
              </w:rPr>
              <w:t>1</w:t>
            </w:r>
          </w:p>
        </w:tc>
        <w:tc>
          <w:tcPr>
            <w:tcW w:type="dxa" w:w="1181"/>
            <w:tcMar>
              <w:top w:w="50" w:type="dxa"/>
              <w:bottom w:w="50" w:type="dxa"/>
              <w:left w:w="90" w:type="dxa"/>
              <w:right w:w="90" w:type="dxa"/>
            </w:tcMar>
            <w:shd w:val="clear" w:color="auto" w:fill="E5F5FF"/>
          </w:tcPr>
          <w:p>
            <w:pPr>
              <w:pStyle w:val="BDOITable"/>
            </w:pPr>
            <w:r>
              <w:rPr>
                <w:sz w:val="17"/>
              </w:rPr>
              <w:t>2</w:t>
            </w:r>
          </w:p>
        </w:tc>
      </w:tr>
    </w:tbl>
    <w:p>
      <w:pPr>
        <w:pStyle w:val="BDOISpacer"/>
      </w:pPr>
    </w:p>
    <w:p>
      <w:pPr>
        <w:keepNext/>
        <w:spacing w:before="80" w:after="0"/>
        <w:jc w:val="center"/>
      </w:pPr>
      <w:r>
        <w:drawing>
          <wp:inline xmlns:a="http://schemas.openxmlformats.org/drawingml/2006/main" xmlns:pic="http://schemas.openxmlformats.org/drawingml/2006/picture">
            <wp:extent cx="5400000" cy="3903290"/>
            <wp:docPr id="3" name="Picture 3"/>
            <wp:cNvGraphicFramePr>
              <a:graphicFrameLocks noChangeAspect="1"/>
            </wp:cNvGraphicFramePr>
            <a:graphic>
              <a:graphicData uri="http://schemas.openxmlformats.org/drawingml/2006/picture">
                <pic:pic>
                  <pic:nvPicPr>
                    <pic:cNvPr id="0" name="nfr_flow_1003.jpg"/>
                    <pic:cNvPicPr/>
                  </pic:nvPicPr>
                  <pic:blipFill>
                    <a:blip r:embed="rId15"/>
                    <a:stretch>
                      <a:fillRect/>
                    </a:stretch>
                  </pic:blipFill>
                  <pic:spPr>
                    <a:xfrm>
                      <a:off x="0" y="0"/>
                      <a:ext cx="5400000" cy="3903290"/>
                    </a:xfrm>
                    <a:prstGeom prst="rect"/>
                  </pic:spPr>
                </pic:pic>
              </a:graphicData>
            </a:graphic>
          </wp:inline>
        </w:drawing>
      </w:r>
    </w:p>
    <w:p>
      <w:pPr>
        <w:pStyle w:val="Caption"/>
        <w:jc w:val="center"/>
      </w:pPr>
      <w:r>
        <w:rPr>
          <w:b/>
          <w:i w:val="0"/>
        </w:rPr>
        <w:t xml:space="preserve">Figure 1: </w:t>
      </w:r>
      <w:r>
        <w:rPr/>
        <w:t>Where the NFRs are verified</w:t>
      </w:r>
    </w:p>
    <w:p>
      <w:pPr>
        <w:pStyle w:val="Heading1"/>
        <w:pageBreakBefore/>
        <w:pBdr>
          <w:bottom w:val="single" w:sz="4" w:space="4" w:color="99C1E7"/>
        </w:pBdr>
      </w:pPr>
      <w:bookmarkStart w:id="106" w:name="_Toc000106"/>
      <w:r>
        <w:rPr/>
        <w:t>2 Performance, capacity and scalability</w:t>
      </w:r>
      <w:bookmarkEnd w:id="106"/>
    </w:p>
    <w:p>
      <w:pPr>
        <w:pStyle w:val="Heading2"/>
      </w:pPr>
      <w:bookmarkStart w:id="107" w:name="_Toc000107"/>
      <w:r>
        <w:rPr/>
        <w:t>2.1 Performance</w:t>
      </w:r>
      <w:bookmarkEnd w:id="107"/>
    </w:p>
    <w:p>
      <w:pPr>
        <w:pStyle w:val="Caption"/>
        <w:keepNext/>
        <w:spacing w:after="60"/>
      </w:pPr>
      <w:r>
        <w:rPr>
          <w:b/>
          <w:i w:val="0"/>
        </w:rPr>
        <w:t xml:space="preserve">Table 3: </w:t>
      </w:r>
      <w:r>
        <w:rPr/>
        <w:t>Performance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NFR-PRF-01</w:t>
            </w:r>
          </w:p>
        </w:tc>
        <w:tc>
          <w:tcPr>
            <w:tcW w:type="dxa" w:w="1416"/>
            <w:tcMar>
              <w:top w:w="50" w:type="dxa"/>
              <w:bottom w:w="50" w:type="dxa"/>
              <w:left w:w="90" w:type="dxa"/>
              <w:right w:w="90" w:type="dxa"/>
            </w:tcMar>
          </w:tcPr>
          <w:p>
            <w:pPr>
              <w:pStyle w:val="BDOITable"/>
            </w:pPr>
            <w:r>
              <w:rPr>
                <w:sz w:val="15"/>
              </w:rPr>
              <w:t>Screen response time</w:t>
            </w:r>
          </w:p>
        </w:tc>
        <w:tc>
          <w:tcPr>
            <w:tcW w:type="dxa" w:w="3286"/>
            <w:tcMar>
              <w:top w:w="50" w:type="dxa"/>
              <w:bottom w:w="50" w:type="dxa"/>
              <w:left w:w="90" w:type="dxa"/>
              <w:right w:w="90" w:type="dxa"/>
            </w:tcMar>
          </w:tcPr>
          <w:p>
            <w:pPr>
              <w:pStyle w:val="BDOITable"/>
            </w:pPr>
            <w:r>
              <w:rPr>
                <w:sz w:val="15"/>
              </w:rPr>
              <w:t>p95 at most 2.0 seconds and p99 at most 4.0 seconds</w:t>
            </w:r>
          </w:p>
        </w:tc>
        <w:tc>
          <w:tcPr>
            <w:tcW w:type="dxa" w:w="1586"/>
            <w:tcMar>
              <w:top w:w="50" w:type="dxa"/>
              <w:bottom w:w="50" w:type="dxa"/>
              <w:left w:w="90" w:type="dxa"/>
              <w:right w:w="90" w:type="dxa"/>
            </w:tcMar>
          </w:tcPr>
          <w:p>
            <w:pPr>
              <w:pStyle w:val="BDOITable"/>
            </w:pPr>
            <w:r>
              <w:rPr>
                <w:sz w:val="15"/>
              </w:rPr>
              <w:t>Test; Performance (load)</w:t>
            </w:r>
          </w:p>
        </w:tc>
        <w:tc>
          <w:tcPr>
            <w:tcW w:type="dxa" w:w="1303"/>
            <w:tcMar>
              <w:top w:w="50" w:type="dxa"/>
              <w:bottom w:w="50" w:type="dxa"/>
              <w:left w:w="90" w:type="dxa"/>
              <w:right w:w="90" w:type="dxa"/>
            </w:tcMar>
          </w:tcPr>
          <w:p>
            <w:pPr>
              <w:pStyle w:val="BDOITable"/>
            </w:pPr>
            <w:r>
              <w:rPr>
                <w:sz w:val="15"/>
              </w:rPr>
              <w:t>Performance Test Lead</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NFR-PRF-02</w:t>
            </w:r>
          </w:p>
        </w:tc>
        <w:tc>
          <w:tcPr>
            <w:tcW w:type="dxa" w:w="1416"/>
            <w:tcMar>
              <w:top w:w="50" w:type="dxa"/>
              <w:bottom w:w="50" w:type="dxa"/>
              <w:left w:w="90" w:type="dxa"/>
              <w:right w:w="90" w:type="dxa"/>
            </w:tcMar>
            <w:shd w:val="clear" w:color="auto" w:fill="E5F5FF"/>
          </w:tcPr>
          <w:p>
            <w:pPr>
              <w:pStyle w:val="BDOITable"/>
            </w:pPr>
            <w:r>
              <w:rPr>
                <w:sz w:val="15"/>
              </w:rPr>
              <w:t>Search and work-list response time</w:t>
            </w:r>
          </w:p>
        </w:tc>
        <w:tc>
          <w:tcPr>
            <w:tcW w:type="dxa" w:w="3286"/>
            <w:tcMar>
              <w:top w:w="50" w:type="dxa"/>
              <w:bottom w:w="50" w:type="dxa"/>
              <w:left w:w="90" w:type="dxa"/>
              <w:right w:w="90" w:type="dxa"/>
            </w:tcMar>
            <w:shd w:val="clear" w:color="auto" w:fill="E5F5FF"/>
          </w:tcPr>
          <w:p>
            <w:pPr>
              <w:pStyle w:val="BDOITable"/>
            </w:pPr>
            <w:r>
              <w:rPr>
                <w:sz w:val="15"/>
              </w:rPr>
              <w:t>First page (up to 50 rows) p95 at most 3.0 seconds; each further page p95 at most 2.0 seconds</w:t>
            </w:r>
          </w:p>
        </w:tc>
        <w:tc>
          <w:tcPr>
            <w:tcW w:type="dxa" w:w="1586"/>
            <w:tcMar>
              <w:top w:w="50" w:type="dxa"/>
              <w:bottom w:w="50" w:type="dxa"/>
              <w:left w:w="90" w:type="dxa"/>
              <w:right w:w="90" w:type="dxa"/>
            </w:tcMar>
            <w:shd w:val="clear" w:color="auto" w:fill="E5F5FF"/>
          </w:tcPr>
          <w:p>
            <w:pPr>
              <w:pStyle w:val="BDOITable"/>
            </w:pPr>
            <w:r>
              <w:rPr>
                <w:sz w:val="15"/>
              </w:rPr>
              <w:t>Test; Performance (load)</w:t>
            </w:r>
          </w:p>
        </w:tc>
        <w:tc>
          <w:tcPr>
            <w:tcW w:type="dxa" w:w="1303"/>
            <w:tcMar>
              <w:top w:w="50" w:type="dxa"/>
              <w:bottom w:w="50" w:type="dxa"/>
              <w:left w:w="90" w:type="dxa"/>
              <w:right w:w="90" w:type="dxa"/>
            </w:tcMar>
            <w:shd w:val="clear" w:color="auto" w:fill="E5F5FF"/>
          </w:tcPr>
          <w:p>
            <w:pPr>
              <w:pStyle w:val="BDOITable"/>
            </w:pPr>
            <w:r>
              <w:rPr>
                <w:sz w:val="15"/>
              </w:rPr>
              <w:t>Performance Test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NFR-PRF-03</w:t>
            </w:r>
          </w:p>
        </w:tc>
        <w:tc>
          <w:tcPr>
            <w:tcW w:type="dxa" w:w="1416"/>
            <w:tcMar>
              <w:top w:w="50" w:type="dxa"/>
              <w:bottom w:w="50" w:type="dxa"/>
              <w:left w:w="90" w:type="dxa"/>
              <w:right w:w="90" w:type="dxa"/>
            </w:tcMar>
          </w:tcPr>
          <w:p>
            <w:pPr>
              <w:pStyle w:val="BDOITable"/>
            </w:pPr>
            <w:r>
              <w:rPr>
                <w:sz w:val="15"/>
              </w:rPr>
              <w:t>Interactive reports</w:t>
            </w:r>
          </w:p>
        </w:tc>
        <w:tc>
          <w:tcPr>
            <w:tcW w:type="dxa" w:w="3286"/>
            <w:tcMar>
              <w:top w:w="50" w:type="dxa"/>
              <w:bottom w:w="50" w:type="dxa"/>
              <w:left w:w="90" w:type="dxa"/>
              <w:right w:w="90" w:type="dxa"/>
            </w:tcMar>
          </w:tcPr>
          <w:p>
            <w:pPr>
              <w:pStyle w:val="BDOITable"/>
            </w:pPr>
            <w:r>
              <w:rPr>
                <w:sz w:val="15"/>
              </w:rPr>
              <w:t>At most 20 seconds (p95) for a report of up to 30,000 rows</w:t>
            </w:r>
          </w:p>
        </w:tc>
        <w:tc>
          <w:tcPr>
            <w:tcW w:type="dxa" w:w="1586"/>
            <w:tcMar>
              <w:top w:w="50" w:type="dxa"/>
              <w:bottom w:w="50" w:type="dxa"/>
              <w:left w:w="90" w:type="dxa"/>
              <w:right w:w="90" w:type="dxa"/>
            </w:tcMar>
          </w:tcPr>
          <w:p>
            <w:pPr>
              <w:pStyle w:val="BDOITable"/>
            </w:pPr>
            <w:r>
              <w:rPr>
                <w:sz w:val="15"/>
              </w:rPr>
              <w:t>Test; Performance (volume)</w:t>
            </w:r>
          </w:p>
        </w:tc>
        <w:tc>
          <w:tcPr>
            <w:tcW w:type="dxa" w:w="1303"/>
            <w:tcMar>
              <w:top w:w="50" w:type="dxa"/>
              <w:bottom w:w="50" w:type="dxa"/>
              <w:left w:w="90" w:type="dxa"/>
              <w:right w:w="90" w:type="dxa"/>
            </w:tcMar>
          </w:tcPr>
          <w:p>
            <w:pPr>
              <w:pStyle w:val="BDOITable"/>
            </w:pPr>
            <w:r>
              <w:rPr>
                <w:sz w:val="15"/>
              </w:rPr>
              <w:t>Performance Test Lead</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NFR-PRF-04</w:t>
            </w:r>
          </w:p>
        </w:tc>
        <w:tc>
          <w:tcPr>
            <w:tcW w:type="dxa" w:w="1416"/>
            <w:tcMar>
              <w:top w:w="50" w:type="dxa"/>
              <w:bottom w:w="50" w:type="dxa"/>
              <w:left w:w="90" w:type="dxa"/>
              <w:right w:w="90" w:type="dxa"/>
            </w:tcMar>
            <w:shd w:val="clear" w:color="auto" w:fill="E5F5FF"/>
          </w:tcPr>
          <w:p>
            <w:pPr>
              <w:pStyle w:val="BDOITable"/>
            </w:pPr>
            <w:r>
              <w:rPr>
                <w:sz w:val="15"/>
              </w:rPr>
              <w:t>Long-running reports, extracts and scheduled files</w:t>
            </w:r>
          </w:p>
        </w:tc>
        <w:tc>
          <w:tcPr>
            <w:tcW w:type="dxa" w:w="3286"/>
            <w:tcMar>
              <w:top w:w="50" w:type="dxa"/>
              <w:bottom w:w="50" w:type="dxa"/>
              <w:left w:w="90" w:type="dxa"/>
              <w:right w:w="90" w:type="dxa"/>
            </w:tcMar>
            <w:shd w:val="clear" w:color="auto" w:fill="E5F5FF"/>
          </w:tcPr>
          <w:p>
            <w:pPr>
              <w:pStyle w:val="BDOITable"/>
            </w:pPr>
            <w:r>
              <w:rPr>
                <w:sz w:val="15"/>
              </w:rPr>
              <w:t>Daily file at most 3 minutes, weekly at most 10 minutes, monthly at most 15 minutes, at year-5 volumes</w:t>
            </w:r>
          </w:p>
        </w:tc>
        <w:tc>
          <w:tcPr>
            <w:tcW w:type="dxa" w:w="1586"/>
            <w:tcMar>
              <w:top w:w="50" w:type="dxa"/>
              <w:bottom w:w="50" w:type="dxa"/>
              <w:left w:w="90" w:type="dxa"/>
              <w:right w:w="90" w:type="dxa"/>
            </w:tcMar>
            <w:shd w:val="clear" w:color="auto" w:fill="E5F5FF"/>
          </w:tcPr>
          <w:p>
            <w:pPr>
              <w:pStyle w:val="BDOITable"/>
            </w:pPr>
            <w:r>
              <w:rPr>
                <w:sz w:val="15"/>
              </w:rPr>
              <w:t>Test; Performance (volume)</w:t>
            </w:r>
          </w:p>
        </w:tc>
        <w:tc>
          <w:tcPr>
            <w:tcW w:type="dxa" w:w="1303"/>
            <w:tcMar>
              <w:top w:w="50" w:type="dxa"/>
              <w:bottom w:w="50" w:type="dxa"/>
              <w:left w:w="90" w:type="dxa"/>
              <w:right w:w="90" w:type="dxa"/>
            </w:tcMar>
            <w:shd w:val="clear" w:color="auto" w:fill="E5F5FF"/>
          </w:tcPr>
          <w:p>
            <w:pPr>
              <w:pStyle w:val="BDOITable"/>
            </w:pPr>
            <w:r>
              <w:rPr>
                <w:sz w:val="15"/>
              </w:rPr>
              <w:t>Performance Test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NFR-PRF-05</w:t>
            </w:r>
          </w:p>
        </w:tc>
        <w:tc>
          <w:tcPr>
            <w:tcW w:type="dxa" w:w="1416"/>
            <w:tcMar>
              <w:top w:w="50" w:type="dxa"/>
              <w:bottom w:w="50" w:type="dxa"/>
              <w:left w:w="90" w:type="dxa"/>
              <w:right w:w="90" w:type="dxa"/>
            </w:tcMar>
          </w:tcPr>
          <w:p>
            <w:pPr>
              <w:pStyle w:val="BDOITable"/>
            </w:pPr>
            <w:r>
              <w:rPr>
                <w:sz w:val="15"/>
              </w:rPr>
              <w:t>Bulk uploads</w:t>
            </w:r>
          </w:p>
        </w:tc>
        <w:tc>
          <w:tcPr>
            <w:tcW w:type="dxa" w:w="3286"/>
            <w:tcMar>
              <w:top w:w="50" w:type="dxa"/>
              <w:bottom w:w="50" w:type="dxa"/>
              <w:left w:w="90" w:type="dxa"/>
              <w:right w:w="90" w:type="dxa"/>
            </w:tcMar>
          </w:tcPr>
          <w:p>
            <w:pPr>
              <w:pStyle w:val="BDOITable"/>
            </w:pPr>
            <w:r>
              <w:rPr>
                <w:sz w:val="15"/>
              </w:rPr>
              <w:t>Acknowledgement within 3 seconds; a 5,000-row file validated and committed within 10 minutes</w:t>
            </w:r>
          </w:p>
        </w:tc>
        <w:tc>
          <w:tcPr>
            <w:tcW w:type="dxa" w:w="1586"/>
            <w:tcMar>
              <w:top w:w="50" w:type="dxa"/>
              <w:bottom w:w="50" w:type="dxa"/>
              <w:left w:w="90" w:type="dxa"/>
              <w:right w:w="90" w:type="dxa"/>
            </w:tcMar>
          </w:tcPr>
          <w:p>
            <w:pPr>
              <w:pStyle w:val="BDOITable"/>
            </w:pPr>
            <w:r>
              <w:rPr>
                <w:sz w:val="15"/>
              </w:rPr>
              <w:t>Test; Performance (volume)</w:t>
            </w:r>
          </w:p>
        </w:tc>
        <w:tc>
          <w:tcPr>
            <w:tcW w:type="dxa" w:w="1303"/>
            <w:tcMar>
              <w:top w:w="50" w:type="dxa"/>
              <w:bottom w:w="50" w:type="dxa"/>
              <w:left w:w="90" w:type="dxa"/>
              <w:right w:w="90" w:type="dxa"/>
            </w:tcMar>
          </w:tcPr>
          <w:p>
            <w:pPr>
              <w:pStyle w:val="BDOITable"/>
            </w:pPr>
            <w:r>
              <w:rPr>
                <w:sz w:val="15"/>
              </w:rPr>
              <w:t>Performance Test Lead</w:t>
            </w:r>
          </w:p>
        </w:tc>
        <w:tc>
          <w:tcPr>
            <w:tcW w:type="dxa" w:w="1190"/>
            <w:tcMar>
              <w:top w:w="50" w:type="dxa"/>
              <w:bottom w:w="50" w:type="dxa"/>
              <w:left w:w="90" w:type="dxa"/>
              <w:right w:w="90" w:type="dxa"/>
            </w:tcMar>
          </w:tcPr>
          <w:p>
            <w:pPr>
              <w:pStyle w:val="BDOITable"/>
            </w:pPr>
            <w:r>
              <w:rPr>
                <w:sz w:val="15"/>
              </w:rPr>
              <w:t>PROPOSED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NFR-PRF-06</w:t>
            </w:r>
          </w:p>
        </w:tc>
        <w:tc>
          <w:tcPr>
            <w:tcW w:type="dxa" w:w="1416"/>
            <w:tcMar>
              <w:top w:w="50" w:type="dxa"/>
              <w:bottom w:w="50" w:type="dxa"/>
              <w:left w:w="90" w:type="dxa"/>
              <w:right w:w="90" w:type="dxa"/>
            </w:tcMar>
            <w:shd w:val="clear" w:color="auto" w:fill="E5F5FF"/>
          </w:tcPr>
          <w:p>
            <w:pPr>
              <w:pStyle w:val="BDOITable"/>
            </w:pPr>
            <w:r>
              <w:rPr>
                <w:sz w:val="15"/>
              </w:rPr>
              <w:t>Document generation and batch printing</w:t>
            </w:r>
          </w:p>
        </w:tc>
        <w:tc>
          <w:tcPr>
            <w:tcW w:type="dxa" w:w="3286"/>
            <w:tcMar>
              <w:top w:w="50" w:type="dxa"/>
              <w:bottom w:w="50" w:type="dxa"/>
              <w:left w:w="90" w:type="dxa"/>
              <w:right w:w="90" w:type="dxa"/>
            </w:tcMar>
            <w:shd w:val="clear" w:color="auto" w:fill="E5F5FF"/>
          </w:tcPr>
          <w:p>
            <w:pPr>
              <w:pStyle w:val="BDOITable"/>
            </w:pPr>
            <w:r>
              <w:rPr>
                <w:sz w:val="15"/>
              </w:rPr>
              <w:t>One document p95 at most 5 seconds; a batch of 50 documents at most 10 seconds</w:t>
            </w:r>
          </w:p>
        </w:tc>
        <w:tc>
          <w:tcPr>
            <w:tcW w:type="dxa" w:w="1586"/>
            <w:tcMar>
              <w:top w:w="50" w:type="dxa"/>
              <w:bottom w:w="50" w:type="dxa"/>
              <w:left w:w="90" w:type="dxa"/>
              <w:right w:w="90" w:type="dxa"/>
            </w:tcMar>
            <w:shd w:val="clear" w:color="auto" w:fill="E5F5FF"/>
          </w:tcPr>
          <w:p>
            <w:pPr>
              <w:pStyle w:val="BDOITable"/>
            </w:pPr>
            <w:r>
              <w:rPr>
                <w:sz w:val="15"/>
              </w:rPr>
              <w:t>Test; Performance (load)</w:t>
            </w:r>
          </w:p>
        </w:tc>
        <w:tc>
          <w:tcPr>
            <w:tcW w:type="dxa" w:w="1303"/>
            <w:tcMar>
              <w:top w:w="50" w:type="dxa"/>
              <w:bottom w:w="50" w:type="dxa"/>
              <w:left w:w="90" w:type="dxa"/>
              <w:right w:w="90" w:type="dxa"/>
            </w:tcMar>
            <w:shd w:val="clear" w:color="auto" w:fill="E5F5FF"/>
          </w:tcPr>
          <w:p>
            <w:pPr>
              <w:pStyle w:val="BDOITable"/>
            </w:pPr>
            <w:r>
              <w:rPr>
                <w:sz w:val="15"/>
              </w:rPr>
              <w:t>Performance Test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NFR-PRF-07</w:t>
            </w:r>
          </w:p>
        </w:tc>
        <w:tc>
          <w:tcPr>
            <w:tcW w:type="dxa" w:w="1416"/>
            <w:tcMar>
              <w:top w:w="50" w:type="dxa"/>
              <w:bottom w:w="50" w:type="dxa"/>
              <w:left w:w="90" w:type="dxa"/>
              <w:right w:w="90" w:type="dxa"/>
            </w:tcMar>
          </w:tcPr>
          <w:p>
            <w:pPr>
              <w:pStyle w:val="BDOITable"/>
            </w:pPr>
            <w:r>
              <w:rPr>
                <w:sz w:val="15"/>
              </w:rPr>
              <w:t>Night batch window</w:t>
            </w:r>
          </w:p>
        </w:tc>
        <w:tc>
          <w:tcPr>
            <w:tcW w:type="dxa" w:w="3286"/>
            <w:tcMar>
              <w:top w:w="50" w:type="dxa"/>
              <w:bottom w:w="50" w:type="dxa"/>
              <w:left w:w="90" w:type="dxa"/>
              <w:right w:w="90" w:type="dxa"/>
            </w:tcMar>
          </w:tcPr>
          <w:p>
            <w:pPr>
              <w:pStyle w:val="BDOITable"/>
            </w:pPr>
            <w:r>
              <w:rPr>
                <w:sz w:val="15"/>
              </w:rPr>
              <w:t>The chain from 20:00 to 05:30 PHT completes before 06:00 PHT at year-5 volumes; a failed job can be re-run within the window</w:t>
            </w:r>
          </w:p>
        </w:tc>
        <w:tc>
          <w:tcPr>
            <w:tcW w:type="dxa" w:w="1586"/>
            <w:tcMar>
              <w:top w:w="50" w:type="dxa"/>
              <w:bottom w:w="50" w:type="dxa"/>
              <w:left w:w="90" w:type="dxa"/>
              <w:right w:w="90" w:type="dxa"/>
            </w:tcMar>
          </w:tcPr>
          <w:p>
            <w:pPr>
              <w:pStyle w:val="BDOITable"/>
            </w:pPr>
            <w:r>
              <w:rPr>
                <w:sz w:val="15"/>
              </w:rPr>
              <w:t>Test; Performance (volume)</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PROPOSED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NFR-PRF-08</w:t>
            </w:r>
          </w:p>
        </w:tc>
        <w:tc>
          <w:tcPr>
            <w:tcW w:type="dxa" w:w="1416"/>
            <w:tcMar>
              <w:top w:w="50" w:type="dxa"/>
              <w:bottom w:w="50" w:type="dxa"/>
              <w:left w:w="90" w:type="dxa"/>
              <w:right w:w="90" w:type="dxa"/>
            </w:tcMar>
            <w:shd w:val="clear" w:color="auto" w:fill="E5F5FF"/>
          </w:tcPr>
          <w:p>
            <w:pPr>
              <w:pStyle w:val="BDOITable"/>
            </w:pPr>
            <w:r>
              <w:rPr>
                <w:sz w:val="15"/>
              </w:rPr>
              <w:t>Notifications and e-mail</w:t>
            </w:r>
          </w:p>
        </w:tc>
        <w:tc>
          <w:tcPr>
            <w:tcW w:type="dxa" w:w="3286"/>
            <w:tcMar>
              <w:top w:w="50" w:type="dxa"/>
              <w:bottom w:w="50" w:type="dxa"/>
              <w:left w:w="90" w:type="dxa"/>
              <w:right w:w="90" w:type="dxa"/>
            </w:tcMar>
            <w:shd w:val="clear" w:color="auto" w:fill="E5F5FF"/>
          </w:tcPr>
          <w:p>
            <w:pPr>
              <w:pStyle w:val="BDOITable"/>
            </w:pPr>
            <w:r>
              <w:rPr>
                <w:sz w:val="15"/>
              </w:rPr>
              <w:t>In-app notification within 1 minute of the event; e-mail handed to CCM within 5 minutes</w:t>
            </w:r>
          </w:p>
        </w:tc>
        <w:tc>
          <w:tcPr>
            <w:tcW w:type="dxa" w:w="1586"/>
            <w:tcMar>
              <w:top w:w="50" w:type="dxa"/>
              <w:bottom w:w="50" w:type="dxa"/>
              <w:left w:w="90" w:type="dxa"/>
              <w:right w:w="90" w:type="dxa"/>
            </w:tcMar>
            <w:shd w:val="clear" w:color="auto" w:fill="E5F5FF"/>
          </w:tcPr>
          <w:p>
            <w:pPr>
              <w:pStyle w:val="BDOITable"/>
            </w:pPr>
            <w:r>
              <w:rPr>
                <w:sz w:val="15"/>
              </w:rPr>
              <w:t>Test; System integration</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NFR-PRF-09</w:t>
            </w:r>
          </w:p>
        </w:tc>
        <w:tc>
          <w:tcPr>
            <w:tcW w:type="dxa" w:w="1416"/>
            <w:tcMar>
              <w:top w:w="50" w:type="dxa"/>
              <w:bottom w:w="50" w:type="dxa"/>
              <w:left w:w="90" w:type="dxa"/>
              <w:right w:w="90" w:type="dxa"/>
            </w:tcMar>
          </w:tcPr>
          <w:p>
            <w:pPr>
              <w:pStyle w:val="BDOITable"/>
            </w:pPr>
            <w:r>
              <w:rPr>
                <w:sz w:val="15"/>
              </w:rPr>
              <w:t>Sign-in time</w:t>
            </w:r>
          </w:p>
        </w:tc>
        <w:tc>
          <w:tcPr>
            <w:tcW w:type="dxa" w:w="3286"/>
            <w:tcMar>
              <w:top w:w="50" w:type="dxa"/>
              <w:bottom w:w="50" w:type="dxa"/>
              <w:left w:w="90" w:type="dxa"/>
              <w:right w:w="90" w:type="dxa"/>
            </w:tcMar>
          </w:tcPr>
          <w:p>
            <w:pPr>
              <w:pStyle w:val="BDOITable"/>
            </w:pPr>
            <w:r>
              <w:rPr>
                <w:sz w:val="15"/>
              </w:rPr>
              <w:t>p95 at most 3 seconds from the identity provider's answer to the role home page, excluding the user's own MFA entry</w:t>
            </w:r>
          </w:p>
        </w:tc>
        <w:tc>
          <w:tcPr>
            <w:tcW w:type="dxa" w:w="1586"/>
            <w:tcMar>
              <w:top w:w="50" w:type="dxa"/>
              <w:bottom w:w="50" w:type="dxa"/>
              <w:left w:w="90" w:type="dxa"/>
              <w:right w:w="90" w:type="dxa"/>
            </w:tcMar>
          </w:tcPr>
          <w:p>
            <w:pPr>
              <w:pStyle w:val="BDOITable"/>
            </w:pPr>
            <w:r>
              <w:rPr>
                <w:sz w:val="15"/>
              </w:rPr>
              <w:t>Test; Performance (load)</w:t>
            </w:r>
          </w:p>
        </w:tc>
        <w:tc>
          <w:tcPr>
            <w:tcW w:type="dxa" w:w="1303"/>
            <w:tcMar>
              <w:top w:w="50" w:type="dxa"/>
              <w:bottom w:w="50" w:type="dxa"/>
              <w:left w:w="90" w:type="dxa"/>
              <w:right w:w="90" w:type="dxa"/>
            </w:tcMar>
          </w:tcPr>
          <w:p>
            <w:pPr>
              <w:pStyle w:val="BDOITable"/>
            </w:pPr>
            <w:r>
              <w:rPr>
                <w:sz w:val="15"/>
              </w:rPr>
              <w:t>Performance Test Lead</w:t>
            </w:r>
          </w:p>
        </w:tc>
        <w:tc>
          <w:tcPr>
            <w:tcW w:type="dxa" w:w="1190"/>
            <w:tcMar>
              <w:top w:w="50" w:type="dxa"/>
              <w:bottom w:w="50" w:type="dxa"/>
              <w:left w:w="90" w:type="dxa"/>
              <w:right w:w="90" w:type="dxa"/>
            </w:tcMar>
          </w:tcPr>
          <w:p>
            <w:pPr>
              <w:pStyle w:val="BDOITable"/>
            </w:pPr>
            <w:r>
              <w:rPr>
                <w:sz w:val="15"/>
              </w:rPr>
              <w:t>PROPOSED</w:t>
            </w:r>
          </w:p>
        </w:tc>
      </w:tr>
    </w:tbl>
    <w:p>
      <w:pPr>
        <w:pStyle w:val="BDOISpacer"/>
      </w:pPr>
    </w:p>
    <w:p>
      <w:r>
        <w:rPr/>
        <w:t>The response targets apply at the design load of NFR-CAP-01 with the transaction mix of NFR-CAP-02, measured from the BDO network. Reports and files that cannot meet NFR-PRF-03 run as background jobs with a progress indicator, so a user never waits on a screen for a long report.</w:t>
      </w:r>
    </w:p>
    <w:p>
      <w:pPr>
        <w:pStyle w:val="Heading2"/>
      </w:pPr>
      <w:bookmarkStart w:id="108" w:name="_Toc000108"/>
      <w:r>
        <w:rPr/>
        <w:t>2.2 Capacity and volume</w:t>
      </w:r>
      <w:bookmarkEnd w:id="108"/>
    </w:p>
    <w:p>
      <w:pPr>
        <w:pStyle w:val="Caption"/>
        <w:keepNext/>
        <w:spacing w:after="60"/>
      </w:pPr>
      <w:r>
        <w:rPr>
          <w:b/>
          <w:i w:val="0"/>
        </w:rPr>
        <w:t xml:space="preserve">Table 4: </w:t>
      </w:r>
      <w:r>
        <w:rPr/>
        <w:t>Capacity and volume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NFR-CAP-01</w:t>
            </w:r>
          </w:p>
        </w:tc>
        <w:tc>
          <w:tcPr>
            <w:tcW w:type="dxa" w:w="1416"/>
            <w:tcMar>
              <w:top w:w="50" w:type="dxa"/>
              <w:bottom w:w="50" w:type="dxa"/>
              <w:left w:w="90" w:type="dxa"/>
              <w:right w:w="90" w:type="dxa"/>
            </w:tcMar>
          </w:tcPr>
          <w:p>
            <w:pPr>
              <w:pStyle w:val="BDOITable"/>
            </w:pPr>
            <w:r>
              <w:rPr>
                <w:sz w:val="15"/>
              </w:rPr>
              <w:t>Users</w:t>
            </w:r>
          </w:p>
        </w:tc>
        <w:tc>
          <w:tcPr>
            <w:tcW w:type="dxa" w:w="3286"/>
            <w:tcMar>
              <w:top w:w="50" w:type="dxa"/>
              <w:bottom w:w="50" w:type="dxa"/>
              <w:left w:w="90" w:type="dxa"/>
              <w:right w:w="90" w:type="dxa"/>
            </w:tcMar>
          </w:tcPr>
          <w:p>
            <w:pPr>
              <w:pStyle w:val="BDOITable"/>
            </w:pPr>
            <w:r>
              <w:rPr>
                <w:sz w:val="15"/>
              </w:rPr>
              <w:t>1,344 named users; design load 150 concurrent users in year 1, growing 20% a year (311 in year 5); peak test at 429 concurrent sessions</w:t>
            </w:r>
          </w:p>
        </w:tc>
        <w:tc>
          <w:tcPr>
            <w:tcW w:type="dxa" w:w="1586"/>
            <w:tcMar>
              <w:top w:w="50" w:type="dxa"/>
              <w:bottom w:w="50" w:type="dxa"/>
              <w:left w:w="90" w:type="dxa"/>
              <w:right w:w="90" w:type="dxa"/>
            </w:tcMar>
          </w:tcPr>
          <w:p>
            <w:pPr>
              <w:pStyle w:val="BDOITable"/>
            </w:pPr>
            <w:r>
              <w:rPr>
                <w:sz w:val="15"/>
              </w:rPr>
              <w:t>Test; Performance (peak)</w:t>
            </w:r>
          </w:p>
        </w:tc>
        <w:tc>
          <w:tcPr>
            <w:tcW w:type="dxa" w:w="1303"/>
            <w:tcMar>
              <w:top w:w="50" w:type="dxa"/>
              <w:bottom w:w="50" w:type="dxa"/>
              <w:left w:w="90" w:type="dxa"/>
              <w:right w:w="90" w:type="dxa"/>
            </w:tcMar>
          </w:tcPr>
          <w:p>
            <w:pPr>
              <w:pStyle w:val="BDOITable"/>
            </w:pPr>
            <w:r>
              <w:rPr>
                <w:sz w:val="15"/>
              </w:rPr>
              <w:t>Performance Test Lead</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NFR-CAP-02</w:t>
            </w:r>
          </w:p>
        </w:tc>
        <w:tc>
          <w:tcPr>
            <w:tcW w:type="dxa" w:w="1416"/>
            <w:tcMar>
              <w:top w:w="50" w:type="dxa"/>
              <w:bottom w:w="50" w:type="dxa"/>
              <w:left w:w="90" w:type="dxa"/>
              <w:right w:w="90" w:type="dxa"/>
            </w:tcMar>
            <w:shd w:val="clear" w:color="auto" w:fill="E5F5FF"/>
          </w:tcPr>
          <w:p>
            <w:pPr>
              <w:pStyle w:val="BDOITable"/>
            </w:pPr>
            <w:r>
              <w:rPr>
                <w:sz w:val="15"/>
              </w:rPr>
              <w:t>Transaction volumes</w:t>
            </w:r>
          </w:p>
        </w:tc>
        <w:tc>
          <w:tcPr>
            <w:tcW w:type="dxa" w:w="3286"/>
            <w:tcMar>
              <w:top w:w="50" w:type="dxa"/>
              <w:bottom w:w="50" w:type="dxa"/>
              <w:left w:w="90" w:type="dxa"/>
              <w:right w:w="90" w:type="dxa"/>
            </w:tcMar>
            <w:shd w:val="clear" w:color="auto" w:fill="E5F5FF"/>
          </w:tcPr>
          <w:p>
            <w:pPr>
              <w:pStyle w:val="BDOITable"/>
            </w:pPr>
            <w:r>
              <w:rPr>
                <w:sz w:val="15"/>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586"/>
            <w:tcMar>
              <w:top w:w="50" w:type="dxa"/>
              <w:bottom w:w="50" w:type="dxa"/>
              <w:left w:w="90" w:type="dxa"/>
              <w:right w:w="90" w:type="dxa"/>
            </w:tcMar>
            <w:shd w:val="clear" w:color="auto" w:fill="E5F5FF"/>
          </w:tcPr>
          <w:p>
            <w:pPr>
              <w:pStyle w:val="BDOITable"/>
            </w:pPr>
            <w:r>
              <w:rPr>
                <w:sz w:val="15"/>
              </w:rPr>
              <w:t>Test; Performance (volume)</w:t>
            </w:r>
          </w:p>
        </w:tc>
        <w:tc>
          <w:tcPr>
            <w:tcW w:type="dxa" w:w="1303"/>
            <w:tcMar>
              <w:top w:w="50" w:type="dxa"/>
              <w:bottom w:w="50" w:type="dxa"/>
              <w:left w:w="90" w:type="dxa"/>
              <w:right w:w="90" w:type="dxa"/>
            </w:tcMar>
            <w:shd w:val="clear" w:color="auto" w:fill="E5F5FF"/>
          </w:tcPr>
          <w:p>
            <w:pPr>
              <w:pStyle w:val="BDOITable"/>
            </w:pPr>
            <w:r>
              <w:rPr>
                <w:sz w:val="15"/>
              </w:rPr>
              <w:t>Performance Test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NFR-CAP-03</w:t>
            </w:r>
          </w:p>
        </w:tc>
        <w:tc>
          <w:tcPr>
            <w:tcW w:type="dxa" w:w="1416"/>
            <w:tcMar>
              <w:top w:w="50" w:type="dxa"/>
              <w:bottom w:w="50" w:type="dxa"/>
              <w:left w:w="90" w:type="dxa"/>
              <w:right w:w="90" w:type="dxa"/>
            </w:tcMar>
          </w:tcPr>
          <w:p>
            <w:pPr>
              <w:pStyle w:val="BDOITable"/>
            </w:pPr>
            <w:r>
              <w:rPr>
                <w:sz w:val="15"/>
              </w:rPr>
              <w:t>Data and document volume</w:t>
            </w:r>
          </w:p>
        </w:tc>
        <w:tc>
          <w:tcPr>
            <w:tcW w:type="dxa" w:w="3286"/>
            <w:tcMar>
              <w:top w:w="50" w:type="dxa"/>
              <w:bottom w:w="50" w:type="dxa"/>
              <w:left w:w="90" w:type="dxa"/>
              <w:right w:w="90" w:type="dxa"/>
            </w:tcMar>
          </w:tcPr>
          <w:p>
            <w:pPr>
              <w:pStyle w:val="BDOITable"/>
            </w:pPr>
            <w:r>
              <w:rPr>
                <w:sz w:val="15"/>
              </w:rPr>
              <w:t>Five years (60 months) at 20% growth a year with at least 30% free capacity at the end of year 5; migrated base up to 1,000,000 client rows and 500,000 open items</w:t>
            </w:r>
          </w:p>
        </w:tc>
        <w:tc>
          <w:tcPr>
            <w:tcW w:type="dxa" w:w="1586"/>
            <w:tcMar>
              <w:top w:w="50" w:type="dxa"/>
              <w:bottom w:w="50" w:type="dxa"/>
              <w:left w:w="90" w:type="dxa"/>
              <w:right w:w="90" w:type="dxa"/>
            </w:tcMar>
          </w:tcPr>
          <w:p>
            <w:pPr>
              <w:pStyle w:val="BDOITable"/>
            </w:pPr>
            <w:r>
              <w:rPr>
                <w:sz w:val="15"/>
              </w:rPr>
              <w:t>Analysis; Capacity analysis</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PROPOSED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NFR-CAP-04</w:t>
            </w:r>
          </w:p>
        </w:tc>
        <w:tc>
          <w:tcPr>
            <w:tcW w:type="dxa" w:w="1416"/>
            <w:tcMar>
              <w:top w:w="50" w:type="dxa"/>
              <w:bottom w:w="50" w:type="dxa"/>
              <w:left w:w="90" w:type="dxa"/>
              <w:right w:w="90" w:type="dxa"/>
            </w:tcMar>
            <w:shd w:val="clear" w:color="auto" w:fill="E5F5FF"/>
          </w:tcPr>
          <w:p>
            <w:pPr>
              <w:pStyle w:val="BDOITable"/>
            </w:pPr>
            <w:r>
              <w:rPr>
                <w:sz w:val="15"/>
              </w:rPr>
              <w:t>File sizes</w:t>
            </w:r>
          </w:p>
        </w:tc>
        <w:tc>
          <w:tcPr>
            <w:tcW w:type="dxa" w:w="3286"/>
            <w:tcMar>
              <w:top w:w="50" w:type="dxa"/>
              <w:bottom w:w="50" w:type="dxa"/>
              <w:left w:w="90" w:type="dxa"/>
              <w:right w:w="90" w:type="dxa"/>
            </w:tcMar>
            <w:shd w:val="clear" w:color="auto" w:fill="E5F5FF"/>
          </w:tcPr>
          <w:p>
            <w:pPr>
              <w:pStyle w:val="BDOITable"/>
            </w:pPr>
            <w:r>
              <w:rPr>
                <w:sz w:val="15"/>
              </w:rPr>
              <w:t>Attachments up to 10 MB a file; uploads through the screens up to 25 MB; bulk files up to 5 GB by direct transfer; limits are parameters</w:t>
            </w:r>
          </w:p>
        </w:tc>
        <w:tc>
          <w:tcPr>
            <w:tcW w:type="dxa" w:w="1586"/>
            <w:tcMar>
              <w:top w:w="50" w:type="dxa"/>
              <w:bottom w:w="50" w:type="dxa"/>
              <w:left w:w="90" w:type="dxa"/>
              <w:right w:w="90" w:type="dxa"/>
            </w:tcMar>
            <w:shd w:val="clear" w:color="auto" w:fill="E5F5FF"/>
          </w:tcPr>
          <w:p>
            <w:pPr>
              <w:pStyle w:val="BDOITable"/>
            </w:pPr>
            <w:r>
              <w:rPr>
                <w:sz w:val="15"/>
              </w:rPr>
              <w:t>Test; System (boundary)</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NFR-CAP-05</w:t>
            </w:r>
          </w:p>
        </w:tc>
        <w:tc>
          <w:tcPr>
            <w:tcW w:type="dxa" w:w="1416"/>
            <w:tcMar>
              <w:top w:w="50" w:type="dxa"/>
              <w:bottom w:w="50" w:type="dxa"/>
              <w:left w:w="90" w:type="dxa"/>
              <w:right w:w="90" w:type="dxa"/>
            </w:tcMar>
          </w:tcPr>
          <w:p>
            <w:pPr>
              <w:pStyle w:val="BDOITable"/>
            </w:pPr>
            <w:r>
              <w:rPr>
                <w:sz w:val="15"/>
              </w:rPr>
              <w:t>Peak periods</w:t>
            </w:r>
          </w:p>
        </w:tc>
        <w:tc>
          <w:tcPr>
            <w:tcW w:type="dxa" w:w="3286"/>
            <w:tcMar>
              <w:top w:w="50" w:type="dxa"/>
              <w:bottom w:w="50" w:type="dxa"/>
              <w:left w:w="90" w:type="dxa"/>
              <w:right w:w="90" w:type="dxa"/>
            </w:tcMar>
          </w:tcPr>
          <w:p>
            <w:pPr>
              <w:pStyle w:val="BDOITable"/>
            </w:pPr>
            <w:r>
              <w:rPr>
                <w:sz w:val="15"/>
              </w:rPr>
              <w:t>1.5 times the average daily volume on the 15th, the 30th, month-end and year-end, within NFR-PRF-01 and NFR-PRF-02</w:t>
            </w:r>
          </w:p>
        </w:tc>
        <w:tc>
          <w:tcPr>
            <w:tcW w:type="dxa" w:w="1586"/>
            <w:tcMar>
              <w:top w:w="50" w:type="dxa"/>
              <w:bottom w:w="50" w:type="dxa"/>
              <w:left w:w="90" w:type="dxa"/>
              <w:right w:w="90" w:type="dxa"/>
            </w:tcMar>
          </w:tcPr>
          <w:p>
            <w:pPr>
              <w:pStyle w:val="BDOITable"/>
            </w:pPr>
            <w:r>
              <w:rPr>
                <w:sz w:val="15"/>
              </w:rPr>
              <w:t>Test; Performance (peak)</w:t>
            </w:r>
          </w:p>
        </w:tc>
        <w:tc>
          <w:tcPr>
            <w:tcW w:type="dxa" w:w="1303"/>
            <w:tcMar>
              <w:top w:w="50" w:type="dxa"/>
              <w:bottom w:w="50" w:type="dxa"/>
              <w:left w:w="90" w:type="dxa"/>
              <w:right w:w="90" w:type="dxa"/>
            </w:tcMar>
          </w:tcPr>
          <w:p>
            <w:pPr>
              <w:pStyle w:val="BDOITable"/>
            </w:pPr>
            <w:r>
              <w:rPr>
                <w:sz w:val="15"/>
              </w:rPr>
              <w:t>Performance Test Lead</w:t>
            </w:r>
          </w:p>
        </w:tc>
        <w:tc>
          <w:tcPr>
            <w:tcW w:type="dxa" w:w="1190"/>
            <w:tcMar>
              <w:top w:w="50" w:type="dxa"/>
              <w:bottom w:w="50" w:type="dxa"/>
              <w:left w:w="90" w:type="dxa"/>
              <w:right w:w="90" w:type="dxa"/>
            </w:tcMar>
          </w:tcPr>
          <w:p>
            <w:pPr>
              <w:pStyle w:val="BDOITable"/>
            </w:pPr>
            <w:r>
              <w:rPr>
                <w:sz w:val="15"/>
              </w:rPr>
              <w:t>PROPOSED</w:t>
            </w:r>
          </w:p>
        </w:tc>
      </w:tr>
    </w:tbl>
    <w:p>
      <w:pPr>
        <w:pStyle w:val="BDOISpacer"/>
      </w:pPr>
    </w:p>
    <w:p>
      <w:r>
        <w:rPr/>
        <w:t>The design load grows 20% a year from 150 concurrent users: 150, 180, 216, 259 and 311 in years 1 to 5. The peak test at 429 concurrent sessions (the sum of the BRD rows of the umbrella BRD) covers year 5 with margin.</w:t>
      </w:r>
    </w:p>
    <w:p>
      <w:pPr>
        <w:pStyle w:val="Heading2"/>
      </w:pPr>
      <w:bookmarkStart w:id="109" w:name="_Toc000109"/>
      <w:r>
        <w:rPr/>
        <w:t>2.3 Scalability</w:t>
      </w:r>
      <w:bookmarkEnd w:id="109"/>
    </w:p>
    <w:p>
      <w:pPr>
        <w:pStyle w:val="Caption"/>
        <w:keepNext/>
        <w:spacing w:after="60"/>
      </w:pPr>
      <w:r>
        <w:rPr>
          <w:b/>
          <w:i w:val="0"/>
        </w:rPr>
        <w:t xml:space="preserve">Table 5: </w:t>
      </w:r>
      <w:r>
        <w:rPr/>
        <w:t>Scalability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NFR-SCL-01</w:t>
            </w:r>
          </w:p>
        </w:tc>
        <w:tc>
          <w:tcPr>
            <w:tcW w:type="dxa" w:w="1416"/>
            <w:tcMar>
              <w:top w:w="50" w:type="dxa"/>
              <w:bottom w:w="50" w:type="dxa"/>
              <w:left w:w="90" w:type="dxa"/>
              <w:right w:w="90" w:type="dxa"/>
            </w:tcMar>
          </w:tcPr>
          <w:p>
            <w:pPr>
              <w:pStyle w:val="BDOITable"/>
            </w:pPr>
            <w:r>
              <w:rPr>
                <w:sz w:val="15"/>
              </w:rPr>
              <w:t>Horizontal scaling without downtime</w:t>
            </w:r>
          </w:p>
        </w:tc>
        <w:tc>
          <w:tcPr>
            <w:tcW w:type="dxa" w:w="3286"/>
            <w:tcMar>
              <w:top w:w="50" w:type="dxa"/>
              <w:bottom w:w="50" w:type="dxa"/>
              <w:left w:w="90" w:type="dxa"/>
              <w:right w:w="90" w:type="dxa"/>
            </w:tcMar>
          </w:tcPr>
          <w:p>
            <w:pPr>
              <w:pStyle w:val="BDOITable"/>
            </w:pPr>
            <w:r>
              <w:rPr>
                <w:sz w:val="15"/>
              </w:rPr>
              <w:t>Production backend 3 to 6 pods in year 1 and 4 to 8 in year 5 by CPU-based autoscaling; a scale-out completes within 5 minutes</w:t>
            </w:r>
          </w:p>
        </w:tc>
        <w:tc>
          <w:tcPr>
            <w:tcW w:type="dxa" w:w="1586"/>
            <w:tcMar>
              <w:top w:w="50" w:type="dxa"/>
              <w:bottom w:w="50" w:type="dxa"/>
              <w:left w:w="90" w:type="dxa"/>
              <w:right w:w="90" w:type="dxa"/>
            </w:tcMar>
          </w:tcPr>
          <w:p>
            <w:pPr>
              <w:pStyle w:val="BDOITable"/>
            </w:pPr>
            <w:r>
              <w:rPr>
                <w:sz w:val="15"/>
              </w:rPr>
              <w:t>Test; Performance (stress)</w:t>
            </w:r>
          </w:p>
        </w:tc>
        <w:tc>
          <w:tcPr>
            <w:tcW w:type="dxa" w:w="1303"/>
            <w:tcMar>
              <w:top w:w="50" w:type="dxa"/>
              <w:bottom w:w="50" w:type="dxa"/>
              <w:left w:w="90" w:type="dxa"/>
              <w:right w:w="90" w:type="dxa"/>
            </w:tcMar>
          </w:tcPr>
          <w:p>
            <w:pPr>
              <w:pStyle w:val="BDOITable"/>
            </w:pPr>
            <w:r>
              <w:rPr>
                <w:sz w:val="15"/>
              </w:rPr>
              <w:t>DevOps and Platform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NFR-SCL-02</w:t>
            </w:r>
          </w:p>
        </w:tc>
        <w:tc>
          <w:tcPr>
            <w:tcW w:type="dxa" w:w="1416"/>
            <w:tcMar>
              <w:top w:w="50" w:type="dxa"/>
              <w:bottom w:w="50" w:type="dxa"/>
              <w:left w:w="90" w:type="dxa"/>
              <w:right w:w="90" w:type="dxa"/>
            </w:tcMar>
            <w:shd w:val="clear" w:color="auto" w:fill="E5F5FF"/>
          </w:tcPr>
          <w:p>
            <w:pPr>
              <w:pStyle w:val="BDOITable"/>
            </w:pPr>
            <w:r>
              <w:rPr>
                <w:sz w:val="15"/>
              </w:rPr>
              <w:t>Data-tier scaling</w:t>
            </w:r>
          </w:p>
        </w:tc>
        <w:tc>
          <w:tcPr>
            <w:tcW w:type="dxa" w:w="3286"/>
            <w:tcMar>
              <w:top w:w="50" w:type="dxa"/>
              <w:bottom w:w="50" w:type="dxa"/>
              <w:left w:w="90" w:type="dxa"/>
              <w:right w:w="90" w:type="dxa"/>
            </w:tcMar>
            <w:shd w:val="clear" w:color="auto" w:fill="E5F5FF"/>
          </w:tcPr>
          <w:p>
            <w:pPr>
              <w:pStyle w:val="BDOITable"/>
            </w:pPr>
            <w:r>
              <w:rPr>
                <w:sz w:val="15"/>
              </w:rPr>
              <w:t>Storage grows without downtime; a compute class change at most 120 minutes of downtime, inside the maintenance window</w:t>
            </w:r>
          </w:p>
        </w:tc>
        <w:tc>
          <w:tcPr>
            <w:tcW w:type="dxa" w:w="1586"/>
            <w:tcMar>
              <w:top w:w="50" w:type="dxa"/>
              <w:bottom w:w="50" w:type="dxa"/>
              <w:left w:w="90" w:type="dxa"/>
              <w:right w:w="90" w:type="dxa"/>
            </w:tcMar>
            <w:shd w:val="clear" w:color="auto" w:fill="E5F5FF"/>
          </w:tcPr>
          <w:p>
            <w:pPr>
              <w:pStyle w:val="BDOITable"/>
            </w:pPr>
            <w:r>
              <w:rPr>
                <w:sz w:val="15"/>
              </w:rPr>
              <w:t>Test; Operational acceptance</w:t>
            </w:r>
          </w:p>
        </w:tc>
        <w:tc>
          <w:tcPr>
            <w:tcW w:type="dxa" w:w="1303"/>
            <w:tcMar>
              <w:top w:w="50" w:type="dxa"/>
              <w:bottom w:w="50" w:type="dxa"/>
              <w:left w:w="90" w:type="dxa"/>
              <w:right w:w="90" w:type="dxa"/>
            </w:tcMar>
            <w:shd w:val="clear" w:color="auto" w:fill="E5F5FF"/>
          </w:tcPr>
          <w:p>
            <w:pPr>
              <w:pStyle w:val="BDOITable"/>
            </w:pPr>
            <w:r>
              <w:rPr>
                <w:sz w:val="15"/>
              </w:rPr>
              <w:t>DevOps and Platform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NFR-SCL-03</w:t>
            </w:r>
          </w:p>
        </w:tc>
        <w:tc>
          <w:tcPr>
            <w:tcW w:type="dxa" w:w="1416"/>
            <w:tcMar>
              <w:top w:w="50" w:type="dxa"/>
              <w:bottom w:w="50" w:type="dxa"/>
              <w:left w:w="90" w:type="dxa"/>
              <w:right w:w="90" w:type="dxa"/>
            </w:tcMar>
          </w:tcPr>
          <w:p>
            <w:pPr>
              <w:pStyle w:val="BDOITable"/>
            </w:pPr>
            <w:r>
              <w:rPr>
                <w:sz w:val="15"/>
              </w:rPr>
              <w:t>Stateless application tier</w:t>
            </w:r>
          </w:p>
        </w:tc>
        <w:tc>
          <w:tcPr>
            <w:tcW w:type="dxa" w:w="3286"/>
            <w:tcMar>
              <w:top w:w="50" w:type="dxa"/>
              <w:bottom w:w="50" w:type="dxa"/>
              <w:left w:w="90" w:type="dxa"/>
              <w:right w:w="90" w:type="dxa"/>
            </w:tcMar>
          </w:tcPr>
          <w:p>
            <w:pPr>
              <w:pStyle w:val="BDOITable"/>
            </w:pPr>
            <w:r>
              <w:rPr>
                <w:sz w:val="15"/>
              </w:rPr>
              <w:t>No user session state in the pods; each job run holds a cluster-wide lock; 0 duplicate job runs in the volume test</w:t>
            </w:r>
          </w:p>
        </w:tc>
        <w:tc>
          <w:tcPr>
            <w:tcW w:type="dxa" w:w="1586"/>
            <w:tcMar>
              <w:top w:w="50" w:type="dxa"/>
              <w:bottom w:w="50" w:type="dxa"/>
              <w:left w:w="90" w:type="dxa"/>
              <w:right w:w="90" w:type="dxa"/>
            </w:tcMar>
          </w:tcPr>
          <w:p>
            <w:pPr>
              <w:pStyle w:val="BDOITable"/>
            </w:pPr>
            <w:r>
              <w:rPr>
                <w:sz w:val="15"/>
              </w:rPr>
              <w:t>Inspection; System integration</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NFR-SCL-04</w:t>
            </w:r>
          </w:p>
        </w:tc>
        <w:tc>
          <w:tcPr>
            <w:tcW w:type="dxa" w:w="1416"/>
            <w:tcMar>
              <w:top w:w="50" w:type="dxa"/>
              <w:bottom w:w="50" w:type="dxa"/>
              <w:left w:w="90" w:type="dxa"/>
              <w:right w:w="90" w:type="dxa"/>
            </w:tcMar>
            <w:shd w:val="clear" w:color="auto" w:fill="E5F5FF"/>
          </w:tcPr>
          <w:p>
            <w:pPr>
              <w:pStyle w:val="BDOITable"/>
            </w:pPr>
            <w:r>
              <w:rPr>
                <w:sz w:val="15"/>
              </w:rPr>
              <w:t>Growth headroom</w:t>
            </w:r>
          </w:p>
        </w:tc>
        <w:tc>
          <w:tcPr>
            <w:tcW w:type="dxa" w:w="3286"/>
            <w:tcMar>
              <w:top w:w="50" w:type="dxa"/>
              <w:bottom w:w="50" w:type="dxa"/>
              <w:left w:w="90" w:type="dxa"/>
              <w:right w:w="90" w:type="dxa"/>
            </w:tcMar>
            <w:shd w:val="clear" w:color="auto" w:fill="E5F5FF"/>
          </w:tcPr>
          <w:p>
            <w:pPr>
              <w:pStyle w:val="BDOITable"/>
            </w:pPr>
            <w:r>
              <w:rPr>
                <w:sz w:val="15"/>
              </w:rPr>
              <w:t>At the year-5 peak, CPU and memory use of the cluster below 70%</w:t>
            </w:r>
          </w:p>
        </w:tc>
        <w:tc>
          <w:tcPr>
            <w:tcW w:type="dxa" w:w="1586"/>
            <w:tcMar>
              <w:top w:w="50" w:type="dxa"/>
              <w:bottom w:w="50" w:type="dxa"/>
              <w:left w:w="90" w:type="dxa"/>
              <w:right w:w="90" w:type="dxa"/>
            </w:tcMar>
            <w:shd w:val="clear" w:color="auto" w:fill="E5F5FF"/>
          </w:tcPr>
          <w:p>
            <w:pPr>
              <w:pStyle w:val="BDOITable"/>
            </w:pPr>
            <w:r>
              <w:rPr>
                <w:sz w:val="15"/>
              </w:rPr>
              <w:t>Test; Performance (stress)</w:t>
            </w:r>
          </w:p>
        </w:tc>
        <w:tc>
          <w:tcPr>
            <w:tcW w:type="dxa" w:w="1303"/>
            <w:tcMar>
              <w:top w:w="50" w:type="dxa"/>
              <w:bottom w:w="50" w:type="dxa"/>
              <w:left w:w="90" w:type="dxa"/>
              <w:right w:w="90" w:type="dxa"/>
            </w:tcMar>
            <w:shd w:val="clear" w:color="auto" w:fill="E5F5FF"/>
          </w:tcPr>
          <w:p>
            <w:pPr>
              <w:pStyle w:val="BDOITable"/>
            </w:pPr>
            <w:r>
              <w:rPr>
                <w:sz w:val="15"/>
              </w:rPr>
              <w:t>Performance Test Lead</w:t>
            </w:r>
          </w:p>
        </w:tc>
        <w:tc>
          <w:tcPr>
            <w:tcW w:type="dxa" w:w="1190"/>
            <w:tcMar>
              <w:top w:w="50" w:type="dxa"/>
              <w:bottom w:w="50" w:type="dxa"/>
              <w:left w:w="90" w:type="dxa"/>
              <w:right w:w="90" w:type="dxa"/>
            </w:tcMar>
            <w:shd w:val="clear" w:color="auto" w:fill="E5F5FF"/>
          </w:tcPr>
          <w:p>
            <w:pPr>
              <w:pStyle w:val="BDOITable"/>
            </w:pPr>
            <w:r>
              <w:rPr>
                <w:sz w:val="15"/>
              </w:rPr>
              <w:t>PROPOSED</w:t>
            </w:r>
          </w:p>
        </w:tc>
      </w:tr>
    </w:tbl>
    <w:p>
      <w:pPr>
        <w:pStyle w:val="BDOISpacer"/>
      </w:pPr>
    </w:p>
    <w:p>
      <w:pPr>
        <w:pStyle w:val="Heading1"/>
        <w:pageBreakBefore/>
        <w:pBdr>
          <w:bottom w:val="single" w:sz="4" w:space="4" w:color="99C1E7"/>
        </w:pBdr>
      </w:pPr>
      <w:bookmarkStart w:id="110" w:name="_Toc000110"/>
      <w:r>
        <w:rPr/>
        <w:t>3 Availability and recovery</w:t>
      </w:r>
      <w:bookmarkEnd w:id="110"/>
    </w:p>
    <w:p>
      <w:pPr>
        <w:pStyle w:val="Heading2"/>
      </w:pPr>
      <w:bookmarkStart w:id="111" w:name="_Toc000111"/>
      <w:r>
        <w:rPr/>
        <w:t>3.1 Availability</w:t>
      </w:r>
      <w:bookmarkEnd w:id="111"/>
    </w:p>
    <w:p>
      <w:pPr>
        <w:pStyle w:val="Caption"/>
        <w:keepNext/>
        <w:spacing w:after="60"/>
      </w:pPr>
      <w:r>
        <w:rPr>
          <w:b/>
          <w:i w:val="0"/>
        </w:rPr>
        <w:t xml:space="preserve">Table 6: </w:t>
      </w:r>
      <w:r>
        <w:rPr/>
        <w:t>Availability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NFR-AVL-01</w:t>
            </w:r>
          </w:p>
        </w:tc>
        <w:tc>
          <w:tcPr>
            <w:tcW w:type="dxa" w:w="1416"/>
            <w:tcMar>
              <w:top w:w="50" w:type="dxa"/>
              <w:bottom w:w="50" w:type="dxa"/>
              <w:left w:w="90" w:type="dxa"/>
              <w:right w:w="90" w:type="dxa"/>
            </w:tcMar>
          </w:tcPr>
          <w:p>
            <w:pPr>
              <w:pStyle w:val="BDOITable"/>
            </w:pPr>
            <w:r>
              <w:rPr>
                <w:sz w:val="15"/>
              </w:rPr>
              <w:t>Availability in the service window</w:t>
            </w:r>
          </w:p>
        </w:tc>
        <w:tc>
          <w:tcPr>
            <w:tcW w:type="dxa" w:w="3286"/>
            <w:tcMar>
              <w:top w:w="50" w:type="dxa"/>
              <w:bottom w:w="50" w:type="dxa"/>
              <w:left w:w="90" w:type="dxa"/>
              <w:right w:w="90" w:type="dxa"/>
            </w:tcMar>
          </w:tcPr>
          <w:p>
            <w:pPr>
              <w:pStyle w:val="BDOITable"/>
            </w:pPr>
            <w:r>
              <w:rPr>
                <w:sz w:val="15"/>
              </w:rPr>
              <w:t>99.9% of the service window each month (about 25 minutes of unplanned unavailability in a month of 26 service days)</w:t>
            </w:r>
          </w:p>
        </w:tc>
        <w:tc>
          <w:tcPr>
            <w:tcW w:type="dxa" w:w="1586"/>
            <w:tcMar>
              <w:top w:w="50" w:type="dxa"/>
              <w:bottom w:w="50" w:type="dxa"/>
              <w:left w:w="90" w:type="dxa"/>
              <w:right w:w="90" w:type="dxa"/>
            </w:tcMar>
          </w:tcPr>
          <w:p>
            <w:pPr>
              <w:pStyle w:val="BDOITable"/>
            </w:pPr>
            <w:r>
              <w:rPr>
                <w:sz w:val="15"/>
              </w:rPr>
              <w:t>Analysis; Operational acceptance</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NFR-AVL-02</w:t>
            </w:r>
          </w:p>
        </w:tc>
        <w:tc>
          <w:tcPr>
            <w:tcW w:type="dxa" w:w="1416"/>
            <w:tcMar>
              <w:top w:w="50" w:type="dxa"/>
              <w:bottom w:w="50" w:type="dxa"/>
              <w:left w:w="90" w:type="dxa"/>
              <w:right w:w="90" w:type="dxa"/>
            </w:tcMar>
            <w:shd w:val="clear" w:color="auto" w:fill="E5F5FF"/>
          </w:tcPr>
          <w:p>
            <w:pPr>
              <w:pStyle w:val="BDOITable"/>
            </w:pPr>
            <w:r>
              <w:rPr>
                <w:sz w:val="15"/>
              </w:rPr>
              <w:t>Service window</w:t>
            </w:r>
          </w:p>
        </w:tc>
        <w:tc>
          <w:tcPr>
            <w:tcW w:type="dxa" w:w="3286"/>
            <w:tcMar>
              <w:top w:w="50" w:type="dxa"/>
              <w:bottom w:w="50" w:type="dxa"/>
              <w:left w:w="90" w:type="dxa"/>
              <w:right w:w="90" w:type="dxa"/>
            </w:tcMar>
            <w:shd w:val="clear" w:color="auto" w:fill="E5F5FF"/>
          </w:tcPr>
          <w:p>
            <w:pPr>
              <w:pStyle w:val="BDOITable"/>
            </w:pPr>
            <w:r>
              <w:rPr>
                <w:sz w:val="15"/>
              </w:rPr>
              <w:t>06:00 to 22:00 PHT Monday to Saturday, plus month-end weekends; production infrastructure 24 x 7</w:t>
            </w:r>
          </w:p>
        </w:tc>
        <w:tc>
          <w:tcPr>
            <w:tcW w:type="dxa" w:w="1586"/>
            <w:tcMar>
              <w:top w:w="50" w:type="dxa"/>
              <w:bottom w:w="50" w:type="dxa"/>
              <w:left w:w="90" w:type="dxa"/>
              <w:right w:w="90" w:type="dxa"/>
            </w:tcMar>
            <w:shd w:val="clear" w:color="auto" w:fill="E5F5FF"/>
          </w:tcPr>
          <w:p>
            <w:pPr>
              <w:pStyle w:val="BDOITable"/>
            </w:pPr>
            <w:r>
              <w:rPr>
                <w:sz w:val="15"/>
              </w:rPr>
              <w:t>Inspection; Operational acceptance</w:t>
            </w:r>
          </w:p>
        </w:tc>
        <w:tc>
          <w:tcPr>
            <w:tcW w:type="dxa" w:w="1303"/>
            <w:tcMar>
              <w:top w:w="50" w:type="dxa"/>
              <w:bottom w:w="50" w:type="dxa"/>
              <w:left w:w="90" w:type="dxa"/>
              <w:right w:w="90" w:type="dxa"/>
            </w:tcMar>
            <w:shd w:val="clear" w:color="auto" w:fill="E5F5FF"/>
          </w:tcPr>
          <w:p>
            <w:pPr>
              <w:pStyle w:val="BDOITable"/>
            </w:pPr>
            <w:r>
              <w:rPr>
                <w:sz w:val="15"/>
              </w:rPr>
              <w:t>Solution Architect</w:t>
            </w:r>
          </w:p>
        </w:tc>
        <w:tc>
          <w:tcPr>
            <w:tcW w:type="dxa" w:w="1190"/>
            <w:tcMar>
              <w:top w:w="50" w:type="dxa"/>
              <w:bottom w:w="50" w:type="dxa"/>
              <w:left w:w="90" w:type="dxa"/>
              <w:right w:w="90" w:type="dxa"/>
            </w:tcMar>
            <w:shd w:val="clear" w:color="auto" w:fill="E5F5FF"/>
          </w:tcPr>
          <w:p>
            <w:pPr>
              <w:pStyle w:val="BDOITable"/>
            </w:pPr>
            <w:r>
              <w:rPr>
                <w:sz w:val="15"/>
              </w:rPr>
              <w:t>DECISION</w:t>
            </w:r>
          </w:p>
        </w:tc>
      </w:tr>
      <w:tr>
        <w:trPr>
          <w:cantSplit w:val="true"/>
        </w:trPr>
        <w:tc>
          <w:tcPr>
            <w:tcW w:type="dxa" w:w="1190"/>
            <w:tcMar>
              <w:top w:w="50" w:type="dxa"/>
              <w:bottom w:w="50" w:type="dxa"/>
              <w:left w:w="90" w:type="dxa"/>
              <w:right w:w="90" w:type="dxa"/>
            </w:tcMar>
          </w:tcPr>
          <w:p>
            <w:pPr>
              <w:pStyle w:val="BDOITable"/>
            </w:pPr>
            <w:r>
              <w:rPr>
                <w:b/>
                <w:sz w:val="15"/>
              </w:rPr>
              <w:t>NFR-AVL-03</w:t>
            </w:r>
          </w:p>
        </w:tc>
        <w:tc>
          <w:tcPr>
            <w:tcW w:type="dxa" w:w="1416"/>
            <w:tcMar>
              <w:top w:w="50" w:type="dxa"/>
              <w:bottom w:w="50" w:type="dxa"/>
              <w:left w:w="90" w:type="dxa"/>
              <w:right w:w="90" w:type="dxa"/>
            </w:tcMar>
          </w:tcPr>
          <w:p>
            <w:pPr>
              <w:pStyle w:val="BDOITable"/>
            </w:pPr>
            <w:r>
              <w:rPr>
                <w:sz w:val="15"/>
              </w:rPr>
              <w:t>Planned maintenance</w:t>
            </w:r>
          </w:p>
        </w:tc>
        <w:tc>
          <w:tcPr>
            <w:tcW w:type="dxa" w:w="3286"/>
            <w:tcMar>
              <w:top w:w="50" w:type="dxa"/>
              <w:bottom w:w="50" w:type="dxa"/>
              <w:left w:w="90" w:type="dxa"/>
              <w:right w:w="90" w:type="dxa"/>
            </w:tcMar>
          </w:tcPr>
          <w:p>
            <w:pPr>
              <w:pStyle w:val="BDOITable"/>
            </w:pPr>
            <w:r>
              <w:rPr>
                <w:sz w:val="15"/>
              </w:rPr>
              <w:t>00:00 to 04:00 PHT; at most 45 minutes of planned downtime a month; announced 5 business days ahead; releases without downtime where the change allows</w:t>
            </w:r>
          </w:p>
        </w:tc>
        <w:tc>
          <w:tcPr>
            <w:tcW w:type="dxa" w:w="1586"/>
            <w:tcMar>
              <w:top w:w="50" w:type="dxa"/>
              <w:bottom w:w="50" w:type="dxa"/>
              <w:left w:w="90" w:type="dxa"/>
              <w:right w:w="90" w:type="dxa"/>
            </w:tcMar>
          </w:tcPr>
          <w:p>
            <w:pPr>
              <w:pStyle w:val="BDOITable"/>
            </w:pPr>
            <w:r>
              <w:rPr>
                <w:sz w:val="15"/>
              </w:rPr>
              <w:t>Inspection; Operational acceptance</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NFR-AVL-04</w:t>
            </w:r>
          </w:p>
        </w:tc>
        <w:tc>
          <w:tcPr>
            <w:tcW w:type="dxa" w:w="1416"/>
            <w:tcMar>
              <w:top w:w="50" w:type="dxa"/>
              <w:bottom w:w="50" w:type="dxa"/>
              <w:left w:w="90" w:type="dxa"/>
              <w:right w:w="90" w:type="dxa"/>
            </w:tcMar>
            <w:shd w:val="clear" w:color="auto" w:fill="E5F5FF"/>
          </w:tcPr>
          <w:p>
            <w:pPr>
              <w:pStyle w:val="BDOITable"/>
            </w:pPr>
            <w:r>
              <w:rPr>
                <w:sz w:val="15"/>
              </w:rPr>
              <w:t>No single point of failure</w:t>
            </w:r>
          </w:p>
        </w:tc>
        <w:tc>
          <w:tcPr>
            <w:tcW w:type="dxa" w:w="3286"/>
            <w:tcMar>
              <w:top w:w="50" w:type="dxa"/>
              <w:bottom w:w="50" w:type="dxa"/>
              <w:left w:w="90" w:type="dxa"/>
              <w:right w:w="90" w:type="dxa"/>
            </w:tcMar>
            <w:shd w:val="clear" w:color="auto" w:fill="E5F5FF"/>
          </w:tcPr>
          <w:p>
            <w:pPr>
              <w:pStyle w:val="BDOITable"/>
            </w:pPr>
            <w:r>
              <w:rPr>
                <w:sz w:val="15"/>
              </w:rPr>
              <w:t>Backend at least 3 pods over 3 availability zones (at least 2 available during changes); web tier at least 2 pods; PostgreSQL 16 Multi-AZ; Kafka 3 brokers; Valkey primary and replica in two zones</w:t>
            </w:r>
          </w:p>
        </w:tc>
        <w:tc>
          <w:tcPr>
            <w:tcW w:type="dxa" w:w="1586"/>
            <w:tcMar>
              <w:top w:w="50" w:type="dxa"/>
              <w:bottom w:w="50" w:type="dxa"/>
              <w:left w:w="90" w:type="dxa"/>
              <w:right w:w="90" w:type="dxa"/>
            </w:tcMar>
            <w:shd w:val="clear" w:color="auto" w:fill="E5F5FF"/>
          </w:tcPr>
          <w:p>
            <w:pPr>
              <w:pStyle w:val="BDOITable"/>
            </w:pPr>
            <w:r>
              <w:rPr>
                <w:sz w:val="15"/>
              </w:rPr>
              <w:t>Test; Resilience</w:t>
            </w:r>
          </w:p>
        </w:tc>
        <w:tc>
          <w:tcPr>
            <w:tcW w:type="dxa" w:w="1303"/>
            <w:tcMar>
              <w:top w:w="50" w:type="dxa"/>
              <w:bottom w:w="50" w:type="dxa"/>
              <w:left w:w="90" w:type="dxa"/>
              <w:right w:w="90" w:type="dxa"/>
            </w:tcMar>
            <w:shd w:val="clear" w:color="auto" w:fill="E5F5FF"/>
          </w:tcPr>
          <w:p>
            <w:pPr>
              <w:pStyle w:val="BDOITable"/>
            </w:pPr>
            <w:r>
              <w:rPr>
                <w:sz w:val="15"/>
              </w:rPr>
              <w:t>DevOps and Platform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NFR-AVL-05</w:t>
            </w:r>
          </w:p>
        </w:tc>
        <w:tc>
          <w:tcPr>
            <w:tcW w:type="dxa" w:w="1416"/>
            <w:tcMar>
              <w:top w:w="50" w:type="dxa"/>
              <w:bottom w:w="50" w:type="dxa"/>
              <w:left w:w="90" w:type="dxa"/>
              <w:right w:w="90" w:type="dxa"/>
            </w:tcMar>
          </w:tcPr>
          <w:p>
            <w:pPr>
              <w:pStyle w:val="BDOITable"/>
            </w:pPr>
            <w:r>
              <w:rPr>
                <w:sz w:val="15"/>
              </w:rPr>
              <w:t>Graceful degradation</w:t>
            </w:r>
          </w:p>
        </w:tc>
        <w:tc>
          <w:tcPr>
            <w:tcW w:type="dxa" w:w="3286"/>
            <w:tcMar>
              <w:top w:w="50" w:type="dxa"/>
              <w:bottom w:w="50" w:type="dxa"/>
              <w:left w:w="90" w:type="dxa"/>
              <w:right w:w="90" w:type="dxa"/>
            </w:tcMar>
          </w:tcPr>
          <w:p>
            <w:pPr>
              <w:pStyle w:val="BDOITable"/>
            </w:pPr>
            <w:r>
              <w:rPr>
                <w:sz w:val="15"/>
              </w:rPr>
              <w:t>Valkey outage - sign-in checks fall back to PostgreSQL; Kafka outage - events wait in the outbox and are delivered on recovery with none lost or delivered twice to the consumer</w:t>
            </w:r>
          </w:p>
        </w:tc>
        <w:tc>
          <w:tcPr>
            <w:tcW w:type="dxa" w:w="1586"/>
            <w:tcMar>
              <w:top w:w="50" w:type="dxa"/>
              <w:bottom w:w="50" w:type="dxa"/>
              <w:left w:w="90" w:type="dxa"/>
              <w:right w:w="90" w:type="dxa"/>
            </w:tcMar>
          </w:tcPr>
          <w:p>
            <w:pPr>
              <w:pStyle w:val="BDOITable"/>
            </w:pPr>
            <w:r>
              <w:rPr>
                <w:sz w:val="15"/>
              </w:rPr>
              <w:t>Test; Resilience</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ALIGNED</w:t>
            </w:r>
          </w:p>
        </w:tc>
      </w:tr>
    </w:tbl>
    <w:p>
      <w:pPr>
        <w:pStyle w:val="BDOISpacer"/>
      </w:pPr>
    </w:p>
    <w:p>
      <w:pPr>
        <w:pStyle w:val="Heading2"/>
      </w:pPr>
      <w:bookmarkStart w:id="112" w:name="_Toc000112"/>
      <w:r>
        <w:rPr/>
        <w:t>3.2 Recovery, backup and DR</w:t>
      </w:r>
      <w:bookmarkEnd w:id="112"/>
    </w:p>
    <w:p>
      <w:pPr>
        <w:pStyle w:val="Caption"/>
        <w:keepNext/>
        <w:spacing w:after="60"/>
      </w:pPr>
      <w:r>
        <w:rPr>
          <w:b/>
          <w:i w:val="0"/>
        </w:rPr>
        <w:t xml:space="preserve">Table 7: </w:t>
      </w:r>
      <w:r>
        <w:rPr/>
        <w:t>Recovery (RTO, RPO, backup and DR)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NFR-REC-01</w:t>
            </w:r>
          </w:p>
        </w:tc>
        <w:tc>
          <w:tcPr>
            <w:tcW w:type="dxa" w:w="1416"/>
            <w:tcMar>
              <w:top w:w="50" w:type="dxa"/>
              <w:bottom w:w="50" w:type="dxa"/>
              <w:left w:w="90" w:type="dxa"/>
              <w:right w:w="90" w:type="dxa"/>
            </w:tcMar>
          </w:tcPr>
          <w:p>
            <w:pPr>
              <w:pStyle w:val="BDOITable"/>
            </w:pPr>
            <w:r>
              <w:rPr>
                <w:sz w:val="15"/>
              </w:rPr>
              <w:t>Recovery point objective (RPO)</w:t>
            </w:r>
          </w:p>
        </w:tc>
        <w:tc>
          <w:tcPr>
            <w:tcW w:type="dxa" w:w="3286"/>
            <w:tcMar>
              <w:top w:w="50" w:type="dxa"/>
              <w:bottom w:w="50" w:type="dxa"/>
              <w:left w:w="90" w:type="dxa"/>
              <w:right w:w="90" w:type="dxa"/>
            </w:tcMar>
          </w:tcPr>
          <w:p>
            <w:pPr>
              <w:pStyle w:val="BDOITable"/>
            </w:pPr>
            <w:r>
              <w:rPr>
                <w:sz w:val="15"/>
              </w:rPr>
              <w:t>RPO at most 15 minutes for data and documents</w:t>
            </w:r>
          </w:p>
        </w:tc>
        <w:tc>
          <w:tcPr>
            <w:tcW w:type="dxa" w:w="1586"/>
            <w:tcMar>
              <w:top w:w="50" w:type="dxa"/>
              <w:bottom w:w="50" w:type="dxa"/>
              <w:left w:w="90" w:type="dxa"/>
              <w:right w:w="90" w:type="dxa"/>
            </w:tcMar>
          </w:tcPr>
          <w:p>
            <w:pPr>
              <w:pStyle w:val="BDOITable"/>
            </w:pPr>
            <w:r>
              <w:rPr>
                <w:sz w:val="15"/>
              </w:rPr>
              <w:t>Test; Disaster recovery</w:t>
            </w:r>
          </w:p>
        </w:tc>
        <w:tc>
          <w:tcPr>
            <w:tcW w:type="dxa" w:w="1303"/>
            <w:tcMar>
              <w:top w:w="50" w:type="dxa"/>
              <w:bottom w:w="50" w:type="dxa"/>
              <w:left w:w="90" w:type="dxa"/>
              <w:right w:w="90" w:type="dxa"/>
            </w:tcMar>
          </w:tcPr>
          <w:p>
            <w:pPr>
              <w:pStyle w:val="BDOITable"/>
            </w:pPr>
            <w:r>
              <w:rPr>
                <w:sz w:val="15"/>
              </w:rPr>
              <w:t>DevOps and Platform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NFR-REC-02</w:t>
            </w:r>
          </w:p>
        </w:tc>
        <w:tc>
          <w:tcPr>
            <w:tcW w:type="dxa" w:w="1416"/>
            <w:tcMar>
              <w:top w:w="50" w:type="dxa"/>
              <w:bottom w:w="50" w:type="dxa"/>
              <w:left w:w="90" w:type="dxa"/>
              <w:right w:w="90" w:type="dxa"/>
            </w:tcMar>
            <w:shd w:val="clear" w:color="auto" w:fill="E5F5FF"/>
          </w:tcPr>
          <w:p>
            <w:pPr>
              <w:pStyle w:val="BDOITable"/>
            </w:pPr>
            <w:r>
              <w:rPr>
                <w:sz w:val="15"/>
              </w:rPr>
              <w:t>Recovery time objective (RTO)</w:t>
            </w:r>
          </w:p>
        </w:tc>
        <w:tc>
          <w:tcPr>
            <w:tcW w:type="dxa" w:w="3286"/>
            <w:tcMar>
              <w:top w:w="50" w:type="dxa"/>
              <w:bottom w:w="50" w:type="dxa"/>
              <w:left w:w="90" w:type="dxa"/>
              <w:right w:w="90" w:type="dxa"/>
            </w:tcMar>
            <w:shd w:val="clear" w:color="auto" w:fill="E5F5FF"/>
          </w:tcPr>
          <w:p>
            <w:pPr>
              <w:pStyle w:val="BDOITable"/>
            </w:pPr>
            <w:r>
              <w:rPr>
                <w:sz w:val="15"/>
              </w:rPr>
              <w:t>RTO at most 4 hours; sign-in, Cashiering, Remittance, booking and the GL first</w:t>
            </w:r>
          </w:p>
        </w:tc>
        <w:tc>
          <w:tcPr>
            <w:tcW w:type="dxa" w:w="1586"/>
            <w:tcMar>
              <w:top w:w="50" w:type="dxa"/>
              <w:bottom w:w="50" w:type="dxa"/>
              <w:left w:w="90" w:type="dxa"/>
              <w:right w:w="90" w:type="dxa"/>
            </w:tcMar>
            <w:shd w:val="clear" w:color="auto" w:fill="E5F5FF"/>
          </w:tcPr>
          <w:p>
            <w:pPr>
              <w:pStyle w:val="BDOITable"/>
            </w:pPr>
            <w:r>
              <w:rPr>
                <w:sz w:val="15"/>
              </w:rPr>
              <w:t>Test; Disaster recovery</w:t>
            </w:r>
          </w:p>
        </w:tc>
        <w:tc>
          <w:tcPr>
            <w:tcW w:type="dxa" w:w="1303"/>
            <w:tcMar>
              <w:top w:w="50" w:type="dxa"/>
              <w:bottom w:w="50" w:type="dxa"/>
              <w:left w:w="90" w:type="dxa"/>
              <w:right w:w="90" w:type="dxa"/>
            </w:tcMar>
            <w:shd w:val="clear" w:color="auto" w:fill="E5F5FF"/>
          </w:tcPr>
          <w:p>
            <w:pPr>
              <w:pStyle w:val="BDOITable"/>
            </w:pPr>
            <w:r>
              <w:rPr>
                <w:sz w:val="15"/>
              </w:rPr>
              <w:t>DevOps and Platform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NFR-REC-03</w:t>
            </w:r>
          </w:p>
        </w:tc>
        <w:tc>
          <w:tcPr>
            <w:tcW w:type="dxa" w:w="1416"/>
            <w:tcMar>
              <w:top w:w="50" w:type="dxa"/>
              <w:bottom w:w="50" w:type="dxa"/>
              <w:left w:w="90" w:type="dxa"/>
              <w:right w:w="90" w:type="dxa"/>
            </w:tcMar>
          </w:tcPr>
          <w:p>
            <w:pPr>
              <w:pStyle w:val="BDOITable"/>
            </w:pPr>
            <w:r>
              <w:rPr>
                <w:sz w:val="15"/>
              </w:rPr>
              <w:t>Backup</w:t>
            </w:r>
          </w:p>
        </w:tc>
        <w:tc>
          <w:tcPr>
            <w:tcW w:type="dxa" w:w="3286"/>
            <w:tcMar>
              <w:top w:w="50" w:type="dxa"/>
              <w:bottom w:w="50" w:type="dxa"/>
              <w:left w:w="90" w:type="dxa"/>
              <w:right w:w="90" w:type="dxa"/>
            </w:tcMar>
          </w:tcPr>
          <w:p>
            <w:pPr>
              <w:pStyle w:val="BDOITable"/>
            </w:pPr>
            <w:r>
              <w:rPr>
                <w:sz w:val="15"/>
              </w:rPr>
              <w:t>Continuous transaction-log archiving plus a base backup every 4 hours; backups encrypted and kept 7 years; document store versioned with cross-region replication</w:t>
            </w:r>
          </w:p>
        </w:tc>
        <w:tc>
          <w:tcPr>
            <w:tcW w:type="dxa" w:w="1586"/>
            <w:tcMar>
              <w:top w:w="50" w:type="dxa"/>
              <w:bottom w:w="50" w:type="dxa"/>
              <w:left w:w="90" w:type="dxa"/>
              <w:right w:w="90" w:type="dxa"/>
            </w:tcMar>
          </w:tcPr>
          <w:p>
            <w:pPr>
              <w:pStyle w:val="BDOITable"/>
            </w:pPr>
            <w:r>
              <w:rPr>
                <w:sz w:val="15"/>
              </w:rPr>
              <w:t>Inspection; Operational acceptance</w:t>
            </w:r>
          </w:p>
        </w:tc>
        <w:tc>
          <w:tcPr>
            <w:tcW w:type="dxa" w:w="1303"/>
            <w:tcMar>
              <w:top w:w="50" w:type="dxa"/>
              <w:bottom w:w="50" w:type="dxa"/>
              <w:left w:w="90" w:type="dxa"/>
              <w:right w:w="90" w:type="dxa"/>
            </w:tcMar>
          </w:tcPr>
          <w:p>
            <w:pPr>
              <w:pStyle w:val="BDOITable"/>
            </w:pPr>
            <w:r>
              <w:rPr>
                <w:sz w:val="15"/>
              </w:rPr>
              <w:t>DevOps and Platform Lead</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NFR-REC-04</w:t>
            </w:r>
          </w:p>
        </w:tc>
        <w:tc>
          <w:tcPr>
            <w:tcW w:type="dxa" w:w="1416"/>
            <w:tcMar>
              <w:top w:w="50" w:type="dxa"/>
              <w:bottom w:w="50" w:type="dxa"/>
              <w:left w:w="90" w:type="dxa"/>
              <w:right w:w="90" w:type="dxa"/>
            </w:tcMar>
            <w:shd w:val="clear" w:color="auto" w:fill="E5F5FF"/>
          </w:tcPr>
          <w:p>
            <w:pPr>
              <w:pStyle w:val="BDOITable"/>
            </w:pPr>
            <w:r>
              <w:rPr>
                <w:sz w:val="15"/>
              </w:rPr>
              <w:t>Restore and DR drills</w:t>
            </w:r>
          </w:p>
        </w:tc>
        <w:tc>
          <w:tcPr>
            <w:tcW w:type="dxa" w:w="3286"/>
            <w:tcMar>
              <w:top w:w="50" w:type="dxa"/>
              <w:bottom w:w="50" w:type="dxa"/>
              <w:left w:w="90" w:type="dxa"/>
              <w:right w:w="90" w:type="dxa"/>
            </w:tcMar>
            <w:shd w:val="clear" w:color="auto" w:fill="E5F5FF"/>
          </w:tcPr>
          <w:p>
            <w:pPr>
              <w:pStyle w:val="BDOITable"/>
            </w:pPr>
            <w:r>
              <w:rPr>
                <w:sz w:val="15"/>
              </w:rPr>
              <w:t>Point-in-time restore tested every quarter; DR failover drill before go-live (Dec 2027) and twice a year after; each with a written result</w:t>
            </w:r>
          </w:p>
        </w:tc>
        <w:tc>
          <w:tcPr>
            <w:tcW w:type="dxa" w:w="1586"/>
            <w:tcMar>
              <w:top w:w="50" w:type="dxa"/>
              <w:bottom w:w="50" w:type="dxa"/>
              <w:left w:w="90" w:type="dxa"/>
              <w:right w:w="90" w:type="dxa"/>
            </w:tcMar>
            <w:shd w:val="clear" w:color="auto" w:fill="E5F5FF"/>
          </w:tcPr>
          <w:p>
            <w:pPr>
              <w:pStyle w:val="BDOITable"/>
            </w:pPr>
            <w:r>
              <w:rPr>
                <w:sz w:val="15"/>
              </w:rPr>
              <w:t>Test; Disaster recovery</w:t>
            </w:r>
          </w:p>
        </w:tc>
        <w:tc>
          <w:tcPr>
            <w:tcW w:type="dxa" w:w="1303"/>
            <w:tcMar>
              <w:top w:w="50" w:type="dxa"/>
              <w:bottom w:w="50" w:type="dxa"/>
              <w:left w:w="90" w:type="dxa"/>
              <w:right w:w="90" w:type="dxa"/>
            </w:tcMar>
            <w:shd w:val="clear" w:color="auto" w:fill="E5F5FF"/>
          </w:tcPr>
          <w:p>
            <w:pPr>
              <w:pStyle w:val="BDOITable"/>
            </w:pPr>
            <w:r>
              <w:rPr>
                <w:sz w:val="15"/>
              </w:rPr>
              <w:t>DevOps and Platform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NFR-REC-05</w:t>
            </w:r>
          </w:p>
        </w:tc>
        <w:tc>
          <w:tcPr>
            <w:tcW w:type="dxa" w:w="1416"/>
            <w:tcMar>
              <w:top w:w="50" w:type="dxa"/>
              <w:bottom w:w="50" w:type="dxa"/>
              <w:left w:w="90" w:type="dxa"/>
              <w:right w:w="90" w:type="dxa"/>
            </w:tcMar>
          </w:tcPr>
          <w:p>
            <w:pPr>
              <w:pStyle w:val="BDOITable"/>
            </w:pPr>
            <w:r>
              <w:rPr>
                <w:sz w:val="15"/>
              </w:rPr>
              <w:t>DR region</w:t>
            </w:r>
          </w:p>
        </w:tc>
        <w:tc>
          <w:tcPr>
            <w:tcW w:type="dxa" w:w="3286"/>
            <w:tcMar>
              <w:top w:w="50" w:type="dxa"/>
              <w:bottom w:w="50" w:type="dxa"/>
              <w:left w:w="90" w:type="dxa"/>
              <w:right w:w="90" w:type="dxa"/>
            </w:tcMar>
          </w:tcPr>
          <w:p>
            <w:pPr>
              <w:pStyle w:val="BDOITable"/>
            </w:pPr>
            <w:r>
              <w:rPr>
                <w:sz w:val="15"/>
              </w:rPr>
              <w:t>Database cross-region replica, document store cross-region replication, standby Kubernetes cluster scaled from 0 to 6 backend pods at failover</w:t>
            </w:r>
          </w:p>
        </w:tc>
        <w:tc>
          <w:tcPr>
            <w:tcW w:type="dxa" w:w="1586"/>
            <w:tcMar>
              <w:top w:w="50" w:type="dxa"/>
              <w:bottom w:w="50" w:type="dxa"/>
              <w:left w:w="90" w:type="dxa"/>
              <w:right w:w="90" w:type="dxa"/>
            </w:tcMar>
          </w:tcPr>
          <w:p>
            <w:pPr>
              <w:pStyle w:val="BDOITable"/>
            </w:pPr>
            <w:r>
              <w:rPr>
                <w:sz w:val="15"/>
              </w:rPr>
              <w:t>Test; Disaster recovery</w:t>
            </w:r>
          </w:p>
        </w:tc>
        <w:tc>
          <w:tcPr>
            <w:tcW w:type="dxa" w:w="1303"/>
            <w:tcMar>
              <w:top w:w="50" w:type="dxa"/>
              <w:bottom w:w="50" w:type="dxa"/>
              <w:left w:w="90" w:type="dxa"/>
              <w:right w:w="90" w:type="dxa"/>
            </w:tcMar>
          </w:tcPr>
          <w:p>
            <w:pPr>
              <w:pStyle w:val="BDOITable"/>
            </w:pPr>
            <w:r>
              <w:rPr>
                <w:sz w:val="15"/>
              </w:rPr>
              <w:t>DevOps and Platform Lead</w:t>
            </w:r>
          </w:p>
        </w:tc>
        <w:tc>
          <w:tcPr>
            <w:tcW w:type="dxa" w:w="1190"/>
            <w:tcMar>
              <w:top w:w="50" w:type="dxa"/>
              <w:bottom w:w="50" w:type="dxa"/>
              <w:left w:w="90" w:type="dxa"/>
              <w:right w:w="90" w:type="dxa"/>
            </w:tcMar>
          </w:tcPr>
          <w:p>
            <w:pPr>
              <w:pStyle w:val="BDOITable"/>
            </w:pPr>
            <w:r>
              <w:rPr>
                <w:sz w:val="15"/>
              </w:rPr>
              <w:t>DECISION</w:t>
            </w:r>
          </w:p>
        </w:tc>
      </w:tr>
    </w:tbl>
    <w:p>
      <w:pPr>
        <w:pStyle w:val="BDOISpacer"/>
      </w:pPr>
    </w:p>
    <w:p>
      <w:pPr>
        <w:pStyle w:val="Heading1"/>
        <w:pageBreakBefore/>
        <w:pBdr>
          <w:bottom w:val="single" w:sz="4" w:space="4" w:color="99C1E7"/>
        </w:pBdr>
      </w:pPr>
      <w:bookmarkStart w:id="113" w:name="_Toc000113"/>
      <w:r>
        <w:rPr/>
        <w:t>4 Security, privacy and auditability</w:t>
      </w:r>
      <w:bookmarkEnd w:id="113"/>
    </w:p>
    <w:p>
      <w:pPr>
        <w:pStyle w:val="Heading2"/>
      </w:pPr>
      <w:bookmarkStart w:id="114" w:name="_Toc000114"/>
      <w:r>
        <w:rPr/>
        <w:t>4.1 Security</w:t>
      </w:r>
      <w:bookmarkEnd w:id="114"/>
    </w:p>
    <w:p>
      <w:pPr>
        <w:pStyle w:val="Caption"/>
        <w:keepNext/>
        <w:spacing w:after="60"/>
      </w:pPr>
      <w:r>
        <w:rPr>
          <w:b/>
          <w:i w:val="0"/>
        </w:rPr>
        <w:t xml:space="preserve">Table 8: </w:t>
      </w:r>
      <w:r>
        <w:rPr/>
        <w:t>Security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NFR-SEC-01</w:t>
            </w:r>
          </w:p>
        </w:tc>
        <w:tc>
          <w:tcPr>
            <w:tcW w:type="dxa" w:w="1416"/>
            <w:tcMar>
              <w:top w:w="50" w:type="dxa"/>
              <w:bottom w:w="50" w:type="dxa"/>
              <w:left w:w="90" w:type="dxa"/>
              <w:right w:w="90" w:type="dxa"/>
            </w:tcMar>
          </w:tcPr>
          <w:p>
            <w:pPr>
              <w:pStyle w:val="BDOITable"/>
            </w:pPr>
            <w:r>
              <w:rPr>
                <w:sz w:val="15"/>
              </w:rPr>
              <w:t>Single sign-on with EIAM</w:t>
            </w:r>
          </w:p>
        </w:tc>
        <w:tc>
          <w:tcPr>
            <w:tcW w:type="dxa" w:w="3286"/>
            <w:tcMar>
              <w:top w:w="50" w:type="dxa"/>
              <w:bottom w:w="50" w:type="dxa"/>
              <w:left w:w="90" w:type="dxa"/>
              <w:right w:w="90" w:type="dxa"/>
            </w:tcMar>
          </w:tcPr>
          <w:p>
            <w:pPr>
              <w:pStyle w:val="BDOITable"/>
            </w:pPr>
            <w:r>
              <w:rPr>
                <w:sz w:val="15"/>
              </w:rPr>
              <w:t>Every BDO user signs in through EIAM (Microsoft Entra ID) by OpenID Connect or SAML 2.0; local passwords only for the named break-glass administrators</w:t>
            </w:r>
          </w:p>
        </w:tc>
        <w:tc>
          <w:tcPr>
            <w:tcW w:type="dxa" w:w="1586"/>
            <w:tcMar>
              <w:top w:w="50" w:type="dxa"/>
              <w:bottom w:w="50" w:type="dxa"/>
              <w:left w:w="90" w:type="dxa"/>
              <w:right w:w="90" w:type="dxa"/>
            </w:tcMar>
          </w:tcPr>
          <w:p>
            <w:pPr>
              <w:pStyle w:val="BDOITable"/>
            </w:pPr>
            <w:r>
              <w:rPr>
                <w:sz w:val="15"/>
              </w:rPr>
              <w:t>Test; System integration; security</w:t>
            </w:r>
          </w:p>
        </w:tc>
        <w:tc>
          <w:tcPr>
            <w:tcW w:type="dxa" w:w="1303"/>
            <w:tcMar>
              <w:top w:w="50" w:type="dxa"/>
              <w:bottom w:w="50" w:type="dxa"/>
              <w:left w:w="90" w:type="dxa"/>
              <w:right w:w="90" w:type="dxa"/>
            </w:tcMar>
          </w:tcPr>
          <w:p>
            <w:pPr>
              <w:pStyle w:val="BDOITable"/>
            </w:pPr>
            <w:r>
              <w:rPr>
                <w:sz w:val="15"/>
              </w:rPr>
              <w:t>Security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NFR-SEC-02</w:t>
            </w:r>
          </w:p>
        </w:tc>
        <w:tc>
          <w:tcPr>
            <w:tcW w:type="dxa" w:w="1416"/>
            <w:tcMar>
              <w:top w:w="50" w:type="dxa"/>
              <w:bottom w:w="50" w:type="dxa"/>
              <w:left w:w="90" w:type="dxa"/>
              <w:right w:w="90" w:type="dxa"/>
            </w:tcMar>
            <w:shd w:val="clear" w:color="auto" w:fill="E5F5FF"/>
          </w:tcPr>
          <w:p>
            <w:pPr>
              <w:pStyle w:val="BDOITable"/>
            </w:pPr>
            <w:r>
              <w:rPr>
                <w:sz w:val="15"/>
              </w:rPr>
              <w:t>Second factor</w:t>
            </w:r>
          </w:p>
        </w:tc>
        <w:tc>
          <w:tcPr>
            <w:tcW w:type="dxa" w:w="3286"/>
            <w:tcMar>
              <w:top w:w="50" w:type="dxa"/>
              <w:bottom w:w="50" w:type="dxa"/>
              <w:left w:w="90" w:type="dxa"/>
              <w:right w:w="90" w:type="dxa"/>
            </w:tcMar>
            <w:shd w:val="clear" w:color="auto" w:fill="E5F5FF"/>
          </w:tcPr>
          <w:p>
            <w:pPr>
              <w:pStyle w:val="BDOITable"/>
            </w:pPr>
            <w:r>
              <w:rPr>
                <w:sz w:val="15"/>
              </w:rPr>
              <w:t>TOTP second factor for every privileged role and every break-glass administrator; EIAM conditional access for single sign-on users</w:t>
            </w:r>
          </w:p>
        </w:tc>
        <w:tc>
          <w:tcPr>
            <w:tcW w:type="dxa" w:w="1586"/>
            <w:tcMar>
              <w:top w:w="50" w:type="dxa"/>
              <w:bottom w:w="50" w:type="dxa"/>
              <w:left w:w="90" w:type="dxa"/>
              <w:right w:w="90" w:type="dxa"/>
            </w:tcMar>
            <w:shd w:val="clear" w:color="auto" w:fill="E5F5FF"/>
          </w:tcPr>
          <w:p>
            <w:pPr>
              <w:pStyle w:val="BDOITable"/>
            </w:pPr>
            <w:r>
              <w:rPr>
                <w:sz w:val="15"/>
              </w:rPr>
              <w:t>Test; Security</w:t>
            </w:r>
          </w:p>
        </w:tc>
        <w:tc>
          <w:tcPr>
            <w:tcW w:type="dxa" w:w="1303"/>
            <w:tcMar>
              <w:top w:w="50" w:type="dxa"/>
              <w:bottom w:w="50" w:type="dxa"/>
              <w:left w:w="90" w:type="dxa"/>
              <w:right w:w="90" w:type="dxa"/>
            </w:tcMar>
            <w:shd w:val="clear" w:color="auto" w:fill="E5F5FF"/>
          </w:tcPr>
          <w:p>
            <w:pPr>
              <w:pStyle w:val="BDOITable"/>
            </w:pPr>
            <w:r>
              <w:rPr>
                <w:sz w:val="15"/>
              </w:rPr>
              <w:t>Security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NFR-SEC-03</w:t>
            </w:r>
          </w:p>
        </w:tc>
        <w:tc>
          <w:tcPr>
            <w:tcW w:type="dxa" w:w="1416"/>
            <w:tcMar>
              <w:top w:w="50" w:type="dxa"/>
              <w:bottom w:w="50" w:type="dxa"/>
              <w:left w:w="90" w:type="dxa"/>
              <w:right w:w="90" w:type="dxa"/>
            </w:tcMar>
          </w:tcPr>
          <w:p>
            <w:pPr>
              <w:pStyle w:val="BDOITable"/>
            </w:pPr>
            <w:r>
              <w:rPr>
                <w:sz w:val="15"/>
              </w:rPr>
              <w:t>User provisioning and leavers</w:t>
            </w:r>
          </w:p>
        </w:tc>
        <w:tc>
          <w:tcPr>
            <w:tcW w:type="dxa" w:w="3286"/>
            <w:tcMar>
              <w:top w:w="50" w:type="dxa"/>
              <w:bottom w:w="50" w:type="dxa"/>
              <w:left w:w="90" w:type="dxa"/>
              <w:right w:w="90" w:type="dxa"/>
            </w:tcMar>
          </w:tcPr>
          <w:p>
            <w:pPr>
              <w:pStyle w:val="BDOITable"/>
            </w:pPr>
            <w:r>
              <w:rPr>
                <w:sz w:val="15"/>
              </w:rPr>
              <w:t>SCIM 2.0 provisioning from UIDM-ISC (planned); a leaver disabled in BIBS within 1 hour of the UIDM-ISC change; accounts dormant for 90 days disabled by the daily job</w:t>
            </w:r>
          </w:p>
        </w:tc>
        <w:tc>
          <w:tcPr>
            <w:tcW w:type="dxa" w:w="1586"/>
            <w:tcMar>
              <w:top w:w="50" w:type="dxa"/>
              <w:bottom w:w="50" w:type="dxa"/>
              <w:left w:w="90" w:type="dxa"/>
              <w:right w:w="90" w:type="dxa"/>
            </w:tcMar>
          </w:tcPr>
          <w:p>
            <w:pPr>
              <w:pStyle w:val="BDOITable"/>
            </w:pPr>
            <w:r>
              <w:rPr>
                <w:sz w:val="15"/>
              </w:rPr>
              <w:t>Test; System integration; security</w:t>
            </w:r>
          </w:p>
        </w:tc>
        <w:tc>
          <w:tcPr>
            <w:tcW w:type="dxa" w:w="1303"/>
            <w:tcMar>
              <w:top w:w="50" w:type="dxa"/>
              <w:bottom w:w="50" w:type="dxa"/>
              <w:left w:w="90" w:type="dxa"/>
              <w:right w:w="90" w:type="dxa"/>
            </w:tcMar>
          </w:tcPr>
          <w:p>
            <w:pPr>
              <w:pStyle w:val="BDOITable"/>
            </w:pPr>
            <w:r>
              <w:rPr>
                <w:sz w:val="15"/>
              </w:rPr>
              <w:t>Security Lead</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NFR-SEC-04</w:t>
            </w:r>
          </w:p>
        </w:tc>
        <w:tc>
          <w:tcPr>
            <w:tcW w:type="dxa" w:w="1416"/>
            <w:tcMar>
              <w:top w:w="50" w:type="dxa"/>
              <w:bottom w:w="50" w:type="dxa"/>
              <w:left w:w="90" w:type="dxa"/>
              <w:right w:w="90" w:type="dxa"/>
            </w:tcMar>
            <w:shd w:val="clear" w:color="auto" w:fill="E5F5FF"/>
          </w:tcPr>
          <w:p>
            <w:pPr>
              <w:pStyle w:val="BDOITable"/>
            </w:pPr>
            <w:r>
              <w:rPr>
                <w:sz w:val="15"/>
              </w:rPr>
              <w:t>Role and data-scope access control</w:t>
            </w:r>
          </w:p>
        </w:tc>
        <w:tc>
          <w:tcPr>
            <w:tcW w:type="dxa" w:w="3286"/>
            <w:tcMar>
              <w:top w:w="50" w:type="dxa"/>
              <w:bottom w:w="50" w:type="dxa"/>
              <w:left w:w="90" w:type="dxa"/>
              <w:right w:w="90" w:type="dxa"/>
            </w:tcMar>
            <w:shd w:val="clear" w:color="auto" w:fill="E5F5FF"/>
          </w:tcPr>
          <w:p>
            <w:pPr>
              <w:pStyle w:val="BDOITable"/>
            </w:pPr>
            <w:r>
              <w:rPr>
                <w:sz w:val="15"/>
              </w:rPr>
              <w:t>0 successful unauthorised accesses in the security-access cases of every test plan and in the penetration test; every refusal logged</w:t>
            </w:r>
          </w:p>
        </w:tc>
        <w:tc>
          <w:tcPr>
            <w:tcW w:type="dxa" w:w="1586"/>
            <w:tcMar>
              <w:top w:w="50" w:type="dxa"/>
              <w:bottom w:w="50" w:type="dxa"/>
              <w:left w:w="90" w:type="dxa"/>
              <w:right w:w="90" w:type="dxa"/>
            </w:tcMar>
            <w:shd w:val="clear" w:color="auto" w:fill="E5F5FF"/>
          </w:tcPr>
          <w:p>
            <w:pPr>
              <w:pStyle w:val="BDOITable"/>
            </w:pPr>
            <w:r>
              <w:rPr>
                <w:sz w:val="15"/>
              </w:rPr>
              <w:t>Test; Security</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NFR-SEC-05</w:t>
            </w:r>
          </w:p>
        </w:tc>
        <w:tc>
          <w:tcPr>
            <w:tcW w:type="dxa" w:w="1416"/>
            <w:tcMar>
              <w:top w:w="50" w:type="dxa"/>
              <w:bottom w:w="50" w:type="dxa"/>
              <w:left w:w="90" w:type="dxa"/>
              <w:right w:w="90" w:type="dxa"/>
            </w:tcMar>
          </w:tcPr>
          <w:p>
            <w:pPr>
              <w:pStyle w:val="BDOITable"/>
            </w:pPr>
            <w:r>
              <w:rPr>
                <w:sz w:val="15"/>
              </w:rPr>
              <w:t>Session and lock-out</w:t>
            </w:r>
          </w:p>
        </w:tc>
        <w:tc>
          <w:tcPr>
            <w:tcW w:type="dxa" w:w="3286"/>
            <w:tcMar>
              <w:top w:w="50" w:type="dxa"/>
              <w:bottom w:w="50" w:type="dxa"/>
              <w:left w:w="90" w:type="dxa"/>
              <w:right w:w="90" w:type="dxa"/>
            </w:tcMar>
          </w:tcPr>
          <w:p>
            <w:pPr>
              <w:pStyle w:val="BDOITable"/>
            </w:pPr>
            <w:r>
              <w:rPr>
                <w:sz w:val="15"/>
              </w:rPr>
              <w:t>Inactivity warning at 15 minutes and sign-out at 30 minutes; absolute session end 8 hours; lock-out after 3 consecutive failed attempts</w:t>
            </w:r>
          </w:p>
        </w:tc>
        <w:tc>
          <w:tcPr>
            <w:tcW w:type="dxa" w:w="1586"/>
            <w:tcMar>
              <w:top w:w="50" w:type="dxa"/>
              <w:bottom w:w="50" w:type="dxa"/>
              <w:left w:w="90" w:type="dxa"/>
              <w:right w:w="90" w:type="dxa"/>
            </w:tcMar>
          </w:tcPr>
          <w:p>
            <w:pPr>
              <w:pStyle w:val="BDOITable"/>
            </w:pPr>
            <w:r>
              <w:rPr>
                <w:sz w:val="15"/>
              </w:rPr>
              <w:t>Test; Security</w:t>
            </w:r>
          </w:p>
        </w:tc>
        <w:tc>
          <w:tcPr>
            <w:tcW w:type="dxa" w:w="1303"/>
            <w:tcMar>
              <w:top w:w="50" w:type="dxa"/>
              <w:bottom w:w="50" w:type="dxa"/>
              <w:left w:w="90" w:type="dxa"/>
              <w:right w:w="90" w:type="dxa"/>
            </w:tcMar>
          </w:tcPr>
          <w:p>
            <w:pPr>
              <w:pStyle w:val="BDOITable"/>
            </w:pPr>
            <w:r>
              <w:rPr>
                <w:sz w:val="15"/>
              </w:rPr>
              <w:t>Security Lead</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NFR-SEC-06</w:t>
            </w:r>
          </w:p>
        </w:tc>
        <w:tc>
          <w:tcPr>
            <w:tcW w:type="dxa" w:w="1416"/>
            <w:tcMar>
              <w:top w:w="50" w:type="dxa"/>
              <w:bottom w:w="50" w:type="dxa"/>
              <w:left w:w="90" w:type="dxa"/>
              <w:right w:w="90" w:type="dxa"/>
            </w:tcMar>
            <w:shd w:val="clear" w:color="auto" w:fill="E5F5FF"/>
          </w:tcPr>
          <w:p>
            <w:pPr>
              <w:pStyle w:val="BDOITable"/>
            </w:pPr>
            <w:r>
              <w:rPr>
                <w:sz w:val="15"/>
              </w:rPr>
              <w:t>Encryption in transit and at rest</w:t>
            </w:r>
          </w:p>
        </w:tc>
        <w:tc>
          <w:tcPr>
            <w:tcW w:type="dxa" w:w="3286"/>
            <w:tcMar>
              <w:top w:w="50" w:type="dxa"/>
              <w:bottom w:w="50" w:type="dxa"/>
              <w:left w:w="90" w:type="dxa"/>
              <w:right w:w="90" w:type="dxa"/>
            </w:tcMar>
            <w:shd w:val="clear" w:color="auto" w:fill="E5F5FF"/>
          </w:tcPr>
          <w:p>
            <w:pPr>
              <w:pStyle w:val="BDOITable"/>
            </w:pPr>
            <w:r>
              <w:rPr>
                <w:sz w:val="15"/>
              </w:rPr>
              <w:t>TLS 1.2 or higher on every connection (browser, Gateway API, between workloads, to the managed services); database, document store and backups encrypted with customer-managed keys per environment</w:t>
            </w:r>
          </w:p>
        </w:tc>
        <w:tc>
          <w:tcPr>
            <w:tcW w:type="dxa" w:w="1586"/>
            <w:tcMar>
              <w:top w:w="50" w:type="dxa"/>
              <w:bottom w:w="50" w:type="dxa"/>
              <w:left w:w="90" w:type="dxa"/>
              <w:right w:w="90" w:type="dxa"/>
            </w:tcMar>
            <w:shd w:val="clear" w:color="auto" w:fill="E5F5FF"/>
          </w:tcPr>
          <w:p>
            <w:pPr>
              <w:pStyle w:val="BDOITable"/>
            </w:pPr>
            <w:r>
              <w:rPr>
                <w:sz w:val="15"/>
              </w:rPr>
              <w:t>Inspection; Security</w:t>
            </w:r>
          </w:p>
        </w:tc>
        <w:tc>
          <w:tcPr>
            <w:tcW w:type="dxa" w:w="1303"/>
            <w:tcMar>
              <w:top w:w="50" w:type="dxa"/>
              <w:bottom w:w="50" w:type="dxa"/>
              <w:left w:w="90" w:type="dxa"/>
              <w:right w:w="90" w:type="dxa"/>
            </w:tcMar>
            <w:shd w:val="clear" w:color="auto" w:fill="E5F5FF"/>
          </w:tcPr>
          <w:p>
            <w:pPr>
              <w:pStyle w:val="BDOITable"/>
            </w:pPr>
            <w:r>
              <w:rPr>
                <w:sz w:val="15"/>
              </w:rPr>
              <w:t>Security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NFR-SEC-07</w:t>
            </w:r>
          </w:p>
        </w:tc>
        <w:tc>
          <w:tcPr>
            <w:tcW w:type="dxa" w:w="1416"/>
            <w:tcMar>
              <w:top w:w="50" w:type="dxa"/>
              <w:bottom w:w="50" w:type="dxa"/>
              <w:left w:w="90" w:type="dxa"/>
              <w:right w:w="90" w:type="dxa"/>
            </w:tcMar>
          </w:tcPr>
          <w:p>
            <w:pPr>
              <w:pStyle w:val="BDOITable"/>
            </w:pPr>
            <w:r>
              <w:rPr>
                <w:sz w:val="15"/>
              </w:rPr>
              <w:t>Secure development gates</w:t>
            </w:r>
          </w:p>
        </w:tc>
        <w:tc>
          <w:tcPr>
            <w:tcW w:type="dxa" w:w="3286"/>
            <w:tcMar>
              <w:top w:w="50" w:type="dxa"/>
              <w:bottom w:w="50" w:type="dxa"/>
              <w:left w:w="90" w:type="dxa"/>
              <w:right w:w="90" w:type="dxa"/>
            </w:tcMar>
          </w:tcPr>
          <w:p>
            <w:pPr>
              <w:pStyle w:val="BDOITable"/>
            </w:pPr>
            <w:r>
              <w:rPr>
                <w:sz w:val="15"/>
              </w:rPr>
              <w:t>SAST (CodeQL and SonarQube security rules) with no new high finding; Java dependencies fail at CVSS 7.0 or higher; web packages fail on high or critical advisories; container images fail on high or critical findings with a fix; secret detection over the full history; a software bill of materials kept with every release</w:t>
            </w:r>
          </w:p>
        </w:tc>
        <w:tc>
          <w:tcPr>
            <w:tcW w:type="dxa" w:w="1586"/>
            <w:tcMar>
              <w:top w:w="50" w:type="dxa"/>
              <w:bottom w:w="50" w:type="dxa"/>
              <w:left w:w="90" w:type="dxa"/>
              <w:right w:w="90" w:type="dxa"/>
            </w:tcMar>
          </w:tcPr>
          <w:p>
            <w:pPr>
              <w:pStyle w:val="BDOITable"/>
            </w:pPr>
            <w:r>
              <w:rPr>
                <w:sz w:val="15"/>
              </w:rPr>
              <w:t>Inspection; Security (SAST and dependency scanning)</w:t>
            </w:r>
          </w:p>
        </w:tc>
        <w:tc>
          <w:tcPr>
            <w:tcW w:type="dxa" w:w="1303"/>
            <w:tcMar>
              <w:top w:w="50" w:type="dxa"/>
              <w:bottom w:w="50" w:type="dxa"/>
              <w:left w:w="90" w:type="dxa"/>
              <w:right w:w="90" w:type="dxa"/>
            </w:tcMar>
          </w:tcPr>
          <w:p>
            <w:pPr>
              <w:pStyle w:val="BDOITable"/>
            </w:pPr>
            <w:r>
              <w:rPr>
                <w:sz w:val="15"/>
              </w:rPr>
              <w:t>Security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NFR-SEC-08</w:t>
            </w:r>
          </w:p>
        </w:tc>
        <w:tc>
          <w:tcPr>
            <w:tcW w:type="dxa" w:w="1416"/>
            <w:tcMar>
              <w:top w:w="50" w:type="dxa"/>
              <w:bottom w:w="50" w:type="dxa"/>
              <w:left w:w="90" w:type="dxa"/>
              <w:right w:w="90" w:type="dxa"/>
            </w:tcMar>
            <w:shd w:val="clear" w:color="auto" w:fill="E5F5FF"/>
          </w:tcPr>
          <w:p>
            <w:pPr>
              <w:pStyle w:val="BDOITable"/>
            </w:pPr>
            <w:r>
              <w:rPr>
                <w:sz w:val="15"/>
              </w:rPr>
              <w:t>DAST and penetration test</w:t>
            </w:r>
          </w:p>
        </w:tc>
        <w:tc>
          <w:tcPr>
            <w:tcW w:type="dxa" w:w="3286"/>
            <w:tcMar>
              <w:top w:w="50" w:type="dxa"/>
              <w:bottom w:w="50" w:type="dxa"/>
              <w:left w:w="90" w:type="dxa"/>
              <w:right w:w="90" w:type="dxa"/>
            </w:tcMar>
            <w:shd w:val="clear" w:color="auto" w:fill="E5F5FF"/>
          </w:tcPr>
          <w:p>
            <w:pPr>
              <w:pStyle w:val="BDOITable"/>
            </w:pPr>
            <w:r>
              <w:rPr>
                <w:sz w:val="15"/>
              </w:rPr>
              <w:t>DAST scan of each release candidate in SIT and Pre-Prod with no open high or critical finding; early scan in SIT in June 2027; independent penetration test 1 Nov to 15 Dec 2027; critical and high findings closed before go-live</w:t>
            </w:r>
          </w:p>
        </w:tc>
        <w:tc>
          <w:tcPr>
            <w:tcW w:type="dxa" w:w="1586"/>
            <w:tcMar>
              <w:top w:w="50" w:type="dxa"/>
              <w:bottom w:w="50" w:type="dxa"/>
              <w:left w:w="90" w:type="dxa"/>
              <w:right w:w="90" w:type="dxa"/>
            </w:tcMar>
            <w:shd w:val="clear" w:color="auto" w:fill="E5F5FF"/>
          </w:tcPr>
          <w:p>
            <w:pPr>
              <w:pStyle w:val="BDOITable"/>
            </w:pPr>
            <w:r>
              <w:rPr>
                <w:sz w:val="15"/>
              </w:rPr>
              <w:t>Test; Security (DAST, penetration test)</w:t>
            </w:r>
          </w:p>
        </w:tc>
        <w:tc>
          <w:tcPr>
            <w:tcW w:type="dxa" w:w="1303"/>
            <w:tcMar>
              <w:top w:w="50" w:type="dxa"/>
              <w:bottom w:w="50" w:type="dxa"/>
              <w:left w:w="90" w:type="dxa"/>
              <w:right w:w="90" w:type="dxa"/>
            </w:tcMar>
            <w:shd w:val="clear" w:color="auto" w:fill="E5F5FF"/>
          </w:tcPr>
          <w:p>
            <w:pPr>
              <w:pStyle w:val="BDOITable"/>
            </w:pPr>
            <w:r>
              <w:rPr>
                <w:sz w:val="15"/>
              </w:rPr>
              <w:t>Security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NFR-SEC-09</w:t>
            </w:r>
          </w:p>
        </w:tc>
        <w:tc>
          <w:tcPr>
            <w:tcW w:type="dxa" w:w="1416"/>
            <w:tcMar>
              <w:top w:w="50" w:type="dxa"/>
              <w:bottom w:w="50" w:type="dxa"/>
              <w:left w:w="90" w:type="dxa"/>
              <w:right w:w="90" w:type="dxa"/>
            </w:tcMar>
          </w:tcPr>
          <w:p>
            <w:pPr>
              <w:pStyle w:val="BDOITable"/>
            </w:pPr>
            <w:r>
              <w:rPr>
                <w:sz w:val="15"/>
              </w:rPr>
              <w:t>Integration security</w:t>
            </w:r>
          </w:p>
        </w:tc>
        <w:tc>
          <w:tcPr>
            <w:tcW w:type="dxa" w:w="3286"/>
            <w:tcMar>
              <w:top w:w="50" w:type="dxa"/>
              <w:bottom w:w="50" w:type="dxa"/>
              <w:left w:w="90" w:type="dxa"/>
              <w:right w:w="90" w:type="dxa"/>
            </w:tcMar>
          </w:tcPr>
          <w:p>
            <w:pPr>
              <w:pStyle w:val="BDOITable"/>
            </w:pPr>
            <w:r>
              <w:rPr>
                <w:sz w:val="15"/>
              </w:rPr>
              <w:t>Every inbound interface passes the Apigee X gateway with its own client credentials; user tokens are refused on the integration paths; each partner system has its own credentials</w:t>
            </w:r>
          </w:p>
        </w:tc>
        <w:tc>
          <w:tcPr>
            <w:tcW w:type="dxa" w:w="1586"/>
            <w:tcMar>
              <w:top w:w="50" w:type="dxa"/>
              <w:bottom w:w="50" w:type="dxa"/>
              <w:left w:w="90" w:type="dxa"/>
              <w:right w:w="90" w:type="dxa"/>
            </w:tcMar>
          </w:tcPr>
          <w:p>
            <w:pPr>
              <w:pStyle w:val="BDOITable"/>
            </w:pPr>
            <w:r>
              <w:rPr>
                <w:sz w:val="15"/>
              </w:rPr>
              <w:t>Test; Security; system integration</w:t>
            </w:r>
          </w:p>
        </w:tc>
        <w:tc>
          <w:tcPr>
            <w:tcW w:type="dxa" w:w="1303"/>
            <w:tcMar>
              <w:top w:w="50" w:type="dxa"/>
              <w:bottom w:w="50" w:type="dxa"/>
              <w:left w:w="90" w:type="dxa"/>
              <w:right w:w="90" w:type="dxa"/>
            </w:tcMar>
          </w:tcPr>
          <w:p>
            <w:pPr>
              <w:pStyle w:val="BDOITable"/>
            </w:pPr>
            <w:r>
              <w:rPr>
                <w:sz w:val="15"/>
              </w:rPr>
              <w:t>Security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NFR-SEC-10</w:t>
            </w:r>
          </w:p>
        </w:tc>
        <w:tc>
          <w:tcPr>
            <w:tcW w:type="dxa" w:w="1416"/>
            <w:tcMar>
              <w:top w:w="50" w:type="dxa"/>
              <w:bottom w:w="50" w:type="dxa"/>
              <w:left w:w="90" w:type="dxa"/>
              <w:right w:w="90" w:type="dxa"/>
            </w:tcMar>
            <w:shd w:val="clear" w:color="auto" w:fill="E5F5FF"/>
          </w:tcPr>
          <w:p>
            <w:pPr>
              <w:pStyle w:val="BDOITable"/>
            </w:pPr>
            <w:r>
              <w:rPr>
                <w:sz w:val="15"/>
              </w:rPr>
              <w:t>Protection of documents that leave BDOI</w:t>
            </w:r>
          </w:p>
        </w:tc>
        <w:tc>
          <w:tcPr>
            <w:tcW w:type="dxa" w:w="3286"/>
            <w:tcMar>
              <w:top w:w="50" w:type="dxa"/>
              <w:bottom w:w="50" w:type="dxa"/>
              <w:left w:w="90" w:type="dxa"/>
              <w:right w:w="90" w:type="dxa"/>
            </w:tcMar>
            <w:shd w:val="clear" w:color="auto" w:fill="E5F5FF"/>
          </w:tcPr>
          <w:p>
            <w:pPr>
              <w:pStyle w:val="BDOITable"/>
            </w:pPr>
            <w:r>
              <w:rPr>
                <w:sz w:val="15"/>
              </w:rPr>
              <w:t>Every outbound document (slips, advices, SOA, schedules, reports) is a password-protected PDF or Excel file with the password sent separately; e-mail only to approved domains</w:t>
            </w:r>
          </w:p>
        </w:tc>
        <w:tc>
          <w:tcPr>
            <w:tcW w:type="dxa" w:w="1586"/>
            <w:tcMar>
              <w:top w:w="50" w:type="dxa"/>
              <w:bottom w:w="50" w:type="dxa"/>
              <w:left w:w="90" w:type="dxa"/>
              <w:right w:w="90" w:type="dxa"/>
            </w:tcMar>
            <w:shd w:val="clear" w:color="auto" w:fill="E5F5FF"/>
          </w:tcPr>
          <w:p>
            <w:pPr>
              <w:pStyle w:val="BDOITable"/>
            </w:pPr>
            <w:r>
              <w:rPr>
                <w:sz w:val="15"/>
              </w:rPr>
              <w:t>Test; System</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NFR-SEC-11</w:t>
            </w:r>
          </w:p>
        </w:tc>
        <w:tc>
          <w:tcPr>
            <w:tcW w:type="dxa" w:w="1416"/>
            <w:tcMar>
              <w:top w:w="50" w:type="dxa"/>
              <w:bottom w:w="50" w:type="dxa"/>
              <w:left w:w="90" w:type="dxa"/>
              <w:right w:w="90" w:type="dxa"/>
            </w:tcMar>
          </w:tcPr>
          <w:p>
            <w:pPr>
              <w:pStyle w:val="BDOITable"/>
            </w:pPr>
            <w:r>
              <w:rPr>
                <w:sz w:val="15"/>
              </w:rPr>
              <w:t>Uploaded files</w:t>
            </w:r>
          </w:p>
        </w:tc>
        <w:tc>
          <w:tcPr>
            <w:tcW w:type="dxa" w:w="3286"/>
            <w:tcMar>
              <w:top w:w="50" w:type="dxa"/>
              <w:bottom w:w="50" w:type="dxa"/>
              <w:left w:w="90" w:type="dxa"/>
              <w:right w:w="90" w:type="dxa"/>
            </w:tcMar>
          </w:tcPr>
          <w:p>
            <w:pPr>
              <w:pStyle w:val="BDOITable"/>
            </w:pPr>
            <w:r>
              <w:rPr>
                <w:sz w:val="15"/>
              </w:rPr>
              <w:t>Every uploaded file scanned for malware and held in quarantine until clean; Office files refused above 1,000 parts or 100 times expansion</w:t>
            </w:r>
          </w:p>
        </w:tc>
        <w:tc>
          <w:tcPr>
            <w:tcW w:type="dxa" w:w="1586"/>
            <w:tcMar>
              <w:top w:w="50" w:type="dxa"/>
              <w:bottom w:w="50" w:type="dxa"/>
              <w:left w:w="90" w:type="dxa"/>
              <w:right w:w="90" w:type="dxa"/>
            </w:tcMar>
          </w:tcPr>
          <w:p>
            <w:pPr>
              <w:pStyle w:val="BDOITable"/>
            </w:pPr>
            <w:r>
              <w:rPr>
                <w:sz w:val="15"/>
              </w:rPr>
              <w:t>Test; Security</w:t>
            </w:r>
          </w:p>
        </w:tc>
        <w:tc>
          <w:tcPr>
            <w:tcW w:type="dxa" w:w="1303"/>
            <w:tcMar>
              <w:top w:w="50" w:type="dxa"/>
              <w:bottom w:w="50" w:type="dxa"/>
              <w:left w:w="90" w:type="dxa"/>
              <w:right w:w="90" w:type="dxa"/>
            </w:tcMar>
          </w:tcPr>
          <w:p>
            <w:pPr>
              <w:pStyle w:val="BDOITable"/>
            </w:pPr>
            <w:r>
              <w:rPr>
                <w:sz w:val="15"/>
              </w:rPr>
              <w:t>Security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NFR-SEC-12</w:t>
            </w:r>
          </w:p>
        </w:tc>
        <w:tc>
          <w:tcPr>
            <w:tcW w:type="dxa" w:w="1416"/>
            <w:tcMar>
              <w:top w:w="50" w:type="dxa"/>
              <w:bottom w:w="50" w:type="dxa"/>
              <w:left w:w="90" w:type="dxa"/>
              <w:right w:w="90" w:type="dxa"/>
            </w:tcMar>
            <w:shd w:val="clear" w:color="auto" w:fill="E5F5FF"/>
          </w:tcPr>
          <w:p>
            <w:pPr>
              <w:pStyle w:val="BDOITable"/>
            </w:pPr>
            <w:r>
              <w:rPr>
                <w:sz w:val="15"/>
              </w:rPr>
              <w:t>Vulnerability remediation</w:t>
            </w:r>
          </w:p>
        </w:tc>
        <w:tc>
          <w:tcPr>
            <w:tcW w:type="dxa" w:w="3286"/>
            <w:tcMar>
              <w:top w:w="50" w:type="dxa"/>
              <w:bottom w:w="50" w:type="dxa"/>
              <w:left w:w="90" w:type="dxa"/>
              <w:right w:w="90" w:type="dxa"/>
            </w:tcMar>
            <w:shd w:val="clear" w:color="auto" w:fill="E5F5FF"/>
          </w:tcPr>
          <w:p>
            <w:pPr>
              <w:pStyle w:val="BDOITable"/>
            </w:pPr>
            <w:r>
              <w:rPr>
                <w:sz w:val="15"/>
              </w:rPr>
              <w:t>Critical within 7 days, high within 30 days, medium within 90 days; an accepted finding expires after at most 6 months</w:t>
            </w:r>
          </w:p>
        </w:tc>
        <w:tc>
          <w:tcPr>
            <w:tcW w:type="dxa" w:w="1586"/>
            <w:tcMar>
              <w:top w:w="50" w:type="dxa"/>
              <w:bottom w:w="50" w:type="dxa"/>
              <w:left w:w="90" w:type="dxa"/>
              <w:right w:w="90" w:type="dxa"/>
            </w:tcMar>
            <w:shd w:val="clear" w:color="auto" w:fill="E5F5FF"/>
          </w:tcPr>
          <w:p>
            <w:pPr>
              <w:pStyle w:val="BDOITable"/>
            </w:pPr>
            <w:r>
              <w:rPr>
                <w:sz w:val="15"/>
              </w:rPr>
              <w:t>Inspection; Operational acceptance</w:t>
            </w:r>
          </w:p>
        </w:tc>
        <w:tc>
          <w:tcPr>
            <w:tcW w:type="dxa" w:w="1303"/>
            <w:tcMar>
              <w:top w:w="50" w:type="dxa"/>
              <w:bottom w:w="50" w:type="dxa"/>
              <w:left w:w="90" w:type="dxa"/>
              <w:right w:w="90" w:type="dxa"/>
            </w:tcMar>
            <w:shd w:val="clear" w:color="auto" w:fill="E5F5FF"/>
          </w:tcPr>
          <w:p>
            <w:pPr>
              <w:pStyle w:val="BDOITable"/>
            </w:pPr>
            <w:r>
              <w:rPr>
                <w:sz w:val="15"/>
              </w:rPr>
              <w:t>Security Lead</w:t>
            </w:r>
          </w:p>
        </w:tc>
        <w:tc>
          <w:tcPr>
            <w:tcW w:type="dxa" w:w="1190"/>
            <w:tcMar>
              <w:top w:w="50" w:type="dxa"/>
              <w:bottom w:w="50" w:type="dxa"/>
              <w:left w:w="90" w:type="dxa"/>
              <w:right w:w="90" w:type="dxa"/>
            </w:tcMar>
            <w:shd w:val="clear" w:color="auto" w:fill="E5F5FF"/>
          </w:tcPr>
          <w:p>
            <w:pPr>
              <w:pStyle w:val="BDOITable"/>
            </w:pPr>
            <w:r>
              <w:rPr>
                <w:sz w:val="15"/>
              </w:rPr>
              <w:t>PROPOSED</w:t>
            </w:r>
          </w:p>
        </w:tc>
      </w:tr>
    </w:tbl>
    <w:p>
      <w:pPr>
        <w:pStyle w:val="BDOISpacer"/>
      </w:pPr>
    </w:p>
    <w:p>
      <w:pPr>
        <w:pStyle w:val="Heading2"/>
      </w:pPr>
      <w:bookmarkStart w:id="115" w:name="_Toc000115"/>
      <w:r>
        <w:rPr/>
        <w:t>4.2 Privacy</w:t>
      </w:r>
      <w:bookmarkEnd w:id="115"/>
    </w:p>
    <w:p>
      <w:pPr>
        <w:pStyle w:val="Caption"/>
        <w:keepNext/>
        <w:spacing w:after="60"/>
      </w:pPr>
      <w:r>
        <w:rPr>
          <w:b/>
          <w:i w:val="0"/>
        </w:rPr>
        <w:t xml:space="preserve">Table 9: </w:t>
      </w:r>
      <w:r>
        <w:rPr/>
        <w:t>Privacy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NFR-PRV-01</w:t>
            </w:r>
          </w:p>
        </w:tc>
        <w:tc>
          <w:tcPr>
            <w:tcW w:type="dxa" w:w="1416"/>
            <w:tcMar>
              <w:top w:w="50" w:type="dxa"/>
              <w:bottom w:w="50" w:type="dxa"/>
              <w:left w:w="90" w:type="dxa"/>
              <w:right w:w="90" w:type="dxa"/>
            </w:tcMar>
          </w:tcPr>
          <w:p>
            <w:pPr>
              <w:pStyle w:val="BDOITable"/>
            </w:pPr>
            <w:r>
              <w:rPr>
                <w:sz w:val="15"/>
              </w:rPr>
              <w:t>Masked data outside production</w:t>
            </w:r>
          </w:p>
        </w:tc>
        <w:tc>
          <w:tcPr>
            <w:tcW w:type="dxa" w:w="3286"/>
            <w:tcMar>
              <w:top w:w="50" w:type="dxa"/>
              <w:bottom w:w="50" w:type="dxa"/>
              <w:left w:w="90" w:type="dxa"/>
              <w:right w:w="90" w:type="dxa"/>
            </w:tcMar>
          </w:tcPr>
          <w:p>
            <w:pPr>
              <w:pStyle w:val="BDOITable"/>
            </w:pPr>
            <w:r>
              <w:rPr>
                <w:sz w:val="15"/>
              </w:rPr>
              <w:t>Names, TIN, addresses, contact details and bank account numbers masked in DEV, SIT, training and UAT; 0 unmasked records found in the masking verification of each migration load</w:t>
            </w:r>
          </w:p>
        </w:tc>
        <w:tc>
          <w:tcPr>
            <w:tcW w:type="dxa" w:w="1586"/>
            <w:tcMar>
              <w:top w:w="50" w:type="dxa"/>
              <w:bottom w:w="50" w:type="dxa"/>
              <w:left w:w="90" w:type="dxa"/>
              <w:right w:w="90" w:type="dxa"/>
            </w:tcMar>
          </w:tcPr>
          <w:p>
            <w:pPr>
              <w:pStyle w:val="BDOITable"/>
            </w:pPr>
            <w:r>
              <w:rPr>
                <w:sz w:val="15"/>
              </w:rPr>
              <w:t>Test; Data migration; security</w:t>
            </w:r>
          </w:p>
        </w:tc>
        <w:tc>
          <w:tcPr>
            <w:tcW w:type="dxa" w:w="1303"/>
            <w:tcMar>
              <w:top w:w="50" w:type="dxa"/>
              <w:bottom w:w="50" w:type="dxa"/>
              <w:left w:w="90" w:type="dxa"/>
              <w:right w:w="90" w:type="dxa"/>
            </w:tcMar>
          </w:tcPr>
          <w:p>
            <w:pPr>
              <w:pStyle w:val="BDOITable"/>
            </w:pPr>
            <w:r>
              <w:rPr>
                <w:sz w:val="15"/>
              </w:rPr>
              <w:t>Migration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NFR-PRV-02</w:t>
            </w:r>
          </w:p>
        </w:tc>
        <w:tc>
          <w:tcPr>
            <w:tcW w:type="dxa" w:w="1416"/>
            <w:tcMar>
              <w:top w:w="50" w:type="dxa"/>
              <w:bottom w:w="50" w:type="dxa"/>
              <w:left w:w="90" w:type="dxa"/>
              <w:right w:w="90" w:type="dxa"/>
            </w:tcMar>
            <w:shd w:val="clear" w:color="auto" w:fill="E5F5FF"/>
          </w:tcPr>
          <w:p>
            <w:pPr>
              <w:pStyle w:val="BDOITable"/>
            </w:pPr>
            <w:r>
              <w:rPr>
                <w:sz w:val="15"/>
              </w:rPr>
              <w:t>Data residency and support access</w:t>
            </w:r>
          </w:p>
        </w:tc>
        <w:tc>
          <w:tcPr>
            <w:tcW w:type="dxa" w:w="3286"/>
            <w:tcMar>
              <w:top w:w="50" w:type="dxa"/>
              <w:bottom w:w="50" w:type="dxa"/>
              <w:left w:w="90" w:type="dxa"/>
              <w:right w:w="90" w:type="dxa"/>
            </w:tcMar>
            <w:shd w:val="clear" w:color="auto" w:fill="E5F5FF"/>
          </w:tcPr>
          <w:p>
            <w:pPr>
              <w:pStyle w:val="BDOITable"/>
            </w:pPr>
            <w:r>
              <w:rPr>
                <w:sz w:val="15"/>
              </w:rPr>
              <w:t>Production in AWS ap-southeast-1; DR region confirmed by BDOI after the data-residency check; production access only by named personnel in the Philippines, each session logged</w:t>
            </w:r>
          </w:p>
        </w:tc>
        <w:tc>
          <w:tcPr>
            <w:tcW w:type="dxa" w:w="1586"/>
            <w:tcMar>
              <w:top w:w="50" w:type="dxa"/>
              <w:bottom w:w="50" w:type="dxa"/>
              <w:left w:w="90" w:type="dxa"/>
              <w:right w:w="90" w:type="dxa"/>
            </w:tcMar>
            <w:shd w:val="clear" w:color="auto" w:fill="E5F5FF"/>
          </w:tcPr>
          <w:p>
            <w:pPr>
              <w:pStyle w:val="BDOITable"/>
            </w:pPr>
            <w:r>
              <w:rPr>
                <w:sz w:val="15"/>
              </w:rPr>
              <w:t>Inspection; Security</w:t>
            </w:r>
          </w:p>
        </w:tc>
        <w:tc>
          <w:tcPr>
            <w:tcW w:type="dxa" w:w="1303"/>
            <w:tcMar>
              <w:top w:w="50" w:type="dxa"/>
              <w:bottom w:w="50" w:type="dxa"/>
              <w:left w:w="90" w:type="dxa"/>
              <w:right w:w="90" w:type="dxa"/>
            </w:tcMar>
            <w:shd w:val="clear" w:color="auto" w:fill="E5F5FF"/>
          </w:tcPr>
          <w:p>
            <w:pPr>
              <w:pStyle w:val="BDOITable"/>
            </w:pPr>
            <w:r>
              <w:rPr>
                <w:sz w:val="15"/>
              </w:rPr>
              <w:t>DevOps and Platform Lead</w:t>
            </w:r>
          </w:p>
        </w:tc>
        <w:tc>
          <w:tcPr>
            <w:tcW w:type="dxa" w:w="1190"/>
            <w:tcMar>
              <w:top w:w="50" w:type="dxa"/>
              <w:bottom w:w="50" w:type="dxa"/>
              <w:left w:w="90" w:type="dxa"/>
              <w:right w:w="90" w:type="dxa"/>
            </w:tcMar>
            <w:shd w:val="clear" w:color="auto" w:fill="E5F5FF"/>
          </w:tcPr>
          <w:p>
            <w:pPr>
              <w:pStyle w:val="BDOITable"/>
            </w:pPr>
            <w:r>
              <w:rPr>
                <w:sz w:val="15"/>
              </w:rPr>
              <w:t>DECISION</w:t>
            </w:r>
          </w:p>
        </w:tc>
      </w:tr>
      <w:tr>
        <w:trPr>
          <w:cantSplit w:val="true"/>
        </w:trPr>
        <w:tc>
          <w:tcPr>
            <w:tcW w:type="dxa" w:w="1190"/>
            <w:tcMar>
              <w:top w:w="50" w:type="dxa"/>
              <w:bottom w:w="50" w:type="dxa"/>
              <w:left w:w="90" w:type="dxa"/>
              <w:right w:w="90" w:type="dxa"/>
            </w:tcMar>
          </w:tcPr>
          <w:p>
            <w:pPr>
              <w:pStyle w:val="BDOITable"/>
            </w:pPr>
            <w:r>
              <w:rPr>
                <w:b/>
                <w:sz w:val="15"/>
              </w:rPr>
              <w:t>NFR-PRV-03</w:t>
            </w:r>
          </w:p>
        </w:tc>
        <w:tc>
          <w:tcPr>
            <w:tcW w:type="dxa" w:w="1416"/>
            <w:tcMar>
              <w:top w:w="50" w:type="dxa"/>
              <w:bottom w:w="50" w:type="dxa"/>
              <w:left w:w="90" w:type="dxa"/>
              <w:right w:w="90" w:type="dxa"/>
            </w:tcMar>
          </w:tcPr>
          <w:p>
            <w:pPr>
              <w:pStyle w:val="BDOITable"/>
            </w:pPr>
            <w:r>
              <w:rPr>
                <w:sz w:val="15"/>
              </w:rPr>
              <w:t>Sensitive personal information</w:t>
            </w:r>
          </w:p>
        </w:tc>
        <w:tc>
          <w:tcPr>
            <w:tcW w:type="dxa" w:w="3286"/>
            <w:tcMar>
              <w:top w:w="50" w:type="dxa"/>
              <w:bottom w:w="50" w:type="dxa"/>
              <w:left w:w="90" w:type="dxa"/>
              <w:right w:w="90" w:type="dxa"/>
            </w:tcMar>
          </w:tcPr>
          <w:p>
            <w:pPr>
              <w:pStyle w:val="BDOITable"/>
            </w:pPr>
            <w:r>
              <w:rPr>
                <w:sz w:val="15"/>
              </w:rPr>
              <w:t>Access by department access class; every download logged; no health data in the member roster</w:t>
            </w:r>
          </w:p>
        </w:tc>
        <w:tc>
          <w:tcPr>
            <w:tcW w:type="dxa" w:w="1586"/>
            <w:tcMar>
              <w:top w:w="50" w:type="dxa"/>
              <w:bottom w:w="50" w:type="dxa"/>
              <w:left w:w="90" w:type="dxa"/>
              <w:right w:w="90" w:type="dxa"/>
            </w:tcMar>
          </w:tcPr>
          <w:p>
            <w:pPr>
              <w:pStyle w:val="BDOITable"/>
            </w:pPr>
            <w:r>
              <w:rPr>
                <w:sz w:val="15"/>
              </w:rPr>
              <w:t>Test; Security</w:t>
            </w:r>
          </w:p>
        </w:tc>
        <w:tc>
          <w:tcPr>
            <w:tcW w:type="dxa" w:w="1303"/>
            <w:tcMar>
              <w:top w:w="50" w:type="dxa"/>
              <w:bottom w:w="50" w:type="dxa"/>
              <w:left w:w="90" w:type="dxa"/>
              <w:right w:w="90" w:type="dxa"/>
            </w:tcMar>
          </w:tcPr>
          <w:p>
            <w:pPr>
              <w:pStyle w:val="BDOITable"/>
            </w:pPr>
            <w:r>
              <w:rPr>
                <w:sz w:val="15"/>
              </w:rPr>
              <w:t>QA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NFR-PRV-04</w:t>
            </w:r>
          </w:p>
        </w:tc>
        <w:tc>
          <w:tcPr>
            <w:tcW w:type="dxa" w:w="1416"/>
            <w:tcMar>
              <w:top w:w="50" w:type="dxa"/>
              <w:bottom w:w="50" w:type="dxa"/>
              <w:left w:w="90" w:type="dxa"/>
              <w:right w:w="90" w:type="dxa"/>
            </w:tcMar>
            <w:shd w:val="clear" w:color="auto" w:fill="E5F5FF"/>
          </w:tcPr>
          <w:p>
            <w:pPr>
              <w:pStyle w:val="BDOITable"/>
            </w:pPr>
            <w:r>
              <w:rPr>
                <w:sz w:val="15"/>
              </w:rPr>
              <w:t>Data-subject requests</w:t>
            </w:r>
          </w:p>
        </w:tc>
        <w:tc>
          <w:tcPr>
            <w:tcW w:type="dxa" w:w="3286"/>
            <w:tcMar>
              <w:top w:w="50" w:type="dxa"/>
              <w:bottom w:w="50" w:type="dxa"/>
              <w:left w:w="90" w:type="dxa"/>
              <w:right w:w="90" w:type="dxa"/>
            </w:tcMar>
            <w:shd w:val="clear" w:color="auto" w:fill="E5F5FF"/>
          </w:tcPr>
          <w:p>
            <w:pPr>
              <w:pStyle w:val="BDOITable"/>
            </w:pPr>
            <w:r>
              <w:rPr>
                <w:sz w:val="15"/>
              </w:rPr>
              <w:t>The personal data held on one client found and exported within 1 business day; corrections recorded with the audit trail</w:t>
            </w:r>
          </w:p>
        </w:tc>
        <w:tc>
          <w:tcPr>
            <w:tcW w:type="dxa" w:w="1586"/>
            <w:tcMar>
              <w:top w:w="50" w:type="dxa"/>
              <w:bottom w:w="50" w:type="dxa"/>
              <w:left w:w="90" w:type="dxa"/>
              <w:right w:w="90" w:type="dxa"/>
            </w:tcMar>
            <w:shd w:val="clear" w:color="auto" w:fill="E5F5FF"/>
          </w:tcPr>
          <w:p>
            <w:pPr>
              <w:pStyle w:val="BDOITable"/>
            </w:pPr>
            <w:r>
              <w:rPr>
                <w:sz w:val="15"/>
              </w:rPr>
              <w:t>Test; User acceptance</w:t>
            </w:r>
          </w:p>
        </w:tc>
        <w:tc>
          <w:tcPr>
            <w:tcW w:type="dxa" w:w="1303"/>
            <w:tcMar>
              <w:top w:w="50" w:type="dxa"/>
              <w:bottom w:w="50" w:type="dxa"/>
              <w:left w:w="90" w:type="dxa"/>
              <w:right w:w="90" w:type="dxa"/>
            </w:tcMar>
            <w:shd w:val="clear" w:color="auto" w:fill="E5F5FF"/>
          </w:tcPr>
          <w:p>
            <w:pPr>
              <w:pStyle w:val="BDOITable"/>
            </w:pPr>
            <w:r>
              <w:rPr>
                <w:sz w:val="15"/>
              </w:rPr>
              <w:t>Business Analyst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NFR-PRV-05</w:t>
            </w:r>
          </w:p>
        </w:tc>
        <w:tc>
          <w:tcPr>
            <w:tcW w:type="dxa" w:w="1416"/>
            <w:tcMar>
              <w:top w:w="50" w:type="dxa"/>
              <w:bottom w:w="50" w:type="dxa"/>
              <w:left w:w="90" w:type="dxa"/>
              <w:right w:w="90" w:type="dxa"/>
            </w:tcMar>
          </w:tcPr>
          <w:p>
            <w:pPr>
              <w:pStyle w:val="BDOITable"/>
            </w:pPr>
            <w:r>
              <w:rPr>
                <w:sz w:val="15"/>
              </w:rPr>
              <w:t>Migration staging purge</w:t>
            </w:r>
          </w:p>
        </w:tc>
        <w:tc>
          <w:tcPr>
            <w:tcW w:type="dxa" w:w="3286"/>
            <w:tcMar>
              <w:top w:w="50" w:type="dxa"/>
              <w:bottom w:w="50" w:type="dxa"/>
              <w:left w:w="90" w:type="dxa"/>
              <w:right w:w="90" w:type="dxa"/>
            </w:tcMar>
          </w:tcPr>
          <w:p>
            <w:pPr>
              <w:pStyle w:val="BDOITable"/>
            </w:pPr>
            <w:r>
              <w:rPr>
                <w:sz w:val="15"/>
              </w:rPr>
              <w:t>Staged data and files purged within 5 days of the batch sign-off; access only for the migration roles</w:t>
            </w:r>
          </w:p>
        </w:tc>
        <w:tc>
          <w:tcPr>
            <w:tcW w:type="dxa" w:w="1586"/>
            <w:tcMar>
              <w:top w:w="50" w:type="dxa"/>
              <w:bottom w:w="50" w:type="dxa"/>
              <w:left w:w="90" w:type="dxa"/>
              <w:right w:w="90" w:type="dxa"/>
            </w:tcMar>
          </w:tcPr>
          <w:p>
            <w:pPr>
              <w:pStyle w:val="BDOITable"/>
            </w:pPr>
            <w:r>
              <w:rPr>
                <w:sz w:val="15"/>
              </w:rPr>
              <w:t>Inspection; Data migration</w:t>
            </w:r>
          </w:p>
        </w:tc>
        <w:tc>
          <w:tcPr>
            <w:tcW w:type="dxa" w:w="1303"/>
            <w:tcMar>
              <w:top w:w="50" w:type="dxa"/>
              <w:bottom w:w="50" w:type="dxa"/>
              <w:left w:w="90" w:type="dxa"/>
              <w:right w:w="90" w:type="dxa"/>
            </w:tcMar>
          </w:tcPr>
          <w:p>
            <w:pPr>
              <w:pStyle w:val="BDOITable"/>
            </w:pPr>
            <w:r>
              <w:rPr>
                <w:sz w:val="15"/>
              </w:rPr>
              <w:t>Migration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NFR-PRV-06</w:t>
            </w:r>
          </w:p>
        </w:tc>
        <w:tc>
          <w:tcPr>
            <w:tcW w:type="dxa" w:w="1416"/>
            <w:tcMar>
              <w:top w:w="50" w:type="dxa"/>
              <w:bottom w:w="50" w:type="dxa"/>
              <w:left w:w="90" w:type="dxa"/>
              <w:right w:w="90" w:type="dxa"/>
            </w:tcMar>
            <w:shd w:val="clear" w:color="auto" w:fill="E5F5FF"/>
          </w:tcPr>
          <w:p>
            <w:pPr>
              <w:pStyle w:val="BDOITable"/>
            </w:pPr>
            <w:r>
              <w:rPr>
                <w:sz w:val="15"/>
              </w:rPr>
              <w:t>Security event alerts</w:t>
            </w:r>
          </w:p>
        </w:tc>
        <w:tc>
          <w:tcPr>
            <w:tcW w:type="dxa" w:w="3286"/>
            <w:tcMar>
              <w:top w:w="50" w:type="dxa"/>
              <w:bottom w:w="50" w:type="dxa"/>
              <w:left w:w="90" w:type="dxa"/>
              <w:right w:w="90" w:type="dxa"/>
            </w:tcMar>
            <w:shd w:val="clear" w:color="auto" w:fill="E5F5FF"/>
          </w:tcPr>
          <w:p>
            <w:pPr>
              <w:pStyle w:val="BDOITable"/>
            </w:pPr>
            <w:r>
              <w:rPr>
                <w:sz w:val="15"/>
              </w:rPr>
              <w:t>Alerts within 15 minutes for repeated failed sign-ins, privilege changes, refused data-scope access and exports above 10,000 rows</w:t>
            </w:r>
          </w:p>
        </w:tc>
        <w:tc>
          <w:tcPr>
            <w:tcW w:type="dxa" w:w="1586"/>
            <w:tcMar>
              <w:top w:w="50" w:type="dxa"/>
              <w:bottom w:w="50" w:type="dxa"/>
              <w:left w:w="90" w:type="dxa"/>
              <w:right w:w="90" w:type="dxa"/>
            </w:tcMar>
            <w:shd w:val="clear" w:color="auto" w:fill="E5F5FF"/>
          </w:tcPr>
          <w:p>
            <w:pPr>
              <w:pStyle w:val="BDOITable"/>
            </w:pPr>
            <w:r>
              <w:rPr>
                <w:sz w:val="15"/>
              </w:rPr>
              <w:t>Test; Security</w:t>
            </w:r>
          </w:p>
        </w:tc>
        <w:tc>
          <w:tcPr>
            <w:tcW w:type="dxa" w:w="1303"/>
            <w:tcMar>
              <w:top w:w="50" w:type="dxa"/>
              <w:bottom w:w="50" w:type="dxa"/>
              <w:left w:w="90" w:type="dxa"/>
              <w:right w:w="90" w:type="dxa"/>
            </w:tcMar>
            <w:shd w:val="clear" w:color="auto" w:fill="E5F5FF"/>
          </w:tcPr>
          <w:p>
            <w:pPr>
              <w:pStyle w:val="BDOITable"/>
            </w:pPr>
            <w:r>
              <w:rPr>
                <w:sz w:val="15"/>
              </w:rPr>
              <w:t>Security Lead</w:t>
            </w:r>
          </w:p>
        </w:tc>
        <w:tc>
          <w:tcPr>
            <w:tcW w:type="dxa" w:w="1190"/>
            <w:tcMar>
              <w:top w:w="50" w:type="dxa"/>
              <w:bottom w:w="50" w:type="dxa"/>
              <w:left w:w="90" w:type="dxa"/>
              <w:right w:w="90" w:type="dxa"/>
            </w:tcMar>
            <w:shd w:val="clear" w:color="auto" w:fill="E5F5FF"/>
          </w:tcPr>
          <w:p>
            <w:pPr>
              <w:pStyle w:val="BDOITable"/>
            </w:pPr>
            <w:r>
              <w:rPr>
                <w:sz w:val="15"/>
              </w:rPr>
              <w:t>PROPOSED</w:t>
            </w:r>
          </w:p>
        </w:tc>
      </w:tr>
    </w:tbl>
    <w:p>
      <w:pPr>
        <w:pStyle w:val="BDOISpacer"/>
      </w:pPr>
    </w:p>
    <w:p>
      <w:pPr>
        <w:pStyle w:val="Heading2"/>
      </w:pPr>
      <w:bookmarkStart w:id="116" w:name="_Toc000116"/>
      <w:r>
        <w:rPr/>
        <w:t>4.3 Auditability</w:t>
      </w:r>
      <w:bookmarkEnd w:id="116"/>
    </w:p>
    <w:p>
      <w:pPr>
        <w:pStyle w:val="Caption"/>
        <w:keepNext/>
        <w:spacing w:after="60"/>
      </w:pPr>
      <w:r>
        <w:rPr>
          <w:b/>
          <w:i w:val="0"/>
        </w:rPr>
        <w:t xml:space="preserve">Table 10: </w:t>
      </w:r>
      <w:r>
        <w:rPr/>
        <w:t>Auditability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NFR-AUD-01</w:t>
            </w:r>
          </w:p>
        </w:tc>
        <w:tc>
          <w:tcPr>
            <w:tcW w:type="dxa" w:w="1416"/>
            <w:tcMar>
              <w:top w:w="50" w:type="dxa"/>
              <w:bottom w:w="50" w:type="dxa"/>
              <w:left w:w="90" w:type="dxa"/>
              <w:right w:w="90" w:type="dxa"/>
            </w:tcMar>
          </w:tcPr>
          <w:p>
            <w:pPr>
              <w:pStyle w:val="BDOITable"/>
            </w:pPr>
            <w:r>
              <w:rPr>
                <w:sz w:val="15"/>
              </w:rPr>
              <w:t>Complete audit trail</w:t>
            </w:r>
          </w:p>
        </w:tc>
        <w:tc>
          <w:tcPr>
            <w:tcW w:type="dxa" w:w="3286"/>
            <w:tcMar>
              <w:top w:w="50" w:type="dxa"/>
              <w:bottom w:w="50" w:type="dxa"/>
              <w:left w:w="90" w:type="dxa"/>
              <w:right w:w="90" w:type="dxa"/>
            </w:tcMar>
          </w:tcPr>
          <w:p>
            <w:pPr>
              <w:pStyle w:val="BDOITable"/>
            </w:pPr>
            <w:r>
              <w:rPr>
                <w:sz w:val="15"/>
              </w:rPr>
              <w:t>Every create, update, approve, post, reverse, sign-in, sign-out, report run and export recorded with the user, time, source IP, module, record, old and new values and a success or failure indicator, in the same transaction as the change</w:t>
            </w:r>
          </w:p>
        </w:tc>
        <w:tc>
          <w:tcPr>
            <w:tcW w:type="dxa" w:w="1586"/>
            <w:tcMar>
              <w:top w:w="50" w:type="dxa"/>
              <w:bottom w:w="50" w:type="dxa"/>
              <w:left w:w="90" w:type="dxa"/>
              <w:right w:w="90" w:type="dxa"/>
            </w:tcMar>
          </w:tcPr>
          <w:p>
            <w:pPr>
              <w:pStyle w:val="BDOITable"/>
            </w:pPr>
            <w:r>
              <w:rPr>
                <w:sz w:val="15"/>
              </w:rPr>
              <w:t>Test; System</w:t>
            </w:r>
          </w:p>
        </w:tc>
        <w:tc>
          <w:tcPr>
            <w:tcW w:type="dxa" w:w="1303"/>
            <w:tcMar>
              <w:top w:w="50" w:type="dxa"/>
              <w:bottom w:w="50" w:type="dxa"/>
              <w:left w:w="90" w:type="dxa"/>
              <w:right w:w="90" w:type="dxa"/>
            </w:tcMar>
          </w:tcPr>
          <w:p>
            <w:pPr>
              <w:pStyle w:val="BDOITable"/>
            </w:pPr>
            <w:r>
              <w:rPr>
                <w:sz w:val="15"/>
              </w:rPr>
              <w:t>QA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NFR-AUD-02</w:t>
            </w:r>
          </w:p>
        </w:tc>
        <w:tc>
          <w:tcPr>
            <w:tcW w:type="dxa" w:w="1416"/>
            <w:tcMar>
              <w:top w:w="50" w:type="dxa"/>
              <w:bottom w:w="50" w:type="dxa"/>
              <w:left w:w="90" w:type="dxa"/>
              <w:right w:w="90" w:type="dxa"/>
            </w:tcMar>
            <w:shd w:val="clear" w:color="auto" w:fill="E5F5FF"/>
          </w:tcPr>
          <w:p>
            <w:pPr>
              <w:pStyle w:val="BDOITable"/>
            </w:pPr>
            <w:r>
              <w:rPr>
                <w:sz w:val="15"/>
              </w:rPr>
              <w:t>Audit records cannot be changed</w:t>
            </w:r>
          </w:p>
        </w:tc>
        <w:tc>
          <w:tcPr>
            <w:tcW w:type="dxa" w:w="3286"/>
            <w:tcMar>
              <w:top w:w="50" w:type="dxa"/>
              <w:bottom w:w="50" w:type="dxa"/>
              <w:left w:w="90" w:type="dxa"/>
              <w:right w:w="90" w:type="dxa"/>
            </w:tcMar>
            <w:shd w:val="clear" w:color="auto" w:fill="E5F5FF"/>
          </w:tcPr>
          <w:p>
            <w:pPr>
              <w:pStyle w:val="BDOITable"/>
            </w:pPr>
            <w:r>
              <w:rPr>
                <w:sz w:val="15"/>
              </w:rPr>
              <w:t>0 successful changes or deletions of audit records by any user, administrator or the application</w:t>
            </w:r>
          </w:p>
        </w:tc>
        <w:tc>
          <w:tcPr>
            <w:tcW w:type="dxa" w:w="1586"/>
            <w:tcMar>
              <w:top w:w="50" w:type="dxa"/>
              <w:bottom w:w="50" w:type="dxa"/>
              <w:left w:w="90" w:type="dxa"/>
              <w:right w:w="90" w:type="dxa"/>
            </w:tcMar>
            <w:shd w:val="clear" w:color="auto" w:fill="E5F5FF"/>
          </w:tcPr>
          <w:p>
            <w:pPr>
              <w:pStyle w:val="BDOITable"/>
            </w:pPr>
            <w:r>
              <w:rPr>
                <w:sz w:val="15"/>
              </w:rPr>
              <w:t>Test; Security</w:t>
            </w:r>
          </w:p>
        </w:tc>
        <w:tc>
          <w:tcPr>
            <w:tcW w:type="dxa" w:w="1303"/>
            <w:tcMar>
              <w:top w:w="50" w:type="dxa"/>
              <w:bottom w:w="50" w:type="dxa"/>
              <w:left w:w="90" w:type="dxa"/>
              <w:right w:w="90" w:type="dxa"/>
            </w:tcMar>
            <w:shd w:val="clear" w:color="auto" w:fill="E5F5FF"/>
          </w:tcPr>
          <w:p>
            <w:pPr>
              <w:pStyle w:val="BDOITable"/>
            </w:pPr>
            <w:r>
              <w:rPr>
                <w:sz w:val="15"/>
              </w:rPr>
              <w:t>Security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NFR-AUD-03</w:t>
            </w:r>
          </w:p>
        </w:tc>
        <w:tc>
          <w:tcPr>
            <w:tcW w:type="dxa" w:w="1416"/>
            <w:tcMar>
              <w:top w:w="50" w:type="dxa"/>
              <w:bottom w:w="50" w:type="dxa"/>
              <w:left w:w="90" w:type="dxa"/>
              <w:right w:w="90" w:type="dxa"/>
            </w:tcMar>
          </w:tcPr>
          <w:p>
            <w:pPr>
              <w:pStyle w:val="BDOITable"/>
            </w:pPr>
            <w:r>
              <w:rPr>
                <w:sz w:val="15"/>
              </w:rPr>
              <w:t>Audit enquiry and export</w:t>
            </w:r>
          </w:p>
        </w:tc>
        <w:tc>
          <w:tcPr>
            <w:tcW w:type="dxa" w:w="3286"/>
            <w:tcMar>
              <w:top w:w="50" w:type="dxa"/>
              <w:bottom w:w="50" w:type="dxa"/>
              <w:left w:w="90" w:type="dxa"/>
              <w:right w:w="90" w:type="dxa"/>
            </w:tcMar>
          </w:tcPr>
          <w:p>
            <w:pPr>
              <w:pStyle w:val="BDOITable"/>
            </w:pPr>
            <w:r>
              <w:rPr>
                <w:sz w:val="15"/>
              </w:rPr>
              <w:t>Audit trail filtered by user, period, module and record on screen; one month for one user exported within 2 minutes</w:t>
            </w:r>
          </w:p>
        </w:tc>
        <w:tc>
          <w:tcPr>
            <w:tcW w:type="dxa" w:w="1586"/>
            <w:tcMar>
              <w:top w:w="50" w:type="dxa"/>
              <w:bottom w:w="50" w:type="dxa"/>
              <w:left w:w="90" w:type="dxa"/>
              <w:right w:w="90" w:type="dxa"/>
            </w:tcMar>
          </w:tcPr>
          <w:p>
            <w:pPr>
              <w:pStyle w:val="BDOITable"/>
            </w:pPr>
            <w:r>
              <w:rPr>
                <w:sz w:val="15"/>
              </w:rPr>
              <w:t>Test; Performance (volume)</w:t>
            </w:r>
          </w:p>
        </w:tc>
        <w:tc>
          <w:tcPr>
            <w:tcW w:type="dxa" w:w="1303"/>
            <w:tcMar>
              <w:top w:w="50" w:type="dxa"/>
              <w:bottom w:w="50" w:type="dxa"/>
              <w:left w:w="90" w:type="dxa"/>
              <w:right w:w="90" w:type="dxa"/>
            </w:tcMar>
          </w:tcPr>
          <w:p>
            <w:pPr>
              <w:pStyle w:val="BDOITable"/>
            </w:pPr>
            <w:r>
              <w:rPr>
                <w:sz w:val="15"/>
              </w:rPr>
              <w:t>QA lead</w:t>
            </w:r>
          </w:p>
        </w:tc>
        <w:tc>
          <w:tcPr>
            <w:tcW w:type="dxa" w:w="1190"/>
            <w:tcMar>
              <w:top w:w="50" w:type="dxa"/>
              <w:bottom w:w="50" w:type="dxa"/>
              <w:left w:w="90" w:type="dxa"/>
              <w:right w:w="90" w:type="dxa"/>
            </w:tcMar>
          </w:tcPr>
          <w:p>
            <w:pPr>
              <w:pStyle w:val="BDOITable"/>
            </w:pPr>
            <w:r>
              <w:rPr>
                <w:sz w:val="15"/>
              </w:rPr>
              <w:t>PROPOSED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NFR-AUD-04</w:t>
            </w:r>
          </w:p>
        </w:tc>
        <w:tc>
          <w:tcPr>
            <w:tcW w:type="dxa" w:w="1416"/>
            <w:tcMar>
              <w:top w:w="50" w:type="dxa"/>
              <w:bottom w:w="50" w:type="dxa"/>
              <w:left w:w="90" w:type="dxa"/>
              <w:right w:w="90" w:type="dxa"/>
            </w:tcMar>
            <w:shd w:val="clear" w:color="auto" w:fill="E5F5FF"/>
          </w:tcPr>
          <w:p>
            <w:pPr>
              <w:pStyle w:val="BDOITable"/>
            </w:pPr>
            <w:r>
              <w:rPr>
                <w:sz w:val="15"/>
              </w:rPr>
              <w:t>Master-data change log</w:t>
            </w:r>
          </w:p>
        </w:tc>
        <w:tc>
          <w:tcPr>
            <w:tcW w:type="dxa" w:w="3286"/>
            <w:tcMar>
              <w:top w:w="50" w:type="dxa"/>
              <w:bottom w:w="50" w:type="dxa"/>
              <w:left w:w="90" w:type="dxa"/>
              <w:right w:w="90" w:type="dxa"/>
            </w:tcMar>
            <w:shd w:val="clear" w:color="auto" w:fill="E5F5FF"/>
          </w:tcPr>
          <w:p>
            <w:pPr>
              <w:pStyle w:val="BDOITable"/>
            </w:pPr>
            <w:r>
              <w:rPr>
                <w:sz w:val="15"/>
              </w:rPr>
              <w:t>Users and roles, products and versions, insurers and branches, commission rates, lists of values, chart of accounts, payees and parameters logged field by field with old and new values</w:t>
            </w:r>
          </w:p>
        </w:tc>
        <w:tc>
          <w:tcPr>
            <w:tcW w:type="dxa" w:w="1586"/>
            <w:tcMar>
              <w:top w:w="50" w:type="dxa"/>
              <w:bottom w:w="50" w:type="dxa"/>
              <w:left w:w="90" w:type="dxa"/>
              <w:right w:w="90" w:type="dxa"/>
            </w:tcMar>
            <w:shd w:val="clear" w:color="auto" w:fill="E5F5FF"/>
          </w:tcPr>
          <w:p>
            <w:pPr>
              <w:pStyle w:val="BDOITable"/>
            </w:pPr>
            <w:r>
              <w:rPr>
                <w:sz w:val="15"/>
              </w:rPr>
              <w:t>Test; System</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ALIGNED</w:t>
            </w:r>
          </w:p>
        </w:tc>
      </w:tr>
    </w:tbl>
    <w:p>
      <w:pPr>
        <w:pStyle w:val="BDOISpacer"/>
      </w:pPr>
    </w:p>
    <w:p>
      <w:pPr>
        <w:pStyle w:val="Heading2"/>
      </w:pPr>
      <w:bookmarkStart w:id="117" w:name="_Toc000117"/>
      <w:r>
        <w:rPr/>
        <w:t>4.4 Data retention</w:t>
      </w:r>
      <w:bookmarkEnd w:id="117"/>
    </w:p>
    <w:p>
      <w:pPr>
        <w:pStyle w:val="Caption"/>
        <w:keepNext/>
        <w:spacing w:after="60"/>
      </w:pPr>
      <w:r>
        <w:rPr>
          <w:b/>
          <w:i w:val="0"/>
        </w:rPr>
        <w:t xml:space="preserve">Table 11: </w:t>
      </w:r>
      <w:r>
        <w:rPr/>
        <w:t>Data retention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NFR-RET-01</w:t>
            </w:r>
          </w:p>
        </w:tc>
        <w:tc>
          <w:tcPr>
            <w:tcW w:type="dxa" w:w="1416"/>
            <w:tcMar>
              <w:top w:w="50" w:type="dxa"/>
              <w:bottom w:w="50" w:type="dxa"/>
              <w:left w:w="90" w:type="dxa"/>
              <w:right w:w="90" w:type="dxa"/>
            </w:tcMar>
          </w:tcPr>
          <w:p>
            <w:pPr>
              <w:pStyle w:val="BDOITable"/>
            </w:pPr>
            <w:r>
              <w:rPr>
                <w:sz w:val="15"/>
              </w:rPr>
              <w:t>Retention per record type</w:t>
            </w:r>
          </w:p>
        </w:tc>
        <w:tc>
          <w:tcPr>
            <w:tcW w:type="dxa" w:w="3286"/>
            <w:tcMar>
              <w:top w:w="50" w:type="dxa"/>
              <w:bottom w:w="50" w:type="dxa"/>
              <w:left w:w="90" w:type="dxa"/>
              <w:right w:w="90" w:type="dxa"/>
            </w:tcMar>
          </w:tcPr>
          <w:p>
            <w:pPr>
              <w:pStyle w:val="BDOITable"/>
            </w:pPr>
            <w:r>
              <w:rPr>
                <w:sz w:val="15"/>
              </w:rPr>
              <w:t>Default 5 years online and 15 years archive; Claims 10 years online and 15 archive; Accounting vouchers and reports, Sanction Screening and Submitted Policies 5 years online and 5 archive</w:t>
            </w:r>
          </w:p>
        </w:tc>
        <w:tc>
          <w:tcPr>
            <w:tcW w:type="dxa" w:w="1586"/>
            <w:tcMar>
              <w:top w:w="50" w:type="dxa"/>
              <w:bottom w:w="50" w:type="dxa"/>
              <w:left w:w="90" w:type="dxa"/>
              <w:right w:w="90" w:type="dxa"/>
            </w:tcMar>
          </w:tcPr>
          <w:p>
            <w:pPr>
              <w:pStyle w:val="BDOITable"/>
            </w:pPr>
            <w:r>
              <w:rPr>
                <w:sz w:val="15"/>
              </w:rPr>
              <w:t>Inspection; Configuration review</w:t>
            </w:r>
          </w:p>
        </w:tc>
        <w:tc>
          <w:tcPr>
            <w:tcW w:type="dxa" w:w="1303"/>
            <w:tcMar>
              <w:top w:w="50" w:type="dxa"/>
              <w:bottom w:w="50" w:type="dxa"/>
              <w:left w:w="90" w:type="dxa"/>
              <w:right w:w="90" w:type="dxa"/>
            </w:tcMar>
          </w:tcPr>
          <w:p>
            <w:pPr>
              <w:pStyle w:val="BDOITable"/>
            </w:pPr>
            <w:r>
              <w:rPr>
                <w:sz w:val="15"/>
              </w:rPr>
              <w:t>Business Analyst lead</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NFR-RET-02</w:t>
            </w:r>
          </w:p>
        </w:tc>
        <w:tc>
          <w:tcPr>
            <w:tcW w:type="dxa" w:w="1416"/>
            <w:tcMar>
              <w:top w:w="50" w:type="dxa"/>
              <w:bottom w:w="50" w:type="dxa"/>
              <w:left w:w="90" w:type="dxa"/>
              <w:right w:w="90" w:type="dxa"/>
            </w:tcMar>
            <w:shd w:val="clear" w:color="auto" w:fill="E5F5FF"/>
          </w:tcPr>
          <w:p>
            <w:pPr>
              <w:pStyle w:val="BDOITable"/>
            </w:pPr>
            <w:r>
              <w:rPr>
                <w:sz w:val="15"/>
              </w:rPr>
              <w:t>Archive, purge and legal hold</w:t>
            </w:r>
          </w:p>
        </w:tc>
        <w:tc>
          <w:tcPr>
            <w:tcW w:type="dxa" w:w="3286"/>
            <w:tcMar>
              <w:top w:w="50" w:type="dxa"/>
              <w:bottom w:w="50" w:type="dxa"/>
              <w:left w:w="90" w:type="dxa"/>
              <w:right w:w="90" w:type="dxa"/>
            </w:tcMar>
            <w:shd w:val="clear" w:color="auto" w:fill="E5F5FF"/>
          </w:tcPr>
          <w:p>
            <w:pPr>
              <w:pStyle w:val="BDOITable"/>
            </w:pPr>
            <w:r>
              <w:rPr>
                <w:sz w:val="15"/>
              </w:rPr>
              <w:t>Monthly review lists eligible records; archive and purge run only after BDOI approves the retention decision (Q39); records and files under legal hold never purged</w:t>
            </w:r>
          </w:p>
        </w:tc>
        <w:tc>
          <w:tcPr>
            <w:tcW w:type="dxa" w:w="1586"/>
            <w:tcMar>
              <w:top w:w="50" w:type="dxa"/>
              <w:bottom w:w="50" w:type="dxa"/>
              <w:left w:w="90" w:type="dxa"/>
              <w:right w:w="90" w:type="dxa"/>
            </w:tcMar>
            <w:shd w:val="clear" w:color="auto" w:fill="E5F5FF"/>
          </w:tcPr>
          <w:p>
            <w:pPr>
              <w:pStyle w:val="BDOITable"/>
            </w:pPr>
            <w:r>
              <w:rPr>
                <w:sz w:val="15"/>
              </w:rPr>
              <w:t>Test; System</w:t>
            </w:r>
          </w:p>
        </w:tc>
        <w:tc>
          <w:tcPr>
            <w:tcW w:type="dxa" w:w="1303"/>
            <w:tcMar>
              <w:top w:w="50" w:type="dxa"/>
              <w:bottom w:w="50" w:type="dxa"/>
              <w:left w:w="90" w:type="dxa"/>
              <w:right w:w="90" w:type="dxa"/>
            </w:tcMar>
            <w:shd w:val="clear" w:color="auto" w:fill="E5F5FF"/>
          </w:tcPr>
          <w:p>
            <w:pPr>
              <w:pStyle w:val="BDOITable"/>
            </w:pPr>
            <w:r>
              <w:rPr>
                <w:sz w:val="15"/>
              </w:rPr>
              <w:t>Solution Architect</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NFR-RET-03</w:t>
            </w:r>
          </w:p>
        </w:tc>
        <w:tc>
          <w:tcPr>
            <w:tcW w:type="dxa" w:w="1416"/>
            <w:tcMar>
              <w:top w:w="50" w:type="dxa"/>
              <w:bottom w:w="50" w:type="dxa"/>
              <w:left w:w="90" w:type="dxa"/>
              <w:right w:w="90" w:type="dxa"/>
            </w:tcMar>
          </w:tcPr>
          <w:p>
            <w:pPr>
              <w:pStyle w:val="BDOITable"/>
            </w:pPr>
            <w:r>
              <w:rPr>
                <w:sz w:val="15"/>
              </w:rPr>
              <w:t>Audit log retention</w:t>
            </w:r>
          </w:p>
        </w:tc>
        <w:tc>
          <w:tcPr>
            <w:tcW w:type="dxa" w:w="3286"/>
            <w:tcMar>
              <w:top w:w="50" w:type="dxa"/>
              <w:bottom w:w="50" w:type="dxa"/>
              <w:left w:w="90" w:type="dxa"/>
              <w:right w:w="90" w:type="dxa"/>
            </w:tcMar>
          </w:tcPr>
          <w:p>
            <w:pPr>
              <w:pStyle w:val="BDOITable"/>
            </w:pPr>
            <w:r>
              <w:rPr>
                <w:sz w:val="15"/>
              </w:rPr>
              <w:t>Audit records 5 years online and archived to 16 years</w:t>
            </w:r>
          </w:p>
        </w:tc>
        <w:tc>
          <w:tcPr>
            <w:tcW w:type="dxa" w:w="1586"/>
            <w:tcMar>
              <w:top w:w="50" w:type="dxa"/>
              <w:bottom w:w="50" w:type="dxa"/>
              <w:left w:w="90" w:type="dxa"/>
              <w:right w:w="90" w:type="dxa"/>
            </w:tcMar>
          </w:tcPr>
          <w:p>
            <w:pPr>
              <w:pStyle w:val="BDOITable"/>
            </w:pPr>
            <w:r>
              <w:rPr>
                <w:sz w:val="15"/>
              </w:rPr>
              <w:t>Inspection; Configuration review</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NFR-RET-04</w:t>
            </w:r>
          </w:p>
        </w:tc>
        <w:tc>
          <w:tcPr>
            <w:tcW w:type="dxa" w:w="1416"/>
            <w:tcMar>
              <w:top w:w="50" w:type="dxa"/>
              <w:bottom w:w="50" w:type="dxa"/>
              <w:left w:w="90" w:type="dxa"/>
              <w:right w:w="90" w:type="dxa"/>
            </w:tcMar>
            <w:shd w:val="clear" w:color="auto" w:fill="E5F5FF"/>
          </w:tcPr>
          <w:p>
            <w:pPr>
              <w:pStyle w:val="BDOITable"/>
            </w:pPr>
            <w:r>
              <w:rPr>
                <w:sz w:val="15"/>
              </w:rPr>
              <w:t>Document storage tiers</w:t>
            </w:r>
          </w:p>
        </w:tc>
        <w:tc>
          <w:tcPr>
            <w:tcW w:type="dxa" w:w="3286"/>
            <w:tcMar>
              <w:top w:w="50" w:type="dxa"/>
              <w:bottom w:w="50" w:type="dxa"/>
              <w:left w:w="90" w:type="dxa"/>
              <w:right w:w="90" w:type="dxa"/>
            </w:tcMar>
            <w:shd w:val="clear" w:color="auto" w:fill="E5F5FF"/>
          </w:tcPr>
          <w:p>
            <w:pPr>
              <w:pStyle w:val="BDOITable"/>
            </w:pPr>
            <w:r>
              <w:rPr>
                <w:sz w:val="15"/>
              </w:rPr>
              <w:t>Documents to infrequent-access storage after 90 days and to archive storage after 1 year; any document retrieved within 1 minute</w:t>
            </w:r>
          </w:p>
        </w:tc>
        <w:tc>
          <w:tcPr>
            <w:tcW w:type="dxa" w:w="1586"/>
            <w:tcMar>
              <w:top w:w="50" w:type="dxa"/>
              <w:bottom w:w="50" w:type="dxa"/>
              <w:left w:w="90" w:type="dxa"/>
              <w:right w:w="90" w:type="dxa"/>
            </w:tcMar>
            <w:shd w:val="clear" w:color="auto" w:fill="E5F5FF"/>
          </w:tcPr>
          <w:p>
            <w:pPr>
              <w:pStyle w:val="BDOITable"/>
            </w:pPr>
            <w:r>
              <w:rPr>
                <w:sz w:val="15"/>
              </w:rPr>
              <w:t>Test; System</w:t>
            </w:r>
          </w:p>
        </w:tc>
        <w:tc>
          <w:tcPr>
            <w:tcW w:type="dxa" w:w="1303"/>
            <w:tcMar>
              <w:top w:w="50" w:type="dxa"/>
              <w:bottom w:w="50" w:type="dxa"/>
              <w:left w:w="90" w:type="dxa"/>
              <w:right w:w="90" w:type="dxa"/>
            </w:tcMar>
            <w:shd w:val="clear" w:color="auto" w:fill="E5F5FF"/>
          </w:tcPr>
          <w:p>
            <w:pPr>
              <w:pStyle w:val="BDOITable"/>
            </w:pPr>
            <w:r>
              <w:rPr>
                <w:sz w:val="15"/>
              </w:rPr>
              <w:t>DevOps and Platform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NFR-RET-05</w:t>
            </w:r>
          </w:p>
        </w:tc>
        <w:tc>
          <w:tcPr>
            <w:tcW w:type="dxa" w:w="1416"/>
            <w:tcMar>
              <w:top w:w="50" w:type="dxa"/>
              <w:bottom w:w="50" w:type="dxa"/>
              <w:left w:w="90" w:type="dxa"/>
              <w:right w:w="90" w:type="dxa"/>
            </w:tcMar>
          </w:tcPr>
          <w:p>
            <w:pPr>
              <w:pStyle w:val="BDOITable"/>
            </w:pPr>
            <w:r>
              <w:rPr>
                <w:sz w:val="15"/>
              </w:rPr>
              <w:t>AML records</w:t>
            </w:r>
          </w:p>
        </w:tc>
        <w:tc>
          <w:tcPr>
            <w:tcW w:type="dxa" w:w="3286"/>
            <w:tcMar>
              <w:top w:w="50" w:type="dxa"/>
              <w:bottom w:w="50" w:type="dxa"/>
              <w:left w:w="90" w:type="dxa"/>
              <w:right w:w="90" w:type="dxa"/>
            </w:tcMar>
          </w:tcPr>
          <w:p>
            <w:pPr>
              <w:pStyle w:val="BDOITable"/>
            </w:pPr>
            <w:r>
              <w:rPr>
                <w:sz w:val="15"/>
              </w:rPr>
              <w:t>KYC documents and screening cases kept at least 5 years after the end of the client relationship</w:t>
            </w:r>
          </w:p>
        </w:tc>
        <w:tc>
          <w:tcPr>
            <w:tcW w:type="dxa" w:w="1586"/>
            <w:tcMar>
              <w:top w:w="50" w:type="dxa"/>
              <w:bottom w:w="50" w:type="dxa"/>
              <w:left w:w="90" w:type="dxa"/>
              <w:right w:w="90" w:type="dxa"/>
            </w:tcMar>
          </w:tcPr>
          <w:p>
            <w:pPr>
              <w:pStyle w:val="BDOITable"/>
            </w:pPr>
            <w:r>
              <w:rPr>
                <w:sz w:val="15"/>
              </w:rPr>
              <w:t>Inspection; Configuration review</w:t>
            </w:r>
          </w:p>
        </w:tc>
        <w:tc>
          <w:tcPr>
            <w:tcW w:type="dxa" w:w="1303"/>
            <w:tcMar>
              <w:top w:w="50" w:type="dxa"/>
              <w:bottom w:w="50" w:type="dxa"/>
              <w:left w:w="90" w:type="dxa"/>
              <w:right w:w="90" w:type="dxa"/>
            </w:tcMar>
          </w:tcPr>
          <w:p>
            <w:pPr>
              <w:pStyle w:val="BDOITable"/>
            </w:pPr>
            <w:r>
              <w:rPr>
                <w:sz w:val="15"/>
              </w:rPr>
              <w:t>Business Analyst lead</w:t>
            </w:r>
          </w:p>
        </w:tc>
        <w:tc>
          <w:tcPr>
            <w:tcW w:type="dxa" w:w="1190"/>
            <w:tcMar>
              <w:top w:w="50" w:type="dxa"/>
              <w:bottom w:w="50" w:type="dxa"/>
              <w:left w:w="90" w:type="dxa"/>
              <w:right w:w="90" w:type="dxa"/>
            </w:tcMar>
          </w:tcPr>
          <w:p>
            <w:pPr>
              <w:pStyle w:val="BDOITable"/>
            </w:pPr>
            <w:r>
              <w:rPr>
                <w:sz w:val="15"/>
              </w:rPr>
              <w:t>ALIGNED</w:t>
            </w:r>
          </w:p>
        </w:tc>
      </w:tr>
    </w:tbl>
    <w:p>
      <w:pPr>
        <w:pStyle w:val="BDOISpacer"/>
      </w:pPr>
    </w:p>
    <w:p>
      <w:pPr>
        <w:pStyle w:val="Heading1"/>
        <w:pageBreakBefore/>
        <w:pBdr>
          <w:bottom w:val="single" w:sz="4" w:space="4" w:color="99C1E7"/>
        </w:pBdr>
      </w:pPr>
      <w:bookmarkStart w:id="118" w:name="_Toc000118"/>
      <w:r>
        <w:rPr/>
        <w:t>5 Users, screens and language</w:t>
      </w:r>
      <w:bookmarkEnd w:id="118"/>
    </w:p>
    <w:p>
      <w:pPr>
        <w:pStyle w:val="Heading2"/>
      </w:pPr>
      <w:bookmarkStart w:id="119" w:name="_Toc000119"/>
      <w:r>
        <w:rPr/>
        <w:t>5.1 Accessibility</w:t>
      </w:r>
      <w:bookmarkEnd w:id="119"/>
    </w:p>
    <w:p>
      <w:pPr>
        <w:pStyle w:val="Caption"/>
        <w:keepNext/>
        <w:spacing w:after="60"/>
      </w:pPr>
      <w:r>
        <w:rPr>
          <w:b/>
          <w:i w:val="0"/>
        </w:rPr>
        <w:t xml:space="preserve">Table 12: </w:t>
      </w:r>
      <w:r>
        <w:rPr/>
        <w:t>Accessibility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NFR-ACC-01</w:t>
            </w:r>
          </w:p>
        </w:tc>
        <w:tc>
          <w:tcPr>
            <w:tcW w:type="dxa" w:w="1416"/>
            <w:tcMar>
              <w:top w:w="50" w:type="dxa"/>
              <w:bottom w:w="50" w:type="dxa"/>
              <w:left w:w="90" w:type="dxa"/>
              <w:right w:w="90" w:type="dxa"/>
            </w:tcMar>
          </w:tcPr>
          <w:p>
            <w:pPr>
              <w:pStyle w:val="BDOITable"/>
            </w:pPr>
            <w:r>
              <w:rPr>
                <w:sz w:val="15"/>
              </w:rPr>
              <w:t>WCAG 2.2 level AA</w:t>
            </w:r>
          </w:p>
        </w:tc>
        <w:tc>
          <w:tcPr>
            <w:tcW w:type="dxa" w:w="3286"/>
            <w:tcMar>
              <w:top w:w="50" w:type="dxa"/>
              <w:bottom w:w="50" w:type="dxa"/>
              <w:left w:w="90" w:type="dxa"/>
              <w:right w:w="90" w:type="dxa"/>
            </w:tcMar>
          </w:tcPr>
          <w:p>
            <w:pPr>
              <w:pStyle w:val="BDOITable"/>
            </w:pPr>
            <w:r>
              <w:rPr>
                <w:sz w:val="15"/>
              </w:rPr>
              <w:t>0 open level A or AA failures on the screens of each sign-off set; 0 serious or critical issues in the scan of every screen</w:t>
            </w:r>
          </w:p>
        </w:tc>
        <w:tc>
          <w:tcPr>
            <w:tcW w:type="dxa" w:w="1586"/>
            <w:tcMar>
              <w:top w:w="50" w:type="dxa"/>
              <w:bottom w:w="50" w:type="dxa"/>
              <w:left w:w="90" w:type="dxa"/>
              <w:right w:w="90" w:type="dxa"/>
            </w:tcMar>
          </w:tcPr>
          <w:p>
            <w:pPr>
              <w:pStyle w:val="BDOITable"/>
            </w:pPr>
            <w:r>
              <w:rPr>
                <w:sz w:val="15"/>
              </w:rPr>
              <w:t>Test; Accessibility</w:t>
            </w:r>
          </w:p>
        </w:tc>
        <w:tc>
          <w:tcPr>
            <w:tcW w:type="dxa" w:w="1303"/>
            <w:tcMar>
              <w:top w:w="50" w:type="dxa"/>
              <w:bottom w:w="50" w:type="dxa"/>
              <w:left w:w="90" w:type="dxa"/>
              <w:right w:w="90" w:type="dxa"/>
            </w:tcMar>
          </w:tcPr>
          <w:p>
            <w:pPr>
              <w:pStyle w:val="BDOITable"/>
            </w:pPr>
            <w:r>
              <w:rPr>
                <w:sz w:val="15"/>
              </w:rPr>
              <w:t>UX Lead</w:t>
            </w:r>
          </w:p>
        </w:tc>
        <w:tc>
          <w:tcPr>
            <w:tcW w:type="dxa" w:w="1190"/>
            <w:tcMar>
              <w:top w:w="50" w:type="dxa"/>
              <w:bottom w:w="50" w:type="dxa"/>
              <w:left w:w="90" w:type="dxa"/>
              <w:right w:w="90" w:type="dxa"/>
            </w:tcMar>
          </w:tcPr>
          <w:p>
            <w:pPr>
              <w:pStyle w:val="BDOITable"/>
            </w:pPr>
            <w:r>
              <w:rPr>
                <w:sz w:val="15"/>
              </w:rPr>
              <w:t>PROPOSED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NFR-ACC-02</w:t>
            </w:r>
          </w:p>
        </w:tc>
        <w:tc>
          <w:tcPr>
            <w:tcW w:type="dxa" w:w="1416"/>
            <w:tcMar>
              <w:top w:w="50" w:type="dxa"/>
              <w:bottom w:w="50" w:type="dxa"/>
              <w:left w:w="90" w:type="dxa"/>
              <w:right w:w="90" w:type="dxa"/>
            </w:tcMar>
            <w:shd w:val="clear" w:color="auto" w:fill="E5F5FF"/>
          </w:tcPr>
          <w:p>
            <w:pPr>
              <w:pStyle w:val="BDOITable"/>
            </w:pPr>
            <w:r>
              <w:rPr>
                <w:sz w:val="15"/>
              </w:rPr>
              <w:t>Keyboard use</w:t>
            </w:r>
          </w:p>
        </w:tc>
        <w:tc>
          <w:tcPr>
            <w:tcW w:type="dxa" w:w="3286"/>
            <w:tcMar>
              <w:top w:w="50" w:type="dxa"/>
              <w:bottom w:w="50" w:type="dxa"/>
              <w:left w:w="90" w:type="dxa"/>
              <w:right w:w="90" w:type="dxa"/>
            </w:tcMar>
            <w:shd w:val="clear" w:color="auto" w:fill="E5F5FF"/>
          </w:tcPr>
          <w:p>
            <w:pPr>
              <w:pStyle w:val="BDOITable"/>
            </w:pPr>
            <w:r>
              <w:rPr>
                <w:sz w:val="15"/>
              </w:rPr>
              <w:t>Every action reachable by keyboard with a visible focus ring; rows open with Enter; tabs move with the arrow keys</w:t>
            </w:r>
          </w:p>
        </w:tc>
        <w:tc>
          <w:tcPr>
            <w:tcW w:type="dxa" w:w="1586"/>
            <w:tcMar>
              <w:top w:w="50" w:type="dxa"/>
              <w:bottom w:w="50" w:type="dxa"/>
              <w:left w:w="90" w:type="dxa"/>
              <w:right w:w="90" w:type="dxa"/>
            </w:tcMar>
            <w:shd w:val="clear" w:color="auto" w:fill="E5F5FF"/>
          </w:tcPr>
          <w:p>
            <w:pPr>
              <w:pStyle w:val="BDOITable"/>
            </w:pPr>
            <w:r>
              <w:rPr>
                <w:sz w:val="15"/>
              </w:rPr>
              <w:t>Test; Accessibility</w:t>
            </w:r>
          </w:p>
        </w:tc>
        <w:tc>
          <w:tcPr>
            <w:tcW w:type="dxa" w:w="1303"/>
            <w:tcMar>
              <w:top w:w="50" w:type="dxa"/>
              <w:bottom w:w="50" w:type="dxa"/>
              <w:left w:w="90" w:type="dxa"/>
              <w:right w:w="90" w:type="dxa"/>
            </w:tcMar>
            <w:shd w:val="clear" w:color="auto" w:fill="E5F5FF"/>
          </w:tcPr>
          <w:p>
            <w:pPr>
              <w:pStyle w:val="BDOITable"/>
            </w:pPr>
            <w:r>
              <w:rPr>
                <w:sz w:val="15"/>
              </w:rPr>
              <w:t>UX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NFR-ACC-03</w:t>
            </w:r>
          </w:p>
        </w:tc>
        <w:tc>
          <w:tcPr>
            <w:tcW w:type="dxa" w:w="1416"/>
            <w:tcMar>
              <w:top w:w="50" w:type="dxa"/>
              <w:bottom w:w="50" w:type="dxa"/>
              <w:left w:w="90" w:type="dxa"/>
              <w:right w:w="90" w:type="dxa"/>
            </w:tcMar>
          </w:tcPr>
          <w:p>
            <w:pPr>
              <w:pStyle w:val="BDOITable"/>
            </w:pPr>
            <w:r>
              <w:rPr>
                <w:sz w:val="15"/>
              </w:rPr>
              <w:t>Contrast and colour</w:t>
            </w:r>
          </w:p>
        </w:tc>
        <w:tc>
          <w:tcPr>
            <w:tcW w:type="dxa" w:w="3286"/>
            <w:tcMar>
              <w:top w:w="50" w:type="dxa"/>
              <w:bottom w:w="50" w:type="dxa"/>
              <w:left w:w="90" w:type="dxa"/>
              <w:right w:w="90" w:type="dxa"/>
            </w:tcMar>
          </w:tcPr>
          <w:p>
            <w:pPr>
              <w:pStyle w:val="BDOITable"/>
            </w:pPr>
            <w:r>
              <w:rPr>
                <w:sz w:val="15"/>
              </w:rPr>
              <w:t>Text contrast at least 4.5:1 (3:1 for large text and controls); a status is never shown by colour alone</w:t>
            </w:r>
          </w:p>
        </w:tc>
        <w:tc>
          <w:tcPr>
            <w:tcW w:type="dxa" w:w="1586"/>
            <w:tcMar>
              <w:top w:w="50" w:type="dxa"/>
              <w:bottom w:w="50" w:type="dxa"/>
              <w:left w:w="90" w:type="dxa"/>
              <w:right w:w="90" w:type="dxa"/>
            </w:tcMar>
          </w:tcPr>
          <w:p>
            <w:pPr>
              <w:pStyle w:val="BDOITable"/>
            </w:pPr>
            <w:r>
              <w:rPr>
                <w:sz w:val="15"/>
              </w:rPr>
              <w:t>Inspection; Accessibility</w:t>
            </w:r>
          </w:p>
        </w:tc>
        <w:tc>
          <w:tcPr>
            <w:tcW w:type="dxa" w:w="1303"/>
            <w:tcMar>
              <w:top w:w="50" w:type="dxa"/>
              <w:bottom w:w="50" w:type="dxa"/>
              <w:left w:w="90" w:type="dxa"/>
              <w:right w:w="90" w:type="dxa"/>
            </w:tcMar>
          </w:tcPr>
          <w:p>
            <w:pPr>
              <w:pStyle w:val="BDOITable"/>
            </w:pPr>
            <w:r>
              <w:rPr>
                <w:sz w:val="15"/>
              </w:rPr>
              <w:t>UX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NFR-ACC-04</w:t>
            </w:r>
          </w:p>
        </w:tc>
        <w:tc>
          <w:tcPr>
            <w:tcW w:type="dxa" w:w="1416"/>
            <w:tcMar>
              <w:top w:w="50" w:type="dxa"/>
              <w:bottom w:w="50" w:type="dxa"/>
              <w:left w:w="90" w:type="dxa"/>
              <w:right w:w="90" w:type="dxa"/>
            </w:tcMar>
            <w:shd w:val="clear" w:color="auto" w:fill="E5F5FF"/>
          </w:tcPr>
          <w:p>
            <w:pPr>
              <w:pStyle w:val="BDOITable"/>
            </w:pPr>
            <w:r>
              <w:rPr>
                <w:sz w:val="15"/>
              </w:rPr>
              <w:t>Zoom and reflow</w:t>
            </w:r>
          </w:p>
        </w:tc>
        <w:tc>
          <w:tcPr>
            <w:tcW w:type="dxa" w:w="3286"/>
            <w:tcMar>
              <w:top w:w="50" w:type="dxa"/>
              <w:bottom w:w="50" w:type="dxa"/>
              <w:left w:w="90" w:type="dxa"/>
              <w:right w:w="90" w:type="dxa"/>
            </w:tcMar>
            <w:shd w:val="clear" w:color="auto" w:fill="E5F5FF"/>
          </w:tcPr>
          <w:p>
            <w:pPr>
              <w:pStyle w:val="BDOITable"/>
            </w:pPr>
            <w:r>
              <w:rPr>
                <w:sz w:val="15"/>
              </w:rPr>
              <w:t>Usable at 200% browser zoom and at a 320-pixel reflow width without loss of content or function</w:t>
            </w:r>
          </w:p>
        </w:tc>
        <w:tc>
          <w:tcPr>
            <w:tcW w:type="dxa" w:w="1586"/>
            <w:tcMar>
              <w:top w:w="50" w:type="dxa"/>
              <w:bottom w:w="50" w:type="dxa"/>
              <w:left w:w="90" w:type="dxa"/>
              <w:right w:w="90" w:type="dxa"/>
            </w:tcMar>
            <w:shd w:val="clear" w:color="auto" w:fill="E5F5FF"/>
          </w:tcPr>
          <w:p>
            <w:pPr>
              <w:pStyle w:val="BDOITable"/>
            </w:pPr>
            <w:r>
              <w:rPr>
                <w:sz w:val="15"/>
              </w:rPr>
              <w:t>Test; Accessibility</w:t>
            </w:r>
          </w:p>
        </w:tc>
        <w:tc>
          <w:tcPr>
            <w:tcW w:type="dxa" w:w="1303"/>
            <w:tcMar>
              <w:top w:w="50" w:type="dxa"/>
              <w:bottom w:w="50" w:type="dxa"/>
              <w:left w:w="90" w:type="dxa"/>
              <w:right w:w="90" w:type="dxa"/>
            </w:tcMar>
            <w:shd w:val="clear" w:color="auto" w:fill="E5F5FF"/>
          </w:tcPr>
          <w:p>
            <w:pPr>
              <w:pStyle w:val="BDOITable"/>
            </w:pPr>
            <w:r>
              <w:rPr>
                <w:sz w:val="15"/>
              </w:rPr>
              <w:t>UX Lead</w:t>
            </w:r>
          </w:p>
        </w:tc>
        <w:tc>
          <w:tcPr>
            <w:tcW w:type="dxa" w:w="1190"/>
            <w:tcMar>
              <w:top w:w="50" w:type="dxa"/>
              <w:bottom w:w="50" w:type="dxa"/>
              <w:left w:w="90" w:type="dxa"/>
              <w:right w:w="90" w:type="dxa"/>
            </w:tcMar>
            <w:shd w:val="clear" w:color="auto" w:fill="E5F5FF"/>
          </w:tcPr>
          <w:p>
            <w:pPr>
              <w:pStyle w:val="BDOITable"/>
            </w:pPr>
            <w:r>
              <w:rPr>
                <w:sz w:val="15"/>
              </w:rPr>
              <w:t>PROPOSED</w:t>
            </w:r>
          </w:p>
        </w:tc>
      </w:tr>
    </w:tbl>
    <w:p>
      <w:pPr>
        <w:pStyle w:val="BDOISpacer"/>
      </w:pPr>
    </w:p>
    <w:p>
      <w:pPr>
        <w:pStyle w:val="Heading2"/>
      </w:pPr>
      <w:bookmarkStart w:id="120" w:name="_Toc000120"/>
      <w:r>
        <w:rPr/>
        <w:t>5.2 Usability and low-click workflows</w:t>
      </w:r>
      <w:bookmarkEnd w:id="120"/>
    </w:p>
    <w:p>
      <w:pPr>
        <w:pStyle w:val="Caption"/>
        <w:keepNext/>
        <w:spacing w:after="60"/>
      </w:pPr>
      <w:r>
        <w:rPr>
          <w:b/>
          <w:i w:val="0"/>
        </w:rPr>
        <w:t xml:space="preserve">Table 13: </w:t>
      </w:r>
      <w:r>
        <w:rPr/>
        <w:t>Usability and low-click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NFR-USE-01</w:t>
            </w:r>
          </w:p>
        </w:tc>
        <w:tc>
          <w:tcPr>
            <w:tcW w:type="dxa" w:w="1416"/>
            <w:tcMar>
              <w:top w:w="50" w:type="dxa"/>
              <w:bottom w:w="50" w:type="dxa"/>
              <w:left w:w="90" w:type="dxa"/>
              <w:right w:w="90" w:type="dxa"/>
            </w:tcMar>
          </w:tcPr>
          <w:p>
            <w:pPr>
              <w:pStyle w:val="BDOITable"/>
            </w:pPr>
            <w:r>
              <w:rPr>
                <w:sz w:val="15"/>
              </w:rPr>
              <w:t>Low-click navigation</w:t>
            </w:r>
          </w:p>
        </w:tc>
        <w:tc>
          <w:tcPr>
            <w:tcW w:type="dxa" w:w="3286"/>
            <w:tcMar>
              <w:top w:w="50" w:type="dxa"/>
              <w:bottom w:w="50" w:type="dxa"/>
              <w:left w:w="90" w:type="dxa"/>
              <w:right w:w="90" w:type="dxa"/>
            </w:tcMar>
          </w:tcPr>
          <w:p>
            <w:pPr>
              <w:pStyle w:val="BDOITable"/>
            </w:pPr>
            <w:r>
              <w:rPr>
                <w:sz w:val="15"/>
              </w:rPr>
              <w:t>Any daily task reached in at most 2 clicks from the role home page or the menu; a record opened from a search result in 1 click; the main action of a record (submit, approve) at most 1 click away</w:t>
            </w:r>
          </w:p>
        </w:tc>
        <w:tc>
          <w:tcPr>
            <w:tcW w:type="dxa" w:w="1586"/>
            <w:tcMar>
              <w:top w:w="50" w:type="dxa"/>
              <w:bottom w:w="50" w:type="dxa"/>
              <w:left w:w="90" w:type="dxa"/>
              <w:right w:w="90" w:type="dxa"/>
            </w:tcMar>
          </w:tcPr>
          <w:p>
            <w:pPr>
              <w:pStyle w:val="BDOITable"/>
            </w:pPr>
            <w:r>
              <w:rPr>
                <w:sz w:val="15"/>
              </w:rPr>
              <w:t>Walk-through; Usability</w:t>
            </w:r>
          </w:p>
        </w:tc>
        <w:tc>
          <w:tcPr>
            <w:tcW w:type="dxa" w:w="1303"/>
            <w:tcMar>
              <w:top w:w="50" w:type="dxa"/>
              <w:bottom w:w="50" w:type="dxa"/>
              <w:left w:w="90" w:type="dxa"/>
              <w:right w:w="90" w:type="dxa"/>
            </w:tcMar>
          </w:tcPr>
          <w:p>
            <w:pPr>
              <w:pStyle w:val="BDOITable"/>
            </w:pPr>
            <w:r>
              <w:rPr>
                <w:sz w:val="15"/>
              </w:rPr>
              <w:t>UX Lead</w:t>
            </w:r>
          </w:p>
        </w:tc>
        <w:tc>
          <w:tcPr>
            <w:tcW w:type="dxa" w:w="1190"/>
            <w:tcMar>
              <w:top w:w="50" w:type="dxa"/>
              <w:bottom w:w="50" w:type="dxa"/>
              <w:left w:w="90" w:type="dxa"/>
              <w:right w:w="90" w:type="dxa"/>
            </w:tcMar>
          </w:tcPr>
          <w:p>
            <w:pPr>
              <w:pStyle w:val="BDOITable"/>
            </w:pPr>
            <w:r>
              <w:rPr>
                <w:sz w:val="15"/>
              </w:rPr>
              <w:t>PROPOSED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NFR-USE-02</w:t>
            </w:r>
          </w:p>
        </w:tc>
        <w:tc>
          <w:tcPr>
            <w:tcW w:type="dxa" w:w="1416"/>
            <w:tcMar>
              <w:top w:w="50" w:type="dxa"/>
              <w:bottom w:w="50" w:type="dxa"/>
              <w:left w:w="90" w:type="dxa"/>
              <w:right w:w="90" w:type="dxa"/>
            </w:tcMar>
            <w:shd w:val="clear" w:color="auto" w:fill="E5F5FF"/>
          </w:tcPr>
          <w:p>
            <w:pPr>
              <w:pStyle w:val="BDOITable"/>
            </w:pPr>
            <w:r>
              <w:rPr>
                <w:sz w:val="15"/>
              </w:rPr>
              <w:t>Work lists and bulk actions</w:t>
            </w:r>
          </w:p>
        </w:tc>
        <w:tc>
          <w:tcPr>
            <w:tcW w:type="dxa" w:w="3286"/>
            <w:tcMar>
              <w:top w:w="50" w:type="dxa"/>
              <w:bottom w:w="50" w:type="dxa"/>
              <w:left w:w="90" w:type="dxa"/>
              <w:right w:w="90" w:type="dxa"/>
            </w:tcMar>
            <w:shd w:val="clear" w:color="auto" w:fill="E5F5FF"/>
          </w:tcPr>
          <w:p>
            <w:pPr>
              <w:pStyle w:val="BDOITable"/>
            </w:pPr>
            <w:r>
              <w:rPr>
                <w:sz w:val="15"/>
              </w:rPr>
              <w:t>Every queue offers filters, saved views and an action on selected rows; 50 items dispositioned without opening each record</w:t>
            </w:r>
          </w:p>
        </w:tc>
        <w:tc>
          <w:tcPr>
            <w:tcW w:type="dxa" w:w="1586"/>
            <w:tcMar>
              <w:top w:w="50" w:type="dxa"/>
              <w:bottom w:w="50" w:type="dxa"/>
              <w:left w:w="90" w:type="dxa"/>
              <w:right w:w="90" w:type="dxa"/>
            </w:tcMar>
            <w:shd w:val="clear" w:color="auto" w:fill="E5F5FF"/>
          </w:tcPr>
          <w:p>
            <w:pPr>
              <w:pStyle w:val="BDOITable"/>
            </w:pPr>
            <w:r>
              <w:rPr>
                <w:sz w:val="15"/>
              </w:rPr>
              <w:t>Walk-through; Usability</w:t>
            </w:r>
          </w:p>
        </w:tc>
        <w:tc>
          <w:tcPr>
            <w:tcW w:type="dxa" w:w="1303"/>
            <w:tcMar>
              <w:top w:w="50" w:type="dxa"/>
              <w:bottom w:w="50" w:type="dxa"/>
              <w:left w:w="90" w:type="dxa"/>
              <w:right w:w="90" w:type="dxa"/>
            </w:tcMar>
            <w:shd w:val="clear" w:color="auto" w:fill="E5F5FF"/>
          </w:tcPr>
          <w:p>
            <w:pPr>
              <w:pStyle w:val="BDOITable"/>
            </w:pPr>
            <w:r>
              <w:rPr>
                <w:sz w:val="15"/>
              </w:rPr>
              <w:t>UX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NFR-USE-03</w:t>
            </w:r>
          </w:p>
        </w:tc>
        <w:tc>
          <w:tcPr>
            <w:tcW w:type="dxa" w:w="1416"/>
            <w:tcMar>
              <w:top w:w="50" w:type="dxa"/>
              <w:bottom w:w="50" w:type="dxa"/>
              <w:left w:w="90" w:type="dxa"/>
              <w:right w:w="90" w:type="dxa"/>
            </w:tcMar>
          </w:tcPr>
          <w:p>
            <w:pPr>
              <w:pStyle w:val="BDOITable"/>
            </w:pPr>
            <w:r>
              <w:rPr>
                <w:sz w:val="15"/>
              </w:rPr>
              <w:t>Data entry</w:t>
            </w:r>
          </w:p>
        </w:tc>
        <w:tc>
          <w:tcPr>
            <w:tcW w:type="dxa" w:w="3286"/>
            <w:tcMar>
              <w:top w:w="50" w:type="dxa"/>
              <w:bottom w:w="50" w:type="dxa"/>
              <w:left w:w="90" w:type="dxa"/>
              <w:right w:w="90" w:type="dxa"/>
            </w:tcMar>
          </w:tcPr>
          <w:p>
            <w:pPr>
              <w:pStyle w:val="BDOITable"/>
            </w:pPr>
            <w:r>
              <w:rPr>
                <w:sz w:val="15"/>
              </w:rPr>
              <w:t>A value is never asked twice in one journey; known values defaulted; dates dd-MMM-yyyy; amounts with thousands separators and two decimals; field errors shown inline with what to do</w:t>
            </w:r>
          </w:p>
        </w:tc>
        <w:tc>
          <w:tcPr>
            <w:tcW w:type="dxa" w:w="1586"/>
            <w:tcMar>
              <w:top w:w="50" w:type="dxa"/>
              <w:bottom w:w="50" w:type="dxa"/>
              <w:left w:w="90" w:type="dxa"/>
              <w:right w:w="90" w:type="dxa"/>
            </w:tcMar>
          </w:tcPr>
          <w:p>
            <w:pPr>
              <w:pStyle w:val="BDOITable"/>
            </w:pPr>
            <w:r>
              <w:rPr>
                <w:sz w:val="15"/>
              </w:rPr>
              <w:t>Inspection; Usability</w:t>
            </w:r>
          </w:p>
        </w:tc>
        <w:tc>
          <w:tcPr>
            <w:tcW w:type="dxa" w:w="1303"/>
            <w:tcMar>
              <w:top w:w="50" w:type="dxa"/>
              <w:bottom w:w="50" w:type="dxa"/>
              <w:left w:w="90" w:type="dxa"/>
              <w:right w:w="90" w:type="dxa"/>
            </w:tcMar>
          </w:tcPr>
          <w:p>
            <w:pPr>
              <w:pStyle w:val="BDOITable"/>
            </w:pPr>
            <w:r>
              <w:rPr>
                <w:sz w:val="15"/>
              </w:rPr>
              <w:t>UX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NFR-USE-04</w:t>
            </w:r>
          </w:p>
        </w:tc>
        <w:tc>
          <w:tcPr>
            <w:tcW w:type="dxa" w:w="1416"/>
            <w:tcMar>
              <w:top w:w="50" w:type="dxa"/>
              <w:bottom w:w="50" w:type="dxa"/>
              <w:left w:w="90" w:type="dxa"/>
              <w:right w:w="90" w:type="dxa"/>
            </w:tcMar>
            <w:shd w:val="clear" w:color="auto" w:fill="E5F5FF"/>
          </w:tcPr>
          <w:p>
            <w:pPr>
              <w:pStyle w:val="BDOITable"/>
            </w:pPr>
            <w:r>
              <w:rPr>
                <w:sz w:val="15"/>
              </w:rPr>
              <w:t>Consistent screens</w:t>
            </w:r>
          </w:p>
        </w:tc>
        <w:tc>
          <w:tcPr>
            <w:tcW w:type="dxa" w:w="3286"/>
            <w:tcMar>
              <w:top w:w="50" w:type="dxa"/>
              <w:bottom w:w="50" w:type="dxa"/>
              <w:left w:w="90" w:type="dxa"/>
              <w:right w:w="90" w:type="dxa"/>
            </w:tcMar>
            <w:shd w:val="clear" w:color="auto" w:fill="E5F5FF"/>
          </w:tcPr>
          <w:p>
            <w:pPr>
              <w:pStyle w:val="BDOITable"/>
            </w:pPr>
            <w:r>
              <w:rPr>
                <w:sz w:val="15"/>
              </w:rPr>
              <w:t>Records shown in tables or tree tables with row action menus, never as free text; labels not codes; user names not log-ins; 0 deviations open at the end of SIT</w:t>
            </w:r>
          </w:p>
        </w:tc>
        <w:tc>
          <w:tcPr>
            <w:tcW w:type="dxa" w:w="1586"/>
            <w:tcMar>
              <w:top w:w="50" w:type="dxa"/>
              <w:bottom w:w="50" w:type="dxa"/>
              <w:left w:w="90" w:type="dxa"/>
              <w:right w:w="90" w:type="dxa"/>
            </w:tcMar>
            <w:shd w:val="clear" w:color="auto" w:fill="E5F5FF"/>
          </w:tcPr>
          <w:p>
            <w:pPr>
              <w:pStyle w:val="BDOITable"/>
            </w:pPr>
            <w:r>
              <w:rPr>
                <w:sz w:val="15"/>
              </w:rPr>
              <w:t>Inspection; Usability</w:t>
            </w:r>
          </w:p>
        </w:tc>
        <w:tc>
          <w:tcPr>
            <w:tcW w:type="dxa" w:w="1303"/>
            <w:tcMar>
              <w:top w:w="50" w:type="dxa"/>
              <w:bottom w:w="50" w:type="dxa"/>
              <w:left w:w="90" w:type="dxa"/>
              <w:right w:w="90" w:type="dxa"/>
            </w:tcMar>
            <w:shd w:val="clear" w:color="auto" w:fill="E5F5FF"/>
          </w:tcPr>
          <w:p>
            <w:pPr>
              <w:pStyle w:val="BDOITable"/>
            </w:pPr>
            <w:r>
              <w:rPr>
                <w:sz w:val="15"/>
              </w:rPr>
              <w:t>UX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NFR-USE-05</w:t>
            </w:r>
          </w:p>
        </w:tc>
        <w:tc>
          <w:tcPr>
            <w:tcW w:type="dxa" w:w="1416"/>
            <w:tcMar>
              <w:top w:w="50" w:type="dxa"/>
              <w:bottom w:w="50" w:type="dxa"/>
              <w:left w:w="90" w:type="dxa"/>
              <w:right w:w="90" w:type="dxa"/>
            </w:tcMar>
          </w:tcPr>
          <w:p>
            <w:pPr>
              <w:pStyle w:val="BDOITable"/>
            </w:pPr>
            <w:r>
              <w:rPr>
                <w:sz w:val="15"/>
              </w:rPr>
              <w:t>Learnability</w:t>
            </w:r>
          </w:p>
        </w:tc>
        <w:tc>
          <w:tcPr>
            <w:tcW w:type="dxa" w:w="3286"/>
            <w:tcMar>
              <w:top w:w="50" w:type="dxa"/>
              <w:bottom w:w="50" w:type="dxa"/>
              <w:left w:w="90" w:type="dxa"/>
              <w:right w:w="90" w:type="dxa"/>
            </w:tcMar>
          </w:tcPr>
          <w:p>
            <w:pPr>
              <w:pStyle w:val="BDOITable"/>
            </w:pPr>
            <w:r>
              <w:rPr>
                <w:sz w:val="15"/>
              </w:rPr>
              <w:t>90% of first attempts at the top task of each persona completed without help in UAT; System Usability Scale score of at least 75 in the UAT survey</w:t>
            </w:r>
          </w:p>
        </w:tc>
        <w:tc>
          <w:tcPr>
            <w:tcW w:type="dxa" w:w="1586"/>
            <w:tcMar>
              <w:top w:w="50" w:type="dxa"/>
              <w:bottom w:w="50" w:type="dxa"/>
              <w:left w:w="90" w:type="dxa"/>
              <w:right w:w="90" w:type="dxa"/>
            </w:tcMar>
          </w:tcPr>
          <w:p>
            <w:pPr>
              <w:pStyle w:val="BDOITable"/>
            </w:pPr>
            <w:r>
              <w:rPr>
                <w:sz w:val="15"/>
              </w:rPr>
              <w:t>Test; Usability</w:t>
            </w:r>
          </w:p>
        </w:tc>
        <w:tc>
          <w:tcPr>
            <w:tcW w:type="dxa" w:w="1303"/>
            <w:tcMar>
              <w:top w:w="50" w:type="dxa"/>
              <w:bottom w:w="50" w:type="dxa"/>
              <w:left w:w="90" w:type="dxa"/>
              <w:right w:w="90" w:type="dxa"/>
            </w:tcMar>
          </w:tcPr>
          <w:p>
            <w:pPr>
              <w:pStyle w:val="BDOITable"/>
            </w:pPr>
            <w:r>
              <w:rPr>
                <w:sz w:val="15"/>
              </w:rPr>
              <w:t>UX Lead</w:t>
            </w:r>
          </w:p>
        </w:tc>
        <w:tc>
          <w:tcPr>
            <w:tcW w:type="dxa" w:w="1190"/>
            <w:tcMar>
              <w:top w:w="50" w:type="dxa"/>
              <w:bottom w:w="50" w:type="dxa"/>
              <w:left w:w="90" w:type="dxa"/>
              <w:right w:w="90" w:type="dxa"/>
            </w:tcMar>
          </w:tcPr>
          <w:p>
            <w:pPr>
              <w:pStyle w:val="BDOITable"/>
            </w:pPr>
            <w:r>
              <w:rPr>
                <w:sz w:val="15"/>
              </w:rPr>
              <w:t>PROPOSED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NFR-USE-06</w:t>
            </w:r>
          </w:p>
        </w:tc>
        <w:tc>
          <w:tcPr>
            <w:tcW w:type="dxa" w:w="1416"/>
            <w:tcMar>
              <w:top w:w="50" w:type="dxa"/>
              <w:bottom w:w="50" w:type="dxa"/>
              <w:left w:w="90" w:type="dxa"/>
              <w:right w:w="90" w:type="dxa"/>
            </w:tcMar>
            <w:shd w:val="clear" w:color="auto" w:fill="E5F5FF"/>
          </w:tcPr>
          <w:p>
            <w:pPr>
              <w:pStyle w:val="BDOITable"/>
            </w:pPr>
            <w:r>
              <w:rPr>
                <w:sz w:val="15"/>
              </w:rPr>
              <w:t>Help and messages</w:t>
            </w:r>
          </w:p>
        </w:tc>
        <w:tc>
          <w:tcPr>
            <w:tcW w:type="dxa" w:w="3286"/>
            <w:tcMar>
              <w:top w:w="50" w:type="dxa"/>
              <w:bottom w:w="50" w:type="dxa"/>
              <w:left w:w="90" w:type="dxa"/>
              <w:right w:w="90" w:type="dxa"/>
            </w:tcMar>
            <w:shd w:val="clear" w:color="auto" w:fill="E5F5FF"/>
          </w:tcPr>
          <w:p>
            <w:pPr>
              <w:pStyle w:val="BDOITable"/>
            </w:pPr>
            <w:r>
              <w:rPr>
                <w:sz w:val="15"/>
              </w:rPr>
              <w:t>Help page for every screen family; every message of the messages catalogue states the next action</w:t>
            </w:r>
          </w:p>
        </w:tc>
        <w:tc>
          <w:tcPr>
            <w:tcW w:type="dxa" w:w="1586"/>
            <w:tcMar>
              <w:top w:w="50" w:type="dxa"/>
              <w:bottom w:w="50" w:type="dxa"/>
              <w:left w:w="90" w:type="dxa"/>
              <w:right w:w="90" w:type="dxa"/>
            </w:tcMar>
            <w:shd w:val="clear" w:color="auto" w:fill="E5F5FF"/>
          </w:tcPr>
          <w:p>
            <w:pPr>
              <w:pStyle w:val="BDOITable"/>
            </w:pPr>
            <w:r>
              <w:rPr>
                <w:sz w:val="15"/>
              </w:rPr>
              <w:t>Inspection; Usability</w:t>
            </w:r>
          </w:p>
        </w:tc>
        <w:tc>
          <w:tcPr>
            <w:tcW w:type="dxa" w:w="1303"/>
            <w:tcMar>
              <w:top w:w="50" w:type="dxa"/>
              <w:bottom w:w="50" w:type="dxa"/>
              <w:left w:w="90" w:type="dxa"/>
              <w:right w:w="90" w:type="dxa"/>
            </w:tcMar>
            <w:shd w:val="clear" w:color="auto" w:fill="E5F5FF"/>
          </w:tcPr>
          <w:p>
            <w:pPr>
              <w:pStyle w:val="BDOITable"/>
            </w:pPr>
            <w:r>
              <w:rPr>
                <w:sz w:val="15"/>
              </w:rPr>
              <w:t>Business Analyst lead</w:t>
            </w:r>
          </w:p>
        </w:tc>
        <w:tc>
          <w:tcPr>
            <w:tcW w:type="dxa" w:w="1190"/>
            <w:tcMar>
              <w:top w:w="50" w:type="dxa"/>
              <w:bottom w:w="50" w:type="dxa"/>
              <w:left w:w="90" w:type="dxa"/>
              <w:right w:w="90" w:type="dxa"/>
            </w:tcMar>
            <w:shd w:val="clear" w:color="auto" w:fill="E5F5FF"/>
          </w:tcPr>
          <w:p>
            <w:pPr>
              <w:pStyle w:val="BDOITable"/>
            </w:pPr>
            <w:r>
              <w:rPr>
                <w:sz w:val="15"/>
              </w:rPr>
              <w:t>ALIGNED</w:t>
            </w:r>
          </w:p>
        </w:tc>
      </w:tr>
    </w:tbl>
    <w:p>
      <w:pPr>
        <w:pStyle w:val="BDOISpacer"/>
      </w:pPr>
    </w:p>
    <w:p>
      <w:pPr>
        <w:pStyle w:val="Heading2"/>
      </w:pPr>
      <w:bookmarkStart w:id="121" w:name="_Toc000121"/>
      <w:r>
        <w:rPr/>
        <w:t>5.3 Responsive and mobile-first</w:t>
      </w:r>
      <w:bookmarkEnd w:id="121"/>
    </w:p>
    <w:p>
      <w:pPr>
        <w:pStyle w:val="Caption"/>
        <w:keepNext/>
        <w:spacing w:after="60"/>
      </w:pPr>
      <w:r>
        <w:rPr>
          <w:b/>
          <w:i w:val="0"/>
        </w:rPr>
        <w:t xml:space="preserve">Table 14: </w:t>
      </w:r>
      <w:r>
        <w:rPr/>
        <w:t>Responsive and mobile-first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NFR-RSP-01</w:t>
            </w:r>
          </w:p>
        </w:tc>
        <w:tc>
          <w:tcPr>
            <w:tcW w:type="dxa" w:w="1416"/>
            <w:tcMar>
              <w:top w:w="50" w:type="dxa"/>
              <w:bottom w:w="50" w:type="dxa"/>
              <w:left w:w="90" w:type="dxa"/>
              <w:right w:w="90" w:type="dxa"/>
            </w:tcMar>
          </w:tcPr>
          <w:p>
            <w:pPr>
              <w:pStyle w:val="BDOITable"/>
            </w:pPr>
            <w:r>
              <w:rPr>
                <w:sz w:val="15"/>
              </w:rPr>
              <w:t>Responsive layout</w:t>
            </w:r>
          </w:p>
        </w:tc>
        <w:tc>
          <w:tcPr>
            <w:tcW w:type="dxa" w:w="3286"/>
            <w:tcMar>
              <w:top w:w="50" w:type="dxa"/>
              <w:bottom w:w="50" w:type="dxa"/>
              <w:left w:w="90" w:type="dxa"/>
              <w:right w:w="90" w:type="dxa"/>
            </w:tcMar>
          </w:tcPr>
          <w:p>
            <w:pPr>
              <w:pStyle w:val="BDOITable"/>
            </w:pPr>
            <w:r>
              <w:rPr>
                <w:sz w:val="15"/>
              </w:rPr>
              <w:t>Every screen usable from 360 to 1920 pixels wide with no horizontal page scroll; wide tables scroll inside their frame or collapse to cards on phones</w:t>
            </w:r>
          </w:p>
        </w:tc>
        <w:tc>
          <w:tcPr>
            <w:tcW w:type="dxa" w:w="1586"/>
            <w:tcMar>
              <w:top w:w="50" w:type="dxa"/>
              <w:bottom w:w="50" w:type="dxa"/>
              <w:left w:w="90" w:type="dxa"/>
              <w:right w:w="90" w:type="dxa"/>
            </w:tcMar>
          </w:tcPr>
          <w:p>
            <w:pPr>
              <w:pStyle w:val="BDOITable"/>
            </w:pPr>
            <w:r>
              <w:rPr>
                <w:sz w:val="15"/>
              </w:rPr>
              <w:t>Test; Responsive (cross-device)</w:t>
            </w:r>
          </w:p>
        </w:tc>
        <w:tc>
          <w:tcPr>
            <w:tcW w:type="dxa" w:w="1303"/>
            <w:tcMar>
              <w:top w:w="50" w:type="dxa"/>
              <w:bottom w:w="50" w:type="dxa"/>
              <w:left w:w="90" w:type="dxa"/>
              <w:right w:w="90" w:type="dxa"/>
            </w:tcMar>
          </w:tcPr>
          <w:p>
            <w:pPr>
              <w:pStyle w:val="BDOITable"/>
            </w:pPr>
            <w:r>
              <w:rPr>
                <w:sz w:val="15"/>
              </w:rPr>
              <w:t>UX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NFR-RSP-02</w:t>
            </w:r>
          </w:p>
        </w:tc>
        <w:tc>
          <w:tcPr>
            <w:tcW w:type="dxa" w:w="1416"/>
            <w:tcMar>
              <w:top w:w="50" w:type="dxa"/>
              <w:bottom w:w="50" w:type="dxa"/>
              <w:left w:w="90" w:type="dxa"/>
              <w:right w:w="90" w:type="dxa"/>
            </w:tcMar>
            <w:shd w:val="clear" w:color="auto" w:fill="E5F5FF"/>
          </w:tcPr>
          <w:p>
            <w:pPr>
              <w:pStyle w:val="BDOITable"/>
            </w:pPr>
            <w:r>
              <w:rPr>
                <w:sz w:val="15"/>
              </w:rPr>
              <w:t>Mobile parity</w:t>
            </w:r>
          </w:p>
        </w:tc>
        <w:tc>
          <w:tcPr>
            <w:tcW w:type="dxa" w:w="3286"/>
            <w:tcMar>
              <w:top w:w="50" w:type="dxa"/>
              <w:bottom w:w="50" w:type="dxa"/>
              <w:left w:w="90" w:type="dxa"/>
              <w:right w:w="90" w:type="dxa"/>
            </w:tcMar>
            <w:shd w:val="clear" w:color="auto" w:fill="E5F5FF"/>
          </w:tcPr>
          <w:p>
            <w:pPr>
              <w:pStyle w:val="BDOITable"/>
            </w:pPr>
            <w:r>
              <w:rPr>
                <w:sz w:val="15"/>
              </w:rPr>
              <w:t>Same functions and NFR-PRF targets on a BDO-issued phone or tablet on the BDO network; touch targets at least 44 pixels</w:t>
            </w:r>
          </w:p>
        </w:tc>
        <w:tc>
          <w:tcPr>
            <w:tcW w:type="dxa" w:w="1586"/>
            <w:tcMar>
              <w:top w:w="50" w:type="dxa"/>
              <w:bottom w:w="50" w:type="dxa"/>
              <w:left w:w="90" w:type="dxa"/>
              <w:right w:w="90" w:type="dxa"/>
            </w:tcMar>
            <w:shd w:val="clear" w:color="auto" w:fill="E5F5FF"/>
          </w:tcPr>
          <w:p>
            <w:pPr>
              <w:pStyle w:val="BDOITable"/>
            </w:pPr>
            <w:r>
              <w:rPr>
                <w:sz w:val="15"/>
              </w:rPr>
              <w:t>Test; Responsive (cross-device)</w:t>
            </w:r>
          </w:p>
        </w:tc>
        <w:tc>
          <w:tcPr>
            <w:tcW w:type="dxa" w:w="1303"/>
            <w:tcMar>
              <w:top w:w="50" w:type="dxa"/>
              <w:bottom w:w="50" w:type="dxa"/>
              <w:left w:w="90" w:type="dxa"/>
              <w:right w:w="90" w:type="dxa"/>
            </w:tcMar>
            <w:shd w:val="clear" w:color="auto" w:fill="E5F5FF"/>
          </w:tcPr>
          <w:p>
            <w:pPr>
              <w:pStyle w:val="BDOITable"/>
            </w:pPr>
            <w:r>
              <w:rPr>
                <w:sz w:val="15"/>
              </w:rPr>
              <w:t>UX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NFR-RSP-03</w:t>
            </w:r>
          </w:p>
        </w:tc>
        <w:tc>
          <w:tcPr>
            <w:tcW w:type="dxa" w:w="1416"/>
            <w:tcMar>
              <w:top w:w="50" w:type="dxa"/>
              <w:bottom w:w="50" w:type="dxa"/>
              <w:left w:w="90" w:type="dxa"/>
              <w:right w:w="90" w:type="dxa"/>
            </w:tcMar>
          </w:tcPr>
          <w:p>
            <w:pPr>
              <w:pStyle w:val="BDOITable"/>
            </w:pPr>
            <w:r>
              <w:rPr>
                <w:sz w:val="15"/>
              </w:rPr>
              <w:t>Supported browsers</w:t>
            </w:r>
          </w:p>
        </w:tc>
        <w:tc>
          <w:tcPr>
            <w:tcW w:type="dxa" w:w="3286"/>
            <w:tcMar>
              <w:top w:w="50" w:type="dxa"/>
              <w:bottom w:w="50" w:type="dxa"/>
              <w:left w:w="90" w:type="dxa"/>
              <w:right w:w="90" w:type="dxa"/>
            </w:tcMar>
          </w:tcPr>
          <w:p>
            <w:pPr>
              <w:pStyle w:val="BDOITable"/>
            </w:pPr>
            <w:r>
              <w:rPr>
                <w:sz w:val="15"/>
              </w:rPr>
              <w:t>Current and previous major versions of Microsoft Edge and Google Chrome on Windows, Safari on iOS and Chrome on Android; no plug-in or local install</w:t>
            </w:r>
          </w:p>
        </w:tc>
        <w:tc>
          <w:tcPr>
            <w:tcW w:type="dxa" w:w="1586"/>
            <w:tcMar>
              <w:top w:w="50" w:type="dxa"/>
              <w:bottom w:w="50" w:type="dxa"/>
              <w:left w:w="90" w:type="dxa"/>
              <w:right w:w="90" w:type="dxa"/>
            </w:tcMar>
          </w:tcPr>
          <w:p>
            <w:pPr>
              <w:pStyle w:val="BDOITable"/>
            </w:pPr>
            <w:r>
              <w:rPr>
                <w:sz w:val="15"/>
              </w:rPr>
              <w:t>Test; Responsive (cross-device)</w:t>
            </w:r>
          </w:p>
        </w:tc>
        <w:tc>
          <w:tcPr>
            <w:tcW w:type="dxa" w:w="1303"/>
            <w:tcMar>
              <w:top w:w="50" w:type="dxa"/>
              <w:bottom w:w="50" w:type="dxa"/>
              <w:left w:w="90" w:type="dxa"/>
              <w:right w:w="90" w:type="dxa"/>
            </w:tcMar>
          </w:tcPr>
          <w:p>
            <w:pPr>
              <w:pStyle w:val="BDOITable"/>
            </w:pPr>
            <w:r>
              <w:rPr>
                <w:sz w:val="15"/>
              </w:rPr>
              <w:t>QA lead</w:t>
            </w:r>
          </w:p>
        </w:tc>
        <w:tc>
          <w:tcPr>
            <w:tcW w:type="dxa" w:w="1190"/>
            <w:tcMar>
              <w:top w:w="50" w:type="dxa"/>
              <w:bottom w:w="50" w:type="dxa"/>
              <w:left w:w="90" w:type="dxa"/>
              <w:right w:w="90" w:type="dxa"/>
            </w:tcMar>
          </w:tcPr>
          <w:p>
            <w:pPr>
              <w:pStyle w:val="BDOITable"/>
            </w:pPr>
            <w:r>
              <w:rPr>
                <w:sz w:val="15"/>
              </w:rPr>
              <w:t>PROPOSED</w:t>
            </w:r>
          </w:p>
        </w:tc>
      </w:tr>
    </w:tbl>
    <w:p>
      <w:pPr>
        <w:pStyle w:val="BDOISpacer"/>
      </w:pPr>
    </w:p>
    <w:p>
      <w:pPr>
        <w:pStyle w:val="Heading2"/>
      </w:pPr>
      <w:bookmarkStart w:id="122" w:name="_Toc000122"/>
      <w:r>
        <w:rPr/>
        <w:t>5.4 Localisation</w:t>
      </w:r>
      <w:bookmarkEnd w:id="122"/>
    </w:p>
    <w:p>
      <w:pPr>
        <w:pStyle w:val="Caption"/>
        <w:keepNext/>
        <w:spacing w:after="60"/>
      </w:pPr>
      <w:r>
        <w:rPr>
          <w:b/>
          <w:i w:val="0"/>
        </w:rPr>
        <w:t xml:space="preserve">Table 15: </w:t>
      </w:r>
      <w:r>
        <w:rPr/>
        <w:t>Localisation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NFR-LOC-01</w:t>
            </w:r>
          </w:p>
        </w:tc>
        <w:tc>
          <w:tcPr>
            <w:tcW w:type="dxa" w:w="1416"/>
            <w:tcMar>
              <w:top w:w="50" w:type="dxa"/>
              <w:bottom w:w="50" w:type="dxa"/>
              <w:left w:w="90" w:type="dxa"/>
              <w:right w:w="90" w:type="dxa"/>
            </w:tcMar>
          </w:tcPr>
          <w:p>
            <w:pPr>
              <w:pStyle w:val="BDOITable"/>
            </w:pPr>
            <w:r>
              <w:rPr>
                <w:sz w:val="15"/>
              </w:rPr>
              <w:t>Language and business terms</w:t>
            </w:r>
          </w:p>
        </w:tc>
        <w:tc>
          <w:tcPr>
            <w:tcW w:type="dxa" w:w="3286"/>
            <w:tcMar>
              <w:top w:w="50" w:type="dxa"/>
              <w:bottom w:w="50" w:type="dxa"/>
              <w:left w:w="90" w:type="dxa"/>
              <w:right w:w="90" w:type="dxa"/>
            </w:tcMar>
          </w:tcPr>
          <w:p>
            <w:pPr>
              <w:pStyle w:val="BDOITable"/>
            </w:pPr>
            <w:r>
              <w:rPr>
                <w:sz w:val="15"/>
              </w:rPr>
              <w:t>English user interface; BDOI terms (ARN, PRF, TSU, DP, RA, CLPC, FFY) exactly as in the BRDs; every acronym in the glossary</w:t>
            </w:r>
          </w:p>
        </w:tc>
        <w:tc>
          <w:tcPr>
            <w:tcW w:type="dxa" w:w="1586"/>
            <w:tcMar>
              <w:top w:w="50" w:type="dxa"/>
              <w:bottom w:w="50" w:type="dxa"/>
              <w:left w:w="90" w:type="dxa"/>
              <w:right w:w="90" w:type="dxa"/>
            </w:tcMar>
          </w:tcPr>
          <w:p>
            <w:pPr>
              <w:pStyle w:val="BDOITable"/>
            </w:pPr>
            <w:r>
              <w:rPr>
                <w:sz w:val="15"/>
              </w:rPr>
              <w:t>Inspection; Usability</w:t>
            </w:r>
          </w:p>
        </w:tc>
        <w:tc>
          <w:tcPr>
            <w:tcW w:type="dxa" w:w="1303"/>
            <w:tcMar>
              <w:top w:w="50" w:type="dxa"/>
              <w:bottom w:w="50" w:type="dxa"/>
              <w:left w:w="90" w:type="dxa"/>
              <w:right w:w="90" w:type="dxa"/>
            </w:tcMar>
          </w:tcPr>
          <w:p>
            <w:pPr>
              <w:pStyle w:val="BDOITable"/>
            </w:pPr>
            <w:r>
              <w:rPr>
                <w:sz w:val="15"/>
              </w:rPr>
              <w:t>Business Analyst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NFR-LOC-02</w:t>
            </w:r>
          </w:p>
        </w:tc>
        <w:tc>
          <w:tcPr>
            <w:tcW w:type="dxa" w:w="1416"/>
            <w:tcMar>
              <w:top w:w="50" w:type="dxa"/>
              <w:bottom w:w="50" w:type="dxa"/>
              <w:left w:w="90" w:type="dxa"/>
              <w:right w:w="90" w:type="dxa"/>
            </w:tcMar>
            <w:shd w:val="clear" w:color="auto" w:fill="E5F5FF"/>
          </w:tcPr>
          <w:p>
            <w:pPr>
              <w:pStyle w:val="BDOITable"/>
            </w:pPr>
            <w:r>
              <w:rPr>
                <w:sz w:val="15"/>
              </w:rPr>
              <w:t>Dates and time zone</w:t>
            </w:r>
          </w:p>
        </w:tc>
        <w:tc>
          <w:tcPr>
            <w:tcW w:type="dxa" w:w="3286"/>
            <w:tcMar>
              <w:top w:w="50" w:type="dxa"/>
              <w:bottom w:w="50" w:type="dxa"/>
              <w:left w:w="90" w:type="dxa"/>
              <w:right w:w="90" w:type="dxa"/>
            </w:tcMar>
            <w:shd w:val="clear" w:color="auto" w:fill="E5F5FF"/>
          </w:tcPr>
          <w:p>
            <w:pPr>
              <w:pStyle w:val="BDOITable"/>
            </w:pPr>
            <w:r>
              <w:rPr>
                <w:sz w:val="15"/>
              </w:rPr>
              <w:t>Business date in Asia/Manila (PHT); dates shown dd-MMM-yyyy and times in PHT; time stamps stored in UTC</w:t>
            </w:r>
          </w:p>
        </w:tc>
        <w:tc>
          <w:tcPr>
            <w:tcW w:type="dxa" w:w="1586"/>
            <w:tcMar>
              <w:top w:w="50" w:type="dxa"/>
              <w:bottom w:w="50" w:type="dxa"/>
              <w:left w:w="90" w:type="dxa"/>
              <w:right w:w="90" w:type="dxa"/>
            </w:tcMar>
            <w:shd w:val="clear" w:color="auto" w:fill="E5F5FF"/>
          </w:tcPr>
          <w:p>
            <w:pPr>
              <w:pStyle w:val="BDOITable"/>
            </w:pPr>
            <w:r>
              <w:rPr>
                <w:sz w:val="15"/>
              </w:rPr>
              <w:t>Test; System (boundary)</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NFR-LOC-03</w:t>
            </w:r>
          </w:p>
        </w:tc>
        <w:tc>
          <w:tcPr>
            <w:tcW w:type="dxa" w:w="1416"/>
            <w:tcMar>
              <w:top w:w="50" w:type="dxa"/>
              <w:bottom w:w="50" w:type="dxa"/>
              <w:left w:w="90" w:type="dxa"/>
              <w:right w:w="90" w:type="dxa"/>
            </w:tcMar>
          </w:tcPr>
          <w:p>
            <w:pPr>
              <w:pStyle w:val="BDOITable"/>
            </w:pPr>
            <w:r>
              <w:rPr>
                <w:sz w:val="15"/>
              </w:rPr>
              <w:t>Currency and amounts</w:t>
            </w:r>
          </w:p>
        </w:tc>
        <w:tc>
          <w:tcPr>
            <w:tcW w:type="dxa" w:w="3286"/>
            <w:tcMar>
              <w:top w:w="50" w:type="dxa"/>
              <w:bottom w:w="50" w:type="dxa"/>
              <w:left w:w="90" w:type="dxa"/>
              <w:right w:w="90" w:type="dxa"/>
            </w:tcMar>
          </w:tcPr>
          <w:p>
            <w:pPr>
              <w:pStyle w:val="BDOITable"/>
            </w:pPr>
            <w:r>
              <w:rPr>
                <w:sz w:val="15"/>
              </w:rPr>
              <w:t>Base currency PHP from the company record; USD and other currencies with daily and month-end revaluation rates; amounts with two decimals and thousands separators; reports in several currencies</w:t>
            </w:r>
          </w:p>
        </w:tc>
        <w:tc>
          <w:tcPr>
            <w:tcW w:type="dxa" w:w="1586"/>
            <w:tcMar>
              <w:top w:w="50" w:type="dxa"/>
              <w:bottom w:w="50" w:type="dxa"/>
              <w:left w:w="90" w:type="dxa"/>
              <w:right w:w="90" w:type="dxa"/>
            </w:tcMar>
          </w:tcPr>
          <w:p>
            <w:pPr>
              <w:pStyle w:val="BDOITable"/>
            </w:pPr>
            <w:r>
              <w:rPr>
                <w:sz w:val="15"/>
              </w:rPr>
              <w:t>Test; System</w:t>
            </w:r>
          </w:p>
        </w:tc>
        <w:tc>
          <w:tcPr>
            <w:tcW w:type="dxa" w:w="1303"/>
            <w:tcMar>
              <w:top w:w="50" w:type="dxa"/>
              <w:bottom w:w="50" w:type="dxa"/>
              <w:left w:w="90" w:type="dxa"/>
              <w:right w:w="90" w:type="dxa"/>
            </w:tcMar>
          </w:tcPr>
          <w:p>
            <w:pPr>
              <w:pStyle w:val="BDOITable"/>
            </w:pPr>
            <w:r>
              <w:rPr>
                <w:sz w:val="15"/>
              </w:rPr>
              <w:t>QA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NFR-LOC-04</w:t>
            </w:r>
          </w:p>
        </w:tc>
        <w:tc>
          <w:tcPr>
            <w:tcW w:type="dxa" w:w="1416"/>
            <w:tcMar>
              <w:top w:w="50" w:type="dxa"/>
              <w:bottom w:w="50" w:type="dxa"/>
              <w:left w:w="90" w:type="dxa"/>
              <w:right w:w="90" w:type="dxa"/>
            </w:tcMar>
            <w:shd w:val="clear" w:color="auto" w:fill="E5F5FF"/>
          </w:tcPr>
          <w:p>
            <w:pPr>
              <w:pStyle w:val="BDOITable"/>
            </w:pPr>
            <w:r>
              <w:rPr>
                <w:sz w:val="15"/>
              </w:rPr>
              <w:t>Philippine formats and calendar</w:t>
            </w:r>
          </w:p>
        </w:tc>
        <w:tc>
          <w:tcPr>
            <w:tcW w:type="dxa" w:w="3286"/>
            <w:tcMar>
              <w:top w:w="50" w:type="dxa"/>
              <w:bottom w:w="50" w:type="dxa"/>
              <w:left w:w="90" w:type="dxa"/>
              <w:right w:w="90" w:type="dxa"/>
            </w:tcMar>
            <w:shd w:val="clear" w:color="auto" w:fill="E5F5FF"/>
          </w:tcPr>
          <w:p>
            <w:pPr>
              <w:pStyle w:val="BDOITable"/>
            </w:pPr>
            <w:r>
              <w:rPr>
                <w:sz w:val="15"/>
              </w:rPr>
              <w:t>TIN, mobile numbers and addresses (region, province, city or municipality, barangay) validated to Philippine formats; business-day rules follow the holiday calendar kept by the Business Administrator</w:t>
            </w:r>
          </w:p>
        </w:tc>
        <w:tc>
          <w:tcPr>
            <w:tcW w:type="dxa" w:w="1586"/>
            <w:tcMar>
              <w:top w:w="50" w:type="dxa"/>
              <w:bottom w:w="50" w:type="dxa"/>
              <w:left w:w="90" w:type="dxa"/>
              <w:right w:w="90" w:type="dxa"/>
            </w:tcMar>
            <w:shd w:val="clear" w:color="auto" w:fill="E5F5FF"/>
          </w:tcPr>
          <w:p>
            <w:pPr>
              <w:pStyle w:val="BDOITable"/>
            </w:pPr>
            <w:r>
              <w:rPr>
                <w:sz w:val="15"/>
              </w:rPr>
              <w:t>Test; System</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PROPOSED</w:t>
            </w:r>
          </w:p>
        </w:tc>
      </w:tr>
    </w:tbl>
    <w:p>
      <w:pPr>
        <w:pStyle w:val="BDOISpacer"/>
      </w:pPr>
    </w:p>
    <w:p>
      <w:pPr>
        <w:pStyle w:val="Heading1"/>
        <w:pageBreakBefore/>
        <w:pBdr>
          <w:bottom w:val="single" w:sz="4" w:space="4" w:color="99C1E7"/>
        </w:pBdr>
      </w:pPr>
      <w:bookmarkStart w:id="123" w:name="_Toc000123"/>
      <w:r>
        <w:rPr/>
        <w:t>6 Operation and change</w:t>
      </w:r>
      <w:bookmarkEnd w:id="123"/>
    </w:p>
    <w:p>
      <w:pPr>
        <w:pStyle w:val="Heading2"/>
      </w:pPr>
      <w:bookmarkStart w:id="124" w:name="_Toc000124"/>
      <w:r>
        <w:rPr/>
        <w:t>6.1 Maintainability</w:t>
      </w:r>
      <w:bookmarkEnd w:id="124"/>
    </w:p>
    <w:p>
      <w:pPr>
        <w:pStyle w:val="Caption"/>
        <w:keepNext/>
        <w:spacing w:after="60"/>
      </w:pPr>
      <w:r>
        <w:rPr>
          <w:b/>
          <w:i w:val="0"/>
        </w:rPr>
        <w:t xml:space="preserve">Table 16: </w:t>
      </w:r>
      <w:r>
        <w:rPr/>
        <w:t>Maintainability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NFR-MNT-01</w:t>
            </w:r>
          </w:p>
        </w:tc>
        <w:tc>
          <w:tcPr>
            <w:tcW w:type="dxa" w:w="1416"/>
            <w:tcMar>
              <w:top w:w="50" w:type="dxa"/>
              <w:bottom w:w="50" w:type="dxa"/>
              <w:left w:w="90" w:type="dxa"/>
              <w:right w:w="90" w:type="dxa"/>
            </w:tcMar>
          </w:tcPr>
          <w:p>
            <w:pPr>
              <w:pStyle w:val="BDOITable"/>
            </w:pPr>
            <w:r>
              <w:rPr>
                <w:sz w:val="15"/>
              </w:rPr>
              <w:t>Code quality gates</w:t>
            </w:r>
          </w:p>
        </w:tc>
        <w:tc>
          <w:tcPr>
            <w:tcW w:type="dxa" w:w="3286"/>
            <w:tcMar>
              <w:top w:w="50" w:type="dxa"/>
              <w:bottom w:w="50" w:type="dxa"/>
              <w:left w:w="90" w:type="dxa"/>
              <w:right w:w="90" w:type="dxa"/>
            </w:tcMar>
          </w:tcPr>
          <w:p>
            <w:pPr>
              <w:pStyle w:val="BDOITable"/>
            </w:pPr>
            <w:r>
              <w:rPr>
                <w:sz w:val="15"/>
              </w:rPr>
              <w:t>Formatting, compiler warnings as errors, Checkstyle, PMD with duplication at 120 tokens, SpotBugs, ArchUnit architecture rules, TypeScript strict and SonarJS rules; cognitive complexity at most 15 per function in the web client</w:t>
            </w:r>
          </w:p>
        </w:tc>
        <w:tc>
          <w:tcPr>
            <w:tcW w:type="dxa" w:w="1586"/>
            <w:tcMar>
              <w:top w:w="50" w:type="dxa"/>
              <w:bottom w:w="50" w:type="dxa"/>
              <w:left w:w="90" w:type="dxa"/>
              <w:right w:w="90" w:type="dxa"/>
            </w:tcMar>
          </w:tcPr>
          <w:p>
            <w:pPr>
              <w:pStyle w:val="BDOITable"/>
            </w:pPr>
            <w:r>
              <w:rPr>
                <w:sz w:val="15"/>
              </w:rPr>
              <w:t>Inspection; Static analysis</w:t>
            </w:r>
          </w:p>
        </w:tc>
        <w:tc>
          <w:tcPr>
            <w:tcW w:type="dxa" w:w="1303"/>
            <w:tcMar>
              <w:top w:w="50" w:type="dxa"/>
              <w:bottom w:w="50" w:type="dxa"/>
              <w:left w:w="90" w:type="dxa"/>
              <w:right w:w="90" w:type="dxa"/>
            </w:tcMar>
          </w:tcPr>
          <w:p>
            <w:pPr>
              <w:pStyle w:val="BDOITable"/>
            </w:pPr>
            <w:r>
              <w:rPr>
                <w:sz w:val="15"/>
              </w:rPr>
              <w:t>Development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NFR-MNT-02</w:t>
            </w:r>
          </w:p>
        </w:tc>
        <w:tc>
          <w:tcPr>
            <w:tcW w:type="dxa" w:w="1416"/>
            <w:tcMar>
              <w:top w:w="50" w:type="dxa"/>
              <w:bottom w:w="50" w:type="dxa"/>
              <w:left w:w="90" w:type="dxa"/>
              <w:right w:w="90" w:type="dxa"/>
            </w:tcMar>
            <w:shd w:val="clear" w:color="auto" w:fill="E5F5FF"/>
          </w:tcPr>
          <w:p>
            <w:pPr>
              <w:pStyle w:val="BDOITable"/>
            </w:pPr>
            <w:r>
              <w:rPr>
                <w:sz w:val="15"/>
              </w:rPr>
              <w:t>Code coverage</w:t>
            </w:r>
          </w:p>
        </w:tc>
        <w:tc>
          <w:tcPr>
            <w:tcW w:type="dxa" w:w="3286"/>
            <w:tcMar>
              <w:top w:w="50" w:type="dxa"/>
              <w:bottom w:w="50" w:type="dxa"/>
              <w:left w:w="90" w:type="dxa"/>
              <w:right w:w="90" w:type="dxa"/>
            </w:tcMar>
            <w:shd w:val="clear" w:color="auto" w:fill="E5F5FF"/>
          </w:tcPr>
          <w:p>
            <w:pPr>
              <w:pStyle w:val="BDOITable"/>
            </w:pPr>
            <w:r>
              <w:rPr>
                <w:sz w:val="15"/>
              </w:rPr>
              <w:t>Line coverage above 90% on new and changed code (new-code gate of SonarQube); overall line coverage at least 80% and branch coverage at least 65%</w:t>
            </w:r>
          </w:p>
        </w:tc>
        <w:tc>
          <w:tcPr>
            <w:tcW w:type="dxa" w:w="1586"/>
            <w:tcMar>
              <w:top w:w="50" w:type="dxa"/>
              <w:bottom w:w="50" w:type="dxa"/>
              <w:left w:w="90" w:type="dxa"/>
              <w:right w:w="90" w:type="dxa"/>
            </w:tcMar>
            <w:shd w:val="clear" w:color="auto" w:fill="E5F5FF"/>
          </w:tcPr>
          <w:p>
            <w:pPr>
              <w:pStyle w:val="BDOITable"/>
            </w:pPr>
            <w:r>
              <w:rPr>
                <w:sz w:val="15"/>
              </w:rPr>
              <w:t>Inspection; Unit testing</w:t>
            </w:r>
          </w:p>
        </w:tc>
        <w:tc>
          <w:tcPr>
            <w:tcW w:type="dxa" w:w="1303"/>
            <w:tcMar>
              <w:top w:w="50" w:type="dxa"/>
              <w:bottom w:w="50" w:type="dxa"/>
              <w:left w:w="90" w:type="dxa"/>
              <w:right w:w="90" w:type="dxa"/>
            </w:tcMar>
            <w:shd w:val="clear" w:color="auto" w:fill="E5F5FF"/>
          </w:tcPr>
          <w:p>
            <w:pPr>
              <w:pStyle w:val="BDOITable"/>
            </w:pPr>
            <w:r>
              <w:rPr>
                <w:sz w:val="15"/>
              </w:rPr>
              <w:t>Development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NFR-MNT-03</w:t>
            </w:r>
          </w:p>
        </w:tc>
        <w:tc>
          <w:tcPr>
            <w:tcW w:type="dxa" w:w="1416"/>
            <w:tcMar>
              <w:top w:w="50" w:type="dxa"/>
              <w:bottom w:w="50" w:type="dxa"/>
              <w:left w:w="90" w:type="dxa"/>
              <w:right w:w="90" w:type="dxa"/>
            </w:tcMar>
          </w:tcPr>
          <w:p>
            <w:pPr>
              <w:pStyle w:val="BDOITable"/>
            </w:pPr>
            <w:r>
              <w:rPr>
                <w:sz w:val="15"/>
              </w:rPr>
              <w:t>Modular structure</w:t>
            </w:r>
          </w:p>
        </w:tc>
        <w:tc>
          <w:tcPr>
            <w:tcW w:type="dxa" w:w="3286"/>
            <w:tcMar>
              <w:top w:w="50" w:type="dxa"/>
              <w:bottom w:w="50" w:type="dxa"/>
              <w:left w:w="90" w:type="dxa"/>
              <w:right w:w="90" w:type="dxa"/>
            </w:tcMar>
          </w:tcPr>
          <w:p>
            <w:pPr>
              <w:pStyle w:val="BDOITable"/>
            </w:pPr>
            <w:r>
              <w:rPr>
                <w:sz w:val="15"/>
              </w:rPr>
              <w:t>One package per bounded context; 0 cycles between modules; boundary rules checked on every change</w:t>
            </w:r>
          </w:p>
        </w:tc>
        <w:tc>
          <w:tcPr>
            <w:tcW w:type="dxa" w:w="1586"/>
            <w:tcMar>
              <w:top w:w="50" w:type="dxa"/>
              <w:bottom w:w="50" w:type="dxa"/>
              <w:left w:w="90" w:type="dxa"/>
              <w:right w:w="90" w:type="dxa"/>
            </w:tcMar>
          </w:tcPr>
          <w:p>
            <w:pPr>
              <w:pStyle w:val="BDOITable"/>
            </w:pPr>
            <w:r>
              <w:rPr>
                <w:sz w:val="15"/>
              </w:rPr>
              <w:t>Inspection; Static analysis</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NFR-MNT-04</w:t>
            </w:r>
          </w:p>
        </w:tc>
        <w:tc>
          <w:tcPr>
            <w:tcW w:type="dxa" w:w="1416"/>
            <w:tcMar>
              <w:top w:w="50" w:type="dxa"/>
              <w:bottom w:w="50" w:type="dxa"/>
              <w:left w:w="90" w:type="dxa"/>
              <w:right w:w="90" w:type="dxa"/>
            </w:tcMar>
            <w:shd w:val="clear" w:color="auto" w:fill="E5F5FF"/>
          </w:tcPr>
          <w:p>
            <w:pPr>
              <w:pStyle w:val="BDOITable"/>
            </w:pPr>
            <w:r>
              <w:rPr>
                <w:sz w:val="15"/>
              </w:rPr>
              <w:t>Technology baseline and support horizon</w:t>
            </w:r>
          </w:p>
        </w:tc>
        <w:tc>
          <w:tcPr>
            <w:tcW w:type="dxa" w:w="3286"/>
            <w:tcMar>
              <w:top w:w="50" w:type="dxa"/>
              <w:bottom w:w="50" w:type="dxa"/>
              <w:left w:w="90" w:type="dxa"/>
              <w:right w:w="90" w:type="dxa"/>
            </w:tcMar>
            <w:shd w:val="clear" w:color="auto" w:fill="E5F5FF"/>
          </w:tcPr>
          <w:p>
            <w:pPr>
              <w:pStyle w:val="BDOITable"/>
            </w:pPr>
            <w:r>
              <w:rPr>
                <w:sz w:val="15"/>
              </w:rPr>
              <w:t>PostgreSQL 16, Valkey 8, Apache Kafka 3.9, OpenJDK 21 LTS, Spring Boot 3.5, React (compiled with Node 22 LTS, not used in production), nginx, managed Kubernetes with the Gateway API; baseline reviewed every year and before go-live</w:t>
            </w:r>
          </w:p>
        </w:tc>
        <w:tc>
          <w:tcPr>
            <w:tcW w:type="dxa" w:w="1586"/>
            <w:tcMar>
              <w:top w:w="50" w:type="dxa"/>
              <w:bottom w:w="50" w:type="dxa"/>
              <w:left w:w="90" w:type="dxa"/>
              <w:right w:w="90" w:type="dxa"/>
            </w:tcMar>
            <w:shd w:val="clear" w:color="auto" w:fill="E5F5FF"/>
          </w:tcPr>
          <w:p>
            <w:pPr>
              <w:pStyle w:val="BDOITable"/>
            </w:pPr>
            <w:r>
              <w:rPr>
                <w:sz w:val="15"/>
              </w:rPr>
              <w:t>Inspection; Operational acceptance</w:t>
            </w:r>
          </w:p>
        </w:tc>
        <w:tc>
          <w:tcPr>
            <w:tcW w:type="dxa" w:w="1303"/>
            <w:tcMar>
              <w:top w:w="50" w:type="dxa"/>
              <w:bottom w:w="50" w:type="dxa"/>
              <w:left w:w="90" w:type="dxa"/>
              <w:right w:w="90" w:type="dxa"/>
            </w:tcMar>
            <w:shd w:val="clear" w:color="auto" w:fill="E5F5FF"/>
          </w:tcPr>
          <w:p>
            <w:pPr>
              <w:pStyle w:val="BDOITable"/>
            </w:pPr>
            <w:r>
              <w:rPr>
                <w:sz w:val="15"/>
              </w:rPr>
              <w:t>Solution Architect</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NFR-MNT-05</w:t>
            </w:r>
          </w:p>
        </w:tc>
        <w:tc>
          <w:tcPr>
            <w:tcW w:type="dxa" w:w="1416"/>
            <w:tcMar>
              <w:top w:w="50" w:type="dxa"/>
              <w:bottom w:w="50" w:type="dxa"/>
              <w:left w:w="90" w:type="dxa"/>
              <w:right w:w="90" w:type="dxa"/>
            </w:tcMar>
          </w:tcPr>
          <w:p>
            <w:pPr>
              <w:pStyle w:val="BDOITable"/>
            </w:pPr>
            <w:r>
              <w:rPr>
                <w:sz w:val="15"/>
              </w:rPr>
              <w:t>Releases and rollback</w:t>
            </w:r>
          </w:p>
        </w:tc>
        <w:tc>
          <w:tcPr>
            <w:tcW w:type="dxa" w:w="3286"/>
            <w:tcMar>
              <w:top w:w="50" w:type="dxa"/>
              <w:bottom w:w="50" w:type="dxa"/>
              <w:left w:w="90" w:type="dxa"/>
              <w:right w:w="90" w:type="dxa"/>
            </w:tcMar>
          </w:tcPr>
          <w:p>
            <w:pPr>
              <w:pStyle w:val="BDOITable"/>
            </w:pPr>
            <w:r>
              <w:rPr>
                <w:sz w:val="15"/>
              </w:rPr>
              <w:t>Rolling deployment with no pod unavailable; data changes compatible with the previous release; rollback by redeploying the previous release within 30 minutes</w:t>
            </w:r>
          </w:p>
        </w:tc>
        <w:tc>
          <w:tcPr>
            <w:tcW w:type="dxa" w:w="1586"/>
            <w:tcMar>
              <w:top w:w="50" w:type="dxa"/>
              <w:bottom w:w="50" w:type="dxa"/>
              <w:left w:w="90" w:type="dxa"/>
              <w:right w:w="90" w:type="dxa"/>
            </w:tcMar>
          </w:tcPr>
          <w:p>
            <w:pPr>
              <w:pStyle w:val="BDOITable"/>
            </w:pPr>
            <w:r>
              <w:rPr>
                <w:sz w:val="15"/>
              </w:rPr>
              <w:t>Test; Operational acceptance</w:t>
            </w:r>
          </w:p>
        </w:tc>
        <w:tc>
          <w:tcPr>
            <w:tcW w:type="dxa" w:w="1303"/>
            <w:tcMar>
              <w:top w:w="50" w:type="dxa"/>
              <w:bottom w:w="50" w:type="dxa"/>
              <w:left w:w="90" w:type="dxa"/>
              <w:right w:w="90" w:type="dxa"/>
            </w:tcMar>
          </w:tcPr>
          <w:p>
            <w:pPr>
              <w:pStyle w:val="BDOITable"/>
            </w:pPr>
            <w:r>
              <w:rPr>
                <w:sz w:val="15"/>
              </w:rPr>
              <w:t>DevOps and Platform Lead</w:t>
            </w:r>
          </w:p>
        </w:tc>
        <w:tc>
          <w:tcPr>
            <w:tcW w:type="dxa" w:w="1190"/>
            <w:tcMar>
              <w:top w:w="50" w:type="dxa"/>
              <w:bottom w:w="50" w:type="dxa"/>
              <w:left w:w="90" w:type="dxa"/>
              <w:right w:w="90" w:type="dxa"/>
            </w:tcMar>
          </w:tcPr>
          <w:p>
            <w:pPr>
              <w:pStyle w:val="BDOITable"/>
            </w:pPr>
            <w:r>
              <w:rPr>
                <w:sz w:val="15"/>
              </w:rPr>
              <w:t>PROPOSED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NFR-MNT-06</w:t>
            </w:r>
          </w:p>
        </w:tc>
        <w:tc>
          <w:tcPr>
            <w:tcW w:type="dxa" w:w="1416"/>
            <w:tcMar>
              <w:top w:w="50" w:type="dxa"/>
              <w:bottom w:w="50" w:type="dxa"/>
              <w:left w:w="90" w:type="dxa"/>
              <w:right w:w="90" w:type="dxa"/>
            </w:tcMar>
            <w:shd w:val="clear" w:color="auto" w:fill="E5F5FF"/>
          </w:tcPr>
          <w:p>
            <w:pPr>
              <w:pStyle w:val="BDOITable"/>
            </w:pPr>
            <w:r>
              <w:rPr>
                <w:sz w:val="15"/>
              </w:rPr>
              <w:t>Documentation kept current</w:t>
            </w:r>
          </w:p>
        </w:tc>
        <w:tc>
          <w:tcPr>
            <w:tcW w:type="dxa" w:w="3286"/>
            <w:tcMar>
              <w:top w:w="50" w:type="dxa"/>
              <w:bottom w:w="50" w:type="dxa"/>
              <w:left w:w="90" w:type="dxa"/>
              <w:right w:w="90" w:type="dxa"/>
            </w:tcMar>
            <w:shd w:val="clear" w:color="auto" w:fill="E5F5FF"/>
          </w:tcPr>
          <w:p>
            <w:pPr>
              <w:pStyle w:val="BDOITable"/>
            </w:pPr>
            <w:r>
              <w:rPr>
                <w:sz w:val="15"/>
              </w:rPr>
              <w:t>Technical specification, configuration guide, runbook and data dictionary updated with each release; release notes list every changed function</w:t>
            </w:r>
          </w:p>
        </w:tc>
        <w:tc>
          <w:tcPr>
            <w:tcW w:type="dxa" w:w="1586"/>
            <w:tcMar>
              <w:top w:w="50" w:type="dxa"/>
              <w:bottom w:w="50" w:type="dxa"/>
              <w:left w:w="90" w:type="dxa"/>
              <w:right w:w="90" w:type="dxa"/>
            </w:tcMar>
            <w:shd w:val="clear" w:color="auto" w:fill="E5F5FF"/>
          </w:tcPr>
          <w:p>
            <w:pPr>
              <w:pStyle w:val="BDOITable"/>
            </w:pPr>
            <w:r>
              <w:rPr>
                <w:sz w:val="15"/>
              </w:rPr>
              <w:t>Inspection; Operational acceptance</w:t>
            </w:r>
          </w:p>
        </w:tc>
        <w:tc>
          <w:tcPr>
            <w:tcW w:type="dxa" w:w="1303"/>
            <w:tcMar>
              <w:top w:w="50" w:type="dxa"/>
              <w:bottom w:w="50" w:type="dxa"/>
              <w:left w:w="90" w:type="dxa"/>
              <w:right w:w="90" w:type="dxa"/>
            </w:tcMar>
            <w:shd w:val="clear" w:color="auto" w:fill="E5F5FF"/>
          </w:tcPr>
          <w:p>
            <w:pPr>
              <w:pStyle w:val="BDOITable"/>
            </w:pPr>
            <w:r>
              <w:rPr>
                <w:sz w:val="15"/>
              </w:rPr>
              <w:t>Project Manager</w:t>
            </w:r>
          </w:p>
        </w:tc>
        <w:tc>
          <w:tcPr>
            <w:tcW w:type="dxa" w:w="1190"/>
            <w:tcMar>
              <w:top w:w="50" w:type="dxa"/>
              <w:bottom w:w="50" w:type="dxa"/>
              <w:left w:w="90" w:type="dxa"/>
              <w:right w:w="90" w:type="dxa"/>
            </w:tcMar>
            <w:shd w:val="clear" w:color="auto" w:fill="E5F5FF"/>
          </w:tcPr>
          <w:p>
            <w:pPr>
              <w:pStyle w:val="BDOITable"/>
            </w:pPr>
            <w:r>
              <w:rPr>
                <w:sz w:val="15"/>
              </w:rPr>
              <w:t>PROPOSED</w:t>
            </w:r>
          </w:p>
        </w:tc>
      </w:tr>
    </w:tbl>
    <w:p>
      <w:pPr>
        <w:pStyle w:val="BDOISpacer"/>
      </w:pPr>
    </w:p>
    <w:p>
      <w:pPr>
        <w:pStyle w:val="Heading2"/>
      </w:pPr>
      <w:bookmarkStart w:id="125" w:name="_Toc000125"/>
      <w:r>
        <w:rPr/>
        <w:t>6.2 Configurability</w:t>
      </w:r>
      <w:bookmarkEnd w:id="125"/>
    </w:p>
    <w:p>
      <w:pPr>
        <w:pStyle w:val="Caption"/>
        <w:keepNext/>
        <w:spacing w:after="60"/>
      </w:pPr>
      <w:r>
        <w:rPr>
          <w:b/>
          <w:i w:val="0"/>
        </w:rPr>
        <w:t xml:space="preserve">Table 17: </w:t>
      </w:r>
      <w:r>
        <w:rPr/>
        <w:t>Configurability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NFR-CFG-01</w:t>
            </w:r>
          </w:p>
        </w:tc>
        <w:tc>
          <w:tcPr>
            <w:tcW w:type="dxa" w:w="1416"/>
            <w:tcMar>
              <w:top w:w="50" w:type="dxa"/>
              <w:bottom w:w="50" w:type="dxa"/>
              <w:left w:w="90" w:type="dxa"/>
              <w:right w:w="90" w:type="dxa"/>
            </w:tcMar>
          </w:tcPr>
          <w:p>
            <w:pPr>
              <w:pStyle w:val="BDOITable"/>
            </w:pPr>
            <w:r>
              <w:rPr>
                <w:sz w:val="15"/>
              </w:rPr>
              <w:t>No hard-coded business rules</w:t>
            </w:r>
          </w:p>
        </w:tc>
        <w:tc>
          <w:tcPr>
            <w:tcW w:type="dxa" w:w="3286"/>
            <w:tcMar>
              <w:top w:w="50" w:type="dxa"/>
              <w:bottom w:w="50" w:type="dxa"/>
              <w:left w:w="90" w:type="dxa"/>
              <w:right w:w="90" w:type="dxa"/>
            </w:tcMar>
          </w:tcPr>
          <w:p>
            <w:pPr>
              <w:pStyle w:val="BDOITable"/>
            </w:pPr>
            <w:r>
              <w:rPr>
                <w:sz w:val="15"/>
              </w:rPr>
              <w:t>Every rate, limit, number of days, threshold, numbering prefix, approver and message text is a parameter, list of values, rule table or template; 0 client names, codes or currency literals in the application code, checked on every change</w:t>
            </w:r>
          </w:p>
        </w:tc>
        <w:tc>
          <w:tcPr>
            <w:tcW w:type="dxa" w:w="1586"/>
            <w:tcMar>
              <w:top w:w="50" w:type="dxa"/>
              <w:bottom w:w="50" w:type="dxa"/>
              <w:left w:w="90" w:type="dxa"/>
              <w:right w:w="90" w:type="dxa"/>
            </w:tcMar>
          </w:tcPr>
          <w:p>
            <w:pPr>
              <w:pStyle w:val="BDOITable"/>
            </w:pPr>
            <w:r>
              <w:rPr>
                <w:sz w:val="15"/>
              </w:rPr>
              <w:t>Inspection; Static analysis; configuration review</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NFR-CFG-02</w:t>
            </w:r>
          </w:p>
        </w:tc>
        <w:tc>
          <w:tcPr>
            <w:tcW w:type="dxa" w:w="1416"/>
            <w:tcMar>
              <w:top w:w="50" w:type="dxa"/>
              <w:bottom w:w="50" w:type="dxa"/>
              <w:left w:w="90" w:type="dxa"/>
              <w:right w:w="90" w:type="dxa"/>
            </w:tcMar>
            <w:shd w:val="clear" w:color="auto" w:fill="E5F5FF"/>
          </w:tcPr>
          <w:p>
            <w:pPr>
              <w:pStyle w:val="BDOITable"/>
            </w:pPr>
            <w:r>
              <w:rPr>
                <w:sz w:val="15"/>
              </w:rPr>
              <w:t>Effective dates and approval of configuration</w:t>
            </w:r>
          </w:p>
        </w:tc>
        <w:tc>
          <w:tcPr>
            <w:tcW w:type="dxa" w:w="3286"/>
            <w:tcMar>
              <w:top w:w="50" w:type="dxa"/>
              <w:bottom w:w="50" w:type="dxa"/>
              <w:left w:w="90" w:type="dxa"/>
              <w:right w:w="90" w:type="dxa"/>
            </w:tcMar>
            <w:shd w:val="clear" w:color="auto" w:fill="E5F5FF"/>
          </w:tcPr>
          <w:p>
            <w:pPr>
              <w:pStyle w:val="BDOITable"/>
            </w:pPr>
            <w:r>
              <w:rPr>
                <w:sz w:val="15"/>
              </w:rPr>
              <w:t>Every change of a list, parameter or rule has an effective date and a second-user approval; security parameters need a second approval by a security administrator</w:t>
            </w:r>
          </w:p>
        </w:tc>
        <w:tc>
          <w:tcPr>
            <w:tcW w:type="dxa" w:w="1586"/>
            <w:tcMar>
              <w:top w:w="50" w:type="dxa"/>
              <w:bottom w:w="50" w:type="dxa"/>
              <w:left w:w="90" w:type="dxa"/>
              <w:right w:w="90" w:type="dxa"/>
            </w:tcMar>
            <w:shd w:val="clear" w:color="auto" w:fill="E5F5FF"/>
          </w:tcPr>
          <w:p>
            <w:pPr>
              <w:pStyle w:val="BDOITable"/>
            </w:pPr>
            <w:r>
              <w:rPr>
                <w:sz w:val="15"/>
              </w:rPr>
              <w:t>Test; System</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NFR-CFG-03</w:t>
            </w:r>
          </w:p>
        </w:tc>
        <w:tc>
          <w:tcPr>
            <w:tcW w:type="dxa" w:w="1416"/>
            <w:tcMar>
              <w:top w:w="50" w:type="dxa"/>
              <w:bottom w:w="50" w:type="dxa"/>
              <w:left w:w="90" w:type="dxa"/>
              <w:right w:w="90" w:type="dxa"/>
            </w:tcMar>
          </w:tcPr>
          <w:p>
            <w:pPr>
              <w:pStyle w:val="BDOITable"/>
            </w:pPr>
            <w:r>
              <w:rPr>
                <w:sz w:val="15"/>
              </w:rPr>
              <w:t>Configurable workflows</w:t>
            </w:r>
          </w:p>
        </w:tc>
        <w:tc>
          <w:tcPr>
            <w:tcW w:type="dxa" w:w="3286"/>
            <w:tcMar>
              <w:top w:w="50" w:type="dxa"/>
              <w:bottom w:w="50" w:type="dxa"/>
              <w:left w:w="90" w:type="dxa"/>
              <w:right w:w="90" w:type="dxa"/>
            </w:tcMar>
          </w:tcPr>
          <w:p>
            <w:pPr>
              <w:pStyle w:val="BDOITable"/>
            </w:pPr>
            <w:r>
              <w:rPr>
                <w:sz w:val="15"/>
              </w:rPr>
              <w:t>Each workflow of the FRS configurable on screen: stages, approver matrix, SLA hours, escalation rules</w:t>
            </w:r>
          </w:p>
        </w:tc>
        <w:tc>
          <w:tcPr>
            <w:tcW w:type="dxa" w:w="1586"/>
            <w:tcMar>
              <w:top w:w="50" w:type="dxa"/>
              <w:bottom w:w="50" w:type="dxa"/>
              <w:left w:w="90" w:type="dxa"/>
              <w:right w:w="90" w:type="dxa"/>
            </w:tcMar>
          </w:tcPr>
          <w:p>
            <w:pPr>
              <w:pStyle w:val="BDOITable"/>
            </w:pPr>
            <w:r>
              <w:rPr>
                <w:sz w:val="15"/>
              </w:rPr>
              <w:t>Test; System</w:t>
            </w:r>
          </w:p>
        </w:tc>
        <w:tc>
          <w:tcPr>
            <w:tcW w:type="dxa" w:w="1303"/>
            <w:tcMar>
              <w:top w:w="50" w:type="dxa"/>
              <w:bottom w:w="50" w:type="dxa"/>
              <w:left w:w="90" w:type="dxa"/>
              <w:right w:w="90" w:type="dxa"/>
            </w:tcMar>
          </w:tcPr>
          <w:p>
            <w:pPr>
              <w:pStyle w:val="BDOITable"/>
            </w:pPr>
            <w:r>
              <w:rPr>
                <w:sz w:val="15"/>
              </w:rPr>
              <w:t>QA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NFR-CFG-04</w:t>
            </w:r>
          </w:p>
        </w:tc>
        <w:tc>
          <w:tcPr>
            <w:tcW w:type="dxa" w:w="1416"/>
            <w:tcMar>
              <w:top w:w="50" w:type="dxa"/>
              <w:bottom w:w="50" w:type="dxa"/>
              <w:left w:w="90" w:type="dxa"/>
              <w:right w:w="90" w:type="dxa"/>
            </w:tcMar>
            <w:shd w:val="clear" w:color="auto" w:fill="E5F5FF"/>
          </w:tcPr>
          <w:p>
            <w:pPr>
              <w:pStyle w:val="BDOITable"/>
            </w:pPr>
            <w:r>
              <w:rPr>
                <w:sz w:val="15"/>
              </w:rPr>
              <w:t>Document and e-mail templates</w:t>
            </w:r>
          </w:p>
        </w:tc>
        <w:tc>
          <w:tcPr>
            <w:tcW w:type="dxa" w:w="3286"/>
            <w:tcMar>
              <w:top w:w="50" w:type="dxa"/>
              <w:bottom w:w="50" w:type="dxa"/>
              <w:left w:w="90" w:type="dxa"/>
              <w:right w:w="90" w:type="dxa"/>
            </w:tcMar>
            <w:shd w:val="clear" w:color="auto" w:fill="E5F5FF"/>
          </w:tcPr>
          <w:p>
            <w:pPr>
              <w:pStyle w:val="BDOITable"/>
            </w:pPr>
            <w:r>
              <w:rPr>
                <w:sz w:val="15"/>
              </w:rPr>
              <w:t>Every document and e-mail template edited by the Business Administrator, downloaded and uploaded as Word, under maker-checker</w:t>
            </w:r>
          </w:p>
        </w:tc>
        <w:tc>
          <w:tcPr>
            <w:tcW w:type="dxa" w:w="1586"/>
            <w:tcMar>
              <w:top w:w="50" w:type="dxa"/>
              <w:bottom w:w="50" w:type="dxa"/>
              <w:left w:w="90" w:type="dxa"/>
              <w:right w:w="90" w:type="dxa"/>
            </w:tcMar>
            <w:shd w:val="clear" w:color="auto" w:fill="E5F5FF"/>
          </w:tcPr>
          <w:p>
            <w:pPr>
              <w:pStyle w:val="BDOITable"/>
            </w:pPr>
            <w:r>
              <w:rPr>
                <w:sz w:val="15"/>
              </w:rPr>
              <w:t>Test; System</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NFR-CFG-05</w:t>
            </w:r>
          </w:p>
        </w:tc>
        <w:tc>
          <w:tcPr>
            <w:tcW w:type="dxa" w:w="1416"/>
            <w:tcMar>
              <w:top w:w="50" w:type="dxa"/>
              <w:bottom w:w="50" w:type="dxa"/>
              <w:left w:w="90" w:type="dxa"/>
              <w:right w:w="90" w:type="dxa"/>
            </w:tcMar>
          </w:tcPr>
          <w:p>
            <w:pPr>
              <w:pStyle w:val="BDOITable"/>
            </w:pPr>
            <w:r>
              <w:rPr>
                <w:sz w:val="15"/>
              </w:rPr>
              <w:t>Branding by theme pack</w:t>
            </w:r>
          </w:p>
        </w:tc>
        <w:tc>
          <w:tcPr>
            <w:tcW w:type="dxa" w:w="3286"/>
            <w:tcMar>
              <w:top w:w="50" w:type="dxa"/>
              <w:bottom w:w="50" w:type="dxa"/>
              <w:left w:w="90" w:type="dxa"/>
              <w:right w:w="90" w:type="dxa"/>
            </w:tcMar>
          </w:tcPr>
          <w:p>
            <w:pPr>
              <w:pStyle w:val="BDOITable"/>
            </w:pPr>
            <w:r>
              <w:rPr>
                <w:sz w:val="15"/>
              </w:rPr>
              <w:t>BDO Insure brand applied from the theme pack of the deployment; no brand element fixed in the screens</w:t>
            </w:r>
          </w:p>
        </w:tc>
        <w:tc>
          <w:tcPr>
            <w:tcW w:type="dxa" w:w="1586"/>
            <w:tcMar>
              <w:top w:w="50" w:type="dxa"/>
              <w:bottom w:w="50" w:type="dxa"/>
              <w:left w:w="90" w:type="dxa"/>
              <w:right w:w="90" w:type="dxa"/>
            </w:tcMar>
          </w:tcPr>
          <w:p>
            <w:pPr>
              <w:pStyle w:val="BDOITable"/>
            </w:pPr>
            <w:r>
              <w:rPr>
                <w:sz w:val="15"/>
              </w:rPr>
              <w:t>Inspection; Configuration review</w:t>
            </w:r>
          </w:p>
        </w:tc>
        <w:tc>
          <w:tcPr>
            <w:tcW w:type="dxa" w:w="1303"/>
            <w:tcMar>
              <w:top w:w="50" w:type="dxa"/>
              <w:bottom w:w="50" w:type="dxa"/>
              <w:left w:w="90" w:type="dxa"/>
              <w:right w:w="90" w:type="dxa"/>
            </w:tcMar>
          </w:tcPr>
          <w:p>
            <w:pPr>
              <w:pStyle w:val="BDOITable"/>
            </w:pPr>
            <w:r>
              <w:rPr>
                <w:sz w:val="15"/>
              </w:rPr>
              <w:t>UX Lead</w:t>
            </w:r>
          </w:p>
        </w:tc>
        <w:tc>
          <w:tcPr>
            <w:tcW w:type="dxa" w:w="1190"/>
            <w:tcMar>
              <w:top w:w="50" w:type="dxa"/>
              <w:bottom w:w="50" w:type="dxa"/>
              <w:left w:w="90" w:type="dxa"/>
              <w:right w:w="90" w:type="dxa"/>
            </w:tcMar>
          </w:tcPr>
          <w:p>
            <w:pPr>
              <w:pStyle w:val="BDOITable"/>
            </w:pPr>
            <w:r>
              <w:rPr>
                <w:sz w:val="15"/>
              </w:rPr>
              <w:t>ALIGNED</w:t>
            </w:r>
          </w:p>
        </w:tc>
      </w:tr>
    </w:tbl>
    <w:p>
      <w:pPr>
        <w:pStyle w:val="BDOISpacer"/>
      </w:pPr>
    </w:p>
    <w:p>
      <w:r>
        <w:rPr/>
        <w:t>Today 633 of the 1605 business rules of the FRS (39%) are marked Configurable with the screen, list or parameter where they are maintained; the others are fixed by the BRD or by regulation and are listed as such in each FRS.</w:t>
      </w:r>
    </w:p>
    <w:p>
      <w:pPr>
        <w:pStyle w:val="Heading2"/>
      </w:pPr>
      <w:bookmarkStart w:id="126" w:name="_Toc000126"/>
      <w:r>
        <w:rPr/>
        <w:t>6.3 Observability</w:t>
      </w:r>
      <w:bookmarkEnd w:id="126"/>
    </w:p>
    <w:p>
      <w:pPr>
        <w:pStyle w:val="Caption"/>
        <w:keepNext/>
        <w:spacing w:after="60"/>
      </w:pPr>
      <w:r>
        <w:rPr>
          <w:b/>
          <w:i w:val="0"/>
        </w:rPr>
        <w:t xml:space="preserve">Table 18: </w:t>
      </w:r>
      <w:r>
        <w:rPr/>
        <w:t>Observability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NFR-OBS-01</w:t>
            </w:r>
          </w:p>
        </w:tc>
        <w:tc>
          <w:tcPr>
            <w:tcW w:type="dxa" w:w="1416"/>
            <w:tcMar>
              <w:top w:w="50" w:type="dxa"/>
              <w:bottom w:w="50" w:type="dxa"/>
              <w:left w:w="90" w:type="dxa"/>
              <w:right w:w="90" w:type="dxa"/>
            </w:tcMar>
          </w:tcPr>
          <w:p>
            <w:pPr>
              <w:pStyle w:val="BDOITable"/>
            </w:pPr>
            <w:r>
              <w:rPr>
                <w:sz w:val="15"/>
              </w:rPr>
              <w:t>Metrics and dashboards</w:t>
            </w:r>
          </w:p>
        </w:tc>
        <w:tc>
          <w:tcPr>
            <w:tcW w:type="dxa" w:w="3286"/>
            <w:tcMar>
              <w:top w:w="50" w:type="dxa"/>
              <w:bottom w:w="50" w:type="dxa"/>
              <w:left w:w="90" w:type="dxa"/>
              <w:right w:w="90" w:type="dxa"/>
            </w:tcMar>
          </w:tcPr>
          <w:p>
            <w:pPr>
              <w:pStyle w:val="BDOITable"/>
            </w:pPr>
            <w:r>
              <w:rPr>
                <w:sz w:val="15"/>
              </w:rPr>
              <w:t>Application, JVM, request, connection-pool and business metrics sent to the BDO monitoring platform; dashboards per workload (web, jobs, integration, web tier) and for the managed services</w:t>
            </w:r>
          </w:p>
        </w:tc>
        <w:tc>
          <w:tcPr>
            <w:tcW w:type="dxa" w:w="1586"/>
            <w:tcMar>
              <w:top w:w="50" w:type="dxa"/>
              <w:bottom w:w="50" w:type="dxa"/>
              <w:left w:w="90" w:type="dxa"/>
              <w:right w:w="90" w:type="dxa"/>
            </w:tcMar>
          </w:tcPr>
          <w:p>
            <w:pPr>
              <w:pStyle w:val="BDOITable"/>
            </w:pPr>
            <w:r>
              <w:rPr>
                <w:sz w:val="15"/>
              </w:rPr>
              <w:t>Inspection; Operational acceptance</w:t>
            </w:r>
          </w:p>
        </w:tc>
        <w:tc>
          <w:tcPr>
            <w:tcW w:type="dxa" w:w="1303"/>
            <w:tcMar>
              <w:top w:w="50" w:type="dxa"/>
              <w:bottom w:w="50" w:type="dxa"/>
              <w:left w:w="90" w:type="dxa"/>
              <w:right w:w="90" w:type="dxa"/>
            </w:tcMar>
          </w:tcPr>
          <w:p>
            <w:pPr>
              <w:pStyle w:val="BDOITable"/>
            </w:pPr>
            <w:r>
              <w:rPr>
                <w:sz w:val="15"/>
              </w:rPr>
              <w:t>DevOps and Platform Lead</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NFR-OBS-02</w:t>
            </w:r>
          </w:p>
        </w:tc>
        <w:tc>
          <w:tcPr>
            <w:tcW w:type="dxa" w:w="1416"/>
            <w:tcMar>
              <w:top w:w="50" w:type="dxa"/>
              <w:bottom w:w="50" w:type="dxa"/>
              <w:left w:w="90" w:type="dxa"/>
              <w:right w:w="90" w:type="dxa"/>
            </w:tcMar>
            <w:shd w:val="clear" w:color="auto" w:fill="E5F5FF"/>
          </w:tcPr>
          <w:p>
            <w:pPr>
              <w:pStyle w:val="BDOITable"/>
            </w:pPr>
            <w:r>
              <w:rPr>
                <w:sz w:val="15"/>
              </w:rPr>
              <w:t>Logs</w:t>
            </w:r>
          </w:p>
        </w:tc>
        <w:tc>
          <w:tcPr>
            <w:tcW w:type="dxa" w:w="3286"/>
            <w:tcMar>
              <w:top w:w="50" w:type="dxa"/>
              <w:bottom w:w="50" w:type="dxa"/>
              <w:left w:w="90" w:type="dxa"/>
              <w:right w:w="90" w:type="dxa"/>
            </w:tcMar>
            <w:shd w:val="clear" w:color="auto" w:fill="E5F5FF"/>
          </w:tcPr>
          <w:p>
            <w:pPr>
              <w:pStyle w:val="BDOITable"/>
            </w:pPr>
            <w:r>
              <w:rPr>
                <w:sz w:val="15"/>
              </w:rPr>
              <w:t>One line per event with time stamp, correlation ID, user and module; shipped to the BDO log platform within 1 minute; no passwords or full personal identifiers in logs</w:t>
            </w:r>
          </w:p>
        </w:tc>
        <w:tc>
          <w:tcPr>
            <w:tcW w:type="dxa" w:w="1586"/>
            <w:tcMar>
              <w:top w:w="50" w:type="dxa"/>
              <w:bottom w:w="50" w:type="dxa"/>
              <w:left w:w="90" w:type="dxa"/>
              <w:right w:w="90" w:type="dxa"/>
            </w:tcMar>
            <w:shd w:val="clear" w:color="auto" w:fill="E5F5FF"/>
          </w:tcPr>
          <w:p>
            <w:pPr>
              <w:pStyle w:val="BDOITable"/>
            </w:pPr>
            <w:r>
              <w:rPr>
                <w:sz w:val="15"/>
              </w:rPr>
              <w:t>Inspection; Operational acceptance</w:t>
            </w:r>
          </w:p>
        </w:tc>
        <w:tc>
          <w:tcPr>
            <w:tcW w:type="dxa" w:w="1303"/>
            <w:tcMar>
              <w:top w:w="50" w:type="dxa"/>
              <w:bottom w:w="50" w:type="dxa"/>
              <w:left w:w="90" w:type="dxa"/>
              <w:right w:w="90" w:type="dxa"/>
            </w:tcMar>
            <w:shd w:val="clear" w:color="auto" w:fill="E5F5FF"/>
          </w:tcPr>
          <w:p>
            <w:pPr>
              <w:pStyle w:val="BDOITable"/>
            </w:pPr>
            <w:r>
              <w:rPr>
                <w:sz w:val="15"/>
              </w:rPr>
              <w:t>DevOps and Platform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NFR-OBS-03</w:t>
            </w:r>
          </w:p>
        </w:tc>
        <w:tc>
          <w:tcPr>
            <w:tcW w:type="dxa" w:w="1416"/>
            <w:tcMar>
              <w:top w:w="50" w:type="dxa"/>
              <w:bottom w:w="50" w:type="dxa"/>
              <w:left w:w="90" w:type="dxa"/>
              <w:right w:w="90" w:type="dxa"/>
            </w:tcMar>
          </w:tcPr>
          <w:p>
            <w:pPr>
              <w:pStyle w:val="BDOITable"/>
            </w:pPr>
            <w:r>
              <w:rPr>
                <w:sz w:val="15"/>
              </w:rPr>
              <w:t>Alerts</w:t>
            </w:r>
          </w:p>
        </w:tc>
        <w:tc>
          <w:tcPr>
            <w:tcW w:type="dxa" w:w="3286"/>
            <w:tcMar>
              <w:top w:w="50" w:type="dxa"/>
              <w:bottom w:w="50" w:type="dxa"/>
              <w:left w:w="90" w:type="dxa"/>
              <w:right w:w="90" w:type="dxa"/>
            </w:tcMar>
          </w:tcPr>
          <w:p>
            <w:pPr>
              <w:pStyle w:val="BDOITable"/>
            </w:pPr>
            <w:r>
              <w:rPr>
                <w:sz w:val="15"/>
              </w:rPr>
              <w:t>Alerts for an error rate above 1% over 5 minutes, p95 above its NFR-PRF target for 10 minutes, a failed job, a new dead letter, a security-store failure and a certificate expiring within 30 days; the on-call person notified within 5 minutes</w:t>
            </w:r>
          </w:p>
        </w:tc>
        <w:tc>
          <w:tcPr>
            <w:tcW w:type="dxa" w:w="1586"/>
            <w:tcMar>
              <w:top w:w="50" w:type="dxa"/>
              <w:bottom w:w="50" w:type="dxa"/>
              <w:left w:w="90" w:type="dxa"/>
              <w:right w:w="90" w:type="dxa"/>
            </w:tcMar>
          </w:tcPr>
          <w:p>
            <w:pPr>
              <w:pStyle w:val="BDOITable"/>
            </w:pPr>
            <w:r>
              <w:rPr>
                <w:sz w:val="15"/>
              </w:rPr>
              <w:t>Test; Operational acceptance</w:t>
            </w:r>
          </w:p>
        </w:tc>
        <w:tc>
          <w:tcPr>
            <w:tcW w:type="dxa" w:w="1303"/>
            <w:tcMar>
              <w:top w:w="50" w:type="dxa"/>
              <w:bottom w:w="50" w:type="dxa"/>
              <w:left w:w="90" w:type="dxa"/>
              <w:right w:w="90" w:type="dxa"/>
            </w:tcMar>
          </w:tcPr>
          <w:p>
            <w:pPr>
              <w:pStyle w:val="BDOITable"/>
            </w:pPr>
            <w:r>
              <w:rPr>
                <w:sz w:val="15"/>
              </w:rPr>
              <w:t>DevOps and Platform Lead</w:t>
            </w:r>
          </w:p>
        </w:tc>
        <w:tc>
          <w:tcPr>
            <w:tcW w:type="dxa" w:w="1190"/>
            <w:tcMar>
              <w:top w:w="50" w:type="dxa"/>
              <w:bottom w:w="50" w:type="dxa"/>
              <w:left w:w="90" w:type="dxa"/>
              <w:right w:w="90" w:type="dxa"/>
            </w:tcMar>
          </w:tcPr>
          <w:p>
            <w:pPr>
              <w:pStyle w:val="BDOITable"/>
            </w:pPr>
            <w:r>
              <w:rPr>
                <w:sz w:val="15"/>
              </w:rPr>
              <w:t>PROPOSED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NFR-OBS-04</w:t>
            </w:r>
          </w:p>
        </w:tc>
        <w:tc>
          <w:tcPr>
            <w:tcW w:type="dxa" w:w="1416"/>
            <w:tcMar>
              <w:top w:w="50" w:type="dxa"/>
              <w:bottom w:w="50" w:type="dxa"/>
              <w:left w:w="90" w:type="dxa"/>
              <w:right w:w="90" w:type="dxa"/>
            </w:tcMar>
            <w:shd w:val="clear" w:color="auto" w:fill="E5F5FF"/>
          </w:tcPr>
          <w:p>
            <w:pPr>
              <w:pStyle w:val="BDOITable"/>
            </w:pPr>
            <w:r>
              <w:rPr>
                <w:sz w:val="15"/>
              </w:rPr>
              <w:t>Correlation of requests and events</w:t>
            </w:r>
          </w:p>
        </w:tc>
        <w:tc>
          <w:tcPr>
            <w:tcW w:type="dxa" w:w="3286"/>
            <w:tcMar>
              <w:top w:w="50" w:type="dxa"/>
              <w:bottom w:w="50" w:type="dxa"/>
              <w:left w:w="90" w:type="dxa"/>
              <w:right w:w="90" w:type="dxa"/>
            </w:tcMar>
            <w:shd w:val="clear" w:color="auto" w:fill="E5F5FF"/>
          </w:tcPr>
          <w:p>
            <w:pPr>
              <w:pStyle w:val="BDOITable"/>
            </w:pPr>
            <w:r>
              <w:rPr>
                <w:sz w:val="15"/>
              </w:rPr>
              <w:t>Every request carries a correlation ID; an unexpected error shows the user a reference found in the logs; integration events carry the same ID</w:t>
            </w:r>
          </w:p>
        </w:tc>
        <w:tc>
          <w:tcPr>
            <w:tcW w:type="dxa" w:w="1586"/>
            <w:tcMar>
              <w:top w:w="50" w:type="dxa"/>
              <w:bottom w:w="50" w:type="dxa"/>
              <w:left w:w="90" w:type="dxa"/>
              <w:right w:w="90" w:type="dxa"/>
            </w:tcMar>
            <w:shd w:val="clear" w:color="auto" w:fill="E5F5FF"/>
          </w:tcPr>
          <w:p>
            <w:pPr>
              <w:pStyle w:val="BDOITable"/>
            </w:pPr>
            <w:r>
              <w:rPr>
                <w:sz w:val="15"/>
              </w:rPr>
              <w:t>Test; System integration</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NFR-OBS-05</w:t>
            </w:r>
          </w:p>
        </w:tc>
        <w:tc>
          <w:tcPr>
            <w:tcW w:type="dxa" w:w="1416"/>
            <w:tcMar>
              <w:top w:w="50" w:type="dxa"/>
              <w:bottom w:w="50" w:type="dxa"/>
              <w:left w:w="90" w:type="dxa"/>
              <w:right w:w="90" w:type="dxa"/>
            </w:tcMar>
          </w:tcPr>
          <w:p>
            <w:pPr>
              <w:pStyle w:val="BDOITable"/>
            </w:pPr>
            <w:r>
              <w:rPr>
                <w:sz w:val="15"/>
              </w:rPr>
              <w:t>Job monitoring</w:t>
            </w:r>
          </w:p>
        </w:tc>
        <w:tc>
          <w:tcPr>
            <w:tcW w:type="dxa" w:w="3286"/>
            <w:tcMar>
              <w:top w:w="50" w:type="dxa"/>
              <w:bottom w:w="50" w:type="dxa"/>
              <w:left w:w="90" w:type="dxa"/>
              <w:right w:w="90" w:type="dxa"/>
            </w:tcMar>
          </w:tcPr>
          <w:p>
            <w:pPr>
              <w:pStyle w:val="BDOITable"/>
            </w:pPr>
            <w:r>
              <w:rPr>
                <w:sz w:val="15"/>
              </w:rPr>
              <w:t>Run history (start, end, records, result, trigger, user) for every job; failures e-mailed to the job's recipients; manual runs restricted to authorised roles</w:t>
            </w:r>
          </w:p>
        </w:tc>
        <w:tc>
          <w:tcPr>
            <w:tcW w:type="dxa" w:w="1586"/>
            <w:tcMar>
              <w:top w:w="50" w:type="dxa"/>
              <w:bottom w:w="50" w:type="dxa"/>
              <w:left w:w="90" w:type="dxa"/>
              <w:right w:w="90" w:type="dxa"/>
            </w:tcMar>
          </w:tcPr>
          <w:p>
            <w:pPr>
              <w:pStyle w:val="BDOITable"/>
            </w:pPr>
            <w:r>
              <w:rPr>
                <w:sz w:val="15"/>
              </w:rPr>
              <w:t>Test; System</w:t>
            </w:r>
          </w:p>
        </w:tc>
        <w:tc>
          <w:tcPr>
            <w:tcW w:type="dxa" w:w="1303"/>
            <w:tcMar>
              <w:top w:w="50" w:type="dxa"/>
              <w:bottom w:w="50" w:type="dxa"/>
              <w:left w:w="90" w:type="dxa"/>
              <w:right w:w="90" w:type="dxa"/>
            </w:tcMar>
          </w:tcPr>
          <w:p>
            <w:pPr>
              <w:pStyle w:val="BDOITable"/>
            </w:pPr>
            <w:r>
              <w:rPr>
                <w:sz w:val="15"/>
              </w:rPr>
              <w:t>QA lead</w:t>
            </w:r>
          </w:p>
        </w:tc>
        <w:tc>
          <w:tcPr>
            <w:tcW w:type="dxa" w:w="1190"/>
            <w:tcMar>
              <w:top w:w="50" w:type="dxa"/>
              <w:bottom w:w="50" w:type="dxa"/>
              <w:left w:w="90" w:type="dxa"/>
              <w:right w:w="90" w:type="dxa"/>
            </w:tcMar>
          </w:tcPr>
          <w:p>
            <w:pPr>
              <w:pStyle w:val="BDOITable"/>
            </w:pPr>
            <w:r>
              <w:rPr>
                <w:sz w:val="15"/>
              </w:rPr>
              <w:t>ALIGNED</w:t>
            </w:r>
          </w:p>
        </w:tc>
      </w:tr>
    </w:tbl>
    <w:p>
      <w:pPr>
        <w:pStyle w:val="BDOISpacer"/>
      </w:pPr>
    </w:p>
    <w:p>
      <w:pPr>
        <w:pStyle w:val="Heading2"/>
      </w:pPr>
      <w:bookmarkStart w:id="127" w:name="_Toc000127"/>
      <w:r>
        <w:rPr/>
        <w:t>6.4 Supportability</w:t>
      </w:r>
      <w:bookmarkEnd w:id="127"/>
    </w:p>
    <w:p>
      <w:pPr>
        <w:pStyle w:val="Caption"/>
        <w:keepNext/>
        <w:spacing w:after="60"/>
      </w:pPr>
      <w:r>
        <w:rPr>
          <w:b/>
          <w:i w:val="0"/>
        </w:rPr>
        <w:t xml:space="preserve">Table 19: </w:t>
      </w:r>
      <w:r>
        <w:rPr/>
        <w:t>Supportability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NFR-SUP-01</w:t>
            </w:r>
          </w:p>
        </w:tc>
        <w:tc>
          <w:tcPr>
            <w:tcW w:type="dxa" w:w="1416"/>
            <w:tcMar>
              <w:top w:w="50" w:type="dxa"/>
              <w:bottom w:w="50" w:type="dxa"/>
              <w:left w:w="90" w:type="dxa"/>
              <w:right w:w="90" w:type="dxa"/>
            </w:tcMar>
          </w:tcPr>
          <w:p>
            <w:pPr>
              <w:pStyle w:val="BDOITable"/>
            </w:pPr>
            <w:r>
              <w:rPr>
                <w:sz w:val="15"/>
              </w:rPr>
              <w:t>Support levels</w:t>
            </w:r>
          </w:p>
        </w:tc>
        <w:tc>
          <w:tcPr>
            <w:tcW w:type="dxa" w:w="3286"/>
            <w:tcMar>
              <w:top w:w="50" w:type="dxa"/>
              <w:bottom w:w="50" w:type="dxa"/>
              <w:left w:w="90" w:type="dxa"/>
              <w:right w:w="90" w:type="dxa"/>
            </w:tcMar>
          </w:tcPr>
          <w:p>
            <w:pPr>
              <w:pStyle w:val="BDOITable"/>
            </w:pPr>
            <w:r>
              <w:rPr>
                <w:sz w:val="15"/>
              </w:rPr>
              <w:t>L1 BDOI service desk, L2 BDOI application support, L3 iorta TechNXT; each level named and trained before the hypercare exit (2 Feb 2028)</w:t>
            </w:r>
          </w:p>
        </w:tc>
        <w:tc>
          <w:tcPr>
            <w:tcW w:type="dxa" w:w="1586"/>
            <w:tcMar>
              <w:top w:w="50" w:type="dxa"/>
              <w:bottom w:w="50" w:type="dxa"/>
              <w:left w:w="90" w:type="dxa"/>
              <w:right w:w="90" w:type="dxa"/>
            </w:tcMar>
          </w:tcPr>
          <w:p>
            <w:pPr>
              <w:pStyle w:val="BDOITable"/>
            </w:pPr>
            <w:r>
              <w:rPr>
                <w:sz w:val="15"/>
              </w:rPr>
              <w:t>Inspection; Operational acceptance</w:t>
            </w:r>
          </w:p>
        </w:tc>
        <w:tc>
          <w:tcPr>
            <w:tcW w:type="dxa" w:w="1303"/>
            <w:tcMar>
              <w:top w:w="50" w:type="dxa"/>
              <w:bottom w:w="50" w:type="dxa"/>
              <w:left w:w="90" w:type="dxa"/>
              <w:right w:w="90" w:type="dxa"/>
            </w:tcMar>
          </w:tcPr>
          <w:p>
            <w:pPr>
              <w:pStyle w:val="BDOITable"/>
            </w:pPr>
            <w:r>
              <w:rPr>
                <w:sz w:val="15"/>
              </w:rPr>
              <w:t>Project Manager</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NFR-SUP-02</w:t>
            </w:r>
          </w:p>
        </w:tc>
        <w:tc>
          <w:tcPr>
            <w:tcW w:type="dxa" w:w="1416"/>
            <w:tcMar>
              <w:top w:w="50" w:type="dxa"/>
              <w:bottom w:w="50" w:type="dxa"/>
              <w:left w:w="90" w:type="dxa"/>
              <w:right w:w="90" w:type="dxa"/>
            </w:tcMar>
            <w:shd w:val="clear" w:color="auto" w:fill="E5F5FF"/>
          </w:tcPr>
          <w:p>
            <w:pPr>
              <w:pStyle w:val="BDOITable"/>
            </w:pPr>
            <w:r>
              <w:rPr>
                <w:sz w:val="15"/>
              </w:rPr>
              <w:t>Incident handling within the agreed service levels</w:t>
            </w:r>
          </w:p>
        </w:tc>
        <w:tc>
          <w:tcPr>
            <w:tcW w:type="dxa" w:w="3286"/>
            <w:tcMar>
              <w:top w:w="50" w:type="dxa"/>
              <w:bottom w:w="50" w:type="dxa"/>
              <w:left w:w="90" w:type="dxa"/>
              <w:right w:w="90" w:type="dxa"/>
            </w:tcMar>
            <w:shd w:val="clear" w:color="auto" w:fill="E5F5FF"/>
          </w:tcPr>
          <w:p>
            <w:pPr>
              <w:pStyle w:val="BDOITable"/>
            </w:pPr>
            <w:r>
              <w:rPr>
                <w:sz w:val="15"/>
              </w:rPr>
              <w:t>At least 95% of incidents each month within the response and resolution times of their priority</w:t>
            </w:r>
          </w:p>
        </w:tc>
        <w:tc>
          <w:tcPr>
            <w:tcW w:type="dxa" w:w="1586"/>
            <w:tcMar>
              <w:top w:w="50" w:type="dxa"/>
              <w:bottom w:w="50" w:type="dxa"/>
              <w:left w:w="90" w:type="dxa"/>
              <w:right w:w="90" w:type="dxa"/>
            </w:tcMar>
            <w:shd w:val="clear" w:color="auto" w:fill="E5F5FF"/>
          </w:tcPr>
          <w:p>
            <w:pPr>
              <w:pStyle w:val="BDOITable"/>
            </w:pPr>
            <w:r>
              <w:rPr>
                <w:sz w:val="15"/>
              </w:rPr>
              <w:t>Analysis; Operational acceptance</w:t>
            </w:r>
          </w:p>
        </w:tc>
        <w:tc>
          <w:tcPr>
            <w:tcW w:type="dxa" w:w="1303"/>
            <w:tcMar>
              <w:top w:w="50" w:type="dxa"/>
              <w:bottom w:w="50" w:type="dxa"/>
              <w:left w:w="90" w:type="dxa"/>
              <w:right w:w="90" w:type="dxa"/>
            </w:tcMar>
            <w:shd w:val="clear" w:color="auto" w:fill="E5F5FF"/>
          </w:tcPr>
          <w:p>
            <w:pPr>
              <w:pStyle w:val="BDOITable"/>
            </w:pPr>
            <w:r>
              <w:rPr>
                <w:sz w:val="15"/>
              </w:rPr>
              <w:t>Project Manager</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NFR-SUP-03</w:t>
            </w:r>
          </w:p>
        </w:tc>
        <w:tc>
          <w:tcPr>
            <w:tcW w:type="dxa" w:w="1416"/>
            <w:tcMar>
              <w:top w:w="50" w:type="dxa"/>
              <w:bottom w:w="50" w:type="dxa"/>
              <w:left w:w="90" w:type="dxa"/>
              <w:right w:w="90" w:type="dxa"/>
            </w:tcMar>
          </w:tcPr>
          <w:p>
            <w:pPr>
              <w:pStyle w:val="BDOITable"/>
            </w:pPr>
            <w:r>
              <w:rPr>
                <w:sz w:val="15"/>
              </w:rPr>
              <w:t>Error references and coded messages</w:t>
            </w:r>
          </w:p>
        </w:tc>
        <w:tc>
          <w:tcPr>
            <w:tcW w:type="dxa" w:w="3286"/>
            <w:tcMar>
              <w:top w:w="50" w:type="dxa"/>
              <w:bottom w:w="50" w:type="dxa"/>
              <w:left w:w="90" w:type="dxa"/>
              <w:right w:w="90" w:type="dxa"/>
            </w:tcMar>
          </w:tcPr>
          <w:p>
            <w:pPr>
              <w:pStyle w:val="BDOITable"/>
            </w:pPr>
            <w:r>
              <w:rPr>
                <w:sz w:val="15"/>
              </w:rPr>
              <w:t>Every unexpected error shows a reference found in the logs; every business error shows a message of the messages catalogue with its code</w:t>
            </w:r>
          </w:p>
        </w:tc>
        <w:tc>
          <w:tcPr>
            <w:tcW w:type="dxa" w:w="1586"/>
            <w:tcMar>
              <w:top w:w="50" w:type="dxa"/>
              <w:bottom w:w="50" w:type="dxa"/>
              <w:left w:w="90" w:type="dxa"/>
              <w:right w:w="90" w:type="dxa"/>
            </w:tcMar>
          </w:tcPr>
          <w:p>
            <w:pPr>
              <w:pStyle w:val="BDOITable"/>
            </w:pPr>
            <w:r>
              <w:rPr>
                <w:sz w:val="15"/>
              </w:rPr>
              <w:t>Test; System</w:t>
            </w:r>
          </w:p>
        </w:tc>
        <w:tc>
          <w:tcPr>
            <w:tcW w:type="dxa" w:w="1303"/>
            <w:tcMar>
              <w:top w:w="50" w:type="dxa"/>
              <w:bottom w:w="50" w:type="dxa"/>
              <w:left w:w="90" w:type="dxa"/>
              <w:right w:w="90" w:type="dxa"/>
            </w:tcMar>
          </w:tcPr>
          <w:p>
            <w:pPr>
              <w:pStyle w:val="BDOITable"/>
            </w:pPr>
            <w:r>
              <w:rPr>
                <w:sz w:val="15"/>
              </w:rPr>
              <w:t>QA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NFR-SUP-04</w:t>
            </w:r>
          </w:p>
        </w:tc>
        <w:tc>
          <w:tcPr>
            <w:tcW w:type="dxa" w:w="1416"/>
            <w:tcMar>
              <w:top w:w="50" w:type="dxa"/>
              <w:bottom w:w="50" w:type="dxa"/>
              <w:left w:w="90" w:type="dxa"/>
              <w:right w:w="90" w:type="dxa"/>
            </w:tcMar>
            <w:shd w:val="clear" w:color="auto" w:fill="E5F5FF"/>
          </w:tcPr>
          <w:p>
            <w:pPr>
              <w:pStyle w:val="BDOITable"/>
            </w:pPr>
            <w:r>
              <w:rPr>
                <w:sz w:val="15"/>
              </w:rPr>
              <w:t>Hypercare</w:t>
            </w:r>
          </w:p>
        </w:tc>
        <w:tc>
          <w:tcPr>
            <w:tcW w:type="dxa" w:w="3286"/>
            <w:tcMar>
              <w:top w:w="50" w:type="dxa"/>
              <w:bottom w:w="50" w:type="dxa"/>
              <w:left w:w="90" w:type="dxa"/>
              <w:right w:w="90" w:type="dxa"/>
            </w:tcMar>
            <w:shd w:val="clear" w:color="auto" w:fill="E5F5FF"/>
          </w:tcPr>
          <w:p>
            <w:pPr>
              <w:pStyle w:val="BDOITable"/>
            </w:pPr>
            <w:r>
              <w:rPr>
                <w:sz w:val="15"/>
              </w:rPr>
              <w:t>Hypercare from T+1 to T+30 (4 Jan to 2 Feb 2028) with issue triage at 10:00 and 16:00 each business day</w:t>
            </w:r>
          </w:p>
        </w:tc>
        <w:tc>
          <w:tcPr>
            <w:tcW w:type="dxa" w:w="1586"/>
            <w:tcMar>
              <w:top w:w="50" w:type="dxa"/>
              <w:bottom w:w="50" w:type="dxa"/>
              <w:left w:w="90" w:type="dxa"/>
              <w:right w:w="90" w:type="dxa"/>
            </w:tcMar>
            <w:shd w:val="clear" w:color="auto" w:fill="E5F5FF"/>
          </w:tcPr>
          <w:p>
            <w:pPr>
              <w:pStyle w:val="BDOITable"/>
            </w:pPr>
            <w:r>
              <w:rPr>
                <w:sz w:val="15"/>
              </w:rPr>
              <w:t>Inspection; Operational acceptance</w:t>
            </w:r>
          </w:p>
        </w:tc>
        <w:tc>
          <w:tcPr>
            <w:tcW w:type="dxa" w:w="1303"/>
            <w:tcMar>
              <w:top w:w="50" w:type="dxa"/>
              <w:bottom w:w="50" w:type="dxa"/>
              <w:left w:w="90" w:type="dxa"/>
              <w:right w:w="90" w:type="dxa"/>
            </w:tcMar>
            <w:shd w:val="clear" w:color="auto" w:fill="E5F5FF"/>
          </w:tcPr>
          <w:p>
            <w:pPr>
              <w:pStyle w:val="BDOITable"/>
            </w:pPr>
            <w:r>
              <w:rPr>
                <w:sz w:val="15"/>
              </w:rPr>
              <w:t>Project Manager</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NFR-SUP-05</w:t>
            </w:r>
          </w:p>
        </w:tc>
        <w:tc>
          <w:tcPr>
            <w:tcW w:type="dxa" w:w="1416"/>
            <w:tcMar>
              <w:top w:w="50" w:type="dxa"/>
              <w:bottom w:w="50" w:type="dxa"/>
              <w:left w:w="90" w:type="dxa"/>
              <w:right w:w="90" w:type="dxa"/>
            </w:tcMar>
          </w:tcPr>
          <w:p>
            <w:pPr>
              <w:pStyle w:val="BDOITable"/>
            </w:pPr>
            <w:r>
              <w:rPr>
                <w:sz w:val="15"/>
              </w:rPr>
              <w:t>Administration without a command line</w:t>
            </w:r>
          </w:p>
        </w:tc>
        <w:tc>
          <w:tcPr>
            <w:tcW w:type="dxa" w:w="3286"/>
            <w:tcMar>
              <w:top w:w="50" w:type="dxa"/>
              <w:bottom w:w="50" w:type="dxa"/>
              <w:left w:w="90" w:type="dxa"/>
              <w:right w:w="90" w:type="dxa"/>
            </w:tcMar>
          </w:tcPr>
          <w:p>
            <w:pPr>
              <w:pStyle w:val="BDOITable"/>
            </w:pPr>
            <w:r>
              <w:rPr>
                <w:sz w:val="15"/>
              </w:rPr>
              <w:t>Jobs started, stopped and re-run, caches cleared and integration events re-sent from administration screens; 0 routine tasks that need a command line</w:t>
            </w:r>
          </w:p>
        </w:tc>
        <w:tc>
          <w:tcPr>
            <w:tcW w:type="dxa" w:w="1586"/>
            <w:tcMar>
              <w:top w:w="50" w:type="dxa"/>
              <w:bottom w:w="50" w:type="dxa"/>
              <w:left w:w="90" w:type="dxa"/>
              <w:right w:w="90" w:type="dxa"/>
            </w:tcMar>
          </w:tcPr>
          <w:p>
            <w:pPr>
              <w:pStyle w:val="BDOITable"/>
            </w:pPr>
            <w:r>
              <w:rPr>
                <w:sz w:val="15"/>
              </w:rPr>
              <w:t>Walk-through; Operational acceptance</w:t>
            </w:r>
          </w:p>
        </w:tc>
        <w:tc>
          <w:tcPr>
            <w:tcW w:type="dxa" w:w="1303"/>
            <w:tcMar>
              <w:top w:w="50" w:type="dxa"/>
              <w:bottom w:w="50" w:type="dxa"/>
              <w:left w:w="90" w:type="dxa"/>
              <w:right w:w="90" w:type="dxa"/>
            </w:tcMar>
          </w:tcPr>
          <w:p>
            <w:pPr>
              <w:pStyle w:val="BDOITable"/>
            </w:pPr>
            <w:r>
              <w:rPr>
                <w:sz w:val="15"/>
              </w:rPr>
              <w:t>DevOps and Platform Lead</w:t>
            </w:r>
          </w:p>
        </w:tc>
        <w:tc>
          <w:tcPr>
            <w:tcW w:type="dxa" w:w="1190"/>
            <w:tcMar>
              <w:top w:w="50" w:type="dxa"/>
              <w:bottom w:w="50" w:type="dxa"/>
              <w:left w:w="90" w:type="dxa"/>
              <w:right w:w="90" w:type="dxa"/>
            </w:tcMar>
          </w:tcPr>
          <w:p>
            <w:pPr>
              <w:pStyle w:val="BDOITable"/>
            </w:pPr>
            <w:r>
              <w:rPr>
                <w:sz w:val="15"/>
              </w:rPr>
              <w:t>ALIGNED</w:t>
            </w:r>
          </w:p>
        </w:tc>
      </w:tr>
    </w:tbl>
    <w:p>
      <w:pPr>
        <w:pStyle w:val="BDOISpacer"/>
      </w:pPr>
    </w:p>
    <w:p>
      <w:pPr>
        <w:pStyle w:val="Heading2"/>
      </w:pPr>
      <w:bookmarkStart w:id="128" w:name="_Toc000128"/>
      <w:r>
        <w:rPr/>
        <w:t>6.5 Interoperability</w:t>
      </w:r>
      <w:bookmarkEnd w:id="128"/>
    </w:p>
    <w:p>
      <w:pPr>
        <w:pStyle w:val="Caption"/>
        <w:keepNext/>
        <w:spacing w:after="60"/>
      </w:pPr>
      <w:r>
        <w:rPr>
          <w:b/>
          <w:i w:val="0"/>
        </w:rPr>
        <w:t xml:space="preserve">Table 20: </w:t>
      </w:r>
      <w:r>
        <w:rPr/>
        <w:t>Interoperability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416"/>
        <w:gridCol w:w="3286"/>
        <w:gridCol w:w="1586"/>
        <w:gridCol w:w="1303"/>
        <w:gridCol w:w="1189"/>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NFR</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5"/>
              </w:rPr>
              <w:t>Measurable target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Verification</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5"/>
              </w:rPr>
              <w:t>Status</w:t>
            </w:r>
          </w:p>
        </w:tc>
      </w:tr>
      <w:tr>
        <w:trPr>
          <w:cantSplit w:val="true"/>
        </w:trPr>
        <w:tc>
          <w:tcPr>
            <w:tcW w:type="dxa" w:w="1190"/>
            <w:tcMar>
              <w:top w:w="50" w:type="dxa"/>
              <w:bottom w:w="50" w:type="dxa"/>
              <w:left w:w="90" w:type="dxa"/>
              <w:right w:w="90" w:type="dxa"/>
            </w:tcMar>
          </w:tcPr>
          <w:p>
            <w:pPr>
              <w:pStyle w:val="BDOITable"/>
            </w:pPr>
            <w:r>
              <w:rPr>
                <w:b/>
                <w:sz w:val="15"/>
              </w:rPr>
              <w:t>NFR-INT-01</w:t>
            </w:r>
          </w:p>
        </w:tc>
        <w:tc>
          <w:tcPr>
            <w:tcW w:type="dxa" w:w="1416"/>
            <w:tcMar>
              <w:top w:w="50" w:type="dxa"/>
              <w:bottom w:w="50" w:type="dxa"/>
              <w:left w:w="90" w:type="dxa"/>
              <w:right w:w="90" w:type="dxa"/>
            </w:tcMar>
          </w:tcPr>
          <w:p>
            <w:pPr>
              <w:pStyle w:val="BDOITable"/>
            </w:pPr>
            <w:r>
              <w:rPr>
                <w:sz w:val="15"/>
              </w:rPr>
              <w:t>Integration gateway and contracts</w:t>
            </w:r>
          </w:p>
        </w:tc>
        <w:tc>
          <w:tcPr>
            <w:tcW w:type="dxa" w:w="3286"/>
            <w:tcMar>
              <w:top w:w="50" w:type="dxa"/>
              <w:bottom w:w="50" w:type="dxa"/>
              <w:left w:w="90" w:type="dxa"/>
              <w:right w:w="90" w:type="dxa"/>
            </w:tcMar>
          </w:tcPr>
          <w:p>
            <w:pPr>
              <w:pStyle w:val="BDOITable"/>
            </w:pPr>
            <w:r>
              <w:rPr>
                <w:sz w:val="15"/>
              </w:rPr>
              <w:t>Every service interface through Apigee X, described in OpenAPI 3 with versioned contracts; every file interface with an agreed layout and control totals</w:t>
            </w:r>
          </w:p>
        </w:tc>
        <w:tc>
          <w:tcPr>
            <w:tcW w:type="dxa" w:w="1586"/>
            <w:tcMar>
              <w:top w:w="50" w:type="dxa"/>
              <w:bottom w:w="50" w:type="dxa"/>
              <w:left w:w="90" w:type="dxa"/>
              <w:right w:w="90" w:type="dxa"/>
            </w:tcMar>
          </w:tcPr>
          <w:p>
            <w:pPr>
              <w:pStyle w:val="BDOITable"/>
            </w:pPr>
            <w:r>
              <w:rPr>
                <w:sz w:val="15"/>
              </w:rPr>
              <w:t>Inspection; Service interface (API)</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NFR-INT-02</w:t>
            </w:r>
          </w:p>
        </w:tc>
        <w:tc>
          <w:tcPr>
            <w:tcW w:type="dxa" w:w="1416"/>
            <w:tcMar>
              <w:top w:w="50" w:type="dxa"/>
              <w:bottom w:w="50" w:type="dxa"/>
              <w:left w:w="90" w:type="dxa"/>
              <w:right w:w="90" w:type="dxa"/>
            </w:tcMar>
            <w:shd w:val="clear" w:color="auto" w:fill="E5F5FF"/>
          </w:tcPr>
          <w:p>
            <w:pPr>
              <w:pStyle w:val="BDOITable"/>
            </w:pPr>
            <w:r>
              <w:rPr>
                <w:sz w:val="15"/>
              </w:rPr>
              <w:t>Business events</w:t>
            </w:r>
          </w:p>
        </w:tc>
        <w:tc>
          <w:tcPr>
            <w:tcW w:type="dxa" w:w="3286"/>
            <w:tcMar>
              <w:top w:w="50" w:type="dxa"/>
              <w:bottom w:w="50" w:type="dxa"/>
              <w:left w:w="90" w:type="dxa"/>
              <w:right w:w="90" w:type="dxa"/>
            </w:tcMar>
            <w:shd w:val="clear" w:color="auto" w:fill="E5F5FF"/>
          </w:tcPr>
          <w:p>
            <w:pPr>
              <w:pStyle w:val="BDOITable"/>
            </w:pPr>
            <w:r>
              <w:rPr>
                <w:sz w:val="15"/>
              </w:rPr>
              <w:t>Events published through a transactional outbox; 0 events lost in the resilience test; failed events kept as dead letters and re-sent from the administration screen</w:t>
            </w:r>
          </w:p>
        </w:tc>
        <w:tc>
          <w:tcPr>
            <w:tcW w:type="dxa" w:w="1586"/>
            <w:tcMar>
              <w:top w:w="50" w:type="dxa"/>
              <w:bottom w:w="50" w:type="dxa"/>
              <w:left w:w="90" w:type="dxa"/>
              <w:right w:w="90" w:type="dxa"/>
            </w:tcMar>
            <w:shd w:val="clear" w:color="auto" w:fill="E5F5FF"/>
          </w:tcPr>
          <w:p>
            <w:pPr>
              <w:pStyle w:val="BDOITable"/>
            </w:pPr>
            <w:r>
              <w:rPr>
                <w:sz w:val="15"/>
              </w:rPr>
              <w:t>Test; Resilience</w:t>
            </w:r>
          </w:p>
        </w:tc>
        <w:tc>
          <w:tcPr>
            <w:tcW w:type="dxa" w:w="1303"/>
            <w:tcMar>
              <w:top w:w="50" w:type="dxa"/>
              <w:bottom w:w="50" w:type="dxa"/>
              <w:left w:w="90" w:type="dxa"/>
              <w:right w:w="90" w:type="dxa"/>
            </w:tcMar>
            <w:shd w:val="clear" w:color="auto" w:fill="E5F5FF"/>
          </w:tcPr>
          <w:p>
            <w:pPr>
              <w:pStyle w:val="BDOITable"/>
            </w:pPr>
            <w:r>
              <w:rPr>
                <w:sz w:val="15"/>
              </w:rPr>
              <w:t>Solution Architect</w:t>
            </w:r>
          </w:p>
        </w:tc>
        <w:tc>
          <w:tcPr>
            <w:tcW w:type="dxa" w:w="1190"/>
            <w:tcMar>
              <w:top w:w="50" w:type="dxa"/>
              <w:bottom w:w="50" w:type="dxa"/>
              <w:left w:w="90" w:type="dxa"/>
              <w:right w:w="90" w:type="dxa"/>
            </w:tcMar>
            <w:shd w:val="clear" w:color="auto" w:fill="E5F5FF"/>
          </w:tcPr>
          <w:p>
            <w:pPr>
              <w:pStyle w:val="BDOITable"/>
            </w:pPr>
            <w:r>
              <w:rPr>
                <w:sz w:val="15"/>
              </w:rPr>
              <w:t>ALIGNED</w:t>
            </w:r>
          </w:p>
        </w:tc>
      </w:tr>
      <w:tr>
        <w:trPr>
          <w:cantSplit w:val="true"/>
        </w:trPr>
        <w:tc>
          <w:tcPr>
            <w:tcW w:type="dxa" w:w="1190"/>
            <w:tcMar>
              <w:top w:w="50" w:type="dxa"/>
              <w:bottom w:w="50" w:type="dxa"/>
              <w:left w:w="90" w:type="dxa"/>
              <w:right w:w="90" w:type="dxa"/>
            </w:tcMar>
          </w:tcPr>
          <w:p>
            <w:pPr>
              <w:pStyle w:val="BDOITable"/>
            </w:pPr>
            <w:r>
              <w:rPr>
                <w:b/>
                <w:sz w:val="15"/>
              </w:rPr>
              <w:t>NFR-INT-03</w:t>
            </w:r>
          </w:p>
        </w:tc>
        <w:tc>
          <w:tcPr>
            <w:tcW w:type="dxa" w:w="1416"/>
            <w:tcMar>
              <w:top w:w="50" w:type="dxa"/>
              <w:bottom w:w="50" w:type="dxa"/>
              <w:left w:w="90" w:type="dxa"/>
              <w:right w:w="90" w:type="dxa"/>
            </w:tcMar>
          </w:tcPr>
          <w:p>
            <w:pPr>
              <w:pStyle w:val="BDOITable"/>
            </w:pPr>
            <w:r>
              <w:rPr>
                <w:sz w:val="15"/>
              </w:rPr>
              <w:t>Identity standards</w:t>
            </w:r>
          </w:p>
        </w:tc>
        <w:tc>
          <w:tcPr>
            <w:tcW w:type="dxa" w:w="3286"/>
            <w:tcMar>
              <w:top w:w="50" w:type="dxa"/>
              <w:bottom w:w="50" w:type="dxa"/>
              <w:left w:w="90" w:type="dxa"/>
              <w:right w:w="90" w:type="dxa"/>
            </w:tcMar>
          </w:tcPr>
          <w:p>
            <w:pPr>
              <w:pStyle w:val="BDOITable"/>
            </w:pPr>
            <w:r>
              <w:rPr>
                <w:sz w:val="15"/>
              </w:rPr>
              <w:t>OpenID Connect and SAML 2.0 with EIAM; SCIM 2.0 provisioning from UIDM-ISC</w:t>
            </w:r>
          </w:p>
        </w:tc>
        <w:tc>
          <w:tcPr>
            <w:tcW w:type="dxa" w:w="1586"/>
            <w:tcMar>
              <w:top w:w="50" w:type="dxa"/>
              <w:bottom w:w="50" w:type="dxa"/>
              <w:left w:w="90" w:type="dxa"/>
              <w:right w:w="90" w:type="dxa"/>
            </w:tcMar>
          </w:tcPr>
          <w:p>
            <w:pPr>
              <w:pStyle w:val="BDOITable"/>
            </w:pPr>
            <w:r>
              <w:rPr>
                <w:sz w:val="15"/>
              </w:rPr>
              <w:t>Test; System integration</w:t>
            </w:r>
          </w:p>
        </w:tc>
        <w:tc>
          <w:tcPr>
            <w:tcW w:type="dxa" w:w="1303"/>
            <w:tcMar>
              <w:top w:w="50" w:type="dxa"/>
              <w:bottom w:w="50" w:type="dxa"/>
              <w:left w:w="90" w:type="dxa"/>
              <w:right w:w="90" w:type="dxa"/>
            </w:tcMar>
          </w:tcPr>
          <w:p>
            <w:pPr>
              <w:pStyle w:val="BDOITable"/>
            </w:pPr>
            <w:r>
              <w:rPr>
                <w:sz w:val="15"/>
              </w:rPr>
              <w:t>Security Lead</w:t>
            </w:r>
          </w:p>
        </w:tc>
        <w:tc>
          <w:tcPr>
            <w:tcW w:type="dxa" w:w="1190"/>
            <w:tcMar>
              <w:top w:w="50" w:type="dxa"/>
              <w:bottom w:w="50" w:type="dxa"/>
              <w:left w:w="90" w:type="dxa"/>
              <w:right w:w="90" w:type="dxa"/>
            </w:tcMar>
          </w:tcPr>
          <w:p>
            <w:pPr>
              <w:pStyle w:val="BDOITable"/>
            </w:pPr>
            <w:r>
              <w:rPr>
                <w:sz w:val="15"/>
              </w:rPr>
              <w:t>ALIGNED</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NFR-INT-04</w:t>
            </w:r>
          </w:p>
        </w:tc>
        <w:tc>
          <w:tcPr>
            <w:tcW w:type="dxa" w:w="1416"/>
            <w:tcMar>
              <w:top w:w="50" w:type="dxa"/>
              <w:bottom w:w="50" w:type="dxa"/>
              <w:left w:w="90" w:type="dxa"/>
              <w:right w:w="90" w:type="dxa"/>
            </w:tcMar>
            <w:shd w:val="clear" w:color="auto" w:fill="E5F5FF"/>
          </w:tcPr>
          <w:p>
            <w:pPr>
              <w:pStyle w:val="BDOITable"/>
            </w:pPr>
            <w:r>
              <w:rPr>
                <w:sz w:val="15"/>
              </w:rPr>
              <w:t>File interfaces</w:t>
            </w:r>
          </w:p>
        </w:tc>
        <w:tc>
          <w:tcPr>
            <w:tcW w:type="dxa" w:w="3286"/>
            <w:tcMar>
              <w:top w:w="50" w:type="dxa"/>
              <w:bottom w:w="50" w:type="dxa"/>
              <w:left w:w="90" w:type="dxa"/>
              <w:right w:w="90" w:type="dxa"/>
            </w:tcMar>
            <w:shd w:val="clear" w:color="auto" w:fill="E5F5FF"/>
          </w:tcPr>
          <w:p>
            <w:pPr>
              <w:pStyle w:val="BDOITable"/>
            </w:pPr>
            <w:r>
              <w:rPr>
                <w:sz w:val="15"/>
              </w:rPr>
              <w:t>Every inbound file (PDC list, bills payment, bank and insurer files) validated against its layout; each run reconciled to its control totals; errors reported per row; a failed transfer retried up to 3 times</w:t>
            </w:r>
          </w:p>
        </w:tc>
        <w:tc>
          <w:tcPr>
            <w:tcW w:type="dxa" w:w="1586"/>
            <w:tcMar>
              <w:top w:w="50" w:type="dxa"/>
              <w:bottom w:w="50" w:type="dxa"/>
              <w:left w:w="90" w:type="dxa"/>
              <w:right w:w="90" w:type="dxa"/>
            </w:tcMar>
            <w:shd w:val="clear" w:color="auto" w:fill="E5F5FF"/>
          </w:tcPr>
          <w:p>
            <w:pPr>
              <w:pStyle w:val="BDOITable"/>
            </w:pPr>
            <w:r>
              <w:rPr>
                <w:sz w:val="15"/>
              </w:rPr>
              <w:t>Test; System integration</w:t>
            </w:r>
          </w:p>
        </w:tc>
        <w:tc>
          <w:tcPr>
            <w:tcW w:type="dxa" w:w="1303"/>
            <w:tcMar>
              <w:top w:w="50" w:type="dxa"/>
              <w:bottom w:w="50" w:type="dxa"/>
              <w:left w:w="90" w:type="dxa"/>
              <w:right w:w="90" w:type="dxa"/>
            </w:tcMar>
            <w:shd w:val="clear" w:color="auto" w:fill="E5F5FF"/>
          </w:tcPr>
          <w:p>
            <w:pPr>
              <w:pStyle w:val="BDOITable"/>
            </w:pPr>
            <w:r>
              <w:rPr>
                <w:sz w:val="15"/>
              </w:rPr>
              <w:t>QA lead</w:t>
            </w:r>
          </w:p>
        </w:tc>
        <w:tc>
          <w:tcPr>
            <w:tcW w:type="dxa" w:w="1190"/>
            <w:tcMar>
              <w:top w:w="50" w:type="dxa"/>
              <w:bottom w:w="50" w:type="dxa"/>
              <w:left w:w="90" w:type="dxa"/>
              <w:right w:w="90" w:type="dxa"/>
            </w:tcMar>
            <w:shd w:val="clear" w:color="auto" w:fill="E5F5FF"/>
          </w:tcPr>
          <w:p>
            <w:pPr>
              <w:pStyle w:val="BDOITable"/>
            </w:pPr>
            <w:r>
              <w:rPr>
                <w:sz w:val="15"/>
              </w:rPr>
              <w:t>PROPOSED</w:t>
            </w:r>
          </w:p>
        </w:tc>
      </w:tr>
      <w:tr>
        <w:trPr>
          <w:cantSplit w:val="true"/>
        </w:trPr>
        <w:tc>
          <w:tcPr>
            <w:tcW w:type="dxa" w:w="1190"/>
            <w:tcMar>
              <w:top w:w="50" w:type="dxa"/>
              <w:bottom w:w="50" w:type="dxa"/>
              <w:left w:w="90" w:type="dxa"/>
              <w:right w:w="90" w:type="dxa"/>
            </w:tcMar>
          </w:tcPr>
          <w:p>
            <w:pPr>
              <w:pStyle w:val="BDOITable"/>
            </w:pPr>
            <w:r>
              <w:rPr>
                <w:b/>
                <w:sz w:val="15"/>
              </w:rPr>
              <w:t>NFR-INT-05</w:t>
            </w:r>
          </w:p>
        </w:tc>
        <w:tc>
          <w:tcPr>
            <w:tcW w:type="dxa" w:w="1416"/>
            <w:tcMar>
              <w:top w:w="50" w:type="dxa"/>
              <w:bottom w:w="50" w:type="dxa"/>
              <w:left w:w="90" w:type="dxa"/>
              <w:right w:w="90" w:type="dxa"/>
            </w:tcMar>
          </w:tcPr>
          <w:p>
            <w:pPr>
              <w:pStyle w:val="BDOITable"/>
            </w:pPr>
            <w:r>
              <w:rPr>
                <w:sz w:val="15"/>
              </w:rPr>
              <w:t>E-mail through CCM</w:t>
            </w:r>
          </w:p>
        </w:tc>
        <w:tc>
          <w:tcPr>
            <w:tcW w:type="dxa" w:w="3286"/>
            <w:tcMar>
              <w:top w:w="50" w:type="dxa"/>
              <w:bottom w:w="50" w:type="dxa"/>
              <w:left w:w="90" w:type="dxa"/>
              <w:right w:w="90" w:type="dxa"/>
            </w:tcMar>
          </w:tcPr>
          <w:p>
            <w:pPr>
              <w:pStyle w:val="BDOITable"/>
            </w:pPr>
            <w:r>
              <w:rPr>
                <w:sz w:val="15"/>
              </w:rPr>
              <w:t>100% of outbound e-mail sent through CCM with its delivery status recorded</w:t>
            </w:r>
          </w:p>
        </w:tc>
        <w:tc>
          <w:tcPr>
            <w:tcW w:type="dxa" w:w="1586"/>
            <w:tcMar>
              <w:top w:w="50" w:type="dxa"/>
              <w:bottom w:w="50" w:type="dxa"/>
              <w:left w:w="90" w:type="dxa"/>
              <w:right w:w="90" w:type="dxa"/>
            </w:tcMar>
          </w:tcPr>
          <w:p>
            <w:pPr>
              <w:pStyle w:val="BDOITable"/>
            </w:pPr>
            <w:r>
              <w:rPr>
                <w:sz w:val="15"/>
              </w:rPr>
              <w:t>Test; System integration</w:t>
            </w:r>
          </w:p>
        </w:tc>
        <w:tc>
          <w:tcPr>
            <w:tcW w:type="dxa" w:w="1303"/>
            <w:tcMar>
              <w:top w:w="50" w:type="dxa"/>
              <w:bottom w:w="50" w:type="dxa"/>
              <w:left w:w="90" w:type="dxa"/>
              <w:right w:w="90" w:type="dxa"/>
            </w:tcMar>
          </w:tcPr>
          <w:p>
            <w:pPr>
              <w:pStyle w:val="BDOITable"/>
            </w:pPr>
            <w:r>
              <w:rPr>
                <w:sz w:val="15"/>
              </w:rPr>
              <w:t>Solution Architect</w:t>
            </w:r>
          </w:p>
        </w:tc>
        <w:tc>
          <w:tcPr>
            <w:tcW w:type="dxa" w:w="1190"/>
            <w:tcMar>
              <w:top w:w="50" w:type="dxa"/>
              <w:bottom w:w="50" w:type="dxa"/>
              <w:left w:w="90" w:type="dxa"/>
              <w:right w:w="90" w:type="dxa"/>
            </w:tcMar>
          </w:tcPr>
          <w:p>
            <w:pPr>
              <w:pStyle w:val="BDOITable"/>
            </w:pPr>
            <w:r>
              <w:rPr>
                <w:sz w:val="15"/>
              </w:rPr>
              <w:t>DECISION</w:t>
            </w:r>
          </w:p>
        </w:tc>
      </w:tr>
      <w:tr>
        <w:trPr>
          <w:cantSplit w:val="true"/>
        </w:trPr>
        <w:tc>
          <w:tcPr>
            <w:tcW w:type="dxa" w:w="1190"/>
            <w:tcMar>
              <w:top w:w="50" w:type="dxa"/>
              <w:bottom w:w="50" w:type="dxa"/>
              <w:left w:w="90" w:type="dxa"/>
              <w:right w:w="90" w:type="dxa"/>
            </w:tcMar>
            <w:shd w:val="clear" w:color="auto" w:fill="E5F5FF"/>
          </w:tcPr>
          <w:p>
            <w:pPr>
              <w:pStyle w:val="BDOITable"/>
            </w:pPr>
            <w:r>
              <w:rPr>
                <w:b/>
                <w:sz w:val="15"/>
              </w:rPr>
              <w:t>NFR-INT-06</w:t>
            </w:r>
          </w:p>
        </w:tc>
        <w:tc>
          <w:tcPr>
            <w:tcW w:type="dxa" w:w="1416"/>
            <w:tcMar>
              <w:top w:w="50" w:type="dxa"/>
              <w:bottom w:w="50" w:type="dxa"/>
              <w:left w:w="90" w:type="dxa"/>
              <w:right w:w="90" w:type="dxa"/>
            </w:tcMar>
            <w:shd w:val="clear" w:color="auto" w:fill="E5F5FF"/>
          </w:tcPr>
          <w:p>
            <w:pPr>
              <w:pStyle w:val="BDOITable"/>
            </w:pPr>
            <w:r>
              <w:rPr>
                <w:sz w:val="15"/>
              </w:rPr>
              <w:t>Unavailable partner systems</w:t>
            </w:r>
          </w:p>
        </w:tc>
        <w:tc>
          <w:tcPr>
            <w:tcW w:type="dxa" w:w="3286"/>
            <w:tcMar>
              <w:top w:w="50" w:type="dxa"/>
              <w:bottom w:w="50" w:type="dxa"/>
              <w:left w:w="90" w:type="dxa"/>
              <w:right w:w="90" w:type="dxa"/>
            </w:tcMar>
            <w:shd w:val="clear" w:color="auto" w:fill="E5F5FF"/>
          </w:tcPr>
          <w:p>
            <w:pPr>
              <w:pStyle w:val="BDOITable"/>
            </w:pPr>
            <w:r>
              <w:rPr>
                <w:sz w:val="15"/>
              </w:rPr>
              <w:t>Outbound messages queued and retried for 24 hours; an alert after 3 failed attempts; users keep working</w:t>
            </w:r>
          </w:p>
        </w:tc>
        <w:tc>
          <w:tcPr>
            <w:tcW w:type="dxa" w:w="1586"/>
            <w:tcMar>
              <w:top w:w="50" w:type="dxa"/>
              <w:bottom w:w="50" w:type="dxa"/>
              <w:left w:w="90" w:type="dxa"/>
              <w:right w:w="90" w:type="dxa"/>
            </w:tcMar>
            <w:shd w:val="clear" w:color="auto" w:fill="E5F5FF"/>
          </w:tcPr>
          <w:p>
            <w:pPr>
              <w:pStyle w:val="BDOITable"/>
            </w:pPr>
            <w:r>
              <w:rPr>
                <w:sz w:val="15"/>
              </w:rPr>
              <w:t>Test; Resilience</w:t>
            </w:r>
          </w:p>
        </w:tc>
        <w:tc>
          <w:tcPr>
            <w:tcW w:type="dxa" w:w="1303"/>
            <w:tcMar>
              <w:top w:w="50" w:type="dxa"/>
              <w:bottom w:w="50" w:type="dxa"/>
              <w:left w:w="90" w:type="dxa"/>
              <w:right w:w="90" w:type="dxa"/>
            </w:tcMar>
            <w:shd w:val="clear" w:color="auto" w:fill="E5F5FF"/>
          </w:tcPr>
          <w:p>
            <w:pPr>
              <w:pStyle w:val="BDOITable"/>
            </w:pPr>
            <w:r>
              <w:rPr>
                <w:sz w:val="15"/>
              </w:rPr>
              <w:t>Solution Architect</w:t>
            </w:r>
          </w:p>
        </w:tc>
        <w:tc>
          <w:tcPr>
            <w:tcW w:type="dxa" w:w="1190"/>
            <w:tcMar>
              <w:top w:w="50" w:type="dxa"/>
              <w:bottom w:w="50" w:type="dxa"/>
              <w:left w:w="90" w:type="dxa"/>
              <w:right w:w="90" w:type="dxa"/>
            </w:tcMar>
            <w:shd w:val="clear" w:color="auto" w:fill="E5F5FF"/>
          </w:tcPr>
          <w:p>
            <w:pPr>
              <w:pStyle w:val="BDOITable"/>
            </w:pPr>
            <w:r>
              <w:rPr>
                <w:sz w:val="15"/>
              </w:rPr>
              <w:t>PROPOSED</w:t>
            </w:r>
          </w:p>
        </w:tc>
      </w:tr>
    </w:tbl>
    <w:p>
      <w:pPr>
        <w:pStyle w:val="BDOISpacer"/>
      </w:pPr>
    </w:p>
    <w:p>
      <w:pPr>
        <w:pStyle w:val="Heading1"/>
        <w:pageBreakBefore/>
        <w:pBdr>
          <w:bottom w:val="single" w:sz="4" w:space="4" w:color="99C1E7"/>
        </w:pBdr>
      </w:pPr>
      <w:bookmarkStart w:id="129" w:name="_Toc000129"/>
      <w:r>
        <w:rPr/>
        <w:t>7 Reconciliation with the FRS and the IER workbook</w:t>
      </w:r>
      <w:bookmarkEnd w:id="129"/>
    </w:p>
    <w:p>
      <w:r>
        <w:rPr/>
        <w:t>The FRS of each BRD has a non-functional chapter that quotes the values of its BRD and states the BIBS approach. The table compares them with the register proposals, the IER workbook and this catalogue. Where the catalogue differs from an FRS, the FRS takes the catalogue value at its next issue once BDOI has decided; where it differs from the IER, BDO Cloud and Digital Operations Engineering updates the IER.</w:t>
      </w:r>
    </w:p>
    <w:p>
      <w:pPr>
        <w:pStyle w:val="Caption"/>
        <w:keepNext/>
        <w:spacing w:after="60"/>
      </w:pPr>
      <w:r>
        <w:rPr>
          <w:b/>
          <w:i w:val="0"/>
        </w:rPr>
        <w:t xml:space="preserve">Table 21: </w:t>
      </w:r>
      <w:r>
        <w:rPr/>
        <w:t>Reconciliation with the FRS non-functional chapters and the IER workbook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34"/>
        <w:gridCol w:w="2388"/>
        <w:gridCol w:w="1791"/>
        <w:gridCol w:w="1552"/>
        <w:gridCol w:w="1552"/>
        <w:gridCol w:w="1552"/>
      </w:tblGrid>
      <w:tr>
        <w:trPr>
          <w:tblHeader w:val="true"/>
          <w:cantSplit w:val="true"/>
        </w:trPr>
        <w:tc>
          <w:tcPr>
            <w:tcW w:type="dxa" w:w="1135"/>
            <w:shd w:val="clear" w:color="auto" w:fill="004EA8"/>
            <w:tcMar>
              <w:top w:w="50" w:type="dxa"/>
              <w:bottom w:w="50" w:type="dxa"/>
              <w:left w:w="90" w:type="dxa"/>
              <w:right w:w="90" w:type="dxa"/>
            </w:tcMar>
            <w:vAlign w:val="center"/>
          </w:tcPr>
          <w:p>
            <w:pPr>
              <w:pStyle w:val="BDOITableHeader"/>
            </w:pPr>
            <w:r>
              <w:rPr>
                <w:b/>
                <w:color w:val="FFFFFF"/>
                <w:sz w:val="14"/>
              </w:rPr>
              <w:t>Theme</w:t>
            </w:r>
          </w:p>
        </w:tc>
        <w:tc>
          <w:tcPr>
            <w:tcW w:type="dxa" w:w="2389"/>
            <w:shd w:val="clear" w:color="auto" w:fill="004EA8"/>
            <w:tcMar>
              <w:top w:w="50" w:type="dxa"/>
              <w:bottom w:w="50" w:type="dxa"/>
              <w:left w:w="90" w:type="dxa"/>
              <w:right w:w="90" w:type="dxa"/>
            </w:tcMar>
            <w:vAlign w:val="center"/>
          </w:tcPr>
          <w:p>
            <w:pPr>
              <w:pStyle w:val="BDOITableHeader"/>
            </w:pPr>
            <w:r>
              <w:rPr>
                <w:b/>
                <w:color w:val="FFFFFF"/>
                <w:sz w:val="14"/>
              </w:rPr>
              <w:t>BRD values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4"/>
              </w:rPr>
              <w:t>FRS statements</w:t>
            </w:r>
          </w:p>
        </w:tc>
        <w:tc>
          <w:tcPr>
            <w:tcW w:type="dxa" w:w="1553"/>
            <w:shd w:val="clear" w:color="auto" w:fill="004EA8"/>
            <w:tcMar>
              <w:top w:w="50" w:type="dxa"/>
              <w:bottom w:w="50" w:type="dxa"/>
              <w:left w:w="90" w:type="dxa"/>
              <w:right w:w="90" w:type="dxa"/>
            </w:tcMar>
            <w:vAlign w:val="center"/>
          </w:tcPr>
          <w:p>
            <w:pPr>
              <w:pStyle w:val="BDOITableHeader"/>
            </w:pPr>
            <w:r>
              <w:rPr>
                <w:b/>
                <w:color w:val="FFFFFF"/>
                <w:sz w:val="14"/>
              </w:rPr>
              <w:t>IER workbook</w:t>
            </w:r>
          </w:p>
        </w:tc>
        <w:tc>
          <w:tcPr>
            <w:tcW w:type="dxa" w:w="1553"/>
            <w:shd w:val="clear" w:color="auto" w:fill="004EA8"/>
            <w:tcMar>
              <w:top w:w="50" w:type="dxa"/>
              <w:bottom w:w="50" w:type="dxa"/>
              <w:left w:w="90" w:type="dxa"/>
              <w:right w:w="90" w:type="dxa"/>
            </w:tcMar>
            <w:vAlign w:val="center"/>
          </w:tcPr>
          <w:p>
            <w:pPr>
              <w:pStyle w:val="BDOITableHeader"/>
            </w:pPr>
            <w:r>
              <w:rPr>
                <w:b/>
                <w:color w:val="FFFFFF"/>
                <w:sz w:val="14"/>
              </w:rPr>
              <w:t>Catalogue</w:t>
            </w:r>
          </w:p>
        </w:tc>
        <w:tc>
          <w:tcPr>
            <w:tcW w:type="dxa" w:w="1553"/>
            <w:shd w:val="clear" w:color="auto" w:fill="004EA8"/>
            <w:tcMar>
              <w:top w:w="50" w:type="dxa"/>
              <w:bottom w:w="50" w:type="dxa"/>
              <w:left w:w="90" w:type="dxa"/>
              <w:right w:w="90" w:type="dxa"/>
            </w:tcMar>
            <w:vAlign w:val="center"/>
          </w:tcPr>
          <w:p>
            <w:pPr>
              <w:pStyle w:val="BDOITableHeader"/>
            </w:pPr>
            <w:r>
              <w:rPr>
                <w:b/>
                <w:color w:val="FFFFFF"/>
                <w:sz w:val="14"/>
              </w:rPr>
              <w:t>Action</w:t>
            </w:r>
          </w:p>
        </w:tc>
      </w:tr>
      <w:tr>
        <w:trPr>
          <w:cantSplit w:val="true"/>
        </w:trPr>
        <w:tc>
          <w:tcPr>
            <w:tcW w:type="dxa" w:w="1135"/>
            <w:tcMar>
              <w:top w:w="50" w:type="dxa"/>
              <w:bottom w:w="50" w:type="dxa"/>
              <w:left w:w="90" w:type="dxa"/>
              <w:right w:w="90" w:type="dxa"/>
            </w:tcMar>
          </w:tcPr>
          <w:p>
            <w:pPr>
              <w:pStyle w:val="BDOITable"/>
            </w:pPr>
            <w:r>
              <w:rPr>
                <w:b/>
                <w:sz w:val="14"/>
              </w:rPr>
              <w:t>Screen response</w:t>
            </w:r>
          </w:p>
        </w:tc>
        <w:tc>
          <w:tcPr>
            <w:tcW w:type="dxa" w:w="2389"/>
            <w:tcMar>
              <w:top w:w="50" w:type="dxa"/>
              <w:bottom w:w="50" w:type="dxa"/>
              <w:left w:w="90" w:type="dxa"/>
              <w:right w:w="90" w:type="dxa"/>
            </w:tcMar>
          </w:tcPr>
          <w:p>
            <w:pPr>
              <w:pStyle w:val="BDOITable"/>
            </w:pPr>
            <w:r>
              <w:rPr>
                <w:sz w:val="14"/>
              </w:rPr>
              <w:t>Under 5 s (BRD-00); 2 s (BRD-12); 3 s (BRD-9); 3 to 5 s (BRD-10); 5 s (BRD-2, 3, 4, 7); 5 to 10 s (BRD-5); 10 s (BRD-1, 6, 11)</w:t>
            </w:r>
          </w:p>
        </w:tc>
        <w:tc>
          <w:tcPr>
            <w:tcW w:type="dxa" w:w="1791"/>
            <w:tcMar>
              <w:top w:w="50" w:type="dxa"/>
              <w:bottom w:w="50" w:type="dxa"/>
              <w:left w:w="90" w:type="dxa"/>
              <w:right w:w="90" w:type="dxa"/>
            </w:tcMar>
          </w:tcPr>
          <w:p>
            <w:pPr>
              <w:pStyle w:val="BDOITable"/>
            </w:pPr>
            <w:r>
              <w:rPr>
                <w:sz w:val="14"/>
              </w:rPr>
              <w:t>Online p95 under 3 s (FRS BRD-01 to BRD-10); 2 s (FRS BRD-00, BRD-12)</w:t>
            </w:r>
          </w:p>
        </w:tc>
        <w:tc>
          <w:tcPr>
            <w:tcW w:type="dxa" w:w="1553"/>
            <w:tcMar>
              <w:top w:w="50" w:type="dxa"/>
              <w:bottom w:w="50" w:type="dxa"/>
              <w:left w:w="90" w:type="dxa"/>
              <w:right w:w="90" w:type="dxa"/>
            </w:tcMar>
          </w:tcPr>
          <w:p>
            <w:pPr>
              <w:pStyle w:val="BDOITable"/>
            </w:pPr>
            <w:r>
              <w:rPr>
                <w:sz w:val="14"/>
              </w:rPr>
              <w:t>Not stated</w:t>
            </w:r>
          </w:p>
        </w:tc>
        <w:tc>
          <w:tcPr>
            <w:tcW w:type="dxa" w:w="1553"/>
            <w:tcMar>
              <w:top w:w="50" w:type="dxa"/>
              <w:bottom w:w="50" w:type="dxa"/>
              <w:left w:w="90" w:type="dxa"/>
              <w:right w:w="90" w:type="dxa"/>
            </w:tcMar>
          </w:tcPr>
          <w:p>
            <w:pPr>
              <w:pStyle w:val="BDOITable"/>
            </w:pPr>
            <w:r>
              <w:rPr>
                <w:sz w:val="14"/>
              </w:rPr>
              <w:t>NFR-PRF-01: p95 2.0 s, p99 4.0 s</w:t>
            </w:r>
          </w:p>
        </w:tc>
        <w:tc>
          <w:tcPr>
            <w:tcW w:type="dxa" w:w="1553"/>
            <w:tcMar>
              <w:top w:w="50" w:type="dxa"/>
              <w:bottom w:w="50" w:type="dxa"/>
              <w:left w:w="90" w:type="dxa"/>
              <w:right w:w="90" w:type="dxa"/>
            </w:tcMar>
          </w:tcPr>
          <w:p>
            <w:pPr>
              <w:pStyle w:val="BDOITable"/>
            </w:pPr>
            <w:r>
              <w:rPr>
                <w:sz w:val="14"/>
              </w:rPr>
              <w:t>Stricter than nine FRS; the FRS take the value at their next issue after BDOI confirms</w:t>
            </w:r>
          </w:p>
        </w:tc>
      </w:tr>
      <w:tr>
        <w:trPr>
          <w:cantSplit w:val="true"/>
        </w:trPr>
        <w:tc>
          <w:tcPr>
            <w:tcW w:type="dxa" w:w="1135"/>
            <w:tcMar>
              <w:top w:w="50" w:type="dxa"/>
              <w:bottom w:w="50" w:type="dxa"/>
              <w:left w:w="90" w:type="dxa"/>
              <w:right w:w="90" w:type="dxa"/>
            </w:tcMar>
            <w:shd w:val="clear" w:color="auto" w:fill="E5F5FF"/>
          </w:tcPr>
          <w:p>
            <w:pPr>
              <w:pStyle w:val="BDOITable"/>
            </w:pPr>
            <w:r>
              <w:rPr>
                <w:b/>
                <w:sz w:val="14"/>
              </w:rPr>
              <w:t>Reports</w:t>
            </w:r>
          </w:p>
        </w:tc>
        <w:tc>
          <w:tcPr>
            <w:tcW w:type="dxa" w:w="2389"/>
            <w:tcMar>
              <w:top w:w="50" w:type="dxa"/>
              <w:bottom w:w="50" w:type="dxa"/>
              <w:left w:w="90" w:type="dxa"/>
              <w:right w:w="90" w:type="dxa"/>
            </w:tcMar>
            <w:shd w:val="clear" w:color="auto" w:fill="E5F5FF"/>
          </w:tcPr>
          <w:p>
            <w:pPr>
              <w:pStyle w:val="BDOITable"/>
            </w:pPr>
            <w:r>
              <w:rPr>
                <w:sz w:val="14"/>
              </w:rPr>
              <w:t>20 s (BRD-6, 11); 10 to 20 s (BRD-5); 5 min (BRD-7); daily 3 / weekly 10 / monthly 15 min (BRD-4)</w:t>
            </w:r>
          </w:p>
        </w:tc>
        <w:tc>
          <w:tcPr>
            <w:tcW w:type="dxa" w:w="1791"/>
            <w:tcMar>
              <w:top w:w="50" w:type="dxa"/>
              <w:bottom w:w="50" w:type="dxa"/>
              <w:left w:w="90" w:type="dxa"/>
              <w:right w:w="90" w:type="dxa"/>
            </w:tcMar>
            <w:shd w:val="clear" w:color="auto" w:fill="E5F5FF"/>
          </w:tcPr>
          <w:p>
            <w:pPr>
              <w:pStyle w:val="BDOITable"/>
            </w:pPr>
            <w:r>
              <w:rPr>
                <w:sz w:val="14"/>
              </w:rPr>
              <w:t>Same values; heavy reports as jobs</w:t>
            </w:r>
          </w:p>
        </w:tc>
        <w:tc>
          <w:tcPr>
            <w:tcW w:type="dxa" w:w="1553"/>
            <w:tcMar>
              <w:top w:w="50" w:type="dxa"/>
              <w:bottom w:w="50" w:type="dxa"/>
              <w:left w:w="90" w:type="dxa"/>
              <w:right w:w="90" w:type="dxa"/>
            </w:tcMar>
            <w:shd w:val="clear" w:color="auto" w:fill="E5F5FF"/>
          </w:tcPr>
          <w:p>
            <w:pPr>
              <w:pStyle w:val="BDOITable"/>
            </w:pPr>
            <w:r>
              <w:rPr>
                <w:sz w:val="14"/>
              </w:rPr>
              <w:t>Not stated</w:t>
            </w:r>
          </w:p>
        </w:tc>
        <w:tc>
          <w:tcPr>
            <w:tcW w:type="dxa" w:w="1553"/>
            <w:tcMar>
              <w:top w:w="50" w:type="dxa"/>
              <w:bottom w:w="50" w:type="dxa"/>
              <w:left w:w="90" w:type="dxa"/>
              <w:right w:w="90" w:type="dxa"/>
            </w:tcMar>
            <w:shd w:val="clear" w:color="auto" w:fill="E5F5FF"/>
          </w:tcPr>
          <w:p>
            <w:pPr>
              <w:pStyle w:val="BDOITable"/>
            </w:pPr>
            <w:r>
              <w:rPr>
                <w:sz w:val="14"/>
              </w:rPr>
              <w:t>NFR-PRF-03 and NFR-PRF-04</w:t>
            </w:r>
          </w:p>
        </w:tc>
        <w:tc>
          <w:tcPr>
            <w:tcW w:type="dxa" w:w="1553"/>
            <w:tcMar>
              <w:top w:w="50" w:type="dxa"/>
              <w:bottom w:w="50" w:type="dxa"/>
              <w:left w:w="90" w:type="dxa"/>
              <w:right w:w="90" w:type="dxa"/>
            </w:tcMar>
            <w:shd w:val="clear" w:color="auto" w:fill="E5F5FF"/>
          </w:tcPr>
          <w:p>
            <w:pPr>
              <w:pStyle w:val="BDOITable"/>
            </w:pPr>
            <w:r>
              <w:rPr>
                <w:sz w:val="14"/>
              </w:rPr>
              <w:t>None</w:t>
            </w:r>
          </w:p>
        </w:tc>
      </w:tr>
      <w:tr>
        <w:trPr>
          <w:cantSplit w:val="true"/>
        </w:trPr>
        <w:tc>
          <w:tcPr>
            <w:tcW w:type="dxa" w:w="1135"/>
            <w:tcMar>
              <w:top w:w="50" w:type="dxa"/>
              <w:bottom w:w="50" w:type="dxa"/>
              <w:left w:w="90" w:type="dxa"/>
              <w:right w:w="90" w:type="dxa"/>
            </w:tcMar>
          </w:tcPr>
          <w:p>
            <w:pPr>
              <w:pStyle w:val="BDOITable"/>
            </w:pPr>
            <w:r>
              <w:rPr>
                <w:b/>
                <w:sz w:val="14"/>
              </w:rPr>
              <w:t>Users</w:t>
            </w:r>
          </w:p>
        </w:tc>
        <w:tc>
          <w:tcPr>
            <w:tcW w:type="dxa" w:w="2389"/>
            <w:tcMar>
              <w:top w:w="50" w:type="dxa"/>
              <w:bottom w:w="50" w:type="dxa"/>
              <w:left w:w="90" w:type="dxa"/>
              <w:right w:w="90" w:type="dxa"/>
            </w:tcMar>
          </w:tcPr>
          <w:p>
            <w:pPr>
              <w:pStyle w:val="BDOITable"/>
            </w:pPr>
            <w:r>
              <w:rPr>
                <w:sz w:val="14"/>
              </w:rPr>
              <w:t>1,344 named / 429 concurrent (BRD-00); 485 / 145 (BRD-1); module counts in each BRD</w:t>
            </w:r>
          </w:p>
        </w:tc>
        <w:tc>
          <w:tcPr>
            <w:tcW w:type="dxa" w:w="1791"/>
            <w:tcMar>
              <w:top w:w="50" w:type="dxa"/>
              <w:bottom w:w="50" w:type="dxa"/>
              <w:left w:w="90" w:type="dxa"/>
              <w:right w:w="90" w:type="dxa"/>
            </w:tcMar>
          </w:tcPr>
          <w:p>
            <w:pPr>
              <w:pStyle w:val="BDOITable"/>
            </w:pPr>
            <w:r>
              <w:rPr>
                <w:sz w:val="14"/>
              </w:rPr>
              <w:t>150 concurrent plus 20% a year (FRS BRD-01); others within that sizing</w:t>
            </w:r>
          </w:p>
        </w:tc>
        <w:tc>
          <w:tcPr>
            <w:tcW w:type="dxa" w:w="1553"/>
            <w:tcMar>
              <w:top w:w="50" w:type="dxa"/>
              <w:bottom w:w="50" w:type="dxa"/>
              <w:left w:w="90" w:type="dxa"/>
              <w:right w:w="90" w:type="dxa"/>
            </w:tcMar>
          </w:tcPr>
          <w:p>
            <w:pPr>
              <w:pStyle w:val="BDOITable"/>
            </w:pPr>
            <w:r>
              <w:rPr>
                <w:sz w:val="14"/>
              </w:rPr>
              <w:t>About 1,200 internal users (architecture sheet); growth 15% a year</w:t>
            </w:r>
          </w:p>
        </w:tc>
        <w:tc>
          <w:tcPr>
            <w:tcW w:type="dxa" w:w="1553"/>
            <w:tcMar>
              <w:top w:w="50" w:type="dxa"/>
              <w:bottom w:w="50" w:type="dxa"/>
              <w:left w:w="90" w:type="dxa"/>
              <w:right w:w="90" w:type="dxa"/>
            </w:tcMar>
          </w:tcPr>
          <w:p>
            <w:pPr>
              <w:pStyle w:val="BDOITable"/>
            </w:pPr>
            <w:r>
              <w:rPr>
                <w:sz w:val="14"/>
              </w:rPr>
              <w:t>NFR-CAP-01: design 150 + 20% a year; peak test 429</w:t>
            </w:r>
          </w:p>
        </w:tc>
        <w:tc>
          <w:tcPr>
            <w:tcW w:type="dxa" w:w="1553"/>
            <w:tcMar>
              <w:top w:w="50" w:type="dxa"/>
              <w:bottom w:w="50" w:type="dxa"/>
              <w:left w:w="90" w:type="dxa"/>
              <w:right w:w="90" w:type="dxa"/>
            </w:tcMar>
          </w:tcPr>
          <w:p>
            <w:pPr>
              <w:pStyle w:val="BDOITable"/>
            </w:pPr>
            <w:r>
              <w:rPr>
                <w:sz w:val="14"/>
              </w:rPr>
              <w:t>IER growth 15% against 20% in the BRDs; IER re-sized with 20%</w:t>
            </w:r>
          </w:p>
        </w:tc>
      </w:tr>
      <w:tr>
        <w:trPr>
          <w:cantSplit w:val="true"/>
        </w:trPr>
        <w:tc>
          <w:tcPr>
            <w:tcW w:type="dxa" w:w="1135"/>
            <w:tcMar>
              <w:top w:w="50" w:type="dxa"/>
              <w:bottom w:w="50" w:type="dxa"/>
              <w:left w:w="90" w:type="dxa"/>
              <w:right w:w="90" w:type="dxa"/>
            </w:tcMar>
            <w:shd w:val="clear" w:color="auto" w:fill="E5F5FF"/>
          </w:tcPr>
          <w:p>
            <w:pPr>
              <w:pStyle w:val="BDOITable"/>
            </w:pPr>
            <w:r>
              <w:rPr>
                <w:b/>
                <w:sz w:val="14"/>
              </w:rPr>
              <w:t>Availability</w:t>
            </w:r>
          </w:p>
        </w:tc>
        <w:tc>
          <w:tcPr>
            <w:tcW w:type="dxa" w:w="2389"/>
            <w:tcMar>
              <w:top w:w="50" w:type="dxa"/>
              <w:bottom w:w="50" w:type="dxa"/>
              <w:left w:w="90" w:type="dxa"/>
              <w:right w:w="90" w:type="dxa"/>
            </w:tcMar>
            <w:shd w:val="clear" w:color="auto" w:fill="E5F5FF"/>
          </w:tcPr>
          <w:p>
            <w:pPr>
              <w:pStyle w:val="BDOITable"/>
            </w:pPr>
            <w:r>
              <w:rPr>
                <w:sz w:val="14"/>
              </w:rPr>
              <w:t>99.9% (BRD-2, 3, 9, 10, 12); 99.99% (BRD-8); 100% (BRD-5 Add.1); 'follow QPS' (BRD-1, 6, 11)</w:t>
            </w:r>
          </w:p>
        </w:tc>
        <w:tc>
          <w:tcPr>
            <w:tcW w:type="dxa" w:w="1791"/>
            <w:tcMar>
              <w:top w:w="50" w:type="dxa"/>
              <w:bottom w:w="50" w:type="dxa"/>
              <w:left w:w="90" w:type="dxa"/>
              <w:right w:w="90" w:type="dxa"/>
            </w:tcMar>
            <w:shd w:val="clear" w:color="auto" w:fill="E5F5FF"/>
          </w:tcPr>
          <w:p>
            <w:pPr>
              <w:pStyle w:val="BDOITable"/>
            </w:pPr>
            <w:r>
              <w:rPr>
                <w:sz w:val="14"/>
              </w:rPr>
              <w:t>Same deployment as BRD-1; one BIBS-wide set being agreed</w:t>
            </w:r>
          </w:p>
        </w:tc>
        <w:tc>
          <w:tcPr>
            <w:tcW w:type="dxa" w:w="1553"/>
            <w:tcMar>
              <w:top w:w="50" w:type="dxa"/>
              <w:bottom w:w="50" w:type="dxa"/>
              <w:left w:w="90" w:type="dxa"/>
              <w:right w:w="90" w:type="dxa"/>
            </w:tcMar>
            <w:shd w:val="clear" w:color="auto" w:fill="E5F5FF"/>
          </w:tcPr>
          <w:p>
            <w:pPr>
              <w:pStyle w:val="BDOITable"/>
            </w:pPr>
            <w:r>
              <w:rPr>
                <w:sz w:val="14"/>
              </w:rPr>
              <w:t>Production 24 x 7</w:t>
            </w:r>
          </w:p>
        </w:tc>
        <w:tc>
          <w:tcPr>
            <w:tcW w:type="dxa" w:w="1553"/>
            <w:tcMar>
              <w:top w:w="50" w:type="dxa"/>
              <w:bottom w:w="50" w:type="dxa"/>
              <w:left w:w="90" w:type="dxa"/>
              <w:right w:w="90" w:type="dxa"/>
            </w:tcMar>
            <w:shd w:val="clear" w:color="auto" w:fill="E5F5FF"/>
          </w:tcPr>
          <w:p>
            <w:pPr>
              <w:pStyle w:val="BDOITable"/>
            </w:pPr>
            <w:r>
              <w:rPr>
                <w:sz w:val="14"/>
              </w:rPr>
              <w:t>NFR-AVL-01: 99.9% of the service window</w:t>
            </w:r>
          </w:p>
        </w:tc>
        <w:tc>
          <w:tcPr>
            <w:tcW w:type="dxa" w:w="1553"/>
            <w:tcMar>
              <w:top w:w="50" w:type="dxa"/>
              <w:bottom w:w="50" w:type="dxa"/>
              <w:left w:w="90" w:type="dxa"/>
              <w:right w:w="90" w:type="dxa"/>
            </w:tcMar>
            <w:shd w:val="clear" w:color="auto" w:fill="E5F5FF"/>
          </w:tcPr>
          <w:p>
            <w:pPr>
              <w:pStyle w:val="BDOITable"/>
            </w:pPr>
            <w:r>
              <w:rPr>
                <w:sz w:val="14"/>
              </w:rPr>
              <w:t>BRD-5 and BRD-8 values withdrawn when BDOI confirms</w:t>
            </w:r>
          </w:p>
        </w:tc>
      </w:tr>
      <w:tr>
        <w:trPr>
          <w:cantSplit w:val="true"/>
        </w:trPr>
        <w:tc>
          <w:tcPr>
            <w:tcW w:type="dxa" w:w="1135"/>
            <w:tcMar>
              <w:top w:w="50" w:type="dxa"/>
              <w:bottom w:w="50" w:type="dxa"/>
              <w:left w:w="90" w:type="dxa"/>
              <w:right w:w="90" w:type="dxa"/>
            </w:tcMar>
          </w:tcPr>
          <w:p>
            <w:pPr>
              <w:pStyle w:val="BDOITable"/>
            </w:pPr>
            <w:r>
              <w:rPr>
                <w:b/>
                <w:sz w:val="14"/>
              </w:rPr>
              <w:t>Service window</w:t>
            </w:r>
          </w:p>
        </w:tc>
        <w:tc>
          <w:tcPr>
            <w:tcW w:type="dxa" w:w="2389"/>
            <w:tcMar>
              <w:top w:w="50" w:type="dxa"/>
              <w:bottom w:w="50" w:type="dxa"/>
              <w:left w:w="90" w:type="dxa"/>
              <w:right w:w="90" w:type="dxa"/>
            </w:tcMar>
          </w:tcPr>
          <w:p>
            <w:pPr>
              <w:pStyle w:val="BDOITable"/>
            </w:pPr>
            <w:r>
              <w:rPr>
                <w:sz w:val="14"/>
              </w:rPr>
              <w:t>From 06:00-22:00 Mon-Fri plus month-end weekends (BRD-4) to 08:00-18:00 Mon-Fri (BRD-10)</w:t>
            </w:r>
          </w:p>
        </w:tc>
        <w:tc>
          <w:tcPr>
            <w:tcW w:type="dxa" w:w="1791"/>
            <w:tcMar>
              <w:top w:w="50" w:type="dxa"/>
              <w:bottom w:w="50" w:type="dxa"/>
              <w:left w:w="90" w:type="dxa"/>
              <w:right w:w="90" w:type="dxa"/>
            </w:tcMar>
          </w:tcPr>
          <w:p>
            <w:pPr>
              <w:pStyle w:val="BDOITable"/>
            </w:pPr>
            <w:r>
              <w:rPr>
                <w:sz w:val="14"/>
              </w:rPr>
              <w:t>BRD-1 window 07:00-22:00 governs (OQ44)</w:t>
            </w:r>
          </w:p>
        </w:tc>
        <w:tc>
          <w:tcPr>
            <w:tcW w:type="dxa" w:w="1553"/>
            <w:tcMar>
              <w:top w:w="50" w:type="dxa"/>
              <w:bottom w:w="50" w:type="dxa"/>
              <w:left w:w="90" w:type="dxa"/>
              <w:right w:w="90" w:type="dxa"/>
            </w:tcMar>
          </w:tcPr>
          <w:p>
            <w:pPr>
              <w:pStyle w:val="BDOITable"/>
            </w:pPr>
            <w:r>
              <w:rPr>
                <w:sz w:val="14"/>
              </w:rPr>
              <w:t>Non-production 12 x 5</w:t>
            </w:r>
          </w:p>
        </w:tc>
        <w:tc>
          <w:tcPr>
            <w:tcW w:type="dxa" w:w="1553"/>
            <w:tcMar>
              <w:top w:w="50" w:type="dxa"/>
              <w:bottom w:w="50" w:type="dxa"/>
              <w:left w:w="90" w:type="dxa"/>
              <w:right w:w="90" w:type="dxa"/>
            </w:tcMar>
          </w:tcPr>
          <w:p>
            <w:pPr>
              <w:pStyle w:val="BDOITable"/>
            </w:pPr>
            <w:r>
              <w:rPr>
                <w:sz w:val="14"/>
              </w:rPr>
              <w:t>NFR-AVL-02: 06:00-22:00 Mon-Sat plus month-end weekends</w:t>
            </w:r>
          </w:p>
        </w:tc>
        <w:tc>
          <w:tcPr>
            <w:tcW w:type="dxa" w:w="1553"/>
            <w:tcMar>
              <w:top w:w="50" w:type="dxa"/>
              <w:bottom w:w="50" w:type="dxa"/>
              <w:left w:w="90" w:type="dxa"/>
              <w:right w:w="90" w:type="dxa"/>
            </w:tcMar>
          </w:tcPr>
          <w:p>
            <w:pPr>
              <w:pStyle w:val="BDOITable"/>
            </w:pPr>
            <w:r>
              <w:rPr>
                <w:sz w:val="14"/>
              </w:rPr>
              <w:t>Earlier opening (06:00) than the FRS state; FRS aligned at next issue</w:t>
            </w:r>
          </w:p>
        </w:tc>
      </w:tr>
      <w:tr>
        <w:trPr>
          <w:cantSplit w:val="true"/>
        </w:trPr>
        <w:tc>
          <w:tcPr>
            <w:tcW w:type="dxa" w:w="1135"/>
            <w:tcMar>
              <w:top w:w="50" w:type="dxa"/>
              <w:bottom w:w="50" w:type="dxa"/>
              <w:left w:w="90" w:type="dxa"/>
              <w:right w:w="90" w:type="dxa"/>
            </w:tcMar>
            <w:shd w:val="clear" w:color="auto" w:fill="E5F5FF"/>
          </w:tcPr>
          <w:p>
            <w:pPr>
              <w:pStyle w:val="BDOITable"/>
            </w:pPr>
            <w:r>
              <w:rPr>
                <w:b/>
                <w:sz w:val="14"/>
              </w:rPr>
              <w:t>Maintenance window</w:t>
            </w:r>
          </w:p>
        </w:tc>
        <w:tc>
          <w:tcPr>
            <w:tcW w:type="dxa" w:w="2389"/>
            <w:tcMar>
              <w:top w:w="50" w:type="dxa"/>
              <w:bottom w:w="50" w:type="dxa"/>
              <w:left w:w="90" w:type="dxa"/>
              <w:right w:w="90" w:type="dxa"/>
            </w:tcMar>
            <w:shd w:val="clear" w:color="auto" w:fill="E5F5FF"/>
          </w:tcPr>
          <w:p>
            <w:pPr>
              <w:pStyle w:val="BDOITable"/>
            </w:pPr>
            <w:r>
              <w:rPr>
                <w:sz w:val="14"/>
              </w:rPr>
              <w:t>00:00-04:00 (BRD-10, 12); 19:00-07:00 (BRD-5); 21:00-05:00 (BRD-9); bank standard (others)</w:t>
            </w:r>
          </w:p>
        </w:tc>
        <w:tc>
          <w:tcPr>
            <w:tcW w:type="dxa" w:w="1791"/>
            <w:tcMar>
              <w:top w:w="50" w:type="dxa"/>
              <w:bottom w:w="50" w:type="dxa"/>
              <w:left w:w="90" w:type="dxa"/>
              <w:right w:w="90" w:type="dxa"/>
            </w:tcMar>
            <w:shd w:val="clear" w:color="auto" w:fill="E5F5FF"/>
          </w:tcPr>
          <w:p>
            <w:pPr>
              <w:pStyle w:val="BDOITable"/>
            </w:pPr>
            <w:r>
              <w:rPr>
                <w:sz w:val="14"/>
              </w:rPr>
              <w:t>CSQ12 overlap noted (FRS BRD-09)</w:t>
            </w:r>
          </w:p>
        </w:tc>
        <w:tc>
          <w:tcPr>
            <w:tcW w:type="dxa" w:w="1553"/>
            <w:tcMar>
              <w:top w:w="50" w:type="dxa"/>
              <w:bottom w:w="50" w:type="dxa"/>
              <w:left w:w="90" w:type="dxa"/>
              <w:right w:w="90" w:type="dxa"/>
            </w:tcMar>
            <w:shd w:val="clear" w:color="auto" w:fill="E5F5FF"/>
          </w:tcPr>
          <w:p>
            <w:pPr>
              <w:pStyle w:val="BDOITable"/>
            </w:pPr>
            <w:r>
              <w:rPr>
                <w:sz w:val="14"/>
              </w:rPr>
              <w:t>Not stated</w:t>
            </w:r>
          </w:p>
        </w:tc>
        <w:tc>
          <w:tcPr>
            <w:tcW w:type="dxa" w:w="1553"/>
            <w:tcMar>
              <w:top w:w="50" w:type="dxa"/>
              <w:bottom w:w="50" w:type="dxa"/>
              <w:left w:w="90" w:type="dxa"/>
              <w:right w:w="90" w:type="dxa"/>
            </w:tcMar>
            <w:shd w:val="clear" w:color="auto" w:fill="E5F5FF"/>
          </w:tcPr>
          <w:p>
            <w:pPr>
              <w:pStyle w:val="BDOITable"/>
            </w:pPr>
            <w:r>
              <w:rPr>
                <w:sz w:val="14"/>
              </w:rPr>
              <w:t>NFR-AVL-03: 00:00-04:00, 45 minutes a month</w:t>
            </w:r>
          </w:p>
        </w:tc>
        <w:tc>
          <w:tcPr>
            <w:tcW w:type="dxa" w:w="1553"/>
            <w:tcMar>
              <w:top w:w="50" w:type="dxa"/>
              <w:bottom w:w="50" w:type="dxa"/>
              <w:left w:w="90" w:type="dxa"/>
              <w:right w:w="90" w:type="dxa"/>
            </w:tcMar>
            <w:shd w:val="clear" w:color="auto" w:fill="E5F5FF"/>
          </w:tcPr>
          <w:p>
            <w:pPr>
              <w:pStyle w:val="BDOITable"/>
            </w:pPr>
            <w:r>
              <w:rPr>
                <w:sz w:val="14"/>
              </w:rPr>
              <w:t>BRD-5 and BRD-9 windows withdrawn</w:t>
            </w:r>
          </w:p>
        </w:tc>
      </w:tr>
      <w:tr>
        <w:trPr>
          <w:cantSplit w:val="true"/>
        </w:trPr>
        <w:tc>
          <w:tcPr>
            <w:tcW w:type="dxa" w:w="1135"/>
            <w:tcMar>
              <w:top w:w="50" w:type="dxa"/>
              <w:bottom w:w="50" w:type="dxa"/>
              <w:left w:w="90" w:type="dxa"/>
              <w:right w:w="90" w:type="dxa"/>
            </w:tcMar>
          </w:tcPr>
          <w:p>
            <w:pPr>
              <w:pStyle w:val="BDOITable"/>
            </w:pPr>
            <w:r>
              <w:rPr>
                <w:b/>
                <w:sz w:val="14"/>
              </w:rPr>
              <w:t>RPO</w:t>
            </w:r>
          </w:p>
        </w:tc>
        <w:tc>
          <w:tcPr>
            <w:tcW w:type="dxa" w:w="2389"/>
            <w:tcMar>
              <w:top w:w="50" w:type="dxa"/>
              <w:bottom w:w="50" w:type="dxa"/>
              <w:left w:w="90" w:type="dxa"/>
              <w:right w:w="90" w:type="dxa"/>
            </w:tcMar>
          </w:tcPr>
          <w:p>
            <w:pPr>
              <w:pStyle w:val="BDOITable"/>
            </w:pPr>
            <w:r>
              <w:rPr>
                <w:sz w:val="14"/>
              </w:rPr>
              <w:t>24 h (BRD-2, 3, 8); 4 h (BRD-4, 7, 9); backup every 15 min (BRD-9)</w:t>
            </w:r>
          </w:p>
        </w:tc>
        <w:tc>
          <w:tcPr>
            <w:tcW w:type="dxa" w:w="1791"/>
            <w:tcMar>
              <w:top w:w="50" w:type="dxa"/>
              <w:bottom w:w="50" w:type="dxa"/>
              <w:left w:w="90" w:type="dxa"/>
              <w:right w:w="90" w:type="dxa"/>
            </w:tcMar>
          </w:tcPr>
          <w:p>
            <w:pPr>
              <w:pStyle w:val="BDOITable"/>
            </w:pPr>
            <w:r>
              <w:rPr>
                <w:sz w:val="14"/>
              </w:rPr>
              <w:t>Quoted from the BRDs</w:t>
            </w:r>
          </w:p>
        </w:tc>
        <w:tc>
          <w:tcPr>
            <w:tcW w:type="dxa" w:w="1553"/>
            <w:tcMar>
              <w:top w:w="50" w:type="dxa"/>
              <w:bottom w:w="50" w:type="dxa"/>
              <w:left w:w="90" w:type="dxa"/>
              <w:right w:w="90" w:type="dxa"/>
            </w:tcMar>
          </w:tcPr>
          <w:p>
            <w:pPr>
              <w:pStyle w:val="BDOITable"/>
            </w:pPr>
            <w:r>
              <w:rPr>
                <w:sz w:val="14"/>
              </w:rPr>
              <w:t>15 minutes</w:t>
            </w:r>
          </w:p>
        </w:tc>
        <w:tc>
          <w:tcPr>
            <w:tcW w:type="dxa" w:w="1553"/>
            <w:tcMar>
              <w:top w:w="50" w:type="dxa"/>
              <w:bottom w:w="50" w:type="dxa"/>
              <w:left w:w="90" w:type="dxa"/>
              <w:right w:w="90" w:type="dxa"/>
            </w:tcMar>
          </w:tcPr>
          <w:p>
            <w:pPr>
              <w:pStyle w:val="BDOITable"/>
            </w:pPr>
            <w:r>
              <w:rPr>
                <w:sz w:val="14"/>
              </w:rPr>
              <w:t>NFR-REC-01: 15 minutes</w:t>
            </w:r>
          </w:p>
        </w:tc>
        <w:tc>
          <w:tcPr>
            <w:tcW w:type="dxa" w:w="1553"/>
            <w:tcMar>
              <w:top w:w="50" w:type="dxa"/>
              <w:bottom w:w="50" w:type="dxa"/>
              <w:left w:w="90" w:type="dxa"/>
              <w:right w:w="90" w:type="dxa"/>
            </w:tcMar>
          </w:tcPr>
          <w:p>
            <w:pPr>
              <w:pStyle w:val="BDOITable"/>
            </w:pPr>
            <w:r>
              <w:rPr>
                <w:sz w:val="14"/>
              </w:rPr>
              <w:t>IER value governs; stricter than every BRD</w:t>
            </w:r>
          </w:p>
        </w:tc>
      </w:tr>
      <w:tr>
        <w:trPr>
          <w:cantSplit w:val="true"/>
        </w:trPr>
        <w:tc>
          <w:tcPr>
            <w:tcW w:type="dxa" w:w="1135"/>
            <w:tcMar>
              <w:top w:w="50" w:type="dxa"/>
              <w:bottom w:w="50" w:type="dxa"/>
              <w:left w:w="90" w:type="dxa"/>
              <w:right w:w="90" w:type="dxa"/>
            </w:tcMar>
            <w:shd w:val="clear" w:color="auto" w:fill="E5F5FF"/>
          </w:tcPr>
          <w:p>
            <w:pPr>
              <w:pStyle w:val="BDOITable"/>
            </w:pPr>
            <w:r>
              <w:rPr>
                <w:b/>
                <w:sz w:val="14"/>
              </w:rPr>
              <w:t>RTO</w:t>
            </w:r>
          </w:p>
        </w:tc>
        <w:tc>
          <w:tcPr>
            <w:tcW w:type="dxa" w:w="2389"/>
            <w:tcMar>
              <w:top w:w="50" w:type="dxa"/>
              <w:bottom w:w="50" w:type="dxa"/>
              <w:left w:w="90" w:type="dxa"/>
              <w:right w:w="90" w:type="dxa"/>
            </w:tcMar>
            <w:shd w:val="clear" w:color="auto" w:fill="E5F5FF"/>
          </w:tcPr>
          <w:p>
            <w:pPr>
              <w:pStyle w:val="BDOITable"/>
            </w:pPr>
            <w:r>
              <w:rPr>
                <w:sz w:val="14"/>
              </w:rPr>
              <w:t>4 h (BRD-2, 3, 4, 7, 8, 9); critical 4 h, full 24 h (BRD-12)</w:t>
            </w:r>
          </w:p>
        </w:tc>
        <w:tc>
          <w:tcPr>
            <w:tcW w:type="dxa" w:w="1791"/>
            <w:tcMar>
              <w:top w:w="50" w:type="dxa"/>
              <w:bottom w:w="50" w:type="dxa"/>
              <w:left w:w="90" w:type="dxa"/>
              <w:right w:w="90" w:type="dxa"/>
            </w:tcMar>
            <w:shd w:val="clear" w:color="auto" w:fill="E5F5FF"/>
          </w:tcPr>
          <w:p>
            <w:pPr>
              <w:pStyle w:val="BDOITable"/>
            </w:pPr>
            <w:r>
              <w:rPr>
                <w:sz w:val="14"/>
              </w:rPr>
              <w:t>4 h</w:t>
            </w:r>
          </w:p>
        </w:tc>
        <w:tc>
          <w:tcPr>
            <w:tcW w:type="dxa" w:w="1553"/>
            <w:tcMar>
              <w:top w:w="50" w:type="dxa"/>
              <w:bottom w:w="50" w:type="dxa"/>
              <w:left w:w="90" w:type="dxa"/>
              <w:right w:w="90" w:type="dxa"/>
            </w:tcMar>
            <w:shd w:val="clear" w:color="auto" w:fill="E5F5FF"/>
          </w:tcPr>
          <w:p>
            <w:pPr>
              <w:pStyle w:val="BDOITable"/>
            </w:pPr>
            <w:r>
              <w:rPr>
                <w:sz w:val="14"/>
              </w:rPr>
              <w:t>4 hours</w:t>
            </w:r>
          </w:p>
        </w:tc>
        <w:tc>
          <w:tcPr>
            <w:tcW w:type="dxa" w:w="1553"/>
            <w:tcMar>
              <w:top w:w="50" w:type="dxa"/>
              <w:bottom w:w="50" w:type="dxa"/>
              <w:left w:w="90" w:type="dxa"/>
              <w:right w:w="90" w:type="dxa"/>
            </w:tcMar>
            <w:shd w:val="clear" w:color="auto" w:fill="E5F5FF"/>
          </w:tcPr>
          <w:p>
            <w:pPr>
              <w:pStyle w:val="BDOITable"/>
            </w:pPr>
            <w:r>
              <w:rPr>
                <w:sz w:val="14"/>
              </w:rPr>
              <w:t>NFR-REC-02: 4 hours</w:t>
            </w:r>
          </w:p>
        </w:tc>
        <w:tc>
          <w:tcPr>
            <w:tcW w:type="dxa" w:w="1553"/>
            <w:tcMar>
              <w:top w:w="50" w:type="dxa"/>
              <w:bottom w:w="50" w:type="dxa"/>
              <w:left w:w="90" w:type="dxa"/>
              <w:right w:w="90" w:type="dxa"/>
            </w:tcMar>
            <w:shd w:val="clear" w:color="auto" w:fill="E5F5FF"/>
          </w:tcPr>
          <w:p>
            <w:pPr>
              <w:pStyle w:val="BDOITable"/>
            </w:pPr>
            <w:r>
              <w:rPr>
                <w:sz w:val="14"/>
              </w:rPr>
              <w:t>None</w:t>
            </w:r>
          </w:p>
        </w:tc>
      </w:tr>
      <w:tr>
        <w:trPr>
          <w:cantSplit w:val="true"/>
        </w:trPr>
        <w:tc>
          <w:tcPr>
            <w:tcW w:type="dxa" w:w="1135"/>
            <w:tcMar>
              <w:top w:w="50" w:type="dxa"/>
              <w:bottom w:w="50" w:type="dxa"/>
              <w:left w:w="90" w:type="dxa"/>
              <w:right w:w="90" w:type="dxa"/>
            </w:tcMar>
          </w:tcPr>
          <w:p>
            <w:pPr>
              <w:pStyle w:val="BDOITable"/>
            </w:pPr>
            <w:r>
              <w:rPr>
                <w:b/>
                <w:sz w:val="14"/>
              </w:rPr>
              <w:t>Backup</w:t>
            </w:r>
          </w:p>
        </w:tc>
        <w:tc>
          <w:tcPr>
            <w:tcW w:type="dxa" w:w="2389"/>
            <w:tcMar>
              <w:top w:w="50" w:type="dxa"/>
              <w:bottom w:w="50" w:type="dxa"/>
              <w:left w:w="90" w:type="dxa"/>
              <w:right w:w="90" w:type="dxa"/>
            </w:tcMar>
          </w:tcPr>
          <w:p>
            <w:pPr>
              <w:pStyle w:val="BDOITable"/>
            </w:pPr>
            <w:r>
              <w:rPr>
                <w:sz w:val="14"/>
              </w:rPr>
              <w:t>Every 4 h, kept 5 years (BRD-00, 1, 4, 7); kept 7 years (BRD-2, 8); daily (BRD-5, 10, 12)</w:t>
            </w:r>
          </w:p>
        </w:tc>
        <w:tc>
          <w:tcPr>
            <w:tcW w:type="dxa" w:w="1791"/>
            <w:tcMar>
              <w:top w:w="50" w:type="dxa"/>
              <w:bottom w:w="50" w:type="dxa"/>
              <w:left w:w="90" w:type="dxa"/>
              <w:right w:w="90" w:type="dxa"/>
            </w:tcMar>
          </w:tcPr>
          <w:p>
            <w:pPr>
              <w:pStyle w:val="BDOITable"/>
            </w:pPr>
            <w:r>
              <w:rPr>
                <w:sz w:val="14"/>
              </w:rPr>
              <w:t>Platform backup; 7 years (FRS BRD-02, 08)</w:t>
            </w:r>
          </w:p>
        </w:tc>
        <w:tc>
          <w:tcPr>
            <w:tcW w:type="dxa" w:w="1553"/>
            <w:tcMar>
              <w:top w:w="50" w:type="dxa"/>
              <w:bottom w:w="50" w:type="dxa"/>
              <w:left w:w="90" w:type="dxa"/>
              <w:right w:w="90" w:type="dxa"/>
            </w:tcMar>
          </w:tcPr>
          <w:p>
            <w:pPr>
              <w:pStyle w:val="BDOITable"/>
            </w:pPr>
            <w:r>
              <w:rPr>
                <w:sz w:val="14"/>
              </w:rPr>
              <w:t>Automated backups; DR replica</w:t>
            </w:r>
          </w:p>
        </w:tc>
        <w:tc>
          <w:tcPr>
            <w:tcW w:type="dxa" w:w="1553"/>
            <w:tcMar>
              <w:top w:w="50" w:type="dxa"/>
              <w:bottom w:w="50" w:type="dxa"/>
              <w:left w:w="90" w:type="dxa"/>
              <w:right w:w="90" w:type="dxa"/>
            </w:tcMar>
          </w:tcPr>
          <w:p>
            <w:pPr>
              <w:pStyle w:val="BDOITable"/>
            </w:pPr>
            <w:r>
              <w:rPr>
                <w:sz w:val="14"/>
              </w:rPr>
              <w:t>NFR-REC-03: continuous log archiving, base every 4 h, kept 7 years</w:t>
            </w:r>
          </w:p>
        </w:tc>
        <w:tc>
          <w:tcPr>
            <w:tcW w:type="dxa" w:w="1553"/>
            <w:tcMar>
              <w:top w:w="50" w:type="dxa"/>
              <w:bottom w:w="50" w:type="dxa"/>
              <w:left w:w="90" w:type="dxa"/>
              <w:right w:w="90" w:type="dxa"/>
            </w:tcMar>
          </w:tcPr>
          <w:p>
            <w:pPr>
              <w:pStyle w:val="BDOITable"/>
            </w:pPr>
            <w:r>
              <w:rPr>
                <w:sz w:val="14"/>
              </w:rPr>
              <w:t>Longest retention taken</w:t>
            </w:r>
          </w:p>
        </w:tc>
      </w:tr>
      <w:tr>
        <w:trPr>
          <w:cantSplit w:val="true"/>
        </w:trPr>
        <w:tc>
          <w:tcPr>
            <w:tcW w:type="dxa" w:w="1135"/>
            <w:tcMar>
              <w:top w:w="50" w:type="dxa"/>
              <w:bottom w:w="50" w:type="dxa"/>
              <w:left w:w="90" w:type="dxa"/>
              <w:right w:w="90" w:type="dxa"/>
            </w:tcMar>
            <w:shd w:val="clear" w:color="auto" w:fill="E5F5FF"/>
          </w:tcPr>
          <w:p>
            <w:pPr>
              <w:pStyle w:val="BDOITable"/>
            </w:pPr>
            <w:r>
              <w:rPr>
                <w:b/>
                <w:sz w:val="14"/>
              </w:rPr>
              <w:t>Retention</w:t>
            </w:r>
          </w:p>
        </w:tc>
        <w:tc>
          <w:tcPr>
            <w:tcW w:type="dxa" w:w="2389"/>
            <w:tcMar>
              <w:top w:w="50" w:type="dxa"/>
              <w:bottom w:w="50" w:type="dxa"/>
              <w:left w:w="90" w:type="dxa"/>
              <w:right w:w="90" w:type="dxa"/>
            </w:tcMar>
            <w:shd w:val="clear" w:color="auto" w:fill="E5F5FF"/>
          </w:tcPr>
          <w:p>
            <w:pPr>
              <w:pStyle w:val="BDOITable"/>
            </w:pPr>
            <w:r>
              <w:rPr>
                <w:sz w:val="14"/>
              </w:rPr>
              <w:t>5 / 15 years (BRD-00, 1, 2, 4, 8, 9); 10 / 15, audit 16 (BRD-7); 5 / 5 (BRD-5, 10, 12)</w:t>
            </w:r>
          </w:p>
        </w:tc>
        <w:tc>
          <w:tcPr>
            <w:tcW w:type="dxa" w:w="1791"/>
            <w:tcMar>
              <w:top w:w="50" w:type="dxa"/>
              <w:bottom w:w="50" w:type="dxa"/>
              <w:left w:w="90" w:type="dxa"/>
              <w:right w:w="90" w:type="dxa"/>
            </w:tcMar>
            <w:shd w:val="clear" w:color="auto" w:fill="E5F5FF"/>
          </w:tcPr>
          <w:p>
            <w:pPr>
              <w:pStyle w:val="BDOITable"/>
            </w:pPr>
            <w:r>
              <w:rPr>
                <w:sz w:val="14"/>
              </w:rPr>
              <w:t>Rules per record type; values wait for CRQ22 and Q39</w:t>
            </w:r>
          </w:p>
        </w:tc>
        <w:tc>
          <w:tcPr>
            <w:tcW w:type="dxa" w:w="1553"/>
            <w:tcMar>
              <w:top w:w="50" w:type="dxa"/>
              <w:bottom w:w="50" w:type="dxa"/>
              <w:left w:w="90" w:type="dxa"/>
              <w:right w:w="90" w:type="dxa"/>
            </w:tcMar>
            <w:shd w:val="clear" w:color="auto" w:fill="E5F5FF"/>
          </w:tcPr>
          <w:p>
            <w:pPr>
              <w:pStyle w:val="BDOITable"/>
            </w:pPr>
            <w:r>
              <w:rPr>
                <w:sz w:val="14"/>
              </w:rPr>
              <w:t>S3 lifecycle to IA and Glacier</w:t>
            </w:r>
          </w:p>
        </w:tc>
        <w:tc>
          <w:tcPr>
            <w:tcW w:type="dxa" w:w="1553"/>
            <w:tcMar>
              <w:top w:w="50" w:type="dxa"/>
              <w:bottom w:w="50" w:type="dxa"/>
              <w:left w:w="90" w:type="dxa"/>
              <w:right w:w="90" w:type="dxa"/>
            </w:tcMar>
            <w:shd w:val="clear" w:color="auto" w:fill="E5F5FF"/>
          </w:tcPr>
          <w:p>
            <w:pPr>
              <w:pStyle w:val="BDOITable"/>
            </w:pPr>
            <w:r>
              <w:rPr>
                <w:sz w:val="14"/>
              </w:rPr>
              <w:t>NFR-RET-01, NFR-RET-03</w:t>
            </w:r>
          </w:p>
        </w:tc>
        <w:tc>
          <w:tcPr>
            <w:tcW w:type="dxa" w:w="1553"/>
            <w:tcMar>
              <w:top w:w="50" w:type="dxa"/>
              <w:bottom w:w="50" w:type="dxa"/>
              <w:left w:w="90" w:type="dxa"/>
              <w:right w:w="90" w:type="dxa"/>
            </w:tcMar>
            <w:shd w:val="clear" w:color="auto" w:fill="E5F5FF"/>
          </w:tcPr>
          <w:p>
            <w:pPr>
              <w:pStyle w:val="BDOITable"/>
            </w:pPr>
            <w:r>
              <w:rPr>
                <w:sz w:val="14"/>
              </w:rPr>
              <w:t>Per record type; BDOI confirms values</w:t>
            </w:r>
          </w:p>
        </w:tc>
      </w:tr>
      <w:tr>
        <w:trPr>
          <w:cantSplit w:val="true"/>
        </w:trPr>
        <w:tc>
          <w:tcPr>
            <w:tcW w:type="dxa" w:w="1135"/>
            <w:tcMar>
              <w:top w:w="50" w:type="dxa"/>
              <w:bottom w:w="50" w:type="dxa"/>
              <w:left w:w="90" w:type="dxa"/>
              <w:right w:w="90" w:type="dxa"/>
            </w:tcMar>
          </w:tcPr>
          <w:p>
            <w:pPr>
              <w:pStyle w:val="BDOITable"/>
            </w:pPr>
            <w:r>
              <w:rPr>
                <w:b/>
                <w:sz w:val="14"/>
              </w:rPr>
              <w:t>Session and lock-out</w:t>
            </w:r>
          </w:p>
        </w:tc>
        <w:tc>
          <w:tcPr>
            <w:tcW w:type="dxa" w:w="2389"/>
            <w:tcMar>
              <w:top w:w="50" w:type="dxa"/>
              <w:bottom w:w="50" w:type="dxa"/>
              <w:left w:w="90" w:type="dxa"/>
              <w:right w:w="90" w:type="dxa"/>
            </w:tcMar>
          </w:tcPr>
          <w:p>
            <w:pPr>
              <w:pStyle w:val="BDOITable"/>
            </w:pPr>
            <w:r>
              <w:rPr>
                <w:sz w:val="14"/>
              </w:rPr>
              <w:t>Warning 15, log-out 30 min (BRD-1, 6, 11); 15 min (BRD-4, 7); lock-out 3 attempts (BRD-4, 7, 11)</w:t>
            </w:r>
          </w:p>
        </w:tc>
        <w:tc>
          <w:tcPr>
            <w:tcW w:type="dxa" w:w="1791"/>
            <w:tcMar>
              <w:top w:w="50" w:type="dxa"/>
              <w:bottom w:w="50" w:type="dxa"/>
              <w:left w:w="90" w:type="dxa"/>
              <w:right w:w="90" w:type="dxa"/>
            </w:tcMar>
          </w:tcPr>
          <w:p>
            <w:pPr>
              <w:pStyle w:val="BDOITable"/>
            </w:pPr>
            <w:r>
              <w:rPr>
                <w:sz w:val="14"/>
              </w:rPr>
              <w:t>FRS BRD-11: 15 / 30 minutes, 3 attempts</w:t>
            </w:r>
          </w:p>
        </w:tc>
        <w:tc>
          <w:tcPr>
            <w:tcW w:type="dxa" w:w="1553"/>
            <w:tcMar>
              <w:top w:w="50" w:type="dxa"/>
              <w:bottom w:w="50" w:type="dxa"/>
              <w:left w:w="90" w:type="dxa"/>
              <w:right w:w="90" w:type="dxa"/>
            </w:tcMar>
          </w:tcPr>
          <w:p>
            <w:pPr>
              <w:pStyle w:val="BDOITable"/>
            </w:pPr>
            <w:r>
              <w:rPr>
                <w:sz w:val="14"/>
              </w:rPr>
              <w:t>Not stated</w:t>
            </w:r>
          </w:p>
        </w:tc>
        <w:tc>
          <w:tcPr>
            <w:tcW w:type="dxa" w:w="1553"/>
            <w:tcMar>
              <w:top w:w="50" w:type="dxa"/>
              <w:bottom w:w="50" w:type="dxa"/>
              <w:left w:w="90" w:type="dxa"/>
              <w:right w:w="90" w:type="dxa"/>
            </w:tcMar>
          </w:tcPr>
          <w:p>
            <w:pPr>
              <w:pStyle w:val="BDOITable"/>
            </w:pPr>
            <w:r>
              <w:rPr>
                <w:sz w:val="14"/>
              </w:rPr>
              <w:t>NFR-SEC-05</w:t>
            </w:r>
          </w:p>
        </w:tc>
        <w:tc>
          <w:tcPr>
            <w:tcW w:type="dxa" w:w="1553"/>
            <w:tcMar>
              <w:top w:w="50" w:type="dxa"/>
              <w:bottom w:w="50" w:type="dxa"/>
              <w:left w:w="90" w:type="dxa"/>
              <w:right w:w="90" w:type="dxa"/>
            </w:tcMar>
          </w:tcPr>
          <w:p>
            <w:pPr>
              <w:pStyle w:val="BDOITable"/>
            </w:pPr>
            <w:r>
              <w:rPr>
                <w:sz w:val="14"/>
              </w:rPr>
              <w:t>BRD-4 and BRD-7 15-minute log-out replaced by 30 minutes</w:t>
            </w:r>
          </w:p>
        </w:tc>
      </w:tr>
      <w:tr>
        <w:trPr>
          <w:cantSplit w:val="true"/>
        </w:trPr>
        <w:tc>
          <w:tcPr>
            <w:tcW w:type="dxa" w:w="1135"/>
            <w:tcMar>
              <w:top w:w="50" w:type="dxa"/>
              <w:bottom w:w="50" w:type="dxa"/>
              <w:left w:w="90" w:type="dxa"/>
              <w:right w:w="90" w:type="dxa"/>
            </w:tcMar>
            <w:shd w:val="clear" w:color="auto" w:fill="E5F5FF"/>
          </w:tcPr>
          <w:p>
            <w:pPr>
              <w:pStyle w:val="BDOITable"/>
            </w:pPr>
            <w:r>
              <w:rPr>
                <w:b/>
                <w:sz w:val="14"/>
              </w:rPr>
              <w:t>Sign-in</w:t>
            </w:r>
          </w:p>
        </w:tc>
        <w:tc>
          <w:tcPr>
            <w:tcW w:type="dxa" w:w="2389"/>
            <w:tcMar>
              <w:top w:w="50" w:type="dxa"/>
              <w:bottom w:w="50" w:type="dxa"/>
              <w:left w:w="90" w:type="dxa"/>
              <w:right w:w="90" w:type="dxa"/>
            </w:tcMar>
            <w:shd w:val="clear" w:color="auto" w:fill="E5F5FF"/>
          </w:tcPr>
          <w:p>
            <w:pPr>
              <w:pStyle w:val="BDOITable"/>
            </w:pPr>
            <w:r>
              <w:rPr>
                <w:sz w:val="14"/>
              </w:rPr>
              <w:t>Windows credentials, EUA, SSO or LDAP (BRD-4, 7, 11)</w:t>
            </w:r>
          </w:p>
        </w:tc>
        <w:tc>
          <w:tcPr>
            <w:tcW w:type="dxa" w:w="1791"/>
            <w:tcMar>
              <w:top w:w="50" w:type="dxa"/>
              <w:bottom w:w="50" w:type="dxa"/>
              <w:left w:w="90" w:type="dxa"/>
              <w:right w:w="90" w:type="dxa"/>
            </w:tcMar>
            <w:shd w:val="clear" w:color="auto" w:fill="E5F5FF"/>
          </w:tcPr>
          <w:p>
            <w:pPr>
              <w:pStyle w:val="BDOITable"/>
            </w:pPr>
            <w:r>
              <w:rPr>
                <w:sz w:val="14"/>
              </w:rPr>
              <w:t>Directory sign-in through EUA (FRS BRD-11, Q42)</w:t>
            </w:r>
          </w:p>
        </w:tc>
        <w:tc>
          <w:tcPr>
            <w:tcW w:type="dxa" w:w="1553"/>
            <w:tcMar>
              <w:top w:w="50" w:type="dxa"/>
              <w:bottom w:w="50" w:type="dxa"/>
              <w:left w:w="90" w:type="dxa"/>
              <w:right w:w="90" w:type="dxa"/>
            </w:tcMar>
            <w:shd w:val="clear" w:color="auto" w:fill="E5F5FF"/>
          </w:tcPr>
          <w:p>
            <w:pPr>
              <w:pStyle w:val="BDOITable"/>
            </w:pPr>
            <w:r>
              <w:rPr>
                <w:sz w:val="14"/>
              </w:rPr>
              <w:t>Not stated</w:t>
            </w:r>
          </w:p>
        </w:tc>
        <w:tc>
          <w:tcPr>
            <w:tcW w:type="dxa" w:w="1553"/>
            <w:tcMar>
              <w:top w:w="50" w:type="dxa"/>
              <w:bottom w:w="50" w:type="dxa"/>
              <w:left w:w="90" w:type="dxa"/>
              <w:right w:w="90" w:type="dxa"/>
            </w:tcMar>
            <w:shd w:val="clear" w:color="auto" w:fill="E5F5FF"/>
          </w:tcPr>
          <w:p>
            <w:pPr>
              <w:pStyle w:val="BDOITable"/>
            </w:pPr>
            <w:r>
              <w:rPr>
                <w:sz w:val="14"/>
              </w:rPr>
              <w:t>NFR-SEC-01: EIAM single sign-on, OIDC or SAML 2.0</w:t>
            </w:r>
          </w:p>
        </w:tc>
        <w:tc>
          <w:tcPr>
            <w:tcW w:type="dxa" w:w="1553"/>
            <w:tcMar>
              <w:top w:w="50" w:type="dxa"/>
              <w:bottom w:w="50" w:type="dxa"/>
              <w:left w:w="90" w:type="dxa"/>
              <w:right w:w="90" w:type="dxa"/>
            </w:tcMar>
            <w:shd w:val="clear" w:color="auto" w:fill="E5F5FF"/>
          </w:tcPr>
          <w:p>
            <w:pPr>
              <w:pStyle w:val="BDOITable"/>
            </w:pPr>
            <w:r>
              <w:rPr>
                <w:sz w:val="14"/>
              </w:rPr>
              <w:t>EIAM replaces EUA; FRS BRD-11 updated at next issue</w:t>
            </w:r>
          </w:p>
        </w:tc>
      </w:tr>
      <w:tr>
        <w:trPr>
          <w:cantSplit w:val="true"/>
        </w:trPr>
        <w:tc>
          <w:tcPr>
            <w:tcW w:type="dxa" w:w="1135"/>
            <w:tcMar>
              <w:top w:w="50" w:type="dxa"/>
              <w:bottom w:w="50" w:type="dxa"/>
              <w:left w:w="90" w:type="dxa"/>
              <w:right w:w="90" w:type="dxa"/>
            </w:tcMar>
          </w:tcPr>
          <w:p>
            <w:pPr>
              <w:pStyle w:val="BDOITable"/>
            </w:pPr>
            <w:r>
              <w:rPr>
                <w:b/>
                <w:sz w:val="14"/>
              </w:rPr>
              <w:t>Platform components</w:t>
            </w:r>
          </w:p>
        </w:tc>
        <w:tc>
          <w:tcPr>
            <w:tcW w:type="dxa" w:w="2389"/>
            <w:tcMar>
              <w:top w:w="50" w:type="dxa"/>
              <w:bottom w:w="50" w:type="dxa"/>
              <w:left w:w="90" w:type="dxa"/>
              <w:right w:w="90" w:type="dxa"/>
            </w:tcMar>
          </w:tcPr>
          <w:p>
            <w:pPr>
              <w:pStyle w:val="BDOITable"/>
            </w:pPr>
            <w:r>
              <w:rPr>
                <w:sz w:val="14"/>
              </w:rPr>
              <w:t>Not stated</w:t>
            </w:r>
          </w:p>
        </w:tc>
        <w:tc>
          <w:tcPr>
            <w:tcW w:type="dxa" w:w="1791"/>
            <w:tcMar>
              <w:top w:w="50" w:type="dxa"/>
              <w:bottom w:w="50" w:type="dxa"/>
              <w:left w:w="90" w:type="dxa"/>
              <w:right w:w="90" w:type="dxa"/>
            </w:tcMar>
          </w:tcPr>
          <w:p>
            <w:pPr>
              <w:pStyle w:val="BDOITable"/>
            </w:pPr>
            <w:r>
              <w:rPr>
                <w:sz w:val="14"/>
              </w:rPr>
              <w:t>Not stated</w:t>
            </w:r>
          </w:p>
        </w:tc>
        <w:tc>
          <w:tcPr>
            <w:tcW w:type="dxa" w:w="1553"/>
            <w:tcMar>
              <w:top w:w="50" w:type="dxa"/>
              <w:bottom w:w="50" w:type="dxa"/>
              <w:left w:w="90" w:type="dxa"/>
              <w:right w:w="90" w:type="dxa"/>
            </w:tcMar>
          </w:tcPr>
          <w:p>
            <w:pPr>
              <w:pStyle w:val="BDOITable"/>
            </w:pPr>
            <w:r>
              <w:rPr>
                <w:sz w:val="14"/>
              </w:rPr>
              <w:t>Redis 7, Kafka 3.6, ingress-nginx, JDK 17 and Node 20 on the VDI list</w:t>
            </w:r>
          </w:p>
        </w:tc>
        <w:tc>
          <w:tcPr>
            <w:tcW w:type="dxa" w:w="1553"/>
            <w:tcMar>
              <w:top w:w="50" w:type="dxa"/>
              <w:bottom w:w="50" w:type="dxa"/>
              <w:left w:w="90" w:type="dxa"/>
              <w:right w:w="90" w:type="dxa"/>
            </w:tcMar>
          </w:tcPr>
          <w:p>
            <w:pPr>
              <w:pStyle w:val="BDOITable"/>
            </w:pPr>
            <w:r>
              <w:rPr>
                <w:sz w:val="14"/>
              </w:rPr>
              <w:t>NFR-MNT-04: Valkey 8, Kafka 3.9, OpenJDK 21, Node 22, Gateway API</w:t>
            </w:r>
          </w:p>
        </w:tc>
        <w:tc>
          <w:tcPr>
            <w:tcW w:type="dxa" w:w="1553"/>
            <w:tcMar>
              <w:top w:w="50" w:type="dxa"/>
              <w:bottom w:w="50" w:type="dxa"/>
              <w:left w:w="90" w:type="dxa"/>
              <w:right w:w="90" w:type="dxa"/>
            </w:tcMar>
          </w:tcPr>
          <w:p>
            <w:pPr>
              <w:pStyle w:val="BDOITable"/>
            </w:pPr>
            <w:r>
              <w:rPr>
                <w:sz w:val="14"/>
              </w:rPr>
              <w:t>IER rows updated to the baseline of 8-Oct-2026</w:t>
            </w:r>
          </w:p>
        </w:tc>
      </w:tr>
      <w:tr>
        <w:trPr>
          <w:cantSplit w:val="true"/>
        </w:trPr>
        <w:tc>
          <w:tcPr>
            <w:tcW w:type="dxa" w:w="1135"/>
            <w:tcMar>
              <w:top w:w="50" w:type="dxa"/>
              <w:bottom w:w="50" w:type="dxa"/>
              <w:left w:w="90" w:type="dxa"/>
              <w:right w:w="90" w:type="dxa"/>
            </w:tcMar>
            <w:shd w:val="clear" w:color="auto" w:fill="E5F5FF"/>
          </w:tcPr>
          <w:p>
            <w:pPr>
              <w:pStyle w:val="BDOITable"/>
            </w:pPr>
            <w:r>
              <w:rPr>
                <w:b/>
                <w:sz w:val="14"/>
              </w:rPr>
              <w:t>DR region</w:t>
            </w:r>
          </w:p>
        </w:tc>
        <w:tc>
          <w:tcPr>
            <w:tcW w:type="dxa" w:w="2389"/>
            <w:tcMar>
              <w:top w:w="50" w:type="dxa"/>
              <w:bottom w:w="50" w:type="dxa"/>
              <w:left w:w="90" w:type="dxa"/>
              <w:right w:w="90" w:type="dxa"/>
            </w:tcMar>
            <w:shd w:val="clear" w:color="auto" w:fill="E5F5FF"/>
          </w:tcPr>
          <w:p>
            <w:pPr>
              <w:pStyle w:val="BDOITable"/>
            </w:pPr>
            <w:r>
              <w:rPr>
                <w:sz w:val="14"/>
              </w:rPr>
              <w:t>DR server (BRD-4, 7)</w:t>
            </w:r>
          </w:p>
        </w:tc>
        <w:tc>
          <w:tcPr>
            <w:tcW w:type="dxa" w:w="1791"/>
            <w:tcMar>
              <w:top w:w="50" w:type="dxa"/>
              <w:bottom w:w="50" w:type="dxa"/>
              <w:left w:w="90" w:type="dxa"/>
              <w:right w:w="90" w:type="dxa"/>
            </w:tcMar>
            <w:shd w:val="clear" w:color="auto" w:fill="E5F5FF"/>
          </w:tcPr>
          <w:p>
            <w:pPr>
              <w:pStyle w:val="BDOITable"/>
            </w:pPr>
            <w:r>
              <w:rPr>
                <w:sz w:val="14"/>
              </w:rPr>
              <w:t>Platform HA and DR</w:t>
            </w:r>
          </w:p>
        </w:tc>
        <w:tc>
          <w:tcPr>
            <w:tcW w:type="dxa" w:w="1553"/>
            <w:tcMar>
              <w:top w:w="50" w:type="dxa"/>
              <w:bottom w:w="50" w:type="dxa"/>
              <w:left w:w="90" w:type="dxa"/>
              <w:right w:w="90" w:type="dxa"/>
            </w:tcMar>
            <w:shd w:val="clear" w:color="auto" w:fill="E5F5FF"/>
          </w:tcPr>
          <w:p>
            <w:pPr>
              <w:pStyle w:val="BDOITable"/>
            </w:pPr>
            <w:r>
              <w:rPr>
                <w:sz w:val="14"/>
              </w:rPr>
              <w:t>Cross-region read replica; diagram shows ap-southeast-1 warm standby</w:t>
            </w:r>
          </w:p>
        </w:tc>
        <w:tc>
          <w:tcPr>
            <w:tcW w:type="dxa" w:w="1553"/>
            <w:tcMar>
              <w:top w:w="50" w:type="dxa"/>
              <w:bottom w:w="50" w:type="dxa"/>
              <w:left w:w="90" w:type="dxa"/>
              <w:right w:w="90" w:type="dxa"/>
            </w:tcMar>
            <w:shd w:val="clear" w:color="auto" w:fill="E5F5FF"/>
          </w:tcPr>
          <w:p>
            <w:pPr>
              <w:pStyle w:val="BDOITable"/>
            </w:pPr>
            <w:r>
              <w:rPr>
                <w:sz w:val="14"/>
              </w:rPr>
              <w:t>NFR-REC-05</w:t>
            </w:r>
          </w:p>
        </w:tc>
        <w:tc>
          <w:tcPr>
            <w:tcW w:type="dxa" w:w="1553"/>
            <w:tcMar>
              <w:top w:w="50" w:type="dxa"/>
              <w:bottom w:w="50" w:type="dxa"/>
              <w:left w:w="90" w:type="dxa"/>
              <w:right w:w="90" w:type="dxa"/>
            </w:tcMar>
            <w:shd w:val="clear" w:color="auto" w:fill="E5F5FF"/>
          </w:tcPr>
          <w:p>
            <w:pPr>
              <w:pStyle w:val="BDOITable"/>
            </w:pPr>
            <w:r>
              <w:rPr>
                <w:sz w:val="14"/>
              </w:rPr>
              <w:t>BDOI IT names the region after the data-residency check</w:t>
            </w:r>
          </w:p>
        </w:tc>
      </w:tr>
      <w:tr>
        <w:trPr>
          <w:cantSplit w:val="true"/>
        </w:trPr>
        <w:tc>
          <w:tcPr>
            <w:tcW w:type="dxa" w:w="1135"/>
            <w:tcMar>
              <w:top w:w="50" w:type="dxa"/>
              <w:bottom w:w="50" w:type="dxa"/>
              <w:left w:w="90" w:type="dxa"/>
              <w:right w:w="90" w:type="dxa"/>
            </w:tcMar>
          </w:tcPr>
          <w:p>
            <w:pPr>
              <w:pStyle w:val="BDOITable"/>
            </w:pPr>
            <w:r>
              <w:rPr>
                <w:b/>
                <w:sz w:val="14"/>
              </w:rPr>
              <w:t>Accessibility</w:t>
            </w:r>
          </w:p>
        </w:tc>
        <w:tc>
          <w:tcPr>
            <w:tcW w:type="dxa" w:w="2389"/>
            <w:tcMar>
              <w:top w:w="50" w:type="dxa"/>
              <w:bottom w:w="50" w:type="dxa"/>
              <w:left w:w="90" w:type="dxa"/>
              <w:right w:w="90" w:type="dxa"/>
            </w:tcMar>
          </w:tcPr>
          <w:p>
            <w:pPr>
              <w:pStyle w:val="BDOITable"/>
            </w:pPr>
            <w:r>
              <w:rPr>
                <w:sz w:val="14"/>
              </w:rPr>
              <w:t>Options for impaired vision or colour blindness (BRD-11)</w:t>
            </w:r>
          </w:p>
        </w:tc>
        <w:tc>
          <w:tcPr>
            <w:tcW w:type="dxa" w:w="1791"/>
            <w:tcMar>
              <w:top w:w="50" w:type="dxa"/>
              <w:bottom w:w="50" w:type="dxa"/>
              <w:left w:w="90" w:type="dxa"/>
              <w:right w:w="90" w:type="dxa"/>
            </w:tcMar>
          </w:tcPr>
          <w:p>
            <w:pPr>
              <w:pStyle w:val="BDOITable"/>
            </w:pPr>
            <w:r>
              <w:rPr>
                <w:sz w:val="14"/>
              </w:rPr>
              <w:t>BDO UX contrast rules (FRS BRD-11)</w:t>
            </w:r>
          </w:p>
        </w:tc>
        <w:tc>
          <w:tcPr>
            <w:tcW w:type="dxa" w:w="1553"/>
            <w:tcMar>
              <w:top w:w="50" w:type="dxa"/>
              <w:bottom w:w="50" w:type="dxa"/>
              <w:left w:w="90" w:type="dxa"/>
              <w:right w:w="90" w:type="dxa"/>
            </w:tcMar>
          </w:tcPr>
          <w:p>
            <w:pPr>
              <w:pStyle w:val="BDOITable"/>
            </w:pPr>
            <w:r>
              <w:rPr>
                <w:sz w:val="14"/>
              </w:rPr>
              <w:t>Not stated</w:t>
            </w:r>
          </w:p>
        </w:tc>
        <w:tc>
          <w:tcPr>
            <w:tcW w:type="dxa" w:w="1553"/>
            <w:tcMar>
              <w:top w:w="50" w:type="dxa"/>
              <w:bottom w:w="50" w:type="dxa"/>
              <w:left w:w="90" w:type="dxa"/>
              <w:right w:w="90" w:type="dxa"/>
            </w:tcMar>
          </w:tcPr>
          <w:p>
            <w:pPr>
              <w:pStyle w:val="BDOITable"/>
            </w:pPr>
            <w:r>
              <w:rPr>
                <w:sz w:val="14"/>
              </w:rPr>
              <w:t>NFR-ACC-01 to 04: WCAG 2.2 AA</w:t>
            </w:r>
          </w:p>
        </w:tc>
        <w:tc>
          <w:tcPr>
            <w:tcW w:type="dxa" w:w="1553"/>
            <w:tcMar>
              <w:top w:w="50" w:type="dxa"/>
              <w:bottom w:w="50" w:type="dxa"/>
              <w:left w:w="90" w:type="dxa"/>
              <w:right w:w="90" w:type="dxa"/>
            </w:tcMar>
          </w:tcPr>
          <w:p>
            <w:pPr>
              <w:pStyle w:val="BDOITable"/>
            </w:pPr>
            <w:r>
              <w:rPr>
                <w:sz w:val="14"/>
              </w:rPr>
              <w:t>New level; screen standards appendix updated</w:t>
            </w:r>
          </w:p>
        </w:tc>
      </w:tr>
    </w:tbl>
    <w:p>
      <w:pPr>
        <w:pStyle w:val="BDOISpacer"/>
      </w:pPr>
    </w:p>
    <w:p>
      <w:r>
        <w:rPr/>
        <w:t>Changes requested in the IER workbook v20 as a result:</w:t>
      </w:r>
    </w:p>
    <w:p>
      <w:pPr>
        <w:tabs>
          <w:tab w:pos="312" w:val="left"/>
        </w:tabs>
        <w:spacing w:after="40"/>
        <w:ind w:left="312" w:hanging="283"/>
      </w:pPr>
      <w:r>
        <w:rPr>
          <w:color w:val="004EA8"/>
        </w:rPr>
        <w:t>•</w:t>
        <w:tab/>
      </w:r>
      <w:r>
        <w:rPr/>
        <w:t>Sizing basis: 20% growth a year (the BRD value) in place of 15%, and 429 concurrent sessions as the peak (NFR-CAP-01, NFR-CAP-03).</w:t>
      </w:r>
    </w:p>
    <w:p>
      <w:pPr>
        <w:tabs>
          <w:tab w:pos="312" w:val="left"/>
        </w:tabs>
        <w:spacing w:after="40"/>
        <w:ind w:left="312" w:hanging="283"/>
      </w:pPr>
      <w:r>
        <w:rPr>
          <w:color w:val="004EA8"/>
        </w:rPr>
        <w:t>•</w:t>
        <w:tab/>
      </w:r>
      <w:r>
        <w:rPr/>
        <w:t>Component rows: Valkey 8 in place of ElastiCache for Redis 7, Kafka 3.9 in place of 3.6, the Kubernetes Gateway API in place of ingress-nginx; VDI software list with OpenJDK 21 and Node 22 (NFR-MNT-04).</w:t>
      </w:r>
    </w:p>
    <w:p>
      <w:pPr>
        <w:tabs>
          <w:tab w:pos="312" w:val="left"/>
        </w:tabs>
        <w:spacing w:after="40"/>
        <w:ind w:left="312" w:hanging="283"/>
      </w:pPr>
      <w:r>
        <w:rPr>
          <w:color w:val="004EA8"/>
        </w:rPr>
        <w:t>•</w:t>
        <w:tab/>
      </w:r>
      <w:r>
        <w:rPr/>
        <w:t>Kubernetes rows: the BIBS workloads and sizing of the programme alignment pack (section 6.4) in place of the ten services of the template (NFR-SCL-01).</w:t>
      </w:r>
    </w:p>
    <w:p>
      <w:pPr>
        <w:tabs>
          <w:tab w:pos="312" w:val="left"/>
        </w:tabs>
        <w:spacing w:after="120"/>
        <w:ind w:left="312" w:hanging="283"/>
      </w:pPr>
      <w:r>
        <w:rPr>
          <w:color w:val="004EA8"/>
        </w:rPr>
        <w:t>•</w:t>
        <w:tab/>
      </w:r>
      <w:r>
        <w:rPr/>
        <w:t>DR: one DR region named by BDOI IT, with database replica, document store replication and a standby cluster (NFR-REC-05).</w:t>
      </w:r>
    </w:p>
    <w:p>
      <w:pPr>
        <w:pStyle w:val="Heading1"/>
        <w:pageBreakBefore/>
        <w:pBdr>
          <w:bottom w:val="single" w:sz="4" w:space="4" w:color="99C1E7"/>
        </w:pBdr>
      </w:pPr>
      <w:bookmarkStart w:id="130" w:name="_Toc000130"/>
      <w:r>
        <w:rPr/>
        <w:t>8 Verification and ownership</w:t>
      </w:r>
      <w:bookmarkEnd w:id="130"/>
    </w:p>
    <w:p>
      <w:pPr>
        <w:pStyle w:val="Heading2"/>
      </w:pPr>
      <w:bookmarkStart w:id="131" w:name="_Toc000131"/>
      <w:r>
        <w:rPr/>
        <w:t>8.1 Verification by test type</w:t>
      </w:r>
      <w:bookmarkEnd w:id="131"/>
    </w:p>
    <w:p>
      <w:r>
        <w:rPr/>
        <w:t>Each NFR is verified by test, analysis, inspection or walk-through, in the stage named in the register. The test types are those of the Test Strategy v1.0.</w:t>
      </w:r>
    </w:p>
    <w:p>
      <w:pPr>
        <w:pStyle w:val="Caption"/>
        <w:keepNext/>
        <w:spacing w:after="60"/>
      </w:pPr>
      <w:r>
        <w:rPr>
          <w:b/>
          <w:i w:val="0"/>
        </w:rPr>
        <w:t xml:space="preserve">Table 22: </w:t>
      </w:r>
      <w:r>
        <w:rPr/>
        <w:t>NFRs by test type (first test type of each NFR)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7449"/>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5"/>
              </w:rPr>
              <w:t>Test type</w:t>
            </w:r>
          </w:p>
        </w:tc>
        <w:tc>
          <w:tcPr>
            <w:tcW w:type="dxa" w:w="7449"/>
            <w:shd w:val="clear" w:color="auto" w:fill="004EA8"/>
            <w:tcMar>
              <w:top w:w="50" w:type="dxa"/>
              <w:bottom w:w="50" w:type="dxa"/>
              <w:left w:w="90" w:type="dxa"/>
              <w:right w:w="90" w:type="dxa"/>
            </w:tcMar>
            <w:vAlign w:val="center"/>
          </w:tcPr>
          <w:p>
            <w:pPr>
              <w:pStyle w:val="BDOITableHeader"/>
            </w:pPr>
            <w:r>
              <w:rPr>
                <w:b/>
                <w:color w:val="FFFFFF"/>
                <w:sz w:val="15"/>
              </w:rPr>
              <w:t>NFRs verified</w:t>
            </w:r>
          </w:p>
        </w:tc>
      </w:tr>
      <w:tr>
        <w:trPr>
          <w:cantSplit w:val="true"/>
        </w:trPr>
        <w:tc>
          <w:tcPr>
            <w:tcW w:type="dxa" w:w="2523"/>
            <w:tcMar>
              <w:top w:w="50" w:type="dxa"/>
              <w:bottom w:w="50" w:type="dxa"/>
              <w:left w:w="90" w:type="dxa"/>
              <w:right w:w="90" w:type="dxa"/>
            </w:tcMar>
          </w:tcPr>
          <w:p>
            <w:pPr>
              <w:pStyle w:val="BDOITable"/>
            </w:pPr>
            <w:r>
              <w:rPr>
                <w:b/>
                <w:sz w:val="15"/>
              </w:rPr>
              <w:t>Accessibility</w:t>
            </w:r>
          </w:p>
        </w:tc>
        <w:tc>
          <w:tcPr>
            <w:tcW w:type="dxa" w:w="7449"/>
            <w:tcMar>
              <w:top w:w="50" w:type="dxa"/>
              <w:bottom w:w="50" w:type="dxa"/>
              <w:left w:w="90" w:type="dxa"/>
              <w:right w:w="90" w:type="dxa"/>
            </w:tcMar>
          </w:tcPr>
          <w:p>
            <w:pPr>
              <w:pStyle w:val="BDOITable"/>
            </w:pPr>
            <w:r>
              <w:rPr>
                <w:sz w:val="15"/>
              </w:rPr>
              <w:t>NFR-ACC-01, NFR-ACC-02, NFR-ACC-03, NFR-ACC-04</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Capacity analysis</w:t>
            </w:r>
          </w:p>
        </w:tc>
        <w:tc>
          <w:tcPr>
            <w:tcW w:type="dxa" w:w="7449"/>
            <w:tcMar>
              <w:top w:w="50" w:type="dxa"/>
              <w:bottom w:w="50" w:type="dxa"/>
              <w:left w:w="90" w:type="dxa"/>
              <w:right w:w="90" w:type="dxa"/>
            </w:tcMar>
            <w:shd w:val="clear" w:color="auto" w:fill="E5F5FF"/>
          </w:tcPr>
          <w:p>
            <w:pPr>
              <w:pStyle w:val="BDOITable"/>
            </w:pPr>
            <w:r>
              <w:rPr>
                <w:sz w:val="15"/>
              </w:rPr>
              <w:t>NFR-CAP-03</w:t>
            </w:r>
          </w:p>
        </w:tc>
      </w:tr>
      <w:tr>
        <w:trPr>
          <w:cantSplit w:val="true"/>
        </w:trPr>
        <w:tc>
          <w:tcPr>
            <w:tcW w:type="dxa" w:w="2523"/>
            <w:tcMar>
              <w:top w:w="50" w:type="dxa"/>
              <w:bottom w:w="50" w:type="dxa"/>
              <w:left w:w="90" w:type="dxa"/>
              <w:right w:w="90" w:type="dxa"/>
            </w:tcMar>
          </w:tcPr>
          <w:p>
            <w:pPr>
              <w:pStyle w:val="BDOITable"/>
            </w:pPr>
            <w:r>
              <w:rPr>
                <w:b/>
                <w:sz w:val="15"/>
              </w:rPr>
              <w:t>Configuration review</w:t>
            </w:r>
          </w:p>
        </w:tc>
        <w:tc>
          <w:tcPr>
            <w:tcW w:type="dxa" w:w="7449"/>
            <w:tcMar>
              <w:top w:w="50" w:type="dxa"/>
              <w:bottom w:w="50" w:type="dxa"/>
              <w:left w:w="90" w:type="dxa"/>
              <w:right w:w="90" w:type="dxa"/>
            </w:tcMar>
          </w:tcPr>
          <w:p>
            <w:pPr>
              <w:pStyle w:val="BDOITable"/>
            </w:pPr>
            <w:r>
              <w:rPr>
                <w:sz w:val="15"/>
              </w:rPr>
              <w:t>NFR-CFG-05, NFR-RET-01, NFR-RET-03, NFR-RET-05</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Data migration</w:t>
            </w:r>
          </w:p>
        </w:tc>
        <w:tc>
          <w:tcPr>
            <w:tcW w:type="dxa" w:w="7449"/>
            <w:tcMar>
              <w:top w:w="50" w:type="dxa"/>
              <w:bottom w:w="50" w:type="dxa"/>
              <w:left w:w="90" w:type="dxa"/>
              <w:right w:w="90" w:type="dxa"/>
            </w:tcMar>
            <w:shd w:val="clear" w:color="auto" w:fill="E5F5FF"/>
          </w:tcPr>
          <w:p>
            <w:pPr>
              <w:pStyle w:val="BDOITable"/>
            </w:pPr>
            <w:r>
              <w:rPr>
                <w:sz w:val="15"/>
              </w:rPr>
              <w:t>NFR-PRV-01, NFR-PRV-05</w:t>
            </w:r>
          </w:p>
        </w:tc>
      </w:tr>
      <w:tr>
        <w:trPr>
          <w:cantSplit w:val="true"/>
        </w:trPr>
        <w:tc>
          <w:tcPr>
            <w:tcW w:type="dxa" w:w="2523"/>
            <w:tcMar>
              <w:top w:w="50" w:type="dxa"/>
              <w:bottom w:w="50" w:type="dxa"/>
              <w:left w:w="90" w:type="dxa"/>
              <w:right w:w="90" w:type="dxa"/>
            </w:tcMar>
          </w:tcPr>
          <w:p>
            <w:pPr>
              <w:pStyle w:val="BDOITable"/>
            </w:pPr>
            <w:r>
              <w:rPr>
                <w:b/>
                <w:sz w:val="15"/>
              </w:rPr>
              <w:t>Disaster recovery</w:t>
            </w:r>
          </w:p>
        </w:tc>
        <w:tc>
          <w:tcPr>
            <w:tcW w:type="dxa" w:w="7449"/>
            <w:tcMar>
              <w:top w:w="50" w:type="dxa"/>
              <w:bottom w:w="50" w:type="dxa"/>
              <w:left w:w="90" w:type="dxa"/>
              <w:right w:w="90" w:type="dxa"/>
            </w:tcMar>
          </w:tcPr>
          <w:p>
            <w:pPr>
              <w:pStyle w:val="BDOITable"/>
            </w:pPr>
            <w:r>
              <w:rPr>
                <w:sz w:val="15"/>
              </w:rPr>
              <w:t>NFR-REC-01, NFR-REC-02, NFR-REC-04, NFR-REC-05</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Operational acceptance</w:t>
            </w:r>
          </w:p>
        </w:tc>
        <w:tc>
          <w:tcPr>
            <w:tcW w:type="dxa" w:w="7449"/>
            <w:tcMar>
              <w:top w:w="50" w:type="dxa"/>
              <w:bottom w:w="50" w:type="dxa"/>
              <w:left w:w="90" w:type="dxa"/>
              <w:right w:w="90" w:type="dxa"/>
            </w:tcMar>
            <w:shd w:val="clear" w:color="auto" w:fill="E5F5FF"/>
          </w:tcPr>
          <w:p>
            <w:pPr>
              <w:pStyle w:val="BDOITable"/>
            </w:pPr>
            <w:r>
              <w:rPr>
                <w:sz w:val="15"/>
              </w:rPr>
              <w:t>NFR-AVL-01, NFR-AVL-02, NFR-AVL-03, NFR-REC-03, NFR-SCL-02, NFR-SEC-12, NFR-MNT-04, NFR-MNT-05, NFR-MNT-06, NFR-OBS-01, NFR-OBS-02, NFR-OBS-03, NFR-SUP-01, NFR-SUP-02, NFR-SUP-04, NFR-SUP-05</w:t>
            </w:r>
          </w:p>
        </w:tc>
      </w:tr>
      <w:tr>
        <w:trPr>
          <w:cantSplit w:val="true"/>
        </w:trPr>
        <w:tc>
          <w:tcPr>
            <w:tcW w:type="dxa" w:w="2523"/>
            <w:tcMar>
              <w:top w:w="50" w:type="dxa"/>
              <w:bottom w:w="50" w:type="dxa"/>
              <w:left w:w="90" w:type="dxa"/>
              <w:right w:w="90" w:type="dxa"/>
            </w:tcMar>
          </w:tcPr>
          <w:p>
            <w:pPr>
              <w:pStyle w:val="BDOITable"/>
            </w:pPr>
            <w:r>
              <w:rPr>
                <w:b/>
                <w:sz w:val="15"/>
              </w:rPr>
              <w:t>Performance (load)</w:t>
            </w:r>
          </w:p>
        </w:tc>
        <w:tc>
          <w:tcPr>
            <w:tcW w:type="dxa" w:w="7449"/>
            <w:tcMar>
              <w:top w:w="50" w:type="dxa"/>
              <w:bottom w:w="50" w:type="dxa"/>
              <w:left w:w="90" w:type="dxa"/>
              <w:right w:w="90" w:type="dxa"/>
            </w:tcMar>
          </w:tcPr>
          <w:p>
            <w:pPr>
              <w:pStyle w:val="BDOITable"/>
            </w:pPr>
            <w:r>
              <w:rPr>
                <w:sz w:val="15"/>
              </w:rPr>
              <w:t>NFR-PRF-01, NFR-PRF-02, NFR-PRF-06, NFR-PRF-09</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Performance (peak)</w:t>
            </w:r>
          </w:p>
        </w:tc>
        <w:tc>
          <w:tcPr>
            <w:tcW w:type="dxa" w:w="7449"/>
            <w:tcMar>
              <w:top w:w="50" w:type="dxa"/>
              <w:bottom w:w="50" w:type="dxa"/>
              <w:left w:w="90" w:type="dxa"/>
              <w:right w:w="90" w:type="dxa"/>
            </w:tcMar>
            <w:shd w:val="clear" w:color="auto" w:fill="E5F5FF"/>
          </w:tcPr>
          <w:p>
            <w:pPr>
              <w:pStyle w:val="BDOITable"/>
            </w:pPr>
            <w:r>
              <w:rPr>
                <w:sz w:val="15"/>
              </w:rPr>
              <w:t>NFR-CAP-01, NFR-CAP-05</w:t>
            </w:r>
          </w:p>
        </w:tc>
      </w:tr>
      <w:tr>
        <w:trPr>
          <w:cantSplit w:val="true"/>
        </w:trPr>
        <w:tc>
          <w:tcPr>
            <w:tcW w:type="dxa" w:w="2523"/>
            <w:tcMar>
              <w:top w:w="50" w:type="dxa"/>
              <w:bottom w:w="50" w:type="dxa"/>
              <w:left w:w="90" w:type="dxa"/>
              <w:right w:w="90" w:type="dxa"/>
            </w:tcMar>
          </w:tcPr>
          <w:p>
            <w:pPr>
              <w:pStyle w:val="BDOITable"/>
            </w:pPr>
            <w:r>
              <w:rPr>
                <w:b/>
                <w:sz w:val="15"/>
              </w:rPr>
              <w:t>Performance (stress)</w:t>
            </w:r>
          </w:p>
        </w:tc>
        <w:tc>
          <w:tcPr>
            <w:tcW w:type="dxa" w:w="7449"/>
            <w:tcMar>
              <w:top w:w="50" w:type="dxa"/>
              <w:bottom w:w="50" w:type="dxa"/>
              <w:left w:w="90" w:type="dxa"/>
              <w:right w:w="90" w:type="dxa"/>
            </w:tcMar>
          </w:tcPr>
          <w:p>
            <w:pPr>
              <w:pStyle w:val="BDOITable"/>
            </w:pPr>
            <w:r>
              <w:rPr>
                <w:sz w:val="15"/>
              </w:rPr>
              <w:t>NFR-SCL-01, NFR-SCL-04</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Performance (volume)</w:t>
            </w:r>
          </w:p>
        </w:tc>
        <w:tc>
          <w:tcPr>
            <w:tcW w:type="dxa" w:w="7449"/>
            <w:tcMar>
              <w:top w:w="50" w:type="dxa"/>
              <w:bottom w:w="50" w:type="dxa"/>
              <w:left w:w="90" w:type="dxa"/>
              <w:right w:w="90" w:type="dxa"/>
            </w:tcMar>
            <w:shd w:val="clear" w:color="auto" w:fill="E5F5FF"/>
          </w:tcPr>
          <w:p>
            <w:pPr>
              <w:pStyle w:val="BDOITable"/>
            </w:pPr>
            <w:r>
              <w:rPr>
                <w:sz w:val="15"/>
              </w:rPr>
              <w:t>NFR-PRF-03, NFR-PRF-04, NFR-PRF-05, NFR-PRF-07, NFR-CAP-02, NFR-AUD-03</w:t>
            </w:r>
          </w:p>
        </w:tc>
      </w:tr>
      <w:tr>
        <w:trPr>
          <w:cantSplit w:val="true"/>
        </w:trPr>
        <w:tc>
          <w:tcPr>
            <w:tcW w:type="dxa" w:w="2523"/>
            <w:tcMar>
              <w:top w:w="50" w:type="dxa"/>
              <w:bottom w:w="50" w:type="dxa"/>
              <w:left w:w="90" w:type="dxa"/>
              <w:right w:w="90" w:type="dxa"/>
            </w:tcMar>
          </w:tcPr>
          <w:p>
            <w:pPr>
              <w:pStyle w:val="BDOITable"/>
            </w:pPr>
            <w:r>
              <w:rPr>
                <w:b/>
                <w:sz w:val="15"/>
              </w:rPr>
              <w:t>Resilience</w:t>
            </w:r>
          </w:p>
        </w:tc>
        <w:tc>
          <w:tcPr>
            <w:tcW w:type="dxa" w:w="7449"/>
            <w:tcMar>
              <w:top w:w="50" w:type="dxa"/>
              <w:bottom w:w="50" w:type="dxa"/>
              <w:left w:w="90" w:type="dxa"/>
              <w:right w:w="90" w:type="dxa"/>
            </w:tcMar>
          </w:tcPr>
          <w:p>
            <w:pPr>
              <w:pStyle w:val="BDOITable"/>
            </w:pPr>
            <w:r>
              <w:rPr>
                <w:sz w:val="15"/>
              </w:rPr>
              <w:t>NFR-AVL-04, NFR-AVL-05, NFR-INT-02, NFR-INT-06</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Responsive (cross-device)</w:t>
            </w:r>
          </w:p>
        </w:tc>
        <w:tc>
          <w:tcPr>
            <w:tcW w:type="dxa" w:w="7449"/>
            <w:tcMar>
              <w:top w:w="50" w:type="dxa"/>
              <w:bottom w:w="50" w:type="dxa"/>
              <w:left w:w="90" w:type="dxa"/>
              <w:right w:w="90" w:type="dxa"/>
            </w:tcMar>
            <w:shd w:val="clear" w:color="auto" w:fill="E5F5FF"/>
          </w:tcPr>
          <w:p>
            <w:pPr>
              <w:pStyle w:val="BDOITable"/>
            </w:pPr>
            <w:r>
              <w:rPr>
                <w:sz w:val="15"/>
              </w:rPr>
              <w:t>NFR-RSP-01, NFR-RSP-02, NFR-RSP-03</w:t>
            </w:r>
          </w:p>
        </w:tc>
      </w:tr>
      <w:tr>
        <w:trPr>
          <w:cantSplit w:val="true"/>
        </w:trPr>
        <w:tc>
          <w:tcPr>
            <w:tcW w:type="dxa" w:w="2523"/>
            <w:tcMar>
              <w:top w:w="50" w:type="dxa"/>
              <w:bottom w:w="50" w:type="dxa"/>
              <w:left w:w="90" w:type="dxa"/>
              <w:right w:w="90" w:type="dxa"/>
            </w:tcMar>
          </w:tcPr>
          <w:p>
            <w:pPr>
              <w:pStyle w:val="BDOITable"/>
            </w:pPr>
            <w:r>
              <w:rPr>
                <w:b/>
                <w:sz w:val="15"/>
              </w:rPr>
              <w:t>Security</w:t>
            </w:r>
          </w:p>
        </w:tc>
        <w:tc>
          <w:tcPr>
            <w:tcW w:type="dxa" w:w="7449"/>
            <w:tcMar>
              <w:top w:w="50" w:type="dxa"/>
              <w:bottom w:w="50" w:type="dxa"/>
              <w:left w:w="90" w:type="dxa"/>
              <w:right w:w="90" w:type="dxa"/>
            </w:tcMar>
          </w:tcPr>
          <w:p>
            <w:pPr>
              <w:pStyle w:val="BDOITable"/>
            </w:pPr>
            <w:r>
              <w:rPr>
                <w:sz w:val="15"/>
              </w:rPr>
              <w:t>NFR-SEC-02, NFR-SEC-04, NFR-SEC-05, NFR-SEC-06, NFR-SEC-09, NFR-SEC-11, NFR-PRV-02, NFR-PRV-03, NFR-PRV-06, NFR-AUD-02</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Security (DAST, penetration test)</w:t>
            </w:r>
          </w:p>
        </w:tc>
        <w:tc>
          <w:tcPr>
            <w:tcW w:type="dxa" w:w="7449"/>
            <w:tcMar>
              <w:top w:w="50" w:type="dxa"/>
              <w:bottom w:w="50" w:type="dxa"/>
              <w:left w:w="90" w:type="dxa"/>
              <w:right w:w="90" w:type="dxa"/>
            </w:tcMar>
            <w:shd w:val="clear" w:color="auto" w:fill="E5F5FF"/>
          </w:tcPr>
          <w:p>
            <w:pPr>
              <w:pStyle w:val="BDOITable"/>
            </w:pPr>
            <w:r>
              <w:rPr>
                <w:sz w:val="15"/>
              </w:rPr>
              <w:t>NFR-SEC-08</w:t>
            </w:r>
          </w:p>
        </w:tc>
      </w:tr>
      <w:tr>
        <w:trPr>
          <w:cantSplit w:val="true"/>
        </w:trPr>
        <w:tc>
          <w:tcPr>
            <w:tcW w:type="dxa" w:w="2523"/>
            <w:tcMar>
              <w:top w:w="50" w:type="dxa"/>
              <w:bottom w:w="50" w:type="dxa"/>
              <w:left w:w="90" w:type="dxa"/>
              <w:right w:w="90" w:type="dxa"/>
            </w:tcMar>
          </w:tcPr>
          <w:p>
            <w:pPr>
              <w:pStyle w:val="BDOITable"/>
            </w:pPr>
            <w:r>
              <w:rPr>
                <w:b/>
                <w:sz w:val="15"/>
              </w:rPr>
              <w:t>Security (SAST and dependency scanning)</w:t>
            </w:r>
          </w:p>
        </w:tc>
        <w:tc>
          <w:tcPr>
            <w:tcW w:type="dxa" w:w="7449"/>
            <w:tcMar>
              <w:top w:w="50" w:type="dxa"/>
              <w:bottom w:w="50" w:type="dxa"/>
              <w:left w:w="90" w:type="dxa"/>
              <w:right w:w="90" w:type="dxa"/>
            </w:tcMar>
          </w:tcPr>
          <w:p>
            <w:pPr>
              <w:pStyle w:val="BDOITable"/>
            </w:pPr>
            <w:r>
              <w:rPr>
                <w:sz w:val="15"/>
              </w:rPr>
              <w:t>NFR-SEC-07</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Service interface (API)</w:t>
            </w:r>
          </w:p>
        </w:tc>
        <w:tc>
          <w:tcPr>
            <w:tcW w:type="dxa" w:w="7449"/>
            <w:tcMar>
              <w:top w:w="50" w:type="dxa"/>
              <w:bottom w:w="50" w:type="dxa"/>
              <w:left w:w="90" w:type="dxa"/>
              <w:right w:w="90" w:type="dxa"/>
            </w:tcMar>
            <w:shd w:val="clear" w:color="auto" w:fill="E5F5FF"/>
          </w:tcPr>
          <w:p>
            <w:pPr>
              <w:pStyle w:val="BDOITable"/>
            </w:pPr>
            <w:r>
              <w:rPr>
                <w:sz w:val="15"/>
              </w:rPr>
              <w:t>NFR-INT-01</w:t>
            </w:r>
          </w:p>
        </w:tc>
      </w:tr>
      <w:tr>
        <w:trPr>
          <w:cantSplit w:val="true"/>
        </w:trPr>
        <w:tc>
          <w:tcPr>
            <w:tcW w:type="dxa" w:w="2523"/>
            <w:tcMar>
              <w:top w:w="50" w:type="dxa"/>
              <w:bottom w:w="50" w:type="dxa"/>
              <w:left w:w="90" w:type="dxa"/>
              <w:right w:w="90" w:type="dxa"/>
            </w:tcMar>
          </w:tcPr>
          <w:p>
            <w:pPr>
              <w:pStyle w:val="BDOITable"/>
            </w:pPr>
            <w:r>
              <w:rPr>
                <w:b/>
                <w:sz w:val="15"/>
              </w:rPr>
              <w:t>Static analysis</w:t>
            </w:r>
          </w:p>
        </w:tc>
        <w:tc>
          <w:tcPr>
            <w:tcW w:type="dxa" w:w="7449"/>
            <w:tcMar>
              <w:top w:w="50" w:type="dxa"/>
              <w:bottom w:w="50" w:type="dxa"/>
              <w:left w:w="90" w:type="dxa"/>
              <w:right w:w="90" w:type="dxa"/>
            </w:tcMar>
          </w:tcPr>
          <w:p>
            <w:pPr>
              <w:pStyle w:val="BDOITable"/>
            </w:pPr>
            <w:r>
              <w:rPr>
                <w:sz w:val="15"/>
              </w:rPr>
              <w:t>NFR-MNT-01, NFR-MNT-03, NFR-CFG-01</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System</w:t>
            </w:r>
          </w:p>
        </w:tc>
        <w:tc>
          <w:tcPr>
            <w:tcW w:type="dxa" w:w="7449"/>
            <w:tcMar>
              <w:top w:w="50" w:type="dxa"/>
              <w:bottom w:w="50" w:type="dxa"/>
              <w:left w:w="90" w:type="dxa"/>
              <w:right w:w="90" w:type="dxa"/>
            </w:tcMar>
            <w:shd w:val="clear" w:color="auto" w:fill="E5F5FF"/>
          </w:tcPr>
          <w:p>
            <w:pPr>
              <w:pStyle w:val="BDOITable"/>
            </w:pPr>
            <w:r>
              <w:rPr>
                <w:sz w:val="15"/>
              </w:rPr>
              <w:t>NFR-SEC-10, NFR-LOC-03, NFR-LOC-04, NFR-CFG-02, NFR-CFG-03, NFR-CFG-04, NFR-OBS-05, NFR-SUP-03, NFR-AUD-01, NFR-AUD-04, NFR-RET-02, NFR-RET-04</w:t>
            </w:r>
          </w:p>
        </w:tc>
      </w:tr>
      <w:tr>
        <w:trPr>
          <w:cantSplit w:val="true"/>
        </w:trPr>
        <w:tc>
          <w:tcPr>
            <w:tcW w:type="dxa" w:w="2523"/>
            <w:tcMar>
              <w:top w:w="50" w:type="dxa"/>
              <w:bottom w:w="50" w:type="dxa"/>
              <w:left w:w="90" w:type="dxa"/>
              <w:right w:w="90" w:type="dxa"/>
            </w:tcMar>
          </w:tcPr>
          <w:p>
            <w:pPr>
              <w:pStyle w:val="BDOITable"/>
            </w:pPr>
            <w:r>
              <w:rPr>
                <w:b/>
                <w:sz w:val="15"/>
              </w:rPr>
              <w:t>System (boundary)</w:t>
            </w:r>
          </w:p>
        </w:tc>
        <w:tc>
          <w:tcPr>
            <w:tcW w:type="dxa" w:w="7449"/>
            <w:tcMar>
              <w:top w:w="50" w:type="dxa"/>
              <w:bottom w:w="50" w:type="dxa"/>
              <w:left w:w="90" w:type="dxa"/>
              <w:right w:w="90" w:type="dxa"/>
            </w:tcMar>
          </w:tcPr>
          <w:p>
            <w:pPr>
              <w:pStyle w:val="BDOITable"/>
            </w:pPr>
            <w:r>
              <w:rPr>
                <w:sz w:val="15"/>
              </w:rPr>
              <w:t>NFR-CAP-04, NFR-LOC-02</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System integration</w:t>
            </w:r>
          </w:p>
        </w:tc>
        <w:tc>
          <w:tcPr>
            <w:tcW w:type="dxa" w:w="7449"/>
            <w:tcMar>
              <w:top w:w="50" w:type="dxa"/>
              <w:bottom w:w="50" w:type="dxa"/>
              <w:left w:w="90" w:type="dxa"/>
              <w:right w:w="90" w:type="dxa"/>
            </w:tcMar>
            <w:shd w:val="clear" w:color="auto" w:fill="E5F5FF"/>
          </w:tcPr>
          <w:p>
            <w:pPr>
              <w:pStyle w:val="BDOITable"/>
            </w:pPr>
            <w:r>
              <w:rPr>
                <w:sz w:val="15"/>
              </w:rPr>
              <w:t>NFR-PRF-08, NFR-SCL-03, NFR-SEC-01, NFR-SEC-03, NFR-OBS-04, NFR-INT-03, NFR-INT-04, NFR-INT-05</w:t>
            </w:r>
          </w:p>
        </w:tc>
      </w:tr>
      <w:tr>
        <w:trPr>
          <w:cantSplit w:val="true"/>
        </w:trPr>
        <w:tc>
          <w:tcPr>
            <w:tcW w:type="dxa" w:w="2523"/>
            <w:tcMar>
              <w:top w:w="50" w:type="dxa"/>
              <w:bottom w:w="50" w:type="dxa"/>
              <w:left w:w="90" w:type="dxa"/>
              <w:right w:w="90" w:type="dxa"/>
            </w:tcMar>
          </w:tcPr>
          <w:p>
            <w:pPr>
              <w:pStyle w:val="BDOITable"/>
            </w:pPr>
            <w:r>
              <w:rPr>
                <w:b/>
                <w:sz w:val="15"/>
              </w:rPr>
              <w:t>Unit testing</w:t>
            </w:r>
          </w:p>
        </w:tc>
        <w:tc>
          <w:tcPr>
            <w:tcW w:type="dxa" w:w="7449"/>
            <w:tcMar>
              <w:top w:w="50" w:type="dxa"/>
              <w:bottom w:w="50" w:type="dxa"/>
              <w:left w:w="90" w:type="dxa"/>
              <w:right w:w="90" w:type="dxa"/>
            </w:tcMar>
          </w:tcPr>
          <w:p>
            <w:pPr>
              <w:pStyle w:val="BDOITable"/>
            </w:pPr>
            <w:r>
              <w:rPr>
                <w:sz w:val="15"/>
              </w:rPr>
              <w:t>NFR-MNT-02</w:t>
            </w:r>
          </w:p>
        </w:tc>
      </w:tr>
      <w:tr>
        <w:trPr>
          <w:cantSplit w:val="true"/>
        </w:trPr>
        <w:tc>
          <w:tcPr>
            <w:tcW w:type="dxa" w:w="2523"/>
            <w:tcMar>
              <w:top w:w="50" w:type="dxa"/>
              <w:bottom w:w="50" w:type="dxa"/>
              <w:left w:w="90" w:type="dxa"/>
              <w:right w:w="90" w:type="dxa"/>
            </w:tcMar>
            <w:shd w:val="clear" w:color="auto" w:fill="E5F5FF"/>
          </w:tcPr>
          <w:p>
            <w:pPr>
              <w:pStyle w:val="BDOITable"/>
            </w:pPr>
            <w:r>
              <w:rPr>
                <w:b/>
                <w:sz w:val="15"/>
              </w:rPr>
              <w:t>Usability</w:t>
            </w:r>
          </w:p>
        </w:tc>
        <w:tc>
          <w:tcPr>
            <w:tcW w:type="dxa" w:w="7449"/>
            <w:tcMar>
              <w:top w:w="50" w:type="dxa"/>
              <w:bottom w:w="50" w:type="dxa"/>
              <w:left w:w="90" w:type="dxa"/>
              <w:right w:w="90" w:type="dxa"/>
            </w:tcMar>
            <w:shd w:val="clear" w:color="auto" w:fill="E5F5FF"/>
          </w:tcPr>
          <w:p>
            <w:pPr>
              <w:pStyle w:val="BDOITable"/>
            </w:pPr>
            <w:r>
              <w:rPr>
                <w:sz w:val="15"/>
              </w:rPr>
              <w:t>NFR-USE-01, NFR-USE-02, NFR-USE-03, NFR-USE-04, NFR-USE-05, NFR-USE-06, NFR-LOC-01</w:t>
            </w:r>
          </w:p>
        </w:tc>
      </w:tr>
      <w:tr>
        <w:trPr>
          <w:cantSplit w:val="true"/>
        </w:trPr>
        <w:tc>
          <w:tcPr>
            <w:tcW w:type="dxa" w:w="2523"/>
            <w:tcMar>
              <w:top w:w="50" w:type="dxa"/>
              <w:bottom w:w="50" w:type="dxa"/>
              <w:left w:w="90" w:type="dxa"/>
              <w:right w:w="90" w:type="dxa"/>
            </w:tcMar>
          </w:tcPr>
          <w:p>
            <w:pPr>
              <w:pStyle w:val="BDOITable"/>
            </w:pPr>
            <w:r>
              <w:rPr>
                <w:b/>
                <w:sz w:val="15"/>
              </w:rPr>
              <w:t>User acceptance</w:t>
            </w:r>
          </w:p>
        </w:tc>
        <w:tc>
          <w:tcPr>
            <w:tcW w:type="dxa" w:w="7449"/>
            <w:tcMar>
              <w:top w:w="50" w:type="dxa"/>
              <w:bottom w:w="50" w:type="dxa"/>
              <w:left w:w="90" w:type="dxa"/>
              <w:right w:w="90" w:type="dxa"/>
            </w:tcMar>
          </w:tcPr>
          <w:p>
            <w:pPr>
              <w:pStyle w:val="BDOITable"/>
            </w:pPr>
            <w:r>
              <w:rPr>
                <w:sz w:val="15"/>
              </w:rPr>
              <w:t>NFR-PRV-04</w:t>
            </w:r>
          </w:p>
        </w:tc>
      </w:tr>
    </w:tbl>
    <w:p>
      <w:pPr>
        <w:pStyle w:val="BDOISpacer"/>
      </w:pPr>
    </w:p>
    <w:p>
      <w:pPr>
        <w:pStyle w:val="Heading2"/>
      </w:pPr>
      <w:bookmarkStart w:id="132" w:name="_Toc000132"/>
      <w:r>
        <w:rPr/>
        <w:t>8.2 Ownership</w:t>
      </w:r>
      <w:bookmarkEnd w:id="132"/>
    </w:p>
    <w:p>
      <w:r>
        <w:rPr/>
        <w:t>The owner is the iorta TechNXT role accountable for meeting the target and producing the evidence; the BDOI acceptor reviews the evidence and accepts it, or raises a finding.</w:t>
      </w:r>
    </w:p>
    <w:p>
      <w:pPr>
        <w:pStyle w:val="Caption"/>
        <w:keepNext/>
        <w:spacing w:after="60"/>
      </w:pPr>
      <w:r>
        <w:rPr>
          <w:b/>
          <w:i w:val="0"/>
        </w:rPr>
        <w:t xml:space="preserve">Table 23: </w:t>
      </w:r>
      <w:r>
        <w:rPr/>
        <w:t>Ownership of the NFRs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806"/>
        <w:gridCol w:w="3124"/>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5"/>
              </w:rPr>
              <w:t>Owner (iorta TechNXT)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5"/>
              </w:rPr>
              <w:t>NFRs owned</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5"/>
              </w:rPr>
              <w:t>Accepted by (BDOI)</w:t>
            </w:r>
          </w:p>
        </w:tc>
      </w:tr>
      <w:tr>
        <w:trPr>
          <w:cantSplit w:val="true"/>
        </w:trPr>
        <w:tc>
          <w:tcPr>
            <w:tcW w:type="dxa" w:w="2042"/>
            <w:tcMar>
              <w:top w:w="50" w:type="dxa"/>
              <w:bottom w:w="50" w:type="dxa"/>
              <w:left w:w="90" w:type="dxa"/>
              <w:right w:w="90" w:type="dxa"/>
            </w:tcMar>
          </w:tcPr>
          <w:p>
            <w:pPr>
              <w:pStyle w:val="BDOITable"/>
            </w:pPr>
            <w:r>
              <w:rPr>
                <w:b/>
                <w:sz w:val="15"/>
              </w:rPr>
              <w:t>iorta Business Analyst lead</w:t>
            </w:r>
          </w:p>
        </w:tc>
        <w:tc>
          <w:tcPr>
            <w:tcW w:type="dxa" w:w="4806"/>
            <w:tcMar>
              <w:top w:w="50" w:type="dxa"/>
              <w:bottom w:w="50" w:type="dxa"/>
              <w:left w:w="90" w:type="dxa"/>
              <w:right w:w="90" w:type="dxa"/>
            </w:tcMar>
          </w:tcPr>
          <w:p>
            <w:pPr>
              <w:pStyle w:val="BDOITable"/>
            </w:pPr>
            <w:r>
              <w:rPr>
                <w:sz w:val="15"/>
              </w:rPr>
              <w:t>NFR-PRV-04, NFR-USE-06, NFR-LOC-01, NFR-RET-01, NFR-RET-05</w:t>
            </w:r>
          </w:p>
        </w:tc>
        <w:tc>
          <w:tcPr>
            <w:tcW w:type="dxa" w:w="3124"/>
            <w:tcMar>
              <w:top w:w="50" w:type="dxa"/>
              <w:bottom w:w="50" w:type="dxa"/>
              <w:left w:w="90" w:type="dxa"/>
              <w:right w:w="90" w:type="dxa"/>
            </w:tcMar>
          </w:tcPr>
          <w:p>
            <w:pPr>
              <w:pStyle w:val="BDOITable"/>
            </w:pPr>
            <w:r>
              <w:rPr>
                <w:sz w:val="15"/>
              </w:rPr>
              <w:t>BIBS Product Owner; Compliance Officer, BDOI; Data Protection Officer, BDOI</w:t>
            </w:r>
          </w:p>
        </w:tc>
      </w:tr>
      <w:tr>
        <w:trPr>
          <w:cantSplit w:val="true"/>
        </w:trPr>
        <w:tc>
          <w:tcPr>
            <w:tcW w:type="dxa" w:w="2042"/>
            <w:tcMar>
              <w:top w:w="50" w:type="dxa"/>
              <w:bottom w:w="50" w:type="dxa"/>
              <w:left w:w="90" w:type="dxa"/>
              <w:right w:w="90" w:type="dxa"/>
            </w:tcMar>
            <w:shd w:val="clear" w:color="auto" w:fill="E5F5FF"/>
          </w:tcPr>
          <w:p>
            <w:pPr>
              <w:pStyle w:val="BDOITable"/>
            </w:pPr>
            <w:r>
              <w:rPr>
                <w:b/>
                <w:sz w:val="15"/>
              </w:rPr>
              <w:t>iorta DevOps and Platform Lead</w:t>
            </w:r>
          </w:p>
        </w:tc>
        <w:tc>
          <w:tcPr>
            <w:tcW w:type="dxa" w:w="4806"/>
            <w:tcMar>
              <w:top w:w="50" w:type="dxa"/>
              <w:bottom w:w="50" w:type="dxa"/>
              <w:left w:w="90" w:type="dxa"/>
              <w:right w:w="90" w:type="dxa"/>
            </w:tcMar>
            <w:shd w:val="clear" w:color="auto" w:fill="E5F5FF"/>
          </w:tcPr>
          <w:p>
            <w:pPr>
              <w:pStyle w:val="BDOITable"/>
            </w:pPr>
            <w:r>
              <w:rPr>
                <w:sz w:val="15"/>
              </w:rPr>
              <w:t>NFR-AVL-04, NFR-REC-01, NFR-REC-02, NFR-REC-03, NFR-REC-04, NFR-REC-05, NFR-SCL-01, NFR-SCL-02, NFR-PRV-02, NFR-MNT-05, NFR-OBS-01, NFR-OBS-02, NFR-OBS-03, NFR-SUP-05, NFR-RET-04</w:t>
            </w:r>
          </w:p>
        </w:tc>
        <w:tc>
          <w:tcPr>
            <w:tcW w:type="dxa" w:w="3124"/>
            <w:tcMar>
              <w:top w:w="50" w:type="dxa"/>
              <w:bottom w:w="50" w:type="dxa"/>
              <w:left w:w="90" w:type="dxa"/>
              <w:right w:w="90" w:type="dxa"/>
            </w:tcMar>
            <w:shd w:val="clear" w:color="auto" w:fill="E5F5FF"/>
          </w:tcPr>
          <w:p>
            <w:pPr>
              <w:pStyle w:val="BDOITable"/>
            </w:pPr>
            <w:r>
              <w:rPr>
                <w:sz w:val="15"/>
              </w:rPr>
              <w:t>BDOI Information Security; Cloud and Digital Operations Engineering (IER owner); Data Protection Officer, BDOI; Head, BDOI IT</w:t>
            </w:r>
          </w:p>
        </w:tc>
      </w:tr>
      <w:tr>
        <w:trPr>
          <w:cantSplit w:val="true"/>
        </w:trPr>
        <w:tc>
          <w:tcPr>
            <w:tcW w:type="dxa" w:w="2042"/>
            <w:tcMar>
              <w:top w:w="50" w:type="dxa"/>
              <w:bottom w:w="50" w:type="dxa"/>
              <w:left w:w="90" w:type="dxa"/>
              <w:right w:w="90" w:type="dxa"/>
            </w:tcMar>
          </w:tcPr>
          <w:p>
            <w:pPr>
              <w:pStyle w:val="BDOITable"/>
            </w:pPr>
            <w:r>
              <w:rPr>
                <w:b/>
                <w:sz w:val="15"/>
              </w:rPr>
              <w:t>iorta Development Lead</w:t>
            </w:r>
          </w:p>
        </w:tc>
        <w:tc>
          <w:tcPr>
            <w:tcW w:type="dxa" w:w="4806"/>
            <w:tcMar>
              <w:top w:w="50" w:type="dxa"/>
              <w:bottom w:w="50" w:type="dxa"/>
              <w:left w:w="90" w:type="dxa"/>
              <w:right w:w="90" w:type="dxa"/>
            </w:tcMar>
          </w:tcPr>
          <w:p>
            <w:pPr>
              <w:pStyle w:val="BDOITable"/>
            </w:pPr>
            <w:r>
              <w:rPr>
                <w:sz w:val="15"/>
              </w:rPr>
              <w:t>NFR-MNT-01, NFR-MNT-02</w:t>
            </w:r>
          </w:p>
        </w:tc>
        <w:tc>
          <w:tcPr>
            <w:tcW w:type="dxa" w:w="3124"/>
            <w:tcMar>
              <w:top w:w="50" w:type="dxa"/>
              <w:bottom w:w="50" w:type="dxa"/>
              <w:left w:w="90" w:type="dxa"/>
              <w:right w:w="90" w:type="dxa"/>
            </w:tcMar>
          </w:tcPr>
          <w:p>
            <w:pPr>
              <w:pStyle w:val="BDOITable"/>
            </w:pPr>
            <w:r>
              <w:rPr>
                <w:sz w:val="15"/>
              </w:rPr>
              <w:t>Head, BDOI IT</w:t>
            </w:r>
          </w:p>
        </w:tc>
      </w:tr>
      <w:tr>
        <w:trPr>
          <w:cantSplit w:val="true"/>
        </w:trPr>
        <w:tc>
          <w:tcPr>
            <w:tcW w:type="dxa" w:w="2042"/>
            <w:tcMar>
              <w:top w:w="50" w:type="dxa"/>
              <w:bottom w:w="50" w:type="dxa"/>
              <w:left w:w="90" w:type="dxa"/>
              <w:right w:w="90" w:type="dxa"/>
            </w:tcMar>
            <w:shd w:val="clear" w:color="auto" w:fill="E5F5FF"/>
          </w:tcPr>
          <w:p>
            <w:pPr>
              <w:pStyle w:val="BDOITable"/>
            </w:pPr>
            <w:r>
              <w:rPr>
                <w:b/>
                <w:sz w:val="15"/>
              </w:rPr>
              <w:t>iorta Migration Lead</w:t>
            </w:r>
          </w:p>
        </w:tc>
        <w:tc>
          <w:tcPr>
            <w:tcW w:type="dxa" w:w="4806"/>
            <w:tcMar>
              <w:top w:w="50" w:type="dxa"/>
              <w:bottom w:w="50" w:type="dxa"/>
              <w:left w:w="90" w:type="dxa"/>
              <w:right w:w="90" w:type="dxa"/>
            </w:tcMar>
            <w:shd w:val="clear" w:color="auto" w:fill="E5F5FF"/>
          </w:tcPr>
          <w:p>
            <w:pPr>
              <w:pStyle w:val="BDOITable"/>
            </w:pPr>
            <w:r>
              <w:rPr>
                <w:sz w:val="15"/>
              </w:rPr>
              <w:t>NFR-PRV-01, NFR-PRV-05</w:t>
            </w:r>
          </w:p>
        </w:tc>
        <w:tc>
          <w:tcPr>
            <w:tcW w:type="dxa" w:w="3124"/>
            <w:tcMar>
              <w:top w:w="50" w:type="dxa"/>
              <w:bottom w:w="50" w:type="dxa"/>
              <w:left w:w="90" w:type="dxa"/>
              <w:right w:w="90" w:type="dxa"/>
            </w:tcMar>
            <w:shd w:val="clear" w:color="auto" w:fill="E5F5FF"/>
          </w:tcPr>
          <w:p>
            <w:pPr>
              <w:pStyle w:val="BDOITable"/>
            </w:pPr>
            <w:r>
              <w:rPr>
                <w:sz w:val="15"/>
              </w:rPr>
              <w:t>Data Protection Officer, BDOI</w:t>
            </w:r>
          </w:p>
        </w:tc>
      </w:tr>
      <w:tr>
        <w:trPr>
          <w:cantSplit w:val="true"/>
        </w:trPr>
        <w:tc>
          <w:tcPr>
            <w:tcW w:type="dxa" w:w="2042"/>
            <w:tcMar>
              <w:top w:w="50" w:type="dxa"/>
              <w:bottom w:w="50" w:type="dxa"/>
              <w:left w:w="90" w:type="dxa"/>
              <w:right w:w="90" w:type="dxa"/>
            </w:tcMar>
          </w:tcPr>
          <w:p>
            <w:pPr>
              <w:pStyle w:val="BDOITable"/>
            </w:pPr>
            <w:r>
              <w:rPr>
                <w:b/>
                <w:sz w:val="15"/>
              </w:rPr>
              <w:t>iorta Performance Test Lead</w:t>
            </w:r>
          </w:p>
        </w:tc>
        <w:tc>
          <w:tcPr>
            <w:tcW w:type="dxa" w:w="4806"/>
            <w:tcMar>
              <w:top w:w="50" w:type="dxa"/>
              <w:bottom w:w="50" w:type="dxa"/>
              <w:left w:w="90" w:type="dxa"/>
              <w:right w:w="90" w:type="dxa"/>
            </w:tcMar>
          </w:tcPr>
          <w:p>
            <w:pPr>
              <w:pStyle w:val="BDOITable"/>
            </w:pPr>
            <w:r>
              <w:rPr>
                <w:sz w:val="15"/>
              </w:rPr>
              <w:t>NFR-PRF-01, NFR-PRF-02, NFR-PRF-03, NFR-PRF-04, NFR-PRF-05, NFR-PRF-06, NFR-PRF-09, NFR-CAP-01, NFR-CAP-02, NFR-CAP-05, NFR-SCL-04</w:t>
            </w:r>
          </w:p>
        </w:tc>
        <w:tc>
          <w:tcPr>
            <w:tcW w:type="dxa" w:w="3124"/>
            <w:tcMar>
              <w:top w:w="50" w:type="dxa"/>
              <w:bottom w:w="50" w:type="dxa"/>
              <w:left w:w="90" w:type="dxa"/>
              <w:right w:w="90" w:type="dxa"/>
            </w:tcMar>
          </w:tcPr>
          <w:p>
            <w:pPr>
              <w:pStyle w:val="BDOITable"/>
            </w:pPr>
            <w:r>
              <w:rPr>
                <w:sz w:val="15"/>
              </w:rPr>
              <w:t>BIBS Product Owner; Cloud and Digital Operations Engineering (IER owner); Head, BDOI IT; Head, Comptrollership; Head, Operations</w:t>
            </w:r>
          </w:p>
        </w:tc>
      </w:tr>
      <w:tr>
        <w:trPr>
          <w:cantSplit w:val="true"/>
        </w:trPr>
        <w:tc>
          <w:tcPr>
            <w:tcW w:type="dxa" w:w="2042"/>
            <w:tcMar>
              <w:top w:w="50" w:type="dxa"/>
              <w:bottom w:w="50" w:type="dxa"/>
              <w:left w:w="90" w:type="dxa"/>
              <w:right w:w="90" w:type="dxa"/>
            </w:tcMar>
            <w:shd w:val="clear" w:color="auto" w:fill="E5F5FF"/>
          </w:tcPr>
          <w:p>
            <w:pPr>
              <w:pStyle w:val="BDOITable"/>
            </w:pPr>
            <w:r>
              <w:rPr>
                <w:b/>
                <w:sz w:val="15"/>
              </w:rPr>
              <w:t>iorta Project Manager</w:t>
            </w:r>
          </w:p>
        </w:tc>
        <w:tc>
          <w:tcPr>
            <w:tcW w:type="dxa" w:w="4806"/>
            <w:tcMar>
              <w:top w:w="50" w:type="dxa"/>
              <w:bottom w:w="50" w:type="dxa"/>
              <w:left w:w="90" w:type="dxa"/>
              <w:right w:w="90" w:type="dxa"/>
            </w:tcMar>
            <w:shd w:val="clear" w:color="auto" w:fill="E5F5FF"/>
          </w:tcPr>
          <w:p>
            <w:pPr>
              <w:pStyle w:val="BDOITable"/>
            </w:pPr>
            <w:r>
              <w:rPr>
                <w:sz w:val="15"/>
              </w:rPr>
              <w:t>NFR-MNT-06, NFR-SUP-01, NFR-SUP-02, NFR-SUP-04</w:t>
            </w:r>
          </w:p>
        </w:tc>
        <w:tc>
          <w:tcPr>
            <w:tcW w:type="dxa" w:w="3124"/>
            <w:tcMar>
              <w:top w:w="50" w:type="dxa"/>
              <w:bottom w:w="50" w:type="dxa"/>
              <w:left w:w="90" w:type="dxa"/>
              <w:right w:w="90" w:type="dxa"/>
            </w:tcMar>
            <w:shd w:val="clear" w:color="auto" w:fill="E5F5FF"/>
          </w:tcPr>
          <w:p>
            <w:pPr>
              <w:pStyle w:val="BDOITable"/>
            </w:pPr>
            <w:r>
              <w:rPr>
                <w:sz w:val="15"/>
              </w:rPr>
              <w:t>BIBS Product Owner; Head, BDOI IT</w:t>
            </w:r>
          </w:p>
        </w:tc>
      </w:tr>
      <w:tr>
        <w:trPr>
          <w:cantSplit w:val="true"/>
        </w:trPr>
        <w:tc>
          <w:tcPr>
            <w:tcW w:type="dxa" w:w="2042"/>
            <w:tcMar>
              <w:top w:w="50" w:type="dxa"/>
              <w:bottom w:w="50" w:type="dxa"/>
              <w:left w:w="90" w:type="dxa"/>
              <w:right w:w="90" w:type="dxa"/>
            </w:tcMar>
          </w:tcPr>
          <w:p>
            <w:pPr>
              <w:pStyle w:val="BDOITable"/>
            </w:pPr>
            <w:r>
              <w:rPr>
                <w:b/>
                <w:sz w:val="15"/>
              </w:rPr>
              <w:t>iorta QA lead</w:t>
            </w:r>
          </w:p>
        </w:tc>
        <w:tc>
          <w:tcPr>
            <w:tcW w:type="dxa" w:w="4806"/>
            <w:tcMar>
              <w:top w:w="50" w:type="dxa"/>
              <w:bottom w:w="50" w:type="dxa"/>
              <w:left w:w="90" w:type="dxa"/>
              <w:right w:w="90" w:type="dxa"/>
            </w:tcMar>
          </w:tcPr>
          <w:p>
            <w:pPr>
              <w:pStyle w:val="BDOITable"/>
            </w:pPr>
            <w:r>
              <w:rPr>
                <w:sz w:val="15"/>
              </w:rPr>
              <w:t>NFR-PRF-08, NFR-CAP-04, NFR-SEC-04, NFR-SEC-10, NFR-PRV-03, NFR-RSP-03, NFR-LOC-02, NFR-LOC-03, NFR-LOC-04, NFR-CFG-02, NFR-CFG-03, NFR-CFG-04, NFR-OBS-04, NFR-OBS-05, NFR-SUP-03, NFR-AUD-01, NFR-AUD-03, NFR-AUD-04, NFR-INT-04</w:t>
            </w:r>
          </w:p>
        </w:tc>
        <w:tc>
          <w:tcPr>
            <w:tcW w:type="dxa" w:w="3124"/>
            <w:tcMar>
              <w:top w:w="50" w:type="dxa"/>
              <w:bottom w:w="50" w:type="dxa"/>
              <w:left w:w="90" w:type="dxa"/>
              <w:right w:w="90" w:type="dxa"/>
            </w:tcMar>
          </w:tcPr>
          <w:p>
            <w:pPr>
              <w:pStyle w:val="BDOITable"/>
            </w:pPr>
            <w:r>
              <w:rPr>
                <w:sz w:val="15"/>
              </w:rPr>
              <w:t>BDOI Information Security; BIBS Product Owner; Data Protection Officer, BDOI; Head, BDOI IT; Head, Comptrollership; Head, Operations; Internal Audit, BDOI</w:t>
            </w:r>
          </w:p>
        </w:tc>
      </w:tr>
      <w:tr>
        <w:trPr>
          <w:cantSplit w:val="true"/>
        </w:trPr>
        <w:tc>
          <w:tcPr>
            <w:tcW w:type="dxa" w:w="2042"/>
            <w:tcMar>
              <w:top w:w="50" w:type="dxa"/>
              <w:bottom w:w="50" w:type="dxa"/>
              <w:left w:w="90" w:type="dxa"/>
              <w:right w:w="90" w:type="dxa"/>
            </w:tcMar>
            <w:shd w:val="clear" w:color="auto" w:fill="E5F5FF"/>
          </w:tcPr>
          <w:p>
            <w:pPr>
              <w:pStyle w:val="BDOITable"/>
            </w:pPr>
            <w:r>
              <w:rPr>
                <w:b/>
                <w:sz w:val="15"/>
              </w:rPr>
              <w:t>iorta Security Lead</w:t>
            </w:r>
          </w:p>
        </w:tc>
        <w:tc>
          <w:tcPr>
            <w:tcW w:type="dxa" w:w="4806"/>
            <w:tcMar>
              <w:top w:w="50" w:type="dxa"/>
              <w:bottom w:w="50" w:type="dxa"/>
              <w:left w:w="90" w:type="dxa"/>
              <w:right w:w="90" w:type="dxa"/>
            </w:tcMar>
            <w:shd w:val="clear" w:color="auto" w:fill="E5F5FF"/>
          </w:tcPr>
          <w:p>
            <w:pPr>
              <w:pStyle w:val="BDOITable"/>
            </w:pPr>
            <w:r>
              <w:rPr>
                <w:sz w:val="15"/>
              </w:rPr>
              <w:t>NFR-SEC-01, NFR-SEC-02, NFR-SEC-03, NFR-SEC-05, NFR-SEC-06, NFR-SEC-07, NFR-SEC-08, NFR-SEC-09, NFR-SEC-11, NFR-SEC-12, NFR-PRV-06, NFR-AUD-02, NFR-INT-03</w:t>
            </w:r>
          </w:p>
        </w:tc>
        <w:tc>
          <w:tcPr>
            <w:tcW w:type="dxa" w:w="3124"/>
            <w:tcMar>
              <w:top w:w="50" w:type="dxa"/>
              <w:bottom w:w="50" w:type="dxa"/>
              <w:left w:w="90" w:type="dxa"/>
              <w:right w:w="90" w:type="dxa"/>
            </w:tcMar>
            <w:shd w:val="clear" w:color="auto" w:fill="E5F5FF"/>
          </w:tcPr>
          <w:p>
            <w:pPr>
              <w:pStyle w:val="BDOITable"/>
            </w:pPr>
            <w:r>
              <w:rPr>
                <w:sz w:val="15"/>
              </w:rPr>
              <w:t>BDOI Information Security; Head, BDOI IT; Internal Audit, BDOI</w:t>
            </w:r>
          </w:p>
        </w:tc>
      </w:tr>
      <w:tr>
        <w:trPr>
          <w:cantSplit w:val="true"/>
        </w:trPr>
        <w:tc>
          <w:tcPr>
            <w:tcW w:type="dxa" w:w="2042"/>
            <w:tcMar>
              <w:top w:w="50" w:type="dxa"/>
              <w:bottom w:w="50" w:type="dxa"/>
              <w:left w:w="90" w:type="dxa"/>
              <w:right w:w="90" w:type="dxa"/>
            </w:tcMar>
          </w:tcPr>
          <w:p>
            <w:pPr>
              <w:pStyle w:val="BDOITable"/>
            </w:pPr>
            <w:r>
              <w:rPr>
                <w:b/>
                <w:sz w:val="15"/>
              </w:rPr>
              <w:t>iorta Solution Architect</w:t>
            </w:r>
          </w:p>
        </w:tc>
        <w:tc>
          <w:tcPr>
            <w:tcW w:type="dxa" w:w="4806"/>
            <w:tcMar>
              <w:top w:w="50" w:type="dxa"/>
              <w:bottom w:w="50" w:type="dxa"/>
              <w:left w:w="90" w:type="dxa"/>
              <w:right w:w="90" w:type="dxa"/>
            </w:tcMar>
          </w:tcPr>
          <w:p>
            <w:pPr>
              <w:pStyle w:val="BDOITable"/>
            </w:pPr>
            <w:r>
              <w:rPr>
                <w:sz w:val="15"/>
              </w:rPr>
              <w:t>NFR-PRF-07, NFR-CAP-03, NFR-AVL-01, NFR-AVL-02, NFR-AVL-03, NFR-AVL-05, NFR-SCL-03, NFR-MNT-03, NFR-MNT-04, NFR-CFG-01, NFR-RET-02, NFR-RET-03, NFR-INT-01, NFR-INT-02, NFR-INT-05, NFR-INT-06</w:t>
            </w:r>
          </w:p>
        </w:tc>
        <w:tc>
          <w:tcPr>
            <w:tcW w:type="dxa" w:w="3124"/>
            <w:tcMar>
              <w:top w:w="50" w:type="dxa"/>
              <w:bottom w:w="50" w:type="dxa"/>
              <w:left w:w="90" w:type="dxa"/>
              <w:right w:w="90" w:type="dxa"/>
            </w:tcMar>
          </w:tcPr>
          <w:p>
            <w:pPr>
              <w:pStyle w:val="BDOITable"/>
            </w:pPr>
            <w:r>
              <w:rPr>
                <w:sz w:val="15"/>
              </w:rPr>
              <w:t>BIBS Product Owner; Cloud and Digital Operations Engineering (IER owner); Head, BDOI IT; Head, Comptrollership; Internal Audit, BDOI</w:t>
            </w:r>
          </w:p>
        </w:tc>
      </w:tr>
      <w:tr>
        <w:trPr>
          <w:cantSplit w:val="true"/>
        </w:trPr>
        <w:tc>
          <w:tcPr>
            <w:tcW w:type="dxa" w:w="2042"/>
            <w:tcMar>
              <w:top w:w="50" w:type="dxa"/>
              <w:bottom w:w="50" w:type="dxa"/>
              <w:left w:w="90" w:type="dxa"/>
              <w:right w:w="90" w:type="dxa"/>
            </w:tcMar>
            <w:shd w:val="clear" w:color="auto" w:fill="E5F5FF"/>
          </w:tcPr>
          <w:p>
            <w:pPr>
              <w:pStyle w:val="BDOITable"/>
            </w:pPr>
            <w:r>
              <w:rPr>
                <w:b/>
                <w:sz w:val="15"/>
              </w:rPr>
              <w:t>iorta UX Lead</w:t>
            </w:r>
          </w:p>
        </w:tc>
        <w:tc>
          <w:tcPr>
            <w:tcW w:type="dxa" w:w="4806"/>
            <w:tcMar>
              <w:top w:w="50" w:type="dxa"/>
              <w:bottom w:w="50" w:type="dxa"/>
              <w:left w:w="90" w:type="dxa"/>
              <w:right w:w="90" w:type="dxa"/>
            </w:tcMar>
            <w:shd w:val="clear" w:color="auto" w:fill="E5F5FF"/>
          </w:tcPr>
          <w:p>
            <w:pPr>
              <w:pStyle w:val="BDOITable"/>
            </w:pPr>
            <w:r>
              <w:rPr>
                <w:sz w:val="15"/>
              </w:rPr>
              <w:t>NFR-ACC-01, NFR-ACC-02, NFR-ACC-03, NFR-ACC-04, NFR-USE-01, NFR-USE-02, NFR-USE-03, NFR-USE-04, NFR-USE-05, NFR-RSP-01, NFR-RSP-02, NFR-CFG-05</w:t>
            </w:r>
          </w:p>
        </w:tc>
        <w:tc>
          <w:tcPr>
            <w:tcW w:type="dxa" w:w="3124"/>
            <w:tcMar>
              <w:top w:w="50" w:type="dxa"/>
              <w:bottom w:w="50" w:type="dxa"/>
              <w:left w:w="90" w:type="dxa"/>
              <w:right w:w="90" w:type="dxa"/>
            </w:tcMar>
            <w:shd w:val="clear" w:color="auto" w:fill="E5F5FF"/>
          </w:tcPr>
          <w:p>
            <w:pPr>
              <w:pStyle w:val="BDOITable"/>
            </w:pPr>
            <w:r>
              <w:rPr>
                <w:sz w:val="15"/>
              </w:rPr>
              <w:t>BIBS Product Owner</w:t>
            </w:r>
          </w:p>
        </w:tc>
      </w:tr>
    </w:tbl>
    <w:p>
      <w:pPr>
        <w:pStyle w:val="BDOISpacer"/>
      </w:pPr>
    </w:p>
    <w:p>
      <w:pPr>
        <w:pStyle w:val="Caption"/>
        <w:keepNext/>
        <w:spacing w:after="60"/>
      </w:pPr>
      <w:r>
        <w:rPr>
          <w:b/>
          <w:i w:val="0"/>
        </w:rPr>
        <w:t xml:space="preserve">Table 24: </w:t>
      </w:r>
      <w:r>
        <w:rPr/>
        <w:t>RACI for the NFRs (iorta TechNXT roles, then BDOI; R responsible, A accountable, C consulted, I informed)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03"/>
        <w:gridCol w:w="1009"/>
        <w:gridCol w:w="1009"/>
        <w:gridCol w:w="1009"/>
        <w:gridCol w:w="1009"/>
        <w:gridCol w:w="1009"/>
        <w:gridCol w:w="1009"/>
        <w:gridCol w:w="1009"/>
      </w:tblGrid>
      <w:tr>
        <w:trPr>
          <w:tblHeader w:val="true"/>
          <w:cantSplit w:val="true"/>
        </w:trPr>
        <w:tc>
          <w:tcPr>
            <w:tcW w:type="dxa" w:w="2903"/>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1010"/>
            <w:shd w:val="clear" w:color="auto" w:fill="004EA8"/>
            <w:tcMar>
              <w:top w:w="50" w:type="dxa"/>
              <w:bottom w:w="50" w:type="dxa"/>
              <w:left w:w="90" w:type="dxa"/>
              <w:right w:w="90" w:type="dxa"/>
            </w:tcMar>
            <w:vAlign w:val="center"/>
          </w:tcPr>
          <w:p>
            <w:pPr>
              <w:pStyle w:val="BDOITableHeader"/>
            </w:pPr>
            <w:r>
              <w:rPr>
                <w:b/>
                <w:color w:val="FFFFFF"/>
                <w:sz w:val="16"/>
              </w:rPr>
              <w:t>Solution Architect</w:t>
            </w:r>
          </w:p>
        </w:tc>
        <w:tc>
          <w:tcPr>
            <w:tcW w:type="dxa" w:w="1010"/>
            <w:shd w:val="clear" w:color="auto" w:fill="004EA8"/>
            <w:tcMar>
              <w:top w:w="50" w:type="dxa"/>
              <w:bottom w:w="50" w:type="dxa"/>
              <w:left w:w="90" w:type="dxa"/>
              <w:right w:w="90" w:type="dxa"/>
            </w:tcMar>
            <w:vAlign w:val="center"/>
          </w:tcPr>
          <w:p>
            <w:pPr>
              <w:pStyle w:val="BDOITableHeader"/>
            </w:pPr>
            <w:r>
              <w:rPr>
                <w:b/>
                <w:color w:val="FFFFFF"/>
                <w:sz w:val="16"/>
              </w:rPr>
              <w:t>Perf. Test Lead</w:t>
            </w:r>
          </w:p>
        </w:tc>
        <w:tc>
          <w:tcPr>
            <w:tcW w:type="dxa" w:w="1010"/>
            <w:shd w:val="clear" w:color="auto" w:fill="004EA8"/>
            <w:tcMar>
              <w:top w:w="50" w:type="dxa"/>
              <w:bottom w:w="50" w:type="dxa"/>
              <w:left w:w="90" w:type="dxa"/>
              <w:right w:w="90" w:type="dxa"/>
            </w:tcMar>
            <w:vAlign w:val="center"/>
          </w:tcPr>
          <w:p>
            <w:pPr>
              <w:pStyle w:val="BDOITableHeader"/>
            </w:pPr>
            <w:r>
              <w:rPr>
                <w:b/>
                <w:color w:val="FFFFFF"/>
                <w:sz w:val="16"/>
              </w:rPr>
              <w:t>Security Lead</w:t>
            </w:r>
          </w:p>
        </w:tc>
        <w:tc>
          <w:tcPr>
            <w:tcW w:type="dxa" w:w="1010"/>
            <w:shd w:val="clear" w:color="auto" w:fill="004EA8"/>
            <w:tcMar>
              <w:top w:w="50" w:type="dxa"/>
              <w:bottom w:w="50" w:type="dxa"/>
              <w:left w:w="90" w:type="dxa"/>
              <w:right w:w="90" w:type="dxa"/>
            </w:tcMar>
            <w:vAlign w:val="center"/>
          </w:tcPr>
          <w:p>
            <w:pPr>
              <w:pStyle w:val="BDOITableHeader"/>
            </w:pPr>
            <w:r>
              <w:rPr>
                <w:b/>
                <w:color w:val="FFFFFF"/>
                <w:sz w:val="16"/>
              </w:rPr>
              <w:t>QA lead</w:t>
            </w:r>
          </w:p>
        </w:tc>
        <w:tc>
          <w:tcPr>
            <w:tcW w:type="dxa" w:w="1010"/>
            <w:shd w:val="clear" w:color="auto" w:fill="004EA8"/>
            <w:tcMar>
              <w:top w:w="50" w:type="dxa"/>
              <w:bottom w:w="50" w:type="dxa"/>
              <w:left w:w="90" w:type="dxa"/>
              <w:right w:w="90" w:type="dxa"/>
            </w:tcMar>
            <w:vAlign w:val="center"/>
          </w:tcPr>
          <w:p>
            <w:pPr>
              <w:pStyle w:val="BDOITableHeader"/>
            </w:pPr>
            <w:r>
              <w:rPr>
                <w:b/>
                <w:color w:val="FFFFFF"/>
                <w:sz w:val="16"/>
              </w:rPr>
              <w:t>BIBS PO</w:t>
            </w:r>
          </w:p>
        </w:tc>
        <w:tc>
          <w:tcPr>
            <w:tcW w:type="dxa" w:w="1010"/>
            <w:shd w:val="clear" w:color="auto" w:fill="004EA8"/>
            <w:tcMar>
              <w:top w:w="50" w:type="dxa"/>
              <w:bottom w:w="50" w:type="dxa"/>
              <w:left w:w="90" w:type="dxa"/>
              <w:right w:w="90" w:type="dxa"/>
            </w:tcMar>
            <w:vAlign w:val="center"/>
          </w:tcPr>
          <w:p>
            <w:pPr>
              <w:pStyle w:val="BDOITableHeader"/>
            </w:pPr>
            <w:r>
              <w:rPr>
                <w:b/>
                <w:color w:val="FFFFFF"/>
                <w:sz w:val="16"/>
              </w:rPr>
              <w:t>BDOI IT</w:t>
            </w:r>
          </w:p>
        </w:tc>
        <w:tc>
          <w:tcPr>
            <w:tcW w:type="dxa" w:w="1010"/>
            <w:shd w:val="clear" w:color="auto" w:fill="004EA8"/>
            <w:tcMar>
              <w:top w:w="50" w:type="dxa"/>
              <w:bottom w:w="50" w:type="dxa"/>
              <w:left w:w="90" w:type="dxa"/>
              <w:right w:w="90" w:type="dxa"/>
            </w:tcMar>
            <w:vAlign w:val="center"/>
          </w:tcPr>
          <w:p>
            <w:pPr>
              <w:pStyle w:val="BDOITableHeader"/>
            </w:pPr>
            <w:r>
              <w:rPr>
                <w:b/>
                <w:color w:val="FFFFFF"/>
                <w:sz w:val="16"/>
              </w:rPr>
              <w:t>BDOI InfoSec</w:t>
            </w:r>
          </w:p>
        </w:tc>
      </w:tr>
      <w:tr>
        <w:trPr>
          <w:cantSplit w:val="true"/>
        </w:trPr>
        <w:tc>
          <w:tcPr>
            <w:tcW w:type="dxa" w:w="2903"/>
            <w:tcMar>
              <w:top w:w="50" w:type="dxa"/>
              <w:bottom w:w="50" w:type="dxa"/>
              <w:left w:w="90" w:type="dxa"/>
              <w:right w:w="90" w:type="dxa"/>
            </w:tcMar>
          </w:tcPr>
          <w:p>
            <w:pPr>
              <w:pStyle w:val="BDOITable"/>
            </w:pPr>
            <w:r>
              <w:rPr>
                <w:sz w:val="16"/>
              </w:rPr>
              <w:t>Agree the NFR targets</w:t>
            </w:r>
          </w:p>
        </w:tc>
        <w:tc>
          <w:tcPr>
            <w:tcW w:type="dxa" w:w="1010"/>
            <w:tcMar>
              <w:top w:w="50" w:type="dxa"/>
              <w:bottom w:w="50" w:type="dxa"/>
              <w:left w:w="90" w:type="dxa"/>
              <w:right w:w="90" w:type="dxa"/>
            </w:tcMar>
          </w:tcPr>
          <w:p>
            <w:pPr>
              <w:pStyle w:val="BDOITable"/>
            </w:pPr>
            <w:r>
              <w:rPr>
                <w:sz w:val="16"/>
              </w:rPr>
              <w:t>R</w:t>
            </w:r>
          </w:p>
        </w:tc>
        <w:tc>
          <w:tcPr>
            <w:tcW w:type="dxa" w:w="1010"/>
            <w:tcMar>
              <w:top w:w="50" w:type="dxa"/>
              <w:bottom w:w="50" w:type="dxa"/>
              <w:left w:w="90" w:type="dxa"/>
              <w:right w:w="90" w:type="dxa"/>
            </w:tcMar>
          </w:tcPr>
          <w:p>
            <w:pPr>
              <w:pStyle w:val="BDOITable"/>
            </w:pPr>
            <w:r>
              <w:rPr>
                <w:sz w:val="16"/>
              </w:rPr>
              <w:t>C</w:t>
            </w:r>
          </w:p>
        </w:tc>
        <w:tc>
          <w:tcPr>
            <w:tcW w:type="dxa" w:w="1010"/>
            <w:tcMar>
              <w:top w:w="50" w:type="dxa"/>
              <w:bottom w:w="50" w:type="dxa"/>
              <w:left w:w="90" w:type="dxa"/>
              <w:right w:w="90" w:type="dxa"/>
            </w:tcMar>
          </w:tcPr>
          <w:p>
            <w:pPr>
              <w:pStyle w:val="BDOITable"/>
            </w:pPr>
            <w:r>
              <w:rPr>
                <w:sz w:val="16"/>
              </w:rPr>
              <w:t>C</w:t>
            </w:r>
          </w:p>
        </w:tc>
        <w:tc>
          <w:tcPr>
            <w:tcW w:type="dxa" w:w="1010"/>
            <w:tcMar>
              <w:top w:w="50" w:type="dxa"/>
              <w:bottom w:w="50" w:type="dxa"/>
              <w:left w:w="90" w:type="dxa"/>
              <w:right w:w="90" w:type="dxa"/>
            </w:tcMar>
          </w:tcPr>
          <w:p>
            <w:pPr>
              <w:pStyle w:val="BDOITable"/>
            </w:pPr>
            <w:r>
              <w:rPr>
                <w:sz w:val="16"/>
              </w:rPr>
              <w:t>C</w:t>
            </w:r>
          </w:p>
        </w:tc>
        <w:tc>
          <w:tcPr>
            <w:tcW w:type="dxa" w:w="1010"/>
            <w:tcMar>
              <w:top w:w="50" w:type="dxa"/>
              <w:bottom w:w="50" w:type="dxa"/>
              <w:left w:w="90" w:type="dxa"/>
              <w:right w:w="90" w:type="dxa"/>
            </w:tcMar>
          </w:tcPr>
          <w:p>
            <w:pPr>
              <w:pStyle w:val="BDOITable"/>
            </w:pPr>
            <w:r>
              <w:rPr>
                <w:sz w:val="16"/>
              </w:rPr>
              <w:t>A</w:t>
            </w:r>
          </w:p>
        </w:tc>
        <w:tc>
          <w:tcPr>
            <w:tcW w:type="dxa" w:w="1010"/>
            <w:tcMar>
              <w:top w:w="50" w:type="dxa"/>
              <w:bottom w:w="50" w:type="dxa"/>
              <w:left w:w="90" w:type="dxa"/>
              <w:right w:w="90" w:type="dxa"/>
            </w:tcMar>
          </w:tcPr>
          <w:p>
            <w:pPr>
              <w:pStyle w:val="BDOITable"/>
            </w:pPr>
            <w:r>
              <w:rPr>
                <w:sz w:val="16"/>
              </w:rPr>
              <w:t>C</w:t>
            </w:r>
          </w:p>
        </w:tc>
        <w:tc>
          <w:tcPr>
            <w:tcW w:type="dxa" w:w="1010"/>
            <w:tcMar>
              <w:top w:w="50" w:type="dxa"/>
              <w:bottom w:w="50" w:type="dxa"/>
              <w:left w:w="90" w:type="dxa"/>
              <w:right w:w="90" w:type="dxa"/>
            </w:tcMar>
          </w:tcPr>
          <w:p>
            <w:pPr>
              <w:pStyle w:val="BDOITable"/>
            </w:pPr>
            <w:r>
              <w:rPr>
                <w:sz w:val="16"/>
              </w:rPr>
              <w:t>C</w:t>
            </w:r>
          </w:p>
        </w:tc>
      </w:tr>
      <w:tr>
        <w:trPr>
          <w:cantSplit w:val="true"/>
        </w:trPr>
        <w:tc>
          <w:tcPr>
            <w:tcW w:type="dxa" w:w="2903"/>
            <w:tcMar>
              <w:top w:w="50" w:type="dxa"/>
              <w:bottom w:w="50" w:type="dxa"/>
              <w:left w:w="90" w:type="dxa"/>
              <w:right w:w="90" w:type="dxa"/>
            </w:tcMar>
            <w:shd w:val="clear" w:color="auto" w:fill="E5F5FF"/>
          </w:tcPr>
          <w:p>
            <w:pPr>
              <w:pStyle w:val="BDOITable"/>
            </w:pPr>
            <w:r>
              <w:rPr>
                <w:sz w:val="16"/>
              </w:rPr>
              <w:t>Design to the targets</w:t>
            </w:r>
          </w:p>
        </w:tc>
        <w:tc>
          <w:tcPr>
            <w:tcW w:type="dxa" w:w="1010"/>
            <w:tcMar>
              <w:top w:w="50" w:type="dxa"/>
              <w:bottom w:w="50" w:type="dxa"/>
              <w:left w:w="90" w:type="dxa"/>
              <w:right w:w="90" w:type="dxa"/>
            </w:tcMar>
            <w:shd w:val="clear" w:color="auto" w:fill="E5F5FF"/>
          </w:tcPr>
          <w:p>
            <w:pPr>
              <w:pStyle w:val="BDOITable"/>
            </w:pPr>
            <w:r>
              <w:rPr>
                <w:sz w:val="16"/>
              </w:rPr>
              <w:t>A</w:t>
            </w:r>
          </w:p>
        </w:tc>
        <w:tc>
          <w:tcPr>
            <w:tcW w:type="dxa" w:w="1010"/>
            <w:tcMar>
              <w:top w:w="50" w:type="dxa"/>
              <w:bottom w:w="50" w:type="dxa"/>
              <w:left w:w="90" w:type="dxa"/>
              <w:right w:w="90" w:type="dxa"/>
            </w:tcMar>
            <w:shd w:val="clear" w:color="auto" w:fill="E5F5FF"/>
          </w:tcPr>
          <w:p>
            <w:pPr>
              <w:pStyle w:val="BDOITable"/>
            </w:pPr>
            <w:r>
              <w:rPr>
                <w:sz w:val="16"/>
              </w:rPr>
              <w:t>C</w:t>
            </w:r>
          </w:p>
        </w:tc>
        <w:tc>
          <w:tcPr>
            <w:tcW w:type="dxa" w:w="1010"/>
            <w:tcMar>
              <w:top w:w="50" w:type="dxa"/>
              <w:bottom w:w="50" w:type="dxa"/>
              <w:left w:w="90" w:type="dxa"/>
              <w:right w:w="90" w:type="dxa"/>
            </w:tcMar>
            <w:shd w:val="clear" w:color="auto" w:fill="E5F5FF"/>
          </w:tcPr>
          <w:p>
            <w:pPr>
              <w:pStyle w:val="BDOITable"/>
            </w:pPr>
            <w:r>
              <w:rPr>
                <w:sz w:val="16"/>
              </w:rPr>
              <w:t>R</w:t>
            </w:r>
          </w:p>
        </w:tc>
        <w:tc>
          <w:tcPr>
            <w:tcW w:type="dxa" w:w="1010"/>
            <w:tcMar>
              <w:top w:w="50" w:type="dxa"/>
              <w:bottom w:w="50" w:type="dxa"/>
              <w:left w:w="90" w:type="dxa"/>
              <w:right w:w="90" w:type="dxa"/>
            </w:tcMar>
            <w:shd w:val="clear" w:color="auto" w:fill="E5F5FF"/>
          </w:tcPr>
          <w:p>
            <w:pPr>
              <w:pStyle w:val="BDOITable"/>
            </w:pPr>
            <w:r>
              <w:rPr>
                <w:sz w:val="16"/>
              </w:rPr>
              <w:t>I</w:t>
            </w:r>
          </w:p>
        </w:tc>
        <w:tc>
          <w:tcPr>
            <w:tcW w:type="dxa" w:w="1010"/>
            <w:tcMar>
              <w:top w:w="50" w:type="dxa"/>
              <w:bottom w:w="50" w:type="dxa"/>
              <w:left w:w="90" w:type="dxa"/>
              <w:right w:w="90" w:type="dxa"/>
            </w:tcMar>
            <w:shd w:val="clear" w:color="auto" w:fill="E5F5FF"/>
          </w:tcPr>
          <w:p>
            <w:pPr>
              <w:pStyle w:val="BDOITable"/>
            </w:pPr>
            <w:r>
              <w:rPr>
                <w:sz w:val="16"/>
              </w:rPr>
              <w:t>I</w:t>
            </w:r>
          </w:p>
        </w:tc>
        <w:tc>
          <w:tcPr>
            <w:tcW w:type="dxa" w:w="1010"/>
            <w:tcMar>
              <w:top w:w="50" w:type="dxa"/>
              <w:bottom w:w="50" w:type="dxa"/>
              <w:left w:w="90" w:type="dxa"/>
              <w:right w:w="90" w:type="dxa"/>
            </w:tcMar>
            <w:shd w:val="clear" w:color="auto" w:fill="E5F5FF"/>
          </w:tcPr>
          <w:p>
            <w:pPr>
              <w:pStyle w:val="BDOITable"/>
            </w:pPr>
            <w:r>
              <w:rPr>
                <w:sz w:val="16"/>
              </w:rPr>
              <w:t>C</w:t>
            </w:r>
          </w:p>
        </w:tc>
        <w:tc>
          <w:tcPr>
            <w:tcW w:type="dxa" w:w="1010"/>
            <w:tcMar>
              <w:top w:w="50" w:type="dxa"/>
              <w:bottom w:w="50" w:type="dxa"/>
              <w:left w:w="90" w:type="dxa"/>
              <w:right w:w="90" w:type="dxa"/>
            </w:tcMar>
            <w:shd w:val="clear" w:color="auto" w:fill="E5F5FF"/>
          </w:tcPr>
          <w:p>
            <w:pPr>
              <w:pStyle w:val="BDOITable"/>
            </w:pPr>
            <w:r>
              <w:rPr>
                <w:sz w:val="16"/>
              </w:rPr>
              <w:t>C</w:t>
            </w:r>
          </w:p>
        </w:tc>
      </w:tr>
      <w:tr>
        <w:trPr>
          <w:cantSplit w:val="true"/>
        </w:trPr>
        <w:tc>
          <w:tcPr>
            <w:tcW w:type="dxa" w:w="2903"/>
            <w:tcMar>
              <w:top w:w="50" w:type="dxa"/>
              <w:bottom w:w="50" w:type="dxa"/>
              <w:left w:w="90" w:type="dxa"/>
              <w:right w:w="90" w:type="dxa"/>
            </w:tcMar>
          </w:tcPr>
          <w:p>
            <w:pPr>
              <w:pStyle w:val="BDOITable"/>
            </w:pPr>
            <w:r>
              <w:rPr>
                <w:sz w:val="16"/>
              </w:rPr>
              <w:t>Plan and run the non-functional tests</w:t>
            </w:r>
          </w:p>
        </w:tc>
        <w:tc>
          <w:tcPr>
            <w:tcW w:type="dxa" w:w="1010"/>
            <w:tcMar>
              <w:top w:w="50" w:type="dxa"/>
              <w:bottom w:w="50" w:type="dxa"/>
              <w:left w:w="90" w:type="dxa"/>
              <w:right w:w="90" w:type="dxa"/>
            </w:tcMar>
          </w:tcPr>
          <w:p>
            <w:pPr>
              <w:pStyle w:val="BDOITable"/>
            </w:pPr>
            <w:r>
              <w:rPr>
                <w:sz w:val="16"/>
              </w:rPr>
              <w:t>C</w:t>
            </w:r>
          </w:p>
        </w:tc>
        <w:tc>
          <w:tcPr>
            <w:tcW w:type="dxa" w:w="1010"/>
            <w:tcMar>
              <w:top w:w="50" w:type="dxa"/>
              <w:bottom w:w="50" w:type="dxa"/>
              <w:left w:w="90" w:type="dxa"/>
              <w:right w:w="90" w:type="dxa"/>
            </w:tcMar>
          </w:tcPr>
          <w:p>
            <w:pPr>
              <w:pStyle w:val="BDOITable"/>
            </w:pPr>
            <w:r>
              <w:rPr>
                <w:sz w:val="16"/>
              </w:rPr>
              <w:t>A</w:t>
            </w:r>
          </w:p>
        </w:tc>
        <w:tc>
          <w:tcPr>
            <w:tcW w:type="dxa" w:w="1010"/>
            <w:tcMar>
              <w:top w:w="50" w:type="dxa"/>
              <w:bottom w:w="50" w:type="dxa"/>
              <w:left w:w="90" w:type="dxa"/>
              <w:right w:w="90" w:type="dxa"/>
            </w:tcMar>
          </w:tcPr>
          <w:p>
            <w:pPr>
              <w:pStyle w:val="BDOITable"/>
            </w:pPr>
            <w:r>
              <w:rPr>
                <w:sz w:val="16"/>
              </w:rPr>
              <w:t>R</w:t>
            </w:r>
          </w:p>
        </w:tc>
        <w:tc>
          <w:tcPr>
            <w:tcW w:type="dxa" w:w="1010"/>
            <w:tcMar>
              <w:top w:w="50" w:type="dxa"/>
              <w:bottom w:w="50" w:type="dxa"/>
              <w:left w:w="90" w:type="dxa"/>
              <w:right w:w="90" w:type="dxa"/>
            </w:tcMar>
          </w:tcPr>
          <w:p>
            <w:pPr>
              <w:pStyle w:val="BDOITable"/>
            </w:pPr>
            <w:r>
              <w:rPr>
                <w:sz w:val="16"/>
              </w:rPr>
              <w:t>R</w:t>
            </w:r>
          </w:p>
        </w:tc>
        <w:tc>
          <w:tcPr>
            <w:tcW w:type="dxa" w:w="1010"/>
            <w:tcMar>
              <w:top w:w="50" w:type="dxa"/>
              <w:bottom w:w="50" w:type="dxa"/>
              <w:left w:w="90" w:type="dxa"/>
              <w:right w:w="90" w:type="dxa"/>
            </w:tcMar>
          </w:tcPr>
          <w:p>
            <w:pPr>
              <w:pStyle w:val="BDOITable"/>
            </w:pPr>
            <w:r>
              <w:rPr>
                <w:sz w:val="16"/>
              </w:rPr>
              <w:t>I</w:t>
            </w:r>
          </w:p>
        </w:tc>
        <w:tc>
          <w:tcPr>
            <w:tcW w:type="dxa" w:w="1010"/>
            <w:tcMar>
              <w:top w:w="50" w:type="dxa"/>
              <w:bottom w:w="50" w:type="dxa"/>
              <w:left w:w="90" w:type="dxa"/>
              <w:right w:w="90" w:type="dxa"/>
            </w:tcMar>
          </w:tcPr>
          <w:p>
            <w:pPr>
              <w:pStyle w:val="BDOITable"/>
            </w:pPr>
            <w:r>
              <w:rPr>
                <w:sz w:val="16"/>
              </w:rPr>
              <w:t>C</w:t>
            </w:r>
          </w:p>
        </w:tc>
        <w:tc>
          <w:tcPr>
            <w:tcW w:type="dxa" w:w="1010"/>
            <w:tcMar>
              <w:top w:w="50" w:type="dxa"/>
              <w:bottom w:w="50" w:type="dxa"/>
              <w:left w:w="90" w:type="dxa"/>
              <w:right w:w="90" w:type="dxa"/>
            </w:tcMar>
          </w:tcPr>
          <w:p>
            <w:pPr>
              <w:pStyle w:val="BDOITable"/>
            </w:pPr>
            <w:r>
              <w:rPr>
                <w:sz w:val="16"/>
              </w:rPr>
              <w:t>C</w:t>
            </w:r>
          </w:p>
        </w:tc>
      </w:tr>
      <w:tr>
        <w:trPr>
          <w:cantSplit w:val="true"/>
        </w:trPr>
        <w:tc>
          <w:tcPr>
            <w:tcW w:type="dxa" w:w="2903"/>
            <w:tcMar>
              <w:top w:w="50" w:type="dxa"/>
              <w:bottom w:w="50" w:type="dxa"/>
              <w:left w:w="90" w:type="dxa"/>
              <w:right w:w="90" w:type="dxa"/>
            </w:tcMar>
            <w:shd w:val="clear" w:color="auto" w:fill="E5F5FF"/>
          </w:tcPr>
          <w:p>
            <w:pPr>
              <w:pStyle w:val="BDOITable"/>
            </w:pPr>
            <w:r>
              <w:rPr>
                <w:sz w:val="16"/>
              </w:rPr>
              <w:t>Accept performance and capacity evidence</w:t>
            </w:r>
          </w:p>
        </w:tc>
        <w:tc>
          <w:tcPr>
            <w:tcW w:type="dxa" w:w="1010"/>
            <w:tcMar>
              <w:top w:w="50" w:type="dxa"/>
              <w:bottom w:w="50" w:type="dxa"/>
              <w:left w:w="90" w:type="dxa"/>
              <w:right w:w="90" w:type="dxa"/>
            </w:tcMar>
            <w:shd w:val="clear" w:color="auto" w:fill="E5F5FF"/>
          </w:tcPr>
          <w:p>
            <w:pPr>
              <w:pStyle w:val="BDOITable"/>
            </w:pPr>
            <w:r>
              <w:rPr>
                <w:sz w:val="16"/>
              </w:rPr>
              <w:t>R</w:t>
            </w:r>
          </w:p>
        </w:tc>
        <w:tc>
          <w:tcPr>
            <w:tcW w:type="dxa" w:w="1010"/>
            <w:tcMar>
              <w:top w:w="50" w:type="dxa"/>
              <w:bottom w:w="50" w:type="dxa"/>
              <w:left w:w="90" w:type="dxa"/>
              <w:right w:w="90" w:type="dxa"/>
            </w:tcMar>
            <w:shd w:val="clear" w:color="auto" w:fill="E5F5FF"/>
          </w:tcPr>
          <w:p>
            <w:pPr>
              <w:pStyle w:val="BDOITable"/>
            </w:pPr>
            <w:r>
              <w:rPr>
                <w:sz w:val="16"/>
              </w:rPr>
              <w:t>R</w:t>
            </w:r>
          </w:p>
        </w:tc>
        <w:tc>
          <w:tcPr>
            <w:tcW w:type="dxa" w:w="1010"/>
            <w:tcMar>
              <w:top w:w="50" w:type="dxa"/>
              <w:bottom w:w="50" w:type="dxa"/>
              <w:left w:w="90" w:type="dxa"/>
              <w:right w:w="90" w:type="dxa"/>
            </w:tcMar>
            <w:shd w:val="clear" w:color="auto" w:fill="E5F5FF"/>
          </w:tcPr>
          <w:p>
            <w:pPr>
              <w:pStyle w:val="BDOITable"/>
            </w:pPr>
            <w:r>
              <w:rPr>
                <w:sz w:val="16"/>
              </w:rPr>
              <w:t>I</w:t>
            </w:r>
          </w:p>
        </w:tc>
        <w:tc>
          <w:tcPr>
            <w:tcW w:type="dxa" w:w="1010"/>
            <w:tcMar>
              <w:top w:w="50" w:type="dxa"/>
              <w:bottom w:w="50" w:type="dxa"/>
              <w:left w:w="90" w:type="dxa"/>
              <w:right w:w="90" w:type="dxa"/>
            </w:tcMar>
            <w:shd w:val="clear" w:color="auto" w:fill="E5F5FF"/>
          </w:tcPr>
          <w:p>
            <w:pPr>
              <w:pStyle w:val="BDOITable"/>
            </w:pPr>
            <w:r>
              <w:rPr>
                <w:sz w:val="16"/>
              </w:rPr>
              <w:t>C</w:t>
            </w:r>
          </w:p>
        </w:tc>
        <w:tc>
          <w:tcPr>
            <w:tcW w:type="dxa" w:w="1010"/>
            <w:tcMar>
              <w:top w:w="50" w:type="dxa"/>
              <w:bottom w:w="50" w:type="dxa"/>
              <w:left w:w="90" w:type="dxa"/>
              <w:right w:w="90" w:type="dxa"/>
            </w:tcMar>
            <w:shd w:val="clear" w:color="auto" w:fill="E5F5FF"/>
          </w:tcPr>
          <w:p>
            <w:pPr>
              <w:pStyle w:val="BDOITable"/>
            </w:pPr>
            <w:r>
              <w:rPr>
                <w:sz w:val="16"/>
              </w:rPr>
              <w:t>A</w:t>
            </w:r>
          </w:p>
        </w:tc>
        <w:tc>
          <w:tcPr>
            <w:tcW w:type="dxa" w:w="1010"/>
            <w:tcMar>
              <w:top w:w="50" w:type="dxa"/>
              <w:bottom w:w="50" w:type="dxa"/>
              <w:left w:w="90" w:type="dxa"/>
              <w:right w:w="90" w:type="dxa"/>
            </w:tcMar>
            <w:shd w:val="clear" w:color="auto" w:fill="E5F5FF"/>
          </w:tcPr>
          <w:p>
            <w:pPr>
              <w:pStyle w:val="BDOITable"/>
            </w:pPr>
            <w:r>
              <w:rPr>
                <w:sz w:val="16"/>
              </w:rPr>
              <w:t>C</w:t>
            </w:r>
          </w:p>
        </w:tc>
        <w:tc>
          <w:tcPr>
            <w:tcW w:type="dxa" w:w="1010"/>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2903"/>
            <w:tcMar>
              <w:top w:w="50" w:type="dxa"/>
              <w:bottom w:w="50" w:type="dxa"/>
              <w:left w:w="90" w:type="dxa"/>
              <w:right w:w="90" w:type="dxa"/>
            </w:tcMar>
          </w:tcPr>
          <w:p>
            <w:pPr>
              <w:pStyle w:val="BDOITable"/>
            </w:pPr>
            <w:r>
              <w:rPr>
                <w:sz w:val="16"/>
              </w:rPr>
              <w:t>Accept availability, recovery and operations evidence</w:t>
            </w:r>
          </w:p>
        </w:tc>
        <w:tc>
          <w:tcPr>
            <w:tcW w:type="dxa" w:w="1010"/>
            <w:tcMar>
              <w:top w:w="50" w:type="dxa"/>
              <w:bottom w:w="50" w:type="dxa"/>
              <w:left w:w="90" w:type="dxa"/>
              <w:right w:w="90" w:type="dxa"/>
            </w:tcMar>
          </w:tcPr>
          <w:p>
            <w:pPr>
              <w:pStyle w:val="BDOITable"/>
            </w:pPr>
            <w:r>
              <w:rPr>
                <w:sz w:val="16"/>
              </w:rPr>
              <w:t>R</w:t>
            </w:r>
          </w:p>
        </w:tc>
        <w:tc>
          <w:tcPr>
            <w:tcW w:type="dxa" w:w="1010"/>
            <w:tcMar>
              <w:top w:w="50" w:type="dxa"/>
              <w:bottom w:w="50" w:type="dxa"/>
              <w:left w:w="90" w:type="dxa"/>
              <w:right w:w="90" w:type="dxa"/>
            </w:tcMar>
          </w:tcPr>
          <w:p>
            <w:pPr>
              <w:pStyle w:val="BDOITable"/>
            </w:pPr>
            <w:r>
              <w:rPr>
                <w:sz w:val="16"/>
              </w:rPr>
              <w:t>I</w:t>
            </w:r>
          </w:p>
        </w:tc>
        <w:tc>
          <w:tcPr>
            <w:tcW w:type="dxa" w:w="1010"/>
            <w:tcMar>
              <w:top w:w="50" w:type="dxa"/>
              <w:bottom w:w="50" w:type="dxa"/>
              <w:left w:w="90" w:type="dxa"/>
              <w:right w:w="90" w:type="dxa"/>
            </w:tcMar>
          </w:tcPr>
          <w:p>
            <w:pPr>
              <w:pStyle w:val="BDOITable"/>
            </w:pPr>
            <w:r>
              <w:rPr>
                <w:sz w:val="16"/>
              </w:rPr>
              <w:t>I</w:t>
            </w:r>
          </w:p>
        </w:tc>
        <w:tc>
          <w:tcPr>
            <w:tcW w:type="dxa" w:w="1010"/>
            <w:tcMar>
              <w:top w:w="50" w:type="dxa"/>
              <w:bottom w:w="50" w:type="dxa"/>
              <w:left w:w="90" w:type="dxa"/>
              <w:right w:w="90" w:type="dxa"/>
            </w:tcMar>
          </w:tcPr>
          <w:p>
            <w:pPr>
              <w:pStyle w:val="BDOITable"/>
            </w:pPr>
            <w:r>
              <w:rPr>
                <w:sz w:val="16"/>
              </w:rPr>
              <w:t>C</w:t>
            </w:r>
          </w:p>
        </w:tc>
        <w:tc>
          <w:tcPr>
            <w:tcW w:type="dxa" w:w="1010"/>
            <w:tcMar>
              <w:top w:w="50" w:type="dxa"/>
              <w:bottom w:w="50" w:type="dxa"/>
              <w:left w:w="90" w:type="dxa"/>
              <w:right w:w="90" w:type="dxa"/>
            </w:tcMar>
          </w:tcPr>
          <w:p>
            <w:pPr>
              <w:pStyle w:val="BDOITable"/>
            </w:pPr>
            <w:r>
              <w:rPr>
                <w:sz w:val="16"/>
              </w:rPr>
              <w:t>I</w:t>
            </w:r>
          </w:p>
        </w:tc>
        <w:tc>
          <w:tcPr>
            <w:tcW w:type="dxa" w:w="1010"/>
            <w:tcMar>
              <w:top w:w="50" w:type="dxa"/>
              <w:bottom w:w="50" w:type="dxa"/>
              <w:left w:w="90" w:type="dxa"/>
              <w:right w:w="90" w:type="dxa"/>
            </w:tcMar>
          </w:tcPr>
          <w:p>
            <w:pPr>
              <w:pStyle w:val="BDOITable"/>
            </w:pPr>
            <w:r>
              <w:rPr>
                <w:sz w:val="16"/>
              </w:rPr>
              <w:t>A</w:t>
            </w:r>
          </w:p>
        </w:tc>
        <w:tc>
          <w:tcPr>
            <w:tcW w:type="dxa" w:w="1010"/>
            <w:tcMar>
              <w:top w:w="50" w:type="dxa"/>
              <w:bottom w:w="50" w:type="dxa"/>
              <w:left w:w="90" w:type="dxa"/>
              <w:right w:w="90" w:type="dxa"/>
            </w:tcMar>
          </w:tcPr>
          <w:p>
            <w:pPr>
              <w:pStyle w:val="BDOITable"/>
            </w:pPr>
            <w:r>
              <w:rPr>
                <w:sz w:val="16"/>
              </w:rPr>
              <w:t>C</w:t>
            </w:r>
          </w:p>
        </w:tc>
      </w:tr>
      <w:tr>
        <w:trPr>
          <w:cantSplit w:val="true"/>
        </w:trPr>
        <w:tc>
          <w:tcPr>
            <w:tcW w:type="dxa" w:w="2903"/>
            <w:tcMar>
              <w:top w:w="50" w:type="dxa"/>
              <w:bottom w:w="50" w:type="dxa"/>
              <w:left w:w="90" w:type="dxa"/>
              <w:right w:w="90" w:type="dxa"/>
            </w:tcMar>
            <w:shd w:val="clear" w:color="auto" w:fill="E5F5FF"/>
          </w:tcPr>
          <w:p>
            <w:pPr>
              <w:pStyle w:val="BDOITable"/>
            </w:pPr>
            <w:r>
              <w:rPr>
                <w:sz w:val="16"/>
              </w:rPr>
              <w:t>Accept security and privacy evidence</w:t>
            </w:r>
          </w:p>
        </w:tc>
        <w:tc>
          <w:tcPr>
            <w:tcW w:type="dxa" w:w="1010"/>
            <w:tcMar>
              <w:top w:w="50" w:type="dxa"/>
              <w:bottom w:w="50" w:type="dxa"/>
              <w:left w:w="90" w:type="dxa"/>
              <w:right w:w="90" w:type="dxa"/>
            </w:tcMar>
            <w:shd w:val="clear" w:color="auto" w:fill="E5F5FF"/>
          </w:tcPr>
          <w:p>
            <w:pPr>
              <w:pStyle w:val="BDOITable"/>
            </w:pPr>
            <w:r>
              <w:rPr>
                <w:sz w:val="16"/>
              </w:rPr>
              <w:t>C</w:t>
            </w:r>
          </w:p>
        </w:tc>
        <w:tc>
          <w:tcPr>
            <w:tcW w:type="dxa" w:w="1010"/>
            <w:tcMar>
              <w:top w:w="50" w:type="dxa"/>
              <w:bottom w:w="50" w:type="dxa"/>
              <w:left w:w="90" w:type="dxa"/>
              <w:right w:w="90" w:type="dxa"/>
            </w:tcMar>
            <w:shd w:val="clear" w:color="auto" w:fill="E5F5FF"/>
          </w:tcPr>
          <w:p>
            <w:pPr>
              <w:pStyle w:val="BDOITable"/>
            </w:pPr>
            <w:r>
              <w:rPr>
                <w:sz w:val="16"/>
              </w:rPr>
              <w:t>I</w:t>
            </w:r>
          </w:p>
        </w:tc>
        <w:tc>
          <w:tcPr>
            <w:tcW w:type="dxa" w:w="1010"/>
            <w:tcMar>
              <w:top w:w="50" w:type="dxa"/>
              <w:bottom w:w="50" w:type="dxa"/>
              <w:left w:w="90" w:type="dxa"/>
              <w:right w:w="90" w:type="dxa"/>
            </w:tcMar>
            <w:shd w:val="clear" w:color="auto" w:fill="E5F5FF"/>
          </w:tcPr>
          <w:p>
            <w:pPr>
              <w:pStyle w:val="BDOITable"/>
            </w:pPr>
            <w:r>
              <w:rPr>
                <w:sz w:val="16"/>
              </w:rPr>
              <w:t>R</w:t>
            </w:r>
          </w:p>
        </w:tc>
        <w:tc>
          <w:tcPr>
            <w:tcW w:type="dxa" w:w="1010"/>
            <w:tcMar>
              <w:top w:w="50" w:type="dxa"/>
              <w:bottom w:w="50" w:type="dxa"/>
              <w:left w:w="90" w:type="dxa"/>
              <w:right w:w="90" w:type="dxa"/>
            </w:tcMar>
            <w:shd w:val="clear" w:color="auto" w:fill="E5F5FF"/>
          </w:tcPr>
          <w:p>
            <w:pPr>
              <w:pStyle w:val="BDOITable"/>
            </w:pPr>
            <w:r>
              <w:rPr>
                <w:sz w:val="16"/>
              </w:rPr>
              <w:t>C</w:t>
            </w:r>
          </w:p>
        </w:tc>
        <w:tc>
          <w:tcPr>
            <w:tcW w:type="dxa" w:w="1010"/>
            <w:tcMar>
              <w:top w:w="50" w:type="dxa"/>
              <w:bottom w:w="50" w:type="dxa"/>
              <w:left w:w="90" w:type="dxa"/>
              <w:right w:w="90" w:type="dxa"/>
            </w:tcMar>
            <w:shd w:val="clear" w:color="auto" w:fill="E5F5FF"/>
          </w:tcPr>
          <w:p>
            <w:pPr>
              <w:pStyle w:val="BDOITable"/>
            </w:pPr>
            <w:r>
              <w:rPr>
                <w:sz w:val="16"/>
              </w:rPr>
              <w:t>I</w:t>
            </w:r>
          </w:p>
        </w:tc>
        <w:tc>
          <w:tcPr>
            <w:tcW w:type="dxa" w:w="1010"/>
            <w:tcMar>
              <w:top w:w="50" w:type="dxa"/>
              <w:bottom w:w="50" w:type="dxa"/>
              <w:left w:w="90" w:type="dxa"/>
              <w:right w:w="90" w:type="dxa"/>
            </w:tcMar>
            <w:shd w:val="clear" w:color="auto" w:fill="E5F5FF"/>
          </w:tcPr>
          <w:p>
            <w:pPr>
              <w:pStyle w:val="BDOITable"/>
            </w:pPr>
            <w:r>
              <w:rPr>
                <w:sz w:val="16"/>
              </w:rPr>
              <w:t>C</w:t>
            </w:r>
          </w:p>
        </w:tc>
        <w:tc>
          <w:tcPr>
            <w:tcW w:type="dxa" w:w="1010"/>
            <w:tcMar>
              <w:top w:w="50" w:type="dxa"/>
              <w:bottom w:w="50" w:type="dxa"/>
              <w:left w:w="90" w:type="dxa"/>
              <w:right w:w="90" w:type="dxa"/>
            </w:tcMar>
            <w:shd w:val="clear" w:color="auto" w:fill="E5F5FF"/>
          </w:tcPr>
          <w:p>
            <w:pPr>
              <w:pStyle w:val="BDOITable"/>
            </w:pPr>
            <w:r>
              <w:rPr>
                <w:sz w:val="16"/>
              </w:rPr>
              <w:t>A</w:t>
            </w:r>
          </w:p>
        </w:tc>
      </w:tr>
      <w:tr>
        <w:trPr>
          <w:cantSplit w:val="true"/>
        </w:trPr>
        <w:tc>
          <w:tcPr>
            <w:tcW w:type="dxa" w:w="2903"/>
            <w:tcMar>
              <w:top w:w="50" w:type="dxa"/>
              <w:bottom w:w="50" w:type="dxa"/>
              <w:left w:w="90" w:type="dxa"/>
              <w:right w:w="90" w:type="dxa"/>
            </w:tcMar>
          </w:tcPr>
          <w:p>
            <w:pPr>
              <w:pStyle w:val="BDOITable"/>
            </w:pPr>
            <w:r>
              <w:rPr>
                <w:sz w:val="16"/>
              </w:rPr>
              <w:t>Report NFRs monthly after go-live</w:t>
            </w:r>
          </w:p>
        </w:tc>
        <w:tc>
          <w:tcPr>
            <w:tcW w:type="dxa" w:w="1010"/>
            <w:tcMar>
              <w:top w:w="50" w:type="dxa"/>
              <w:bottom w:w="50" w:type="dxa"/>
              <w:left w:w="90" w:type="dxa"/>
              <w:right w:w="90" w:type="dxa"/>
            </w:tcMar>
          </w:tcPr>
          <w:p>
            <w:pPr>
              <w:pStyle w:val="BDOITable"/>
            </w:pPr>
            <w:r>
              <w:rPr>
                <w:sz w:val="16"/>
              </w:rPr>
              <w:t>R</w:t>
            </w:r>
          </w:p>
        </w:tc>
        <w:tc>
          <w:tcPr>
            <w:tcW w:type="dxa" w:w="1010"/>
            <w:tcMar>
              <w:top w:w="50" w:type="dxa"/>
              <w:bottom w:w="50" w:type="dxa"/>
              <w:left w:w="90" w:type="dxa"/>
              <w:right w:w="90" w:type="dxa"/>
            </w:tcMar>
          </w:tcPr>
          <w:p>
            <w:pPr>
              <w:pStyle w:val="BDOITable"/>
            </w:pPr>
            <w:r>
              <w:rPr>
                <w:sz w:val="16"/>
              </w:rPr>
              <w:t>I</w:t>
            </w:r>
          </w:p>
        </w:tc>
        <w:tc>
          <w:tcPr>
            <w:tcW w:type="dxa" w:w="1010"/>
            <w:tcMar>
              <w:top w:w="50" w:type="dxa"/>
              <w:bottom w:w="50" w:type="dxa"/>
              <w:left w:w="90" w:type="dxa"/>
              <w:right w:w="90" w:type="dxa"/>
            </w:tcMar>
          </w:tcPr>
          <w:p>
            <w:pPr>
              <w:pStyle w:val="BDOITable"/>
            </w:pPr>
            <w:r>
              <w:rPr>
                <w:sz w:val="16"/>
              </w:rPr>
              <w:t>R</w:t>
            </w:r>
          </w:p>
        </w:tc>
        <w:tc>
          <w:tcPr>
            <w:tcW w:type="dxa" w:w="1010"/>
            <w:tcMar>
              <w:top w:w="50" w:type="dxa"/>
              <w:bottom w:w="50" w:type="dxa"/>
              <w:left w:w="90" w:type="dxa"/>
              <w:right w:w="90" w:type="dxa"/>
            </w:tcMar>
          </w:tcPr>
          <w:p>
            <w:pPr>
              <w:pStyle w:val="BDOITable"/>
            </w:pPr>
            <w:r>
              <w:rPr>
                <w:sz w:val="16"/>
              </w:rPr>
              <w:t>I</w:t>
            </w:r>
          </w:p>
        </w:tc>
        <w:tc>
          <w:tcPr>
            <w:tcW w:type="dxa" w:w="1010"/>
            <w:tcMar>
              <w:top w:w="50" w:type="dxa"/>
              <w:bottom w:w="50" w:type="dxa"/>
              <w:left w:w="90" w:type="dxa"/>
              <w:right w:w="90" w:type="dxa"/>
            </w:tcMar>
          </w:tcPr>
          <w:p>
            <w:pPr>
              <w:pStyle w:val="BDOITable"/>
            </w:pPr>
            <w:r>
              <w:rPr>
                <w:sz w:val="16"/>
              </w:rPr>
              <w:t>I</w:t>
            </w:r>
          </w:p>
        </w:tc>
        <w:tc>
          <w:tcPr>
            <w:tcW w:type="dxa" w:w="1010"/>
            <w:tcMar>
              <w:top w:w="50" w:type="dxa"/>
              <w:bottom w:w="50" w:type="dxa"/>
              <w:left w:w="90" w:type="dxa"/>
              <w:right w:w="90" w:type="dxa"/>
            </w:tcMar>
          </w:tcPr>
          <w:p>
            <w:pPr>
              <w:pStyle w:val="BDOITable"/>
            </w:pPr>
            <w:r>
              <w:rPr>
                <w:sz w:val="16"/>
              </w:rPr>
              <w:t>A</w:t>
            </w:r>
          </w:p>
        </w:tc>
        <w:tc>
          <w:tcPr>
            <w:tcW w:type="dxa" w:w="1010"/>
            <w:tcMar>
              <w:top w:w="50" w:type="dxa"/>
              <w:bottom w:w="50" w:type="dxa"/>
              <w:left w:w="90" w:type="dxa"/>
              <w:right w:w="90" w:type="dxa"/>
            </w:tcMar>
          </w:tcPr>
          <w:p>
            <w:pPr>
              <w:pStyle w:val="BDOITable"/>
            </w:pPr>
            <w:r>
              <w:rPr>
                <w:sz w:val="16"/>
              </w:rPr>
              <w:t>C</w:t>
            </w:r>
          </w:p>
        </w:tc>
      </w:tr>
    </w:tbl>
    <w:p>
      <w:pPr>
        <w:pStyle w:val="BDOISpacer"/>
      </w:pPr>
    </w:p>
    <w:p>
      <w:pPr>
        <w:pStyle w:val="Heading1"/>
        <w:pageBreakBefore/>
        <w:pBdr>
          <w:bottom w:val="single" w:sz="4" w:space="4" w:color="99C1E7"/>
        </w:pBdr>
      </w:pPr>
      <w:bookmarkStart w:id="133" w:name="_Toc000133"/>
      <w:r>
        <w:rPr/>
        <w:t>9 Decisions and open points for BDOI</w:t>
      </w:r>
      <w:bookmarkEnd w:id="133"/>
    </w:p>
    <w:p>
      <w:pPr>
        <w:pStyle w:val="Caption"/>
        <w:keepNext/>
        <w:spacing w:after="60"/>
      </w:pPr>
      <w:r>
        <w:rPr>
          <w:b/>
          <w:i w:val="0"/>
        </w:rPr>
        <w:t xml:space="preserve">Table 25: </w:t>
      </w:r>
      <w:r>
        <w:rPr/>
        <w:t>Decisions requested from BDOI on the NFRs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7"/>
        <w:gridCol w:w="5135"/>
        <w:gridCol w:w="2149"/>
        <w:gridCol w:w="1313"/>
        <w:gridCol w:w="836"/>
      </w:tblGrid>
      <w:tr>
        <w:trPr>
          <w:tblHeader w:val="true"/>
          <w:cantSplit w:val="true"/>
        </w:trPr>
        <w:tc>
          <w:tcPr>
            <w:tcW w:type="dxa" w:w="537"/>
            <w:shd w:val="clear" w:color="auto" w:fill="004EA8"/>
            <w:tcMar>
              <w:top w:w="50" w:type="dxa"/>
              <w:bottom w:w="50" w:type="dxa"/>
              <w:left w:w="90" w:type="dxa"/>
              <w:right w:w="90" w:type="dxa"/>
            </w:tcMar>
            <w:vAlign w:val="center"/>
          </w:tcPr>
          <w:p>
            <w:pPr>
              <w:pStyle w:val="BDOITableHeader"/>
            </w:pPr>
            <w:r>
              <w:rPr>
                <w:b/>
                <w:color w:val="FFFFFF"/>
                <w:sz w:val="16"/>
              </w:rPr>
              <w:t>No.</w:t>
            </w:r>
          </w:p>
        </w:tc>
        <w:tc>
          <w:tcPr>
            <w:tcW w:type="dxa" w:w="5135"/>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2150"/>
            <w:shd w:val="clear" w:color="auto" w:fill="004EA8"/>
            <w:tcMar>
              <w:top w:w="50" w:type="dxa"/>
              <w:bottom w:w="50" w:type="dxa"/>
              <w:left w:w="90" w:type="dxa"/>
              <w:right w:w="90" w:type="dxa"/>
            </w:tcMar>
            <w:vAlign w:val="center"/>
          </w:tcPr>
          <w:p>
            <w:pPr>
              <w:pStyle w:val="BDOITableHeader"/>
            </w:pPr>
            <w:r>
              <w:rPr>
                <w:b/>
                <w:color w:val="FFFFFF"/>
                <w:sz w:val="16"/>
              </w:rPr>
              <w:t>Owner (BDOI)</w:t>
            </w:r>
          </w:p>
        </w:tc>
        <w:tc>
          <w:tcPr>
            <w:tcW w:type="dxa" w:w="1314"/>
            <w:shd w:val="clear" w:color="auto" w:fill="004EA8"/>
            <w:tcMar>
              <w:top w:w="50" w:type="dxa"/>
              <w:bottom w:w="50" w:type="dxa"/>
              <w:left w:w="90" w:type="dxa"/>
              <w:right w:w="90" w:type="dxa"/>
            </w:tcMar>
            <w:vAlign w:val="center"/>
          </w:tcPr>
          <w:p>
            <w:pPr>
              <w:pStyle w:val="BDOITableHeader"/>
            </w:pPr>
            <w:r>
              <w:rPr>
                <w:b/>
                <w:color w:val="FFFFFF"/>
                <w:sz w:val="16"/>
              </w:rPr>
              <w:t>Needed by</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537"/>
            <w:tcMar>
              <w:top w:w="50" w:type="dxa"/>
              <w:bottom w:w="50" w:type="dxa"/>
              <w:left w:w="90" w:type="dxa"/>
              <w:right w:w="90" w:type="dxa"/>
            </w:tcMar>
          </w:tcPr>
          <w:p>
            <w:pPr>
              <w:pStyle w:val="BDOITable"/>
            </w:pPr>
            <w:r>
              <w:rPr>
                <w:sz w:val="16"/>
              </w:rPr>
              <w:t>1</w:t>
            </w:r>
          </w:p>
        </w:tc>
        <w:tc>
          <w:tcPr>
            <w:tcW w:type="dxa" w:w="5135"/>
            <w:tcMar>
              <w:top w:w="50" w:type="dxa"/>
              <w:bottom w:w="50" w:type="dxa"/>
              <w:left w:w="90" w:type="dxa"/>
              <w:right w:w="90" w:type="dxa"/>
            </w:tcMar>
          </w:tcPr>
          <w:p>
            <w:pPr>
              <w:pStyle w:val="BDOITable"/>
            </w:pPr>
            <w:r>
              <w:rPr>
                <w:sz w:val="16"/>
              </w:rPr>
              <w:t>Screen response p95 2.0 seconds for every module (NFR-PRF-01) in place of the BRD values of 2 to 10 seconds (DCR-137, DCR-165, CRQ21)</w:t>
            </w:r>
          </w:p>
        </w:tc>
        <w:tc>
          <w:tcPr>
            <w:tcW w:type="dxa" w:w="2150"/>
            <w:tcMar>
              <w:top w:w="50" w:type="dxa"/>
              <w:bottom w:w="50" w:type="dxa"/>
              <w:left w:w="90" w:type="dxa"/>
              <w:right w:w="90" w:type="dxa"/>
            </w:tcMar>
          </w:tcPr>
          <w:p>
            <w:pPr>
              <w:pStyle w:val="BDOITable"/>
            </w:pPr>
            <w:r>
              <w:rPr>
                <w:sz w:val="16"/>
              </w:rPr>
              <w:t>BIBS Product Owner with the BRD owners</w:t>
            </w:r>
          </w:p>
        </w:tc>
        <w:tc>
          <w:tcPr>
            <w:tcW w:type="dxa" w:w="1314"/>
            <w:tcMar>
              <w:top w:w="50" w:type="dxa"/>
              <w:bottom w:w="50" w:type="dxa"/>
              <w:left w:w="90" w:type="dxa"/>
              <w:right w:w="90" w:type="dxa"/>
            </w:tcMar>
          </w:tcPr>
          <w:p>
            <w:pPr>
              <w:pStyle w:val="BDOITable"/>
            </w:pPr>
            <w:r>
              <w:rPr>
                <w:sz w:val="16"/>
              </w:rPr>
              <w:t>30 Nov 2026</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shd w:val="clear" w:color="auto" w:fill="E5F5FF"/>
          </w:tcPr>
          <w:p>
            <w:pPr>
              <w:pStyle w:val="BDOITable"/>
            </w:pPr>
            <w:r>
              <w:rPr>
                <w:sz w:val="16"/>
              </w:rPr>
              <w:t>2</w:t>
            </w:r>
          </w:p>
        </w:tc>
        <w:tc>
          <w:tcPr>
            <w:tcW w:type="dxa" w:w="5135"/>
            <w:tcMar>
              <w:top w:w="50" w:type="dxa"/>
              <w:bottom w:w="50" w:type="dxa"/>
              <w:left w:w="90" w:type="dxa"/>
              <w:right w:w="90" w:type="dxa"/>
            </w:tcMar>
            <w:shd w:val="clear" w:color="auto" w:fill="E5F5FF"/>
          </w:tcPr>
          <w:p>
            <w:pPr>
              <w:pStyle w:val="BDOITable"/>
            </w:pPr>
            <w:r>
              <w:rPr>
                <w:sz w:val="16"/>
              </w:rPr>
              <w:t>Users: design load 150 concurrent plus 20% a year; peak test at 429 concurrent sessions (NFR-CAP-01; DCR-166, DCR-232)</w:t>
            </w:r>
          </w:p>
        </w:tc>
        <w:tc>
          <w:tcPr>
            <w:tcW w:type="dxa" w:w="2150"/>
            <w:tcMar>
              <w:top w:w="50" w:type="dxa"/>
              <w:bottom w:w="50" w:type="dxa"/>
              <w:left w:w="90" w:type="dxa"/>
              <w:right w:w="90" w:type="dxa"/>
            </w:tcMar>
            <w:shd w:val="clear" w:color="auto" w:fill="E5F5FF"/>
          </w:tcPr>
          <w:p>
            <w:pPr>
              <w:pStyle w:val="BDOITable"/>
            </w:pPr>
            <w:r>
              <w:rPr>
                <w:sz w:val="16"/>
              </w:rPr>
              <w:t>BIBS Product Owner</w:t>
            </w:r>
          </w:p>
        </w:tc>
        <w:tc>
          <w:tcPr>
            <w:tcW w:type="dxa" w:w="1314"/>
            <w:tcMar>
              <w:top w:w="50" w:type="dxa"/>
              <w:bottom w:w="50" w:type="dxa"/>
              <w:left w:w="90" w:type="dxa"/>
              <w:right w:w="90" w:type="dxa"/>
            </w:tcMar>
            <w:shd w:val="clear" w:color="auto" w:fill="E5F5FF"/>
          </w:tcPr>
          <w:p>
            <w:pPr>
              <w:pStyle w:val="BDOITable"/>
            </w:pPr>
            <w:r>
              <w:rPr>
                <w:sz w:val="16"/>
              </w:rPr>
              <w:t>30 Nov 2026</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tcPr>
          <w:p>
            <w:pPr>
              <w:pStyle w:val="BDOITable"/>
            </w:pPr>
            <w:r>
              <w:rPr>
                <w:sz w:val="16"/>
              </w:rPr>
              <w:t>3</w:t>
            </w:r>
          </w:p>
        </w:tc>
        <w:tc>
          <w:tcPr>
            <w:tcW w:type="dxa" w:w="5135"/>
            <w:tcMar>
              <w:top w:w="50" w:type="dxa"/>
              <w:bottom w:w="50" w:type="dxa"/>
              <w:left w:w="90" w:type="dxa"/>
              <w:right w:w="90" w:type="dxa"/>
            </w:tcMar>
          </w:tcPr>
          <w:p>
            <w:pPr>
              <w:pStyle w:val="BDOITable"/>
            </w:pPr>
            <w:r>
              <w:rPr>
                <w:sz w:val="16"/>
              </w:rPr>
              <w:t>Availability 99.9% of the service window for all modules (NFR-AVL-01), withdrawing 99.99% (BRD-8) and 100% (BRD-5) (DCR-134, DCR-057)</w:t>
            </w:r>
          </w:p>
        </w:tc>
        <w:tc>
          <w:tcPr>
            <w:tcW w:type="dxa" w:w="2150"/>
            <w:tcMar>
              <w:top w:w="50" w:type="dxa"/>
              <w:bottom w:w="50" w:type="dxa"/>
              <w:left w:w="90" w:type="dxa"/>
              <w:right w:w="90" w:type="dxa"/>
            </w:tcMar>
          </w:tcPr>
          <w:p>
            <w:pPr>
              <w:pStyle w:val="BDOITable"/>
            </w:pPr>
            <w:r>
              <w:rPr>
                <w:sz w:val="16"/>
              </w:rPr>
              <w:t>BIBS Product Owner; Head, Comptrollership</w:t>
            </w:r>
          </w:p>
        </w:tc>
        <w:tc>
          <w:tcPr>
            <w:tcW w:type="dxa" w:w="1314"/>
            <w:tcMar>
              <w:top w:w="50" w:type="dxa"/>
              <w:bottom w:w="50" w:type="dxa"/>
              <w:left w:w="90" w:type="dxa"/>
              <w:right w:w="90" w:type="dxa"/>
            </w:tcMar>
          </w:tcPr>
          <w:p>
            <w:pPr>
              <w:pStyle w:val="BDOITable"/>
            </w:pPr>
            <w:r>
              <w:rPr>
                <w:sz w:val="16"/>
              </w:rPr>
              <w:t>30 Nov 2026</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shd w:val="clear" w:color="auto" w:fill="E5F5FF"/>
          </w:tcPr>
          <w:p>
            <w:pPr>
              <w:pStyle w:val="BDOITable"/>
            </w:pPr>
            <w:r>
              <w:rPr>
                <w:sz w:val="16"/>
              </w:rPr>
              <w:t>4</w:t>
            </w:r>
          </w:p>
        </w:tc>
        <w:tc>
          <w:tcPr>
            <w:tcW w:type="dxa" w:w="5135"/>
            <w:tcMar>
              <w:top w:w="50" w:type="dxa"/>
              <w:bottom w:w="50" w:type="dxa"/>
              <w:left w:w="90" w:type="dxa"/>
              <w:right w:w="90" w:type="dxa"/>
            </w:tcMar>
            <w:shd w:val="clear" w:color="auto" w:fill="E5F5FF"/>
          </w:tcPr>
          <w:p>
            <w:pPr>
              <w:pStyle w:val="BDOITable"/>
            </w:pPr>
            <w:r>
              <w:rPr>
                <w:sz w:val="16"/>
              </w:rPr>
              <w:t>Service window 06:00-22:00 Monday to Saturday plus month-end weekends; maintenance window 00:00-04:00 (NFR-AVL-02, 03; DCR-133, DCR-138)</w:t>
            </w:r>
          </w:p>
        </w:tc>
        <w:tc>
          <w:tcPr>
            <w:tcW w:type="dxa" w:w="2150"/>
            <w:tcMar>
              <w:top w:w="50" w:type="dxa"/>
              <w:bottom w:w="50" w:type="dxa"/>
              <w:left w:w="90" w:type="dxa"/>
              <w:right w:w="90" w:type="dxa"/>
            </w:tcMar>
            <w:shd w:val="clear" w:color="auto" w:fill="E5F5FF"/>
          </w:tcPr>
          <w:p>
            <w:pPr>
              <w:pStyle w:val="BDOITable"/>
            </w:pPr>
            <w:r>
              <w:rPr>
                <w:sz w:val="16"/>
              </w:rPr>
              <w:t>BIBS Product Owner; Head, BDOI IT</w:t>
            </w:r>
          </w:p>
        </w:tc>
        <w:tc>
          <w:tcPr>
            <w:tcW w:type="dxa" w:w="1314"/>
            <w:tcMar>
              <w:top w:w="50" w:type="dxa"/>
              <w:bottom w:w="50" w:type="dxa"/>
              <w:left w:w="90" w:type="dxa"/>
              <w:right w:w="90" w:type="dxa"/>
            </w:tcMar>
            <w:shd w:val="clear" w:color="auto" w:fill="E5F5FF"/>
          </w:tcPr>
          <w:p>
            <w:pPr>
              <w:pStyle w:val="BDOITable"/>
            </w:pPr>
            <w:r>
              <w:rPr>
                <w:sz w:val="16"/>
              </w:rPr>
              <w:t>30 Nov 2026</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tcPr>
          <w:p>
            <w:pPr>
              <w:pStyle w:val="BDOITable"/>
            </w:pPr>
            <w:r>
              <w:rPr>
                <w:sz w:val="16"/>
              </w:rPr>
              <w:t>5</w:t>
            </w:r>
          </w:p>
        </w:tc>
        <w:tc>
          <w:tcPr>
            <w:tcW w:type="dxa" w:w="5135"/>
            <w:tcMar>
              <w:top w:w="50" w:type="dxa"/>
              <w:bottom w:w="50" w:type="dxa"/>
              <w:left w:w="90" w:type="dxa"/>
              <w:right w:w="90" w:type="dxa"/>
            </w:tcMar>
          </w:tcPr>
          <w:p>
            <w:pPr>
              <w:pStyle w:val="BDOITable"/>
            </w:pPr>
            <w:r>
              <w:rPr>
                <w:sz w:val="16"/>
              </w:rPr>
              <w:t>Backup retention 7 years (NFR-REC-03; DCR-136)</w:t>
            </w:r>
          </w:p>
        </w:tc>
        <w:tc>
          <w:tcPr>
            <w:tcW w:type="dxa" w:w="2150"/>
            <w:tcMar>
              <w:top w:w="50" w:type="dxa"/>
              <w:bottom w:w="50" w:type="dxa"/>
              <w:left w:w="90" w:type="dxa"/>
              <w:right w:w="90" w:type="dxa"/>
            </w:tcMar>
          </w:tcPr>
          <w:p>
            <w:pPr>
              <w:pStyle w:val="BDOITable"/>
            </w:pPr>
            <w:r>
              <w:rPr>
                <w:sz w:val="16"/>
              </w:rPr>
              <w:t>Head, BDOI IT</w:t>
            </w:r>
          </w:p>
        </w:tc>
        <w:tc>
          <w:tcPr>
            <w:tcW w:type="dxa" w:w="1314"/>
            <w:tcMar>
              <w:top w:w="50" w:type="dxa"/>
              <w:bottom w:w="50" w:type="dxa"/>
              <w:left w:w="90" w:type="dxa"/>
              <w:right w:w="90" w:type="dxa"/>
            </w:tcMar>
          </w:tcPr>
          <w:p>
            <w:pPr>
              <w:pStyle w:val="BDOITable"/>
            </w:pPr>
            <w:r>
              <w:rPr>
                <w:sz w:val="16"/>
              </w:rPr>
              <w:t>30 Nov 2026</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shd w:val="clear" w:color="auto" w:fill="E5F5FF"/>
          </w:tcPr>
          <w:p>
            <w:pPr>
              <w:pStyle w:val="BDOITable"/>
            </w:pPr>
            <w:r>
              <w:rPr>
                <w:sz w:val="16"/>
              </w:rPr>
              <w:t>6</w:t>
            </w:r>
          </w:p>
        </w:tc>
        <w:tc>
          <w:tcPr>
            <w:tcW w:type="dxa" w:w="5135"/>
            <w:tcMar>
              <w:top w:w="50" w:type="dxa"/>
              <w:bottom w:w="50" w:type="dxa"/>
              <w:left w:w="90" w:type="dxa"/>
              <w:right w:w="90" w:type="dxa"/>
            </w:tcMar>
            <w:shd w:val="clear" w:color="auto" w:fill="E5F5FF"/>
          </w:tcPr>
          <w:p>
            <w:pPr>
              <w:pStyle w:val="BDOITable"/>
            </w:pPr>
            <w:r>
              <w:rPr>
                <w:sz w:val="16"/>
              </w:rPr>
              <w:t>Retention per record type, the audit archive of 16 years and the purge decision (NFR-RET-01, 03; CRQ22, Q39, CLQ24)</w:t>
            </w:r>
          </w:p>
        </w:tc>
        <w:tc>
          <w:tcPr>
            <w:tcW w:type="dxa" w:w="2150"/>
            <w:tcMar>
              <w:top w:w="50" w:type="dxa"/>
              <w:bottom w:w="50" w:type="dxa"/>
              <w:left w:w="90" w:type="dxa"/>
              <w:right w:w="90" w:type="dxa"/>
            </w:tcMar>
            <w:shd w:val="clear" w:color="auto" w:fill="E5F5FF"/>
          </w:tcPr>
          <w:p>
            <w:pPr>
              <w:pStyle w:val="BDOITable"/>
            </w:pPr>
            <w:r>
              <w:rPr>
                <w:sz w:val="16"/>
              </w:rPr>
              <w:t>BIBS Product Owner; Head, Comptrollership; Compliance Officer</w:t>
            </w:r>
          </w:p>
        </w:tc>
        <w:tc>
          <w:tcPr>
            <w:tcW w:type="dxa" w:w="1314"/>
            <w:tcMar>
              <w:top w:w="50" w:type="dxa"/>
              <w:bottom w:w="50" w:type="dxa"/>
              <w:left w:w="90" w:type="dxa"/>
              <w:right w:w="90" w:type="dxa"/>
            </w:tcMar>
            <w:shd w:val="clear" w:color="auto" w:fill="E5F5FF"/>
          </w:tcPr>
          <w:p>
            <w:pPr>
              <w:pStyle w:val="BDOITable"/>
            </w:pPr>
            <w:r>
              <w:rPr>
                <w:sz w:val="16"/>
              </w:rPr>
              <w:t>31 Jan 2027</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tcPr>
          <w:p>
            <w:pPr>
              <w:pStyle w:val="BDOITable"/>
            </w:pPr>
            <w:r>
              <w:rPr>
                <w:sz w:val="16"/>
              </w:rPr>
              <w:t>7</w:t>
            </w:r>
          </w:p>
        </w:tc>
        <w:tc>
          <w:tcPr>
            <w:tcW w:type="dxa" w:w="5135"/>
            <w:tcMar>
              <w:top w:w="50" w:type="dxa"/>
              <w:bottom w:w="50" w:type="dxa"/>
              <w:left w:w="90" w:type="dxa"/>
              <w:right w:w="90" w:type="dxa"/>
            </w:tcMar>
          </w:tcPr>
          <w:p>
            <w:pPr>
              <w:pStyle w:val="BDOITable"/>
            </w:pPr>
            <w:r>
              <w:rPr>
                <w:sz w:val="16"/>
              </w:rPr>
              <w:t>Session sign-out at 30 minutes for every module (NFR-SEC-05; DCR-140)</w:t>
            </w:r>
          </w:p>
        </w:tc>
        <w:tc>
          <w:tcPr>
            <w:tcW w:type="dxa" w:w="2150"/>
            <w:tcMar>
              <w:top w:w="50" w:type="dxa"/>
              <w:bottom w:w="50" w:type="dxa"/>
              <w:left w:w="90" w:type="dxa"/>
              <w:right w:w="90" w:type="dxa"/>
            </w:tcMar>
          </w:tcPr>
          <w:p>
            <w:pPr>
              <w:pStyle w:val="BDOITable"/>
            </w:pPr>
            <w:r>
              <w:rPr>
                <w:sz w:val="16"/>
              </w:rPr>
              <w:t>BDOI Information Security</w:t>
            </w:r>
          </w:p>
        </w:tc>
        <w:tc>
          <w:tcPr>
            <w:tcW w:type="dxa" w:w="1314"/>
            <w:tcMar>
              <w:top w:w="50" w:type="dxa"/>
              <w:bottom w:w="50" w:type="dxa"/>
              <w:left w:w="90" w:type="dxa"/>
              <w:right w:w="90" w:type="dxa"/>
            </w:tcMar>
          </w:tcPr>
          <w:p>
            <w:pPr>
              <w:pStyle w:val="BDOITable"/>
            </w:pPr>
            <w:r>
              <w:rPr>
                <w:sz w:val="16"/>
              </w:rPr>
              <w:t>30 Nov 2026</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shd w:val="clear" w:color="auto" w:fill="E5F5FF"/>
          </w:tcPr>
          <w:p>
            <w:pPr>
              <w:pStyle w:val="BDOITable"/>
            </w:pPr>
            <w:r>
              <w:rPr>
                <w:sz w:val="16"/>
              </w:rPr>
              <w:t>8</w:t>
            </w:r>
          </w:p>
        </w:tc>
        <w:tc>
          <w:tcPr>
            <w:tcW w:type="dxa" w:w="5135"/>
            <w:tcMar>
              <w:top w:w="50" w:type="dxa"/>
              <w:bottom w:w="50" w:type="dxa"/>
              <w:left w:w="90" w:type="dxa"/>
              <w:right w:w="90" w:type="dxa"/>
            </w:tcMar>
            <w:shd w:val="clear" w:color="auto" w:fill="E5F5FF"/>
          </w:tcPr>
          <w:p>
            <w:pPr>
              <w:pStyle w:val="BDOITable"/>
            </w:pPr>
            <w:r>
              <w:rPr>
                <w:sz w:val="16"/>
              </w:rPr>
              <w:t>DR region and data residency (NFR-REC-05, NFR-PRV-02; DCR-225, IQ26)</w:t>
            </w:r>
          </w:p>
        </w:tc>
        <w:tc>
          <w:tcPr>
            <w:tcW w:type="dxa" w:w="2150"/>
            <w:tcMar>
              <w:top w:w="50" w:type="dxa"/>
              <w:bottom w:w="50" w:type="dxa"/>
              <w:left w:w="90" w:type="dxa"/>
              <w:right w:w="90" w:type="dxa"/>
            </w:tcMar>
            <w:shd w:val="clear" w:color="auto" w:fill="E5F5FF"/>
          </w:tcPr>
          <w:p>
            <w:pPr>
              <w:pStyle w:val="BDOITable"/>
            </w:pPr>
            <w:r>
              <w:rPr>
                <w:sz w:val="16"/>
              </w:rPr>
              <w:t>BDOI IT; BDOI Information Security</w:t>
            </w:r>
          </w:p>
        </w:tc>
        <w:tc>
          <w:tcPr>
            <w:tcW w:type="dxa" w:w="1314"/>
            <w:tcMar>
              <w:top w:w="50" w:type="dxa"/>
              <w:bottom w:w="50" w:type="dxa"/>
              <w:left w:w="90" w:type="dxa"/>
              <w:right w:w="90" w:type="dxa"/>
            </w:tcMar>
            <w:shd w:val="clear" w:color="auto" w:fill="E5F5FF"/>
          </w:tcPr>
          <w:p>
            <w:pPr>
              <w:pStyle w:val="BDOITable"/>
            </w:pPr>
            <w:r>
              <w:rPr>
                <w:sz w:val="16"/>
              </w:rPr>
              <w:t>31 Mar 2027</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tcPr>
          <w:p>
            <w:pPr>
              <w:pStyle w:val="BDOITable"/>
            </w:pPr>
            <w:r>
              <w:rPr>
                <w:sz w:val="16"/>
              </w:rPr>
              <w:t>9</w:t>
            </w:r>
          </w:p>
        </w:tc>
        <w:tc>
          <w:tcPr>
            <w:tcW w:type="dxa" w:w="5135"/>
            <w:tcMar>
              <w:top w:w="50" w:type="dxa"/>
              <w:bottom w:w="50" w:type="dxa"/>
              <w:left w:w="90" w:type="dxa"/>
              <w:right w:w="90" w:type="dxa"/>
            </w:tcMar>
          </w:tcPr>
          <w:p>
            <w:pPr>
              <w:pStyle w:val="BDOITable"/>
            </w:pPr>
            <w:r>
              <w:rPr>
                <w:sz w:val="16"/>
              </w:rPr>
              <w:t>Monitoring platform: Dynatrace or Prometheus and Grafana (NFR-OBS-01; IQ30)</w:t>
            </w:r>
          </w:p>
        </w:tc>
        <w:tc>
          <w:tcPr>
            <w:tcW w:type="dxa" w:w="2150"/>
            <w:tcMar>
              <w:top w:w="50" w:type="dxa"/>
              <w:bottom w:w="50" w:type="dxa"/>
              <w:left w:w="90" w:type="dxa"/>
              <w:right w:w="90" w:type="dxa"/>
            </w:tcMar>
          </w:tcPr>
          <w:p>
            <w:pPr>
              <w:pStyle w:val="BDOITable"/>
            </w:pPr>
            <w:r>
              <w:rPr>
                <w:sz w:val="16"/>
              </w:rPr>
              <w:t>BDOI IT</w:t>
            </w:r>
          </w:p>
        </w:tc>
        <w:tc>
          <w:tcPr>
            <w:tcW w:type="dxa" w:w="1314"/>
            <w:tcMar>
              <w:top w:w="50" w:type="dxa"/>
              <w:bottom w:w="50" w:type="dxa"/>
              <w:left w:w="90" w:type="dxa"/>
              <w:right w:w="90" w:type="dxa"/>
            </w:tcMar>
          </w:tcPr>
          <w:p>
            <w:pPr>
              <w:pStyle w:val="BDOITable"/>
            </w:pPr>
            <w:r>
              <w:rPr>
                <w:sz w:val="16"/>
              </w:rPr>
              <w:t>31 Jan 2027</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shd w:val="clear" w:color="auto" w:fill="E5F5FF"/>
          </w:tcPr>
          <w:p>
            <w:pPr>
              <w:pStyle w:val="BDOITable"/>
            </w:pPr>
            <w:r>
              <w:rPr>
                <w:sz w:val="16"/>
              </w:rPr>
              <w:t>10</w:t>
            </w:r>
          </w:p>
        </w:tc>
        <w:tc>
          <w:tcPr>
            <w:tcW w:type="dxa" w:w="5135"/>
            <w:tcMar>
              <w:top w:w="50" w:type="dxa"/>
              <w:bottom w:w="50" w:type="dxa"/>
              <w:left w:w="90" w:type="dxa"/>
              <w:right w:w="90" w:type="dxa"/>
            </w:tcMar>
            <w:shd w:val="clear" w:color="auto" w:fill="E5F5FF"/>
          </w:tcPr>
          <w:p>
            <w:pPr>
              <w:pStyle w:val="BDOITable"/>
            </w:pPr>
            <w:r>
              <w:rPr>
                <w:sz w:val="16"/>
              </w:rPr>
              <w:t>User provisioning split between UIDM-ISC and BIBS access requests (NFR-SEC-03; IQ05)</w:t>
            </w:r>
          </w:p>
        </w:tc>
        <w:tc>
          <w:tcPr>
            <w:tcW w:type="dxa" w:w="2150"/>
            <w:tcMar>
              <w:top w:w="50" w:type="dxa"/>
              <w:bottom w:w="50" w:type="dxa"/>
              <w:left w:w="90" w:type="dxa"/>
              <w:right w:w="90" w:type="dxa"/>
            </w:tcMar>
            <w:shd w:val="clear" w:color="auto" w:fill="E5F5FF"/>
          </w:tcPr>
          <w:p>
            <w:pPr>
              <w:pStyle w:val="BDOITable"/>
            </w:pPr>
            <w:r>
              <w:rPr>
                <w:sz w:val="16"/>
              </w:rPr>
              <w:t>BDOI Information Security</w:t>
            </w:r>
          </w:p>
        </w:tc>
        <w:tc>
          <w:tcPr>
            <w:tcW w:type="dxa" w:w="1314"/>
            <w:tcMar>
              <w:top w:w="50" w:type="dxa"/>
              <w:bottom w:w="50" w:type="dxa"/>
              <w:left w:w="90" w:type="dxa"/>
              <w:right w:w="90" w:type="dxa"/>
            </w:tcMar>
            <w:shd w:val="clear" w:color="auto" w:fill="E5F5FF"/>
          </w:tcPr>
          <w:p>
            <w:pPr>
              <w:pStyle w:val="BDOITable"/>
            </w:pPr>
            <w:r>
              <w:rPr>
                <w:sz w:val="16"/>
              </w:rPr>
              <w:t>31 Jan 2027</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tcPr>
          <w:p>
            <w:pPr>
              <w:pStyle w:val="BDOITable"/>
            </w:pPr>
            <w:r>
              <w:rPr>
                <w:sz w:val="16"/>
              </w:rPr>
              <w:t>11</w:t>
            </w:r>
          </w:p>
        </w:tc>
        <w:tc>
          <w:tcPr>
            <w:tcW w:type="dxa" w:w="5135"/>
            <w:tcMar>
              <w:top w:w="50" w:type="dxa"/>
              <w:bottom w:w="50" w:type="dxa"/>
              <w:left w:w="90" w:type="dxa"/>
              <w:right w:w="90" w:type="dxa"/>
            </w:tcMar>
          </w:tcPr>
          <w:p>
            <w:pPr>
              <w:pStyle w:val="BDOITable"/>
            </w:pPr>
            <w:r>
              <w:rPr>
                <w:sz w:val="16"/>
              </w:rPr>
              <w:t>CCM sending mode (NFR-INT-05; IQ11)</w:t>
            </w:r>
          </w:p>
        </w:tc>
        <w:tc>
          <w:tcPr>
            <w:tcW w:type="dxa" w:w="2150"/>
            <w:tcMar>
              <w:top w:w="50" w:type="dxa"/>
              <w:bottom w:w="50" w:type="dxa"/>
              <w:left w:w="90" w:type="dxa"/>
              <w:right w:w="90" w:type="dxa"/>
            </w:tcMar>
          </w:tcPr>
          <w:p>
            <w:pPr>
              <w:pStyle w:val="BDOITable"/>
            </w:pPr>
            <w:r>
              <w:rPr>
                <w:sz w:val="16"/>
              </w:rPr>
              <w:t>BDOI IT</w:t>
            </w:r>
          </w:p>
        </w:tc>
        <w:tc>
          <w:tcPr>
            <w:tcW w:type="dxa" w:w="1314"/>
            <w:tcMar>
              <w:top w:w="50" w:type="dxa"/>
              <w:bottom w:w="50" w:type="dxa"/>
              <w:left w:w="90" w:type="dxa"/>
              <w:right w:w="90" w:type="dxa"/>
            </w:tcMar>
          </w:tcPr>
          <w:p>
            <w:pPr>
              <w:pStyle w:val="BDOITable"/>
            </w:pPr>
            <w:r>
              <w:rPr>
                <w:sz w:val="16"/>
              </w:rPr>
              <w:t>26 Feb 2027</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shd w:val="clear" w:color="auto" w:fill="E5F5FF"/>
          </w:tcPr>
          <w:p>
            <w:pPr>
              <w:pStyle w:val="BDOITable"/>
            </w:pPr>
            <w:r>
              <w:rPr>
                <w:sz w:val="16"/>
              </w:rPr>
              <w:t>12</w:t>
            </w:r>
          </w:p>
        </w:tc>
        <w:tc>
          <w:tcPr>
            <w:tcW w:type="dxa" w:w="5135"/>
            <w:tcMar>
              <w:top w:w="50" w:type="dxa"/>
              <w:bottom w:w="50" w:type="dxa"/>
              <w:left w:w="90" w:type="dxa"/>
              <w:right w:w="90" w:type="dxa"/>
            </w:tcMar>
            <w:shd w:val="clear" w:color="auto" w:fill="E5F5FF"/>
          </w:tcPr>
          <w:p>
            <w:pPr>
              <w:pStyle w:val="BDOITable"/>
            </w:pPr>
            <w:r>
              <w:rPr>
                <w:sz w:val="16"/>
              </w:rPr>
              <w:t>Confirm the PROPOSED targets, including WCAG 2.2 AA (NFR-ACC-01), the low-click targets (NFR-USE-01), the code coverage above 90% on new code (NFR-MNT-02) and the remediation times (NFR-SEC-12)</w:t>
            </w:r>
          </w:p>
        </w:tc>
        <w:tc>
          <w:tcPr>
            <w:tcW w:type="dxa" w:w="2150"/>
            <w:tcMar>
              <w:top w:w="50" w:type="dxa"/>
              <w:bottom w:w="50" w:type="dxa"/>
              <w:left w:w="90" w:type="dxa"/>
              <w:right w:w="90" w:type="dxa"/>
            </w:tcMar>
            <w:shd w:val="clear" w:color="auto" w:fill="E5F5FF"/>
          </w:tcPr>
          <w:p>
            <w:pPr>
              <w:pStyle w:val="BDOITable"/>
            </w:pPr>
            <w:r>
              <w:rPr>
                <w:sz w:val="16"/>
              </w:rPr>
              <w:t>BIBS Product Owner; BDOI Information Security</w:t>
            </w:r>
          </w:p>
        </w:tc>
        <w:tc>
          <w:tcPr>
            <w:tcW w:type="dxa" w:w="1314"/>
            <w:tcMar>
              <w:top w:w="50" w:type="dxa"/>
              <w:bottom w:w="50" w:type="dxa"/>
              <w:left w:w="90" w:type="dxa"/>
              <w:right w:w="90" w:type="dxa"/>
            </w:tcMar>
            <w:shd w:val="clear" w:color="auto" w:fill="E5F5FF"/>
          </w:tcPr>
          <w:p>
            <w:pPr>
              <w:pStyle w:val="BDOITable"/>
            </w:pPr>
            <w:r>
              <w:rPr>
                <w:sz w:val="16"/>
              </w:rPr>
              <w:t>30 Nov 2026</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7"/>
            <w:tcMar>
              <w:top w:w="50" w:type="dxa"/>
              <w:bottom w:w="50" w:type="dxa"/>
              <w:left w:w="90" w:type="dxa"/>
              <w:right w:w="90" w:type="dxa"/>
            </w:tcMar>
          </w:tcPr>
          <w:p>
            <w:pPr>
              <w:pStyle w:val="BDOITable"/>
            </w:pPr>
            <w:r>
              <w:rPr>
                <w:sz w:val="16"/>
              </w:rPr>
              <w:t>13</w:t>
            </w:r>
          </w:p>
        </w:tc>
        <w:tc>
          <w:tcPr>
            <w:tcW w:type="dxa" w:w="5135"/>
            <w:tcMar>
              <w:top w:w="50" w:type="dxa"/>
              <w:bottom w:w="50" w:type="dxa"/>
              <w:left w:w="90" w:type="dxa"/>
              <w:right w:w="90" w:type="dxa"/>
            </w:tcMar>
          </w:tcPr>
          <w:p>
            <w:pPr>
              <w:pStyle w:val="BDOITable"/>
            </w:pPr>
            <w:r>
              <w:rPr>
                <w:sz w:val="16"/>
              </w:rPr>
              <w:t>IER workbook updates of chapter 7</w:t>
            </w:r>
          </w:p>
        </w:tc>
        <w:tc>
          <w:tcPr>
            <w:tcW w:type="dxa" w:w="2150"/>
            <w:tcMar>
              <w:top w:w="50" w:type="dxa"/>
              <w:bottom w:w="50" w:type="dxa"/>
              <w:left w:w="90" w:type="dxa"/>
              <w:right w:w="90" w:type="dxa"/>
            </w:tcMar>
          </w:tcPr>
          <w:p>
            <w:pPr>
              <w:pStyle w:val="BDOITable"/>
            </w:pPr>
            <w:r>
              <w:rPr>
                <w:sz w:val="16"/>
              </w:rPr>
              <w:t>Cloud and Digital Operations Engineering</w:t>
            </w:r>
          </w:p>
        </w:tc>
        <w:tc>
          <w:tcPr>
            <w:tcW w:type="dxa" w:w="1314"/>
            <w:tcMar>
              <w:top w:w="50" w:type="dxa"/>
              <w:bottom w:w="50" w:type="dxa"/>
              <w:left w:w="90" w:type="dxa"/>
              <w:right w:w="90" w:type="dxa"/>
            </w:tcMar>
          </w:tcPr>
          <w:p>
            <w:pPr>
              <w:pStyle w:val="BDOITable"/>
            </w:pPr>
            <w:r>
              <w:rPr>
                <w:sz w:val="16"/>
              </w:rPr>
              <w:t>31 Dec 2026</w:t>
            </w:r>
          </w:p>
        </w:tc>
        <w:tc>
          <w:tcPr>
            <w:tcW w:type="dxa" w:w="836"/>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134" w:name="_Toc000134"/>
      <w:r>
        <w:rPr/>
        <w:t>Sign-off</w:t>
      </w:r>
      <w:bookmarkEnd w:id="134"/>
    </w:p>
    <w:p>
      <w:r>
        <w:rPr/>
        <w:t>By signing, BDOI accepts the targets of this catalogue as the non-functional baseline of BIBS phase 1; the NFRs with status DECISION take the value BDOI records against items 1 to 11 of chapter 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Cloud and Digital Operations Engineering (IER owner)</w:t>
            </w:r>
          </w:p>
        </w:tc>
        <w:tc>
          <w:tcPr>
            <w:tcW w:type="dxa" w:w="2380"/>
            <w:tcMar>
              <w:top w:w="50" w:type="dxa"/>
              <w:bottom w:w="50" w:type="dxa"/>
              <w:left w:w="90" w:type="dxa"/>
              <w:right w:w="90" w:type="dxa"/>
            </w:tcMar>
            <w:vAlign w:val="center"/>
          </w:tcPr>
          <w:p>
            <w:pPr>
              <w:pStyle w:val="BDOITable"/>
            </w:pPr>
            <w:r>
              <w:rPr>
                <w:sz w:val="18"/>
              </w:rPr>
              <w:t>BDO Unibank IT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Solution Architect</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NFR - BIBS Non-Functional Requirements</w:t>
    </w:r>
    <w:r>
      <w:rPr>
        <w:color w:val="656565"/>
        <w:sz w:val="16"/>
      </w:rPr>
      <w:t xml:space="preserve">   Non-Functional Requirements Catalogue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NFR BRD-00 Non Functional Requirements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