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inline xmlns:a="http://schemas.openxmlformats.org/drawingml/2006/main" xmlns:pic="http://schemas.openxmlformats.org/drawingml/2006/picture">
            <wp:extent cx="2232000" cy="454667"/>
            <wp:docPr id="1" name="Picture 1"/>
            <wp:cNvGraphicFramePr>
              <a:graphicFrameLocks noChangeAspect="1"/>
            </wp:cNvGraphicFramePr>
            <a:graphic>
              <a:graphicData uri="http://schemas.openxmlformats.org/drawingml/2006/picture">
                <pic:pic>
                  <pic:nvPicPr>
                    <pic:cNvPr id="0" name="client-logo.png"/>
                    <pic:cNvPicPr/>
                  </pic:nvPicPr>
                  <pic:blipFill>
                    <a:blip r:embed="rId13"/>
                    <a:stretch>
                      <a:fillRect/>
                    </a:stretch>
                  </pic:blipFill>
                  <pic:spPr>
                    <a:xfrm>
                      <a:off x="0" y="0"/>
                      <a:ext cx="2232000" cy="454667"/>
                    </a:xfrm>
                    <a:prstGeom prst="rect"/>
                  </pic:spPr>
                </pic:pic>
              </a:graphicData>
            </a:graphic>
          </wp:inline>
        </w:drawing>
      </w:r>
    </w:p>
    <w:p>
      <w:pPr>
        <w:spacing w:before="200" w:after="0"/>
        <w:pBdr>
          <w:bottom w:val="single" w:sz="12" w:space="1" w:color="FDB913"/>
        </w:pBdr>
      </w:pPr>
    </w:p>
    <w:p>
      <w:pPr>
        <w:spacing w:before="1600" w:after="0"/>
      </w:pPr>
    </w:p>
    <w:p>
      <w:pPr>
        <w:spacing w:after="120"/>
      </w:pPr>
      <w:r>
        <w:rPr>
          <w:b/>
          <w:color w:val="0072D8"/>
          <w:sz w:val="22"/>
        </w:rPr>
        <w:t>SECURITY ARCHITECTURE</w:t>
      </w:r>
    </w:p>
    <w:p>
      <w:pPr>
        <w:spacing w:after="80" w:line="240" w:lineRule="auto"/>
      </w:pPr>
      <w:r>
        <w:rPr>
          <w:b/>
          <w:color w:val="004EA8"/>
          <w:sz w:val="56"/>
        </w:rPr>
        <w:t>Security Architecture</w:t>
      </w:r>
    </w:p>
    <w:p>
      <w:pPr>
        <w:spacing w:after="40"/>
      </w:pPr>
      <w:r>
        <w:rPr>
          <w:color w:val="2E2E2E"/>
          <w:sz w:val="28"/>
        </w:rPr>
        <w:t>Zero Trust, identity and access, cryptography, secure coding, threat model, security testing and privacy of BIBS</w:t>
      </w:r>
    </w:p>
    <w:p>
      <w:pPr>
        <w:spacing w:after="560"/>
      </w:pPr>
      <w:r>
        <w:rPr>
          <w:color w:val="656565"/>
          <w:sz w:val="24"/>
        </w:rPr>
        <w:t>BIBS – BDOI Broker System</w:t>
      </w:r>
    </w:p>
    <w:tbl>
      <w:tblPr>
        <w:tblW w:type="dxa" w:w="8278"/>
        <w:tblLook w:firstColumn="1" w:firstRow="1" w:lastColumn="0" w:lastRow="0" w:noHBand="0" w:noVBand="1" w:val="04A0"/>
        <w:tblBorders>
          <w:top w:val="nil"/>
          <w:left w:val="nil"/>
          <w:bottom w:val="nil"/>
          <w:right w:val="nil"/>
          <w:insideH w:val="nil"/>
          <w:insideV w:val="nil"/>
        </w:tblBorders>
        <w:tblLayout w:type="fixed"/>
      </w:tblPr>
      <w:tblGrid>
        <w:gridCol w:w="2041"/>
        <w:gridCol w:w="6237"/>
      </w:tblGrid>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Client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BDO Insurance and Reinsurance Brokers, Inc.</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Document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BIBS-SEC-BRD-00</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Version</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1.0</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Date</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08 October 2026</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Status</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Issued for BDOI review</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Classification</w:t>
            </w:r>
          </w:p>
        </w:tc>
        <w:tc>
          <w:tcPr>
            <w:tcW w:type="dxa" w:w="6236"/>
            <w:tcMar>
              <w:top w:w="40" w:type="dxa"/>
              <w:bottom w:w="40" w:type="dxa"/>
              <w:left w:w="0" w:type="dxa"/>
              <w:right w:w="60" w:type="dxa"/>
            </w:tcMar>
            <w:tcBorders>
              <w:bottom w:val="single" w:sz="4" w:space="0" w:color="E4E4E4"/>
            </w:tcBorders>
          </w:tcPr>
          <w:p>
            <w:pPr>
              <w:pStyle w:val="BDOITable"/>
            </w:pPr>
            <w:r>
              <w:rPr>
                <w:b/>
                <w:color w:val="2E2E2E"/>
                <w:sz w:val="20"/>
              </w:rPr>
              <w:t>Confidential</w:t>
            </w:r>
          </w:p>
        </w:tc>
      </w:tr>
    </w:tbl>
    <w:p>
      <w:pPr>
        <w:spacing w:before="2600" w:after="0"/>
      </w:pPr>
    </w:p>
    <w:p>
      <w:pPr>
        <w:pBdr>
          <w:top w:val="single" w:sz="4" w:space="6" w:color="C2C2C1"/>
        </w:pBdr>
        <w:tabs>
          <w:tab w:pos="9972" w:val="right"/>
        </w:tabs>
      </w:pPr>
      <w:r>
        <w:rPr>
          <w:color w:val="656565"/>
          <w:sz w:val="18"/>
        </w:rPr>
        <w:t>Prepared by iorta TechNXT for BDOI</w:t>
      </w:r>
      <w:r>
        <w:tab/>
      </w:r>
      <w:r>
        <w:drawing>
          <wp:inline xmlns:a="http://schemas.openxmlformats.org/drawingml/2006/main" xmlns:pic="http://schemas.openxmlformats.org/drawingml/2006/picture">
            <wp:extent cx="977258" cy="288000"/>
            <wp:docPr id="2" name="Picture 2"/>
            <wp:cNvGraphicFramePr>
              <a:graphicFrameLocks noChangeAspect="1"/>
            </wp:cNvGraphicFramePr>
            <a:graphic>
              <a:graphicData uri="http://schemas.openxmlformats.org/drawingml/2006/picture">
                <pic:pic>
                  <pic:nvPicPr>
                    <pic:cNvPr id="0" name="iorta-technxt.png"/>
                    <pic:cNvPicPr/>
                  </pic:nvPicPr>
                  <pic:blipFill>
                    <a:blip r:embed="rId14"/>
                    <a:stretch>
                      <a:fillRect/>
                    </a:stretch>
                  </pic:blipFill>
                  <pic:spPr>
                    <a:xfrm>
                      <a:off x="0" y="0"/>
                      <a:ext cx="977258" cy="288000"/>
                    </a:xfrm>
                    <a:prstGeom prst="rect"/>
                  </pic:spPr>
                </pic:pic>
              </a:graphicData>
            </a:graphic>
          </wp:inline>
        </w:drawing>
      </w:r>
    </w:p>
    <w:p>
      <w:r>
        <w:rPr>
          <w:color w:val="919191"/>
          <w:sz w:val="15"/>
        </w:rPr>
        <w:t>iNXT BrokerVerse. This document is confidential to BDO Insurance and Reinsurance Brokers, Inc. and iorta TechNXT.</w:t>
      </w:r>
    </w:p>
    <w:p>
      <w:pPr>
        <w:pStyle w:val="BDOIFrontHeading"/>
        <w:pageBreakBefore/>
      </w:pPr>
      <w:r>
        <w:t>Document Control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06"/>
        <w:gridCol w:w="1359"/>
        <w:gridCol w:w="1699"/>
        <w:gridCol w:w="1699"/>
        <w:gridCol w:w="1699"/>
        <w:gridCol w:w="2606"/>
      </w:tblGrid>
      <w:tr>
        <w:trPr>
          <w:tblHeader w:val="true"/>
          <w:cantSplit w:val="true"/>
        </w:trPr>
        <w:tc>
          <w:tcPr>
            <w:tcW w:type="dxa" w:w="907"/>
            <w:shd w:val="clear" w:color="auto" w:fill="004EA8"/>
            <w:tcMar>
              <w:top w:w="50" w:type="dxa"/>
              <w:bottom w:w="50" w:type="dxa"/>
              <w:left w:w="90" w:type="dxa"/>
              <w:right w:w="90" w:type="dxa"/>
            </w:tcMar>
            <w:vAlign w:val="center"/>
          </w:tcPr>
          <w:p>
            <w:pPr>
              <w:pStyle w:val="BDOITableHeader"/>
            </w:pPr>
            <w:r>
              <w:rPr>
                <w:b/>
                <w:color w:val="FFFFFF"/>
                <w:sz w:val="18"/>
              </w:rPr>
              <w:t>Version</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8"/>
              </w:rPr>
              <w:t>Date</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Author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Reviewer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Approver</w:t>
            </w:r>
          </w:p>
        </w:tc>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Change</w:t>
            </w:r>
          </w:p>
        </w:tc>
      </w:tr>
      <w:tr>
        <w:trPr>
          <w:cantSplit w:val="true"/>
        </w:trPr>
        <w:tc>
          <w:tcPr>
            <w:tcW w:type="dxa" w:w="907"/>
            <w:tcMar>
              <w:top w:w="50" w:type="dxa"/>
              <w:bottom w:w="50" w:type="dxa"/>
              <w:left w:w="90" w:type="dxa"/>
              <w:right w:w="90" w:type="dxa"/>
            </w:tcMar>
          </w:tcPr>
          <w:p>
            <w:pPr>
              <w:pStyle w:val="BDOITable"/>
            </w:pPr>
            <w:r>
              <w:rPr>
                <w:sz w:val="18"/>
              </w:rPr>
              <w:t>1.0</w:t>
            </w:r>
          </w:p>
        </w:tc>
        <w:tc>
          <w:tcPr>
            <w:tcW w:type="dxa" w:w="1360"/>
            <w:tcMar>
              <w:top w:w="50" w:type="dxa"/>
              <w:bottom w:w="50" w:type="dxa"/>
              <w:left w:w="90" w:type="dxa"/>
              <w:right w:w="90" w:type="dxa"/>
            </w:tcMar>
          </w:tcPr>
          <w:p>
            <w:pPr>
              <w:pStyle w:val="BDOITable"/>
            </w:pPr>
            <w:r>
              <w:rPr>
                <w:sz w:val="18"/>
              </w:rPr>
              <w:t>08 Oct 2026</w:t>
            </w:r>
          </w:p>
        </w:tc>
        <w:tc>
          <w:tcPr>
            <w:tcW w:type="dxa" w:w="1700"/>
            <w:tcMar>
              <w:top w:w="50" w:type="dxa"/>
              <w:bottom w:w="50" w:type="dxa"/>
              <w:left w:w="90" w:type="dxa"/>
              <w:right w:w="90" w:type="dxa"/>
            </w:tcMar>
          </w:tcPr>
          <w:p>
            <w:pPr>
              <w:pStyle w:val="BDOITable"/>
            </w:pPr>
            <w:r>
              <w:rPr>
                <w:sz w:val="18"/>
              </w:rPr>
              <w:t>iorta TechNXT Security Architect</w:t>
            </w:r>
          </w:p>
        </w:tc>
        <w:tc>
          <w:tcPr>
            <w:tcW w:type="dxa" w:w="1700"/>
            <w:tcMar>
              <w:top w:w="50" w:type="dxa"/>
              <w:bottom w:w="50" w:type="dxa"/>
              <w:left w:w="90" w:type="dxa"/>
              <w:right w:w="90" w:type="dxa"/>
            </w:tcMar>
          </w:tcPr>
          <w:p>
            <w:pPr>
              <w:pStyle w:val="BDOITable"/>
            </w:pPr>
            <w:r>
              <w:rPr>
                <w:sz w:val="18"/>
              </w:rPr>
              <w:t>iorta TechNXT Solution Architect; Tech Lead</w:t>
            </w:r>
          </w:p>
        </w:tc>
        <w:tc>
          <w:tcPr>
            <w:tcW w:type="dxa" w:w="1700"/>
            <w:tcMar>
              <w:top w:w="50" w:type="dxa"/>
              <w:bottom w:w="50" w:type="dxa"/>
              <w:left w:w="90" w:type="dxa"/>
              <w:right w:w="90" w:type="dxa"/>
            </w:tcMar>
          </w:tcPr>
          <w:p>
            <w:pPr>
              <w:pStyle w:val="BDOITable"/>
            </w:pPr>
            <w:r>
              <w:rPr>
                <w:sz w:val="18"/>
              </w:rPr>
              <w:t>BDOI Information Security (pending)</w:t>
            </w:r>
          </w:p>
        </w:tc>
        <w:tc>
          <w:tcPr>
            <w:tcW w:type="dxa" w:w="2606"/>
            <w:tcMar>
              <w:top w:w="50" w:type="dxa"/>
              <w:bottom w:w="50" w:type="dxa"/>
              <w:left w:w="90" w:type="dxa"/>
              <w:right w:w="90" w:type="dxa"/>
            </w:tcMar>
          </w:tcPr>
          <w:p>
            <w:pPr>
              <w:pStyle w:val="BDOITable"/>
            </w:pPr>
            <w:r>
              <w:rPr>
                <w:sz w:val="18"/>
              </w:rPr>
              <w:t>First issue, from the platform security controls, the deployment and configuration references, the CI pipeline, the BRD-11 non-functional requirements, the IER workbook v20 and the client decisions of 26 September and 8 October 2026</w:t>
            </w:r>
          </w:p>
        </w:tc>
      </w:tr>
    </w:tbl>
    <w:p>
      <w:pPr>
        <w:pStyle w:val="BDOISpacer"/>
      </w:pPr>
    </w:p>
    <w:p>
      <w:pPr>
        <w:spacing w:after="80"/>
      </w:pPr>
    </w:p>
    <w:p>
      <w:pPr>
        <w:pStyle w:val="BDOIFrontHeading"/>
      </w:pPr>
      <w:r>
        <w:t>Distribution List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2266"/>
        <w:gridCol w:w="2266"/>
        <w:gridCol w:w="2833"/>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Name / Unit</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Purpose</w:t>
            </w:r>
          </w:p>
        </w:tc>
      </w:tr>
      <w:tr>
        <w:trPr>
          <w:cantSplit w:val="true"/>
        </w:trPr>
        <w:tc>
          <w:tcPr>
            <w:tcW w:type="dxa" w:w="2606"/>
            <w:tcMar>
              <w:top w:w="50" w:type="dxa"/>
              <w:bottom w:w="50" w:type="dxa"/>
              <w:left w:w="90" w:type="dxa"/>
              <w:right w:w="90" w:type="dxa"/>
            </w:tcMar>
          </w:tcPr>
          <w:p>
            <w:pPr>
              <w:pStyle w:val="BDOITable"/>
            </w:pPr>
            <w:r>
              <w:rPr>
                <w:sz w:val="18"/>
              </w:rPr>
              <w:t>BDOI Information Security</w:t>
            </w:r>
          </w:p>
        </w:tc>
        <w:tc>
          <w:tcPr>
            <w:tcW w:type="dxa" w:w="2266"/>
            <w:tcMar>
              <w:top w:w="50" w:type="dxa"/>
              <w:bottom w:w="50" w:type="dxa"/>
              <w:left w:w="90" w:type="dxa"/>
              <w:right w:w="90" w:type="dxa"/>
            </w:tcMar>
          </w:tcPr>
          <w:p>
            <w:pPr>
              <w:pStyle w:val="BDOITable"/>
            </w:pPr>
            <w:r>
              <w:rPr>
                <w:sz w:val="18"/>
              </w:rPr>
              <w:t>Approver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Security architecture, ASVS mapping, threat model, exception policy</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BDOI Information Technology Group (BDOI IT)</w:t>
            </w:r>
          </w:p>
        </w:tc>
        <w:tc>
          <w:tcPr>
            <w:tcW w:type="dxa" w:w="2266"/>
            <w:tcMar>
              <w:top w:w="50" w:type="dxa"/>
              <w:bottom w:w="50" w:type="dxa"/>
              <w:left w:w="90" w:type="dxa"/>
              <w:right w:w="90" w:type="dxa"/>
            </w:tcMar>
            <w:shd w:val="clear" w:color="auto" w:fill="E5F5FF"/>
          </w:tcPr>
          <w:p>
            <w:pPr>
              <w:pStyle w:val="BDOITable"/>
            </w:pPr>
            <w:r>
              <w:rPr>
                <w:sz w:val="18"/>
              </w:rPr>
              <w:t>Approver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Identity, network, keys, logging and SIEM integration</w:t>
            </w:r>
          </w:p>
        </w:tc>
      </w:tr>
      <w:tr>
        <w:trPr>
          <w:cantSplit w:val="true"/>
        </w:trPr>
        <w:tc>
          <w:tcPr>
            <w:tcW w:type="dxa" w:w="2606"/>
            <w:tcMar>
              <w:top w:w="50" w:type="dxa"/>
              <w:bottom w:w="50" w:type="dxa"/>
              <w:left w:w="90" w:type="dxa"/>
              <w:right w:w="90" w:type="dxa"/>
            </w:tcMar>
          </w:tcPr>
          <w:p>
            <w:pPr>
              <w:pStyle w:val="BDOITable"/>
            </w:pPr>
            <w:r>
              <w:rPr>
                <w:sz w:val="18"/>
              </w:rPr>
              <w:t>BDOI Data Protection Officer</w:t>
            </w:r>
          </w:p>
        </w:tc>
        <w:tc>
          <w:tcPr>
            <w:tcW w:type="dxa" w:w="2266"/>
            <w:tcMar>
              <w:top w:w="50" w:type="dxa"/>
              <w:bottom w:w="50" w:type="dxa"/>
              <w:left w:w="90" w:type="dxa"/>
              <w:right w:w="90" w:type="dxa"/>
            </w:tcMar>
          </w:tcPr>
          <w:p>
            <w:pPr>
              <w:pStyle w:val="BDOITable"/>
            </w:pPr>
            <w:r>
              <w:rPr>
                <w:sz w:val="18"/>
              </w:rPr>
              <w:t>Reviewer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Privacy by design (Data Privacy Act 2012)</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Cloud and Digital Operations Engineering (IER owner)</w:t>
            </w:r>
          </w:p>
        </w:tc>
        <w:tc>
          <w:tcPr>
            <w:tcW w:type="dxa" w:w="2266"/>
            <w:tcMar>
              <w:top w:w="50" w:type="dxa"/>
              <w:bottom w:w="50" w:type="dxa"/>
              <w:left w:w="90" w:type="dxa"/>
              <w:right w:w="90" w:type="dxa"/>
            </w:tcMar>
            <w:shd w:val="clear" w:color="auto" w:fill="E5F5FF"/>
          </w:tcPr>
          <w:p>
            <w:pPr>
              <w:pStyle w:val="BDOITable"/>
            </w:pPr>
            <w:r>
              <w:rPr>
                <w:sz w:val="18"/>
              </w:rPr>
              <w:t>Reviewer</w:t>
            </w:r>
          </w:p>
        </w:tc>
        <w:tc>
          <w:tcPr>
            <w:tcW w:type="dxa" w:w="2266"/>
            <w:tcMar>
              <w:top w:w="50" w:type="dxa"/>
              <w:bottom w:w="50" w:type="dxa"/>
              <w:left w:w="90" w:type="dxa"/>
              <w:right w:w="90" w:type="dxa"/>
            </w:tcMar>
            <w:shd w:val="clear" w:color="auto" w:fill="E5F5FF"/>
          </w:tcPr>
          <w:p>
            <w:pPr>
              <w:pStyle w:val="BDOITable"/>
            </w:pPr>
            <w:r>
              <w:rPr>
                <w:sz w:val="18"/>
              </w:rPr>
              <w:t>BDO Unibank IT</w:t>
            </w:r>
          </w:p>
        </w:tc>
        <w:tc>
          <w:tcPr>
            <w:tcW w:type="dxa" w:w="2833"/>
            <w:tcMar>
              <w:top w:w="50" w:type="dxa"/>
              <w:bottom w:w="50" w:type="dxa"/>
              <w:left w:w="90" w:type="dxa"/>
              <w:right w:w="90" w:type="dxa"/>
            </w:tcMar>
            <w:shd w:val="clear" w:color="auto" w:fill="E5F5FF"/>
          </w:tcPr>
          <w:p>
            <w:pPr>
              <w:pStyle w:val="BDOITable"/>
            </w:pPr>
            <w:r>
              <w:rPr>
                <w:sz w:val="18"/>
              </w:rPr>
              <w:t>Cloud controls, KMS, WAF, Kubernetes</w:t>
            </w:r>
          </w:p>
        </w:tc>
      </w:tr>
      <w:tr>
        <w:trPr>
          <w:cantSplit w:val="true"/>
        </w:trPr>
        <w:tc>
          <w:tcPr>
            <w:tcW w:type="dxa" w:w="2606"/>
            <w:tcMar>
              <w:top w:w="50" w:type="dxa"/>
              <w:bottom w:w="50" w:type="dxa"/>
              <w:left w:w="90" w:type="dxa"/>
              <w:right w:w="90" w:type="dxa"/>
            </w:tcMar>
          </w:tcPr>
          <w:p>
            <w:pPr>
              <w:pStyle w:val="BDOITable"/>
            </w:pPr>
            <w:r>
              <w:rPr>
                <w:sz w:val="18"/>
              </w:rPr>
              <w:t>BDO API team (Apigee X)</w:t>
            </w:r>
          </w:p>
        </w:tc>
        <w:tc>
          <w:tcPr>
            <w:tcW w:type="dxa" w:w="2266"/>
            <w:tcMar>
              <w:top w:w="50" w:type="dxa"/>
              <w:bottom w:w="50" w:type="dxa"/>
              <w:left w:w="90" w:type="dxa"/>
              <w:right w:w="90" w:type="dxa"/>
            </w:tcMar>
          </w:tcPr>
          <w:p>
            <w:pPr>
              <w:pStyle w:val="BDOITable"/>
            </w:pPr>
            <w:r>
              <w:rPr>
                <w:sz w:val="18"/>
              </w:rPr>
              <w:t>Reviewer</w:t>
            </w:r>
          </w:p>
        </w:tc>
        <w:tc>
          <w:tcPr>
            <w:tcW w:type="dxa" w:w="2266"/>
            <w:tcMar>
              <w:top w:w="50" w:type="dxa"/>
              <w:bottom w:w="50" w:type="dxa"/>
              <w:left w:w="90" w:type="dxa"/>
              <w:right w:w="90" w:type="dxa"/>
            </w:tcMar>
          </w:tcPr>
          <w:p>
            <w:pPr>
              <w:pStyle w:val="BDOITable"/>
            </w:pPr>
            <w:r>
              <w:rPr>
                <w:sz w:val="18"/>
              </w:rPr>
              <w:t>BDO Unibank IT</w:t>
            </w:r>
          </w:p>
        </w:tc>
        <w:tc>
          <w:tcPr>
            <w:tcW w:type="dxa" w:w="2833"/>
            <w:tcMar>
              <w:top w:w="50" w:type="dxa"/>
              <w:bottom w:w="50" w:type="dxa"/>
              <w:left w:w="90" w:type="dxa"/>
              <w:right w:w="90" w:type="dxa"/>
            </w:tcMar>
          </w:tcPr>
          <w:p>
            <w:pPr>
              <w:pStyle w:val="BDOITable"/>
            </w:pPr>
            <w:r>
              <w:rPr>
                <w:sz w:val="18"/>
              </w:rPr>
              <w:t>System-to-system tokens and scopes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Project team</w:t>
            </w:r>
          </w:p>
        </w:tc>
        <w:tc>
          <w:tcPr>
            <w:tcW w:type="dxa" w:w="2266"/>
            <w:tcMar>
              <w:top w:w="50" w:type="dxa"/>
              <w:bottom w:w="50" w:type="dxa"/>
              <w:left w:w="90" w:type="dxa"/>
              <w:right w:w="90" w:type="dxa"/>
            </w:tcMar>
            <w:shd w:val="clear" w:color="auto" w:fill="E5F5FF"/>
          </w:tcPr>
          <w:p>
            <w:pPr>
              <w:pStyle w:val="BDOITable"/>
            </w:pPr>
            <w:r>
              <w:rPr>
                <w:sz w:val="18"/>
              </w:rPr>
              <w:t>Delivery</w:t>
            </w:r>
          </w:p>
        </w:tc>
        <w:tc>
          <w:tcPr>
            <w:tcW w:type="dxa" w:w="2266"/>
            <w:tcMar>
              <w:top w:w="50" w:type="dxa"/>
              <w:bottom w:w="50" w:type="dxa"/>
              <w:left w:w="90" w:type="dxa"/>
              <w:right w:w="90" w:type="dxa"/>
            </w:tcMar>
            <w:shd w:val="clear" w:color="auto" w:fill="E5F5FF"/>
          </w:tcPr>
          <w:p>
            <w:pPr>
              <w:pStyle w:val="BDOITable"/>
            </w:pPr>
            <w:r>
              <w:rPr>
                <w:sz w:val="18"/>
              </w:rPr>
              <w:t>iorta TechNXT</w:t>
            </w:r>
          </w:p>
        </w:tc>
        <w:tc>
          <w:tcPr>
            <w:tcW w:type="dxa" w:w="2833"/>
            <w:tcMar>
              <w:top w:w="50" w:type="dxa"/>
              <w:bottom w:w="50" w:type="dxa"/>
              <w:left w:w="90" w:type="dxa"/>
              <w:right w:w="90" w:type="dxa"/>
            </w:tcMar>
            <w:shd w:val="clear" w:color="auto" w:fill="E5F5FF"/>
          </w:tcPr>
          <w:p>
            <w:pPr>
              <w:pStyle w:val="BDOITable"/>
            </w:pPr>
            <w:r>
              <w:rPr>
                <w:sz w:val="18"/>
              </w:rPr>
              <w:t>Security controls, pipeline, remediation</w:t>
            </w:r>
          </w:p>
        </w:tc>
      </w:tr>
    </w:tbl>
    <w:p>
      <w:pPr>
        <w:pStyle w:val="BDOISpacer"/>
      </w:pPr>
    </w:p>
    <w:p>
      <w:pPr>
        <w:pStyle w:val="BDOIFrontHeading"/>
        <w:pageBreakBefore/>
      </w:pPr>
      <w:r>
        <w:t>Contents</w:t>
      </w:r>
    </w:p>
    <w:p>
      <w:pPr>
        <w:spacing w:after="0"/>
      </w:pPr>
    </w:p>
    <w:p>
      <w:pPr>
        <w:pStyle w:val="toc1"/>
      </w:pPr>
      <w:r>
        <w:fldChar w:fldCharType="begin" w:dirty="false"/>
      </w:r>
      <w:r>
        <w:instrText xml:space="preserve"> TOC \o "1-3" \h \z \u </w:instrText>
      </w:r>
      <w:r>
        <w:fldChar w:fldCharType="separate"/>
      </w:r>
      <w:hyperlink w:anchor="_Toc000101" w:history="1">
        <w:r>
          <w:t xml:space="preserve">1 Introduction</w:t>
        </w:r>
        <w:r>
          <w:t xml:space="preserve">	</w:t>
        </w:r>
        <w:r>
          <w:t xml:space="preserve">5</w:t>
        </w:r>
      </w:hyperlink>
    </w:p>
    <w:p>
      <w:pPr>
        <w:pStyle w:val="toc2"/>
      </w:pPr>
      <w:hyperlink w:anchor="_Toc000102" w:history="1">
        <w:r>
          <w:t xml:space="preserve">1.1 Purpose and audience</w:t>
        </w:r>
        <w:r>
          <w:t xml:space="preserve">	</w:t>
        </w:r>
        <w:r>
          <w:t xml:space="preserve">5</w:t>
        </w:r>
      </w:hyperlink>
    </w:p>
    <w:p>
      <w:pPr>
        <w:pStyle w:val="toc2"/>
      </w:pPr>
      <w:hyperlink w:anchor="_Toc000103" w:history="1">
        <w:r>
          <w:t xml:space="preserve">1.2 Scope</w:t>
        </w:r>
        <w:r>
          <w:t xml:space="preserve">	</w:t>
        </w:r>
        <w:r>
          <w:t xml:space="preserve">5</w:t>
        </w:r>
      </w:hyperlink>
    </w:p>
    <w:p>
      <w:pPr>
        <w:pStyle w:val="toc2"/>
      </w:pPr>
      <w:hyperlink w:anchor="_Toc000104" w:history="1">
        <w:r>
          <w:t xml:space="preserve">1.3 Sources</w:t>
        </w:r>
        <w:r>
          <w:t xml:space="preserve">	</w:t>
        </w:r>
        <w:r>
          <w:t xml:space="preserve">5</w:t>
        </w:r>
      </w:hyperlink>
    </w:p>
    <w:p>
      <w:pPr>
        <w:pStyle w:val="toc2"/>
      </w:pPr>
      <w:hyperlink w:anchor="_Toc000105" w:history="1">
        <w:r>
          <w:t xml:space="preserve">1.4 Summary</w:t>
        </w:r>
        <w:r>
          <w:t xml:space="preserve">	</w:t>
        </w:r>
        <w:r>
          <w:t xml:space="preserve">6</w:t>
        </w:r>
      </w:hyperlink>
    </w:p>
    <w:p>
      <w:pPr>
        <w:pStyle w:val="toc1"/>
      </w:pPr>
      <w:hyperlink w:anchor="_Toc000106" w:history="1">
        <w:r>
          <w:t xml:space="preserve">2 Security architecture overview</w:t>
        </w:r>
        <w:r>
          <w:t xml:space="preserve">	</w:t>
        </w:r>
        <w:r>
          <w:t xml:space="preserve">7</w:t>
        </w:r>
      </w:hyperlink>
    </w:p>
    <w:p>
      <w:pPr>
        <w:pStyle w:val="toc1"/>
      </w:pPr>
      <w:hyperlink w:anchor="_Toc000107" w:history="1">
        <w:r>
          <w:t xml:space="preserve">3 Zero Trust principles applied</w:t>
        </w:r>
        <w:r>
          <w:t xml:space="preserve">	</w:t>
        </w:r>
        <w:r>
          <w:t xml:space="preserve">10</w:t>
        </w:r>
      </w:hyperlink>
    </w:p>
    <w:p>
      <w:pPr>
        <w:pStyle w:val="toc1"/>
      </w:pPr>
      <w:hyperlink w:anchor="_Toc000108" w:history="1">
        <w:r>
          <w:t xml:space="preserve">4 Identity and access management</w:t>
        </w:r>
        <w:r>
          <w:t xml:space="preserve">	</w:t>
        </w:r>
        <w:r>
          <w:t xml:space="preserve">11</w:t>
        </w:r>
      </w:hyperlink>
    </w:p>
    <w:p>
      <w:pPr>
        <w:pStyle w:val="toc2"/>
      </w:pPr>
      <w:hyperlink w:anchor="_Toc000109" w:history="1">
        <w:r>
          <w:t xml:space="preserve">4.1 Single sign-on with EIAM</w:t>
        </w:r>
        <w:r>
          <w:t xml:space="preserve">	</w:t>
        </w:r>
        <w:r>
          <w:t xml:space="preserve">11</w:t>
        </w:r>
      </w:hyperlink>
    </w:p>
    <w:p>
      <w:pPr>
        <w:pStyle w:val="toc2"/>
      </w:pPr>
      <w:hyperlink w:anchor="_Toc000110" w:history="1">
        <w:r>
          <w:t xml:space="preserve">4.2 Provisioning with UIDM-ISC (SCIM)</w:t>
        </w:r>
        <w:r>
          <w:t xml:space="preserve">	</w:t>
        </w:r>
        <w:r>
          <w:t xml:space="preserve">12</w:t>
        </w:r>
      </w:hyperlink>
    </w:p>
    <w:p>
      <w:pPr>
        <w:pStyle w:val="toc2"/>
      </w:pPr>
      <w:hyperlink w:anchor="_Toc000111" w:history="1">
        <w:r>
          <w:t xml:space="preserve">4.3 Second factor</w:t>
        </w:r>
        <w:r>
          <w:t xml:space="preserve">	</w:t>
        </w:r>
        <w:r>
          <w:t xml:space="preserve">12</w:t>
        </w:r>
      </w:hyperlink>
    </w:p>
    <w:p>
      <w:pPr>
        <w:pStyle w:val="toc2"/>
      </w:pPr>
      <w:hyperlink w:anchor="_Toc000112" w:history="1">
        <w:r>
          <w:t xml:space="preserve">4.4 Break-glass access</w:t>
        </w:r>
        <w:r>
          <w:t xml:space="preserve">	</w:t>
        </w:r>
        <w:r>
          <w:t xml:space="preserve">12</w:t>
        </w:r>
      </w:hyperlink>
    </w:p>
    <w:p>
      <w:pPr>
        <w:pStyle w:val="toc2"/>
      </w:pPr>
      <w:hyperlink w:anchor="_Toc000113" w:history="1">
        <w:r>
          <w:t xml:space="preserve">4.5 Role-based access control</w:t>
        </w:r>
        <w:r>
          <w:t xml:space="preserve">	</w:t>
        </w:r>
        <w:r>
          <w:t xml:space="preserve">12</w:t>
        </w:r>
      </w:hyperlink>
    </w:p>
    <w:p>
      <w:pPr>
        <w:pStyle w:val="toc2"/>
      </w:pPr>
      <w:hyperlink w:anchor="_Toc000114" w:history="1">
        <w:r>
          <w:t xml:space="preserve">4.6 Data scope (attribute-based access control)</w:t>
        </w:r>
        <w:r>
          <w:t xml:space="preserve">	</w:t>
        </w:r>
        <w:r>
          <w:t xml:space="preserve">13</w:t>
        </w:r>
      </w:hyperlink>
    </w:p>
    <w:p>
      <w:pPr>
        <w:pStyle w:val="toc2"/>
      </w:pPr>
      <w:hyperlink w:anchor="_Toc000115" w:history="1">
        <w:r>
          <w:t xml:space="preserve">4.7 Second approval and segregation of duties</w:t>
        </w:r>
        <w:r>
          <w:t xml:space="preserve">	</w:t>
        </w:r>
        <w:r>
          <w:t xml:space="preserve">14</w:t>
        </w:r>
      </w:hyperlink>
    </w:p>
    <w:p>
      <w:pPr>
        <w:pStyle w:val="toc2"/>
      </w:pPr>
      <w:hyperlink w:anchor="_Toc000116" w:history="1">
        <w:r>
          <w:t xml:space="preserve">4.8 Account life cycle</w:t>
        </w:r>
        <w:r>
          <w:t xml:space="preserve">	</w:t>
        </w:r>
        <w:r>
          <w:t xml:space="preserve">14</w:t>
        </w:r>
      </w:hyperlink>
    </w:p>
    <w:p>
      <w:pPr>
        <w:pStyle w:val="toc1"/>
      </w:pPr>
      <w:hyperlink w:anchor="_Toc000117" w:history="1">
        <w:r>
          <w:t xml:space="preserve">5 Session management</w:t>
        </w:r>
        <w:r>
          <w:t xml:space="preserve">	</w:t>
        </w:r>
        <w:r>
          <w:t xml:space="preserve">15</w:t>
        </w:r>
      </w:hyperlink>
    </w:p>
    <w:p>
      <w:pPr>
        <w:pStyle w:val="toc1"/>
      </w:pPr>
      <w:hyperlink w:anchor="_Toc000118" w:history="1">
        <w:r>
          <w:t xml:space="preserve">6 Cryptography, secrets and keys</w:t>
        </w:r>
        <w:r>
          <w:t xml:space="preserve">	</w:t>
        </w:r>
        <w:r>
          <w:t xml:space="preserve">16</w:t>
        </w:r>
      </w:hyperlink>
    </w:p>
    <w:p>
      <w:pPr>
        <w:pStyle w:val="toc2"/>
      </w:pPr>
      <w:hyperlink w:anchor="_Toc000119" w:history="1">
        <w:r>
          <w:t xml:space="preserve">6.1 Encryption in transit</w:t>
        </w:r>
        <w:r>
          <w:t xml:space="preserve">	</w:t>
        </w:r>
        <w:r>
          <w:t xml:space="preserve">16</w:t>
        </w:r>
      </w:hyperlink>
    </w:p>
    <w:p>
      <w:pPr>
        <w:pStyle w:val="toc2"/>
      </w:pPr>
      <w:hyperlink w:anchor="_Toc000120" w:history="1">
        <w:r>
          <w:t xml:space="preserve">6.2 Encryption at rest</w:t>
        </w:r>
        <w:r>
          <w:t xml:space="preserve">	</w:t>
        </w:r>
        <w:r>
          <w:t xml:space="preserve">16</w:t>
        </w:r>
      </w:hyperlink>
    </w:p>
    <w:p>
      <w:pPr>
        <w:pStyle w:val="toc2"/>
      </w:pPr>
      <w:hyperlink w:anchor="_Toc000121" w:history="1">
        <w:r>
          <w:t xml:space="preserve">6.3 Secret and key management</w:t>
        </w:r>
        <w:r>
          <w:t xml:space="preserve">	</w:t>
        </w:r>
        <w:r>
          <w:t xml:space="preserve">16</w:t>
        </w:r>
      </w:hyperlink>
    </w:p>
    <w:p>
      <w:pPr>
        <w:pStyle w:val="toc1"/>
      </w:pPr>
      <w:hyperlink w:anchor="_Toc000122" w:history="1">
        <w:r>
          <w:t xml:space="preserve">7 Secure coding</w:t>
        </w:r>
        <w:r>
          <w:t xml:space="preserve">	</w:t>
        </w:r>
        <w:r>
          <w:t xml:space="preserve">18</w:t>
        </w:r>
      </w:hyperlink>
    </w:p>
    <w:p>
      <w:pPr>
        <w:pStyle w:val="toc2"/>
      </w:pPr>
      <w:hyperlink w:anchor="_Toc000123" w:history="1">
        <w:r>
          <w:t xml:space="preserve">7.1 Standards</w:t>
        </w:r>
        <w:r>
          <w:t xml:space="preserve">	</w:t>
        </w:r>
        <w:r>
          <w:t xml:space="preserve">18</w:t>
        </w:r>
      </w:hyperlink>
    </w:p>
    <w:p>
      <w:pPr>
        <w:pStyle w:val="toc2"/>
      </w:pPr>
      <w:hyperlink w:anchor="_Toc000124" w:history="1">
        <w:r>
          <w:t xml:space="preserve">7.2 Parameterised queries: scan result</w:t>
        </w:r>
        <w:r>
          <w:t xml:space="preserve">	</w:t>
        </w:r>
        <w:r>
          <w:t xml:space="preserve">18</w:t>
        </w:r>
      </w:hyperlink>
    </w:p>
    <w:p>
      <w:pPr>
        <w:pStyle w:val="toc2"/>
      </w:pPr>
      <w:hyperlink w:anchor="_Toc000125" w:history="1">
        <w:r>
          <w:t xml:space="preserve">7.3 Input validation</w:t>
        </w:r>
        <w:r>
          <w:t xml:space="preserve">	</w:t>
        </w:r>
        <w:r>
          <w:t xml:space="preserve">18</w:t>
        </w:r>
      </w:hyperlink>
    </w:p>
    <w:p>
      <w:pPr>
        <w:pStyle w:val="toc2"/>
      </w:pPr>
      <w:hyperlink w:anchor="_Toc000126" w:history="1">
        <w:r>
          <w:t xml:space="preserve">7.4 Output encoding</w:t>
        </w:r>
        <w:r>
          <w:t xml:space="preserve">	</w:t>
        </w:r>
        <w:r>
          <w:t xml:space="preserve">19</w:t>
        </w:r>
      </w:hyperlink>
    </w:p>
    <w:p>
      <w:pPr>
        <w:pStyle w:val="toc1"/>
      </w:pPr>
      <w:hyperlink w:anchor="_Toc000127" w:history="1">
        <w:r>
          <w:t xml:space="preserve">8 OWASP Top 10 and ASVS Level 2</w:t>
        </w:r>
        <w:r>
          <w:t xml:space="preserve">	</w:t>
        </w:r>
        <w:r>
          <w:t xml:space="preserve">20</w:t>
        </w:r>
      </w:hyperlink>
    </w:p>
    <w:p>
      <w:pPr>
        <w:pStyle w:val="toc2"/>
      </w:pPr>
      <w:hyperlink w:anchor="_Toc000128" w:history="1">
        <w:r>
          <w:t xml:space="preserve">8.1 OWASP Top 10 (2021)</w:t>
        </w:r>
        <w:r>
          <w:t xml:space="preserve">	</w:t>
        </w:r>
        <w:r>
          <w:t xml:space="preserve">20</w:t>
        </w:r>
      </w:hyperlink>
    </w:p>
    <w:p>
      <w:pPr>
        <w:pStyle w:val="toc2"/>
      </w:pPr>
      <w:hyperlink w:anchor="_Toc000129" w:history="1">
        <w:r>
          <w:t xml:space="preserve">8.2 ASVS 4.0.3 Level 2 control mapping</w:t>
        </w:r>
        <w:r>
          <w:t xml:space="preserve">	</w:t>
        </w:r>
        <w:r>
          <w:t xml:space="preserve">20</w:t>
        </w:r>
      </w:hyperlink>
    </w:p>
    <w:p>
      <w:pPr>
        <w:pStyle w:val="toc1"/>
      </w:pPr>
      <w:hyperlink w:anchor="_Toc000130" w:history="1">
        <w:r>
          <w:t xml:space="preserve">9 Threat model</w:t>
        </w:r>
        <w:r>
          <w:t xml:space="preserve">	</w:t>
        </w:r>
        <w:r>
          <w:t xml:space="preserve">24</w:t>
        </w:r>
      </w:hyperlink>
    </w:p>
    <w:p>
      <w:pPr>
        <w:pStyle w:val="toc2"/>
      </w:pPr>
      <w:hyperlink w:anchor="_Toc000131" w:history="1">
        <w:r>
          <w:t xml:space="preserve">9.1 Method</w:t>
        </w:r>
        <w:r>
          <w:t xml:space="preserve">	</w:t>
        </w:r>
        <w:r>
          <w:t xml:space="preserve">24</w:t>
        </w:r>
      </w:hyperlink>
    </w:p>
    <w:p>
      <w:pPr>
        <w:pStyle w:val="toc2"/>
      </w:pPr>
      <w:hyperlink w:anchor="_Toc000132" w:history="1">
        <w:r>
          <w:t xml:space="preserve">9.2 Data flows</w:t>
        </w:r>
        <w:r>
          <w:t xml:space="preserve">	</w:t>
        </w:r>
        <w:r>
          <w:t xml:space="preserve">24</w:t>
        </w:r>
      </w:hyperlink>
    </w:p>
    <w:p>
      <w:pPr>
        <w:pStyle w:val="toc2"/>
      </w:pPr>
      <w:hyperlink w:anchor="_Toc000133" w:history="1">
        <w:r>
          <w:t xml:space="preserve">9.3 STRIDE analysis</w:t>
        </w:r>
        <w:r>
          <w:t xml:space="preserve">	</w:t>
        </w:r>
        <w:r>
          <w:t xml:space="preserve">24</w:t>
        </w:r>
      </w:hyperlink>
    </w:p>
    <w:p>
      <w:pPr>
        <w:pStyle w:val="toc1"/>
      </w:pPr>
      <w:hyperlink w:anchor="_Toc000134" w:history="1">
        <w:r>
          <w:t xml:space="preserve">10 Security testing in the pipeline</w:t>
        </w:r>
        <w:r>
          <w:t xml:space="preserve">	</w:t>
        </w:r>
        <w:r>
          <w:t xml:space="preserve">26</w:t>
        </w:r>
      </w:hyperlink>
    </w:p>
    <w:p>
      <w:pPr>
        <w:pStyle w:val="toc2"/>
      </w:pPr>
      <w:hyperlink w:anchor="_Toc000135" w:history="1">
        <w:r>
          <w:t xml:space="preserve">10.1 Penetration-test readiness checklist</w:t>
        </w:r>
        <w:r>
          <w:t xml:space="preserve">	</w:t>
        </w:r>
        <w:r>
          <w:t xml:space="preserve">27</w:t>
        </w:r>
      </w:hyperlink>
    </w:p>
    <w:p>
      <w:pPr>
        <w:pStyle w:val="toc1"/>
      </w:pPr>
      <w:hyperlink w:anchor="_Toc000136" w:history="1">
        <w:r>
          <w:t xml:space="preserve">11 Vulnerability management and exceptions</w:t>
        </w:r>
        <w:r>
          <w:t xml:space="preserve">	</w:t>
        </w:r>
        <w:r>
          <w:t xml:space="preserve">28</w:t>
        </w:r>
      </w:hyperlink>
    </w:p>
    <w:p>
      <w:pPr>
        <w:pStyle w:val="toc1"/>
      </w:pPr>
      <w:hyperlink w:anchor="_Toc000137" w:history="1">
        <w:r>
          <w:t xml:space="preserve">12 Privacy by design (Data Privacy Act 2012)</w:t>
        </w:r>
        <w:r>
          <w:t xml:space="preserve">	</w:t>
        </w:r>
        <w:r>
          <w:t xml:space="preserve">29</w:t>
        </w:r>
      </w:hyperlink>
    </w:p>
    <w:p>
      <w:pPr>
        <w:pStyle w:val="toc1"/>
      </w:pPr>
      <w:hyperlink w:anchor="_Toc000138" w:history="1">
        <w:r>
          <w:t xml:space="preserve">13 Logging and security monitoring</w:t>
        </w:r>
        <w:r>
          <w:t xml:space="preserve">	</w:t>
        </w:r>
        <w:r>
          <w:t xml:space="preserve">30</w:t>
        </w:r>
      </w:hyperlink>
    </w:p>
    <w:p>
      <w:pPr>
        <w:pStyle w:val="toc1"/>
      </w:pPr>
      <w:hyperlink w:anchor="_Toc000139" w:history="1">
        <w:r>
          <w:t xml:space="preserve">14 Roles and responsibilities</w:t>
        </w:r>
        <w:r>
          <w:t xml:space="preserve">	</w:t>
        </w:r>
        <w:r>
          <w:t xml:space="preserve">31</w:t>
        </w:r>
      </w:hyperlink>
    </w:p>
    <w:p>
      <w:pPr>
        <w:pStyle w:val="toc1"/>
      </w:pPr>
      <w:hyperlink w:anchor="_Toc000140" w:history="1">
        <w:r>
          <w:t xml:space="preserve">15 Decisions and open points for BDOI</w:t>
        </w:r>
        <w:r>
          <w:t xml:space="preserve">	</w:t>
        </w:r>
        <w:r>
          <w:t xml:space="preserve">32</w:t>
        </w:r>
      </w:hyperlink>
    </w:p>
    <w:p>
      <w:pPr>
        <w:pStyle w:val="toc1"/>
      </w:pPr>
      <w:hyperlink w:anchor="_Toc000141" w:history="1">
        <w:r>
          <w:t xml:space="preserve">References</w:t>
        </w:r>
        <w:r>
          <w:t xml:space="preserve">	</w:t>
        </w:r>
        <w:r>
          <w:t xml:space="preserve">34</w:t>
        </w:r>
      </w:hyperlink>
      <w:r>
        <w:fldChar w:fldCharType="end"/>
      </w:r>
    </w:p>
    <w:p>
      <w:pPr>
        <w:pStyle w:val="Heading1"/>
        <w:pageBreakBefore/>
        <w:pBdr>
          <w:bottom w:val="single" w:sz="4" w:space="4" w:color="99C1E7"/>
        </w:pBdr>
      </w:pPr>
      <w:bookmarkStart w:id="101" w:name="_Toc000101"/>
      <w:r>
        <w:rPr/>
        <w:t>1 Introduction</w:t>
      </w:r>
      <w:bookmarkEnd w:id="101"/>
    </w:p>
    <w:p>
      <w:pPr>
        <w:pStyle w:val="Heading2"/>
      </w:pPr>
      <w:bookmarkStart w:id="102" w:name="_Toc000102"/>
      <w:r>
        <w:rPr/>
        <w:t>1.1 Purpose and audience</w:t>
      </w:r>
      <w:bookmarkEnd w:id="102"/>
    </w:p>
    <w:p>
      <w:r>
        <w:rPr/>
        <w:t>This document describes how BIBS (BDOI Broker System, on iNXT BrokerVerse) protects the data and the transactions of BDO Insurance and Reinsurance Brokers, Inc. (BDOI). It states the security principles, the controls of every layer, the threat model, the security testing in the delivery pipeline, the vulnerability management and the privacy controls, and it maps the controls to the OWASP Top 10 (2021) and to OWASP ASVS 4.0.3 Level 2.</w:t>
      </w:r>
    </w:p>
    <w:p>
      <w:r>
        <w:rPr/>
        <w:t>The audience is BDOI Information Security, BDOI IT, the BDOI Data Protection Officer, the BDO cloud, network and API teams and the iorta TechNXT project team. Technical terms are used.</w:t>
      </w:r>
    </w:p>
    <w:p>
      <w:pPr>
        <w:pStyle w:val="Heading2"/>
      </w:pPr>
      <w:bookmarkStart w:id="103" w:name="_Toc000103"/>
      <w:r>
        <w:rPr/>
        <w:t>1.2 Scope</w:t>
      </w:r>
      <w:bookmarkEnd w:id="103"/>
    </w:p>
    <w:p>
      <w:pPr>
        <w:pStyle w:val="Caption"/>
        <w:keepNext/>
        <w:spacing w:after="60"/>
      </w:pPr>
      <w:r>
        <w:rPr>
          <w:b/>
          <w:i w:val="0"/>
        </w:rPr>
        <w:t xml:space="preserve">Table 1: </w:t>
      </w:r>
      <w:r>
        <w:rPr/>
        <w:t>Scope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01"/>
        <w:gridCol w:w="7671"/>
      </w:tblGrid>
      <w:tr>
        <w:trPr>
          <w:tblHeader w:val="true"/>
          <w:cantSplit w:val="true"/>
        </w:trPr>
        <w:tc>
          <w:tcPr>
            <w:tcW w:type="dxa" w:w="2301"/>
            <w:shd w:val="clear" w:color="auto" w:fill="004EA8"/>
            <w:tcMar>
              <w:top w:w="50" w:type="dxa"/>
              <w:bottom w:w="50" w:type="dxa"/>
              <w:left w:w="90" w:type="dxa"/>
              <w:right w:w="90" w:type="dxa"/>
            </w:tcMar>
            <w:vAlign w:val="center"/>
          </w:tcPr>
          <w:p>
            <w:pPr>
              <w:pStyle w:val="BDOITableHeader"/>
            </w:pPr>
            <w:r>
              <w:rPr>
                <w:b/>
                <w:color w:val="FFFFFF"/>
                <w:sz w:val="18"/>
              </w:rPr>
              <w:t>Item</w:t>
            </w:r>
          </w:p>
        </w:tc>
        <w:tc>
          <w:tcPr>
            <w:tcW w:type="dxa" w:w="7671"/>
            <w:shd w:val="clear" w:color="auto" w:fill="004EA8"/>
            <w:tcMar>
              <w:top w:w="50" w:type="dxa"/>
              <w:bottom w:w="50" w:type="dxa"/>
              <w:left w:w="90" w:type="dxa"/>
              <w:right w:w="90" w:type="dxa"/>
            </w:tcMar>
            <w:vAlign w:val="center"/>
          </w:tcPr>
          <w:p>
            <w:pPr>
              <w:pStyle w:val="BDOITableHeader"/>
            </w:pPr>
            <w:r>
              <w:rPr>
                <w:b/>
                <w:color w:val="FFFFFF"/>
                <w:sz w:val="18"/>
              </w:rPr>
              <w:t>Scope</w:t>
            </w:r>
          </w:p>
        </w:tc>
      </w:tr>
      <w:tr>
        <w:trPr>
          <w:cantSplit w:val="true"/>
        </w:trPr>
        <w:tc>
          <w:tcPr>
            <w:tcW w:type="dxa" w:w="2301"/>
            <w:tcMar>
              <w:top w:w="50" w:type="dxa"/>
              <w:bottom w:w="50" w:type="dxa"/>
              <w:left w:w="90" w:type="dxa"/>
              <w:right w:w="90" w:type="dxa"/>
            </w:tcMar>
          </w:tcPr>
          <w:p>
            <w:pPr>
              <w:pStyle w:val="BDOITable"/>
            </w:pPr>
            <w:r>
              <w:rPr>
                <w:b/>
                <w:sz w:val="18"/>
              </w:rPr>
              <w:t>Application</w:t>
            </w:r>
          </w:p>
        </w:tc>
        <w:tc>
          <w:tcPr>
            <w:tcW w:type="dxa" w:w="7671"/>
            <w:tcMar>
              <w:top w:w="50" w:type="dxa"/>
              <w:bottom w:w="50" w:type="dxa"/>
              <w:left w:w="90" w:type="dxa"/>
              <w:right w:w="90" w:type="dxa"/>
            </w:tcMar>
          </w:tcPr>
          <w:p>
            <w:pPr>
              <w:pStyle w:val="BDOITable"/>
            </w:pPr>
            <w:r>
              <w:rPr>
                <w:sz w:val="18"/>
              </w:rPr>
              <w:t>The BIBS web client (React and TypeScript, served by nginx), the backend (OpenJDK 21 LTS, Spring Boot 3.5 modular monolith) in its three runtime roles (web, jobs, integration), and its data stores</w:t>
            </w:r>
          </w:p>
        </w:tc>
      </w:tr>
      <w:tr>
        <w:trPr>
          <w:cantSplit w:val="true"/>
        </w:trPr>
        <w:tc>
          <w:tcPr>
            <w:tcW w:type="dxa" w:w="2301"/>
            <w:tcMar>
              <w:top w:w="50" w:type="dxa"/>
              <w:bottom w:w="50" w:type="dxa"/>
              <w:left w:w="90" w:type="dxa"/>
              <w:right w:w="90" w:type="dxa"/>
            </w:tcMar>
            <w:shd w:val="clear" w:color="auto" w:fill="E5F5FF"/>
          </w:tcPr>
          <w:p>
            <w:pPr>
              <w:pStyle w:val="BDOITable"/>
            </w:pPr>
            <w:r>
              <w:rPr>
                <w:b/>
                <w:sz w:val="18"/>
              </w:rPr>
              <w:t>Platform</w:t>
            </w:r>
          </w:p>
        </w:tc>
        <w:tc>
          <w:tcPr>
            <w:tcW w:type="dxa" w:w="7671"/>
            <w:tcMar>
              <w:top w:w="50" w:type="dxa"/>
              <w:bottom w:w="50" w:type="dxa"/>
              <w:left w:w="90" w:type="dxa"/>
              <w:right w:w="90" w:type="dxa"/>
            </w:tcMar>
            <w:shd w:val="clear" w:color="auto" w:fill="E5F5FF"/>
          </w:tcPr>
          <w:p>
            <w:pPr>
              <w:pStyle w:val="BDOITable"/>
            </w:pPr>
            <w:r>
              <w:rPr>
                <w:sz w:val="18"/>
              </w:rPr>
              <w:t>Managed Kubernetes on AWS (Amazon EKS, ap-southeast-1, as in the IER workbook v20), Kubernetes Gateway API, PostgreSQL 16 (Amazon RDS), Valkey 8, Apache Kafka 3.9 (Amazon MSK), Amazon S3, AWS KMS and Secrets Manager</w:t>
            </w:r>
          </w:p>
        </w:tc>
      </w:tr>
      <w:tr>
        <w:trPr>
          <w:cantSplit w:val="true"/>
        </w:trPr>
        <w:tc>
          <w:tcPr>
            <w:tcW w:type="dxa" w:w="2301"/>
            <w:tcMar>
              <w:top w:w="50" w:type="dxa"/>
              <w:bottom w:w="50" w:type="dxa"/>
              <w:left w:w="90" w:type="dxa"/>
              <w:right w:w="90" w:type="dxa"/>
            </w:tcMar>
          </w:tcPr>
          <w:p>
            <w:pPr>
              <w:pStyle w:val="BDOITable"/>
            </w:pPr>
            <w:r>
              <w:rPr>
                <w:b/>
                <w:sz w:val="18"/>
              </w:rPr>
              <w:t>Delivery</w:t>
            </w:r>
          </w:p>
        </w:tc>
        <w:tc>
          <w:tcPr>
            <w:tcW w:type="dxa" w:w="7671"/>
            <w:tcMar>
              <w:top w:w="50" w:type="dxa"/>
              <w:bottom w:w="50" w:type="dxa"/>
              <w:left w:w="90" w:type="dxa"/>
              <w:right w:w="90" w:type="dxa"/>
            </w:tcMar>
          </w:tcPr>
          <w:p>
            <w:pPr>
              <w:pStyle w:val="BDOITable"/>
            </w:pPr>
            <w:r>
              <w:rPr>
                <w:sz w:val="18"/>
              </w:rPr>
              <w:t>The CI pipeline (static analysis, dependency, secret and image scanning, SBOM) and the release to the environments DEV, SIT, UAT, Pre-Prod, PROD and DR</w:t>
            </w:r>
          </w:p>
        </w:tc>
      </w:tr>
      <w:tr>
        <w:trPr>
          <w:cantSplit w:val="true"/>
        </w:trPr>
        <w:tc>
          <w:tcPr>
            <w:tcW w:type="dxa" w:w="2301"/>
            <w:tcMar>
              <w:top w:w="50" w:type="dxa"/>
              <w:bottom w:w="50" w:type="dxa"/>
              <w:left w:w="90" w:type="dxa"/>
              <w:right w:w="90" w:type="dxa"/>
            </w:tcMar>
            <w:shd w:val="clear" w:color="auto" w:fill="E5F5FF"/>
          </w:tcPr>
          <w:p>
            <w:pPr>
              <w:pStyle w:val="BDOITable"/>
            </w:pPr>
            <w:r>
              <w:rPr>
                <w:b/>
                <w:sz w:val="18"/>
              </w:rPr>
              <w:t>Interfaces</w:t>
            </w:r>
          </w:p>
        </w:tc>
        <w:tc>
          <w:tcPr>
            <w:tcW w:type="dxa" w:w="7671"/>
            <w:tcMar>
              <w:top w:w="50" w:type="dxa"/>
              <w:bottom w:w="50" w:type="dxa"/>
              <w:left w:w="90" w:type="dxa"/>
              <w:right w:w="90" w:type="dxa"/>
            </w:tcMar>
            <w:shd w:val="clear" w:color="auto" w:fill="E5F5FF"/>
          </w:tcPr>
          <w:p>
            <w:pPr>
              <w:pStyle w:val="BDOITable"/>
            </w:pPr>
            <w:r>
              <w:rPr>
                <w:sz w:val="18"/>
              </w:rPr>
              <w:t>EIAM (Microsoft Entra ID) sign-in, UIDM-ISC provisioning, Apigee X for every system-to-system interface, CCM mail, bank, insurer and watchlist files</w:t>
            </w:r>
          </w:p>
        </w:tc>
      </w:tr>
      <w:tr>
        <w:trPr>
          <w:cantSplit w:val="true"/>
        </w:trPr>
        <w:tc>
          <w:tcPr>
            <w:tcW w:type="dxa" w:w="2301"/>
            <w:tcMar>
              <w:top w:w="50" w:type="dxa"/>
              <w:bottom w:w="50" w:type="dxa"/>
              <w:left w:w="90" w:type="dxa"/>
              <w:right w:w="90" w:type="dxa"/>
            </w:tcMar>
          </w:tcPr>
          <w:p>
            <w:pPr>
              <w:pStyle w:val="BDOITable"/>
            </w:pPr>
            <w:r>
              <w:rPr>
                <w:b/>
                <w:sz w:val="18"/>
              </w:rPr>
              <w:t>Out of scope</w:t>
            </w:r>
          </w:p>
        </w:tc>
        <w:tc>
          <w:tcPr>
            <w:tcW w:type="dxa" w:w="7671"/>
            <w:tcMar>
              <w:top w:w="50" w:type="dxa"/>
              <w:bottom w:w="50" w:type="dxa"/>
              <w:left w:w="90" w:type="dxa"/>
              <w:right w:w="90" w:type="dxa"/>
            </w:tcMar>
          </w:tcPr>
          <w:p>
            <w:pPr>
              <w:pStyle w:val="BDOITable"/>
            </w:pPr>
            <w:r>
              <w:rPr>
                <w:sz w:val="18"/>
              </w:rPr>
              <w:t>The security of the BDO systems themselves (EIAM, Apigee X, CMS, EGL, EDP), end-user devices and VDI, and the physical security of the cloud provider</w:t>
            </w:r>
          </w:p>
        </w:tc>
      </w:tr>
    </w:tbl>
    <w:p>
      <w:pPr>
        <w:pStyle w:val="BDOISpacer"/>
      </w:pPr>
    </w:p>
    <w:p>
      <w:r>
        <w:rPr/>
        <w:t>BIBS is an insurance broking system. The insurer-company modules of the platform (insurer underwriting, insurer claims, reinsurance treaty accounting, actuarial reserves, group consolidation) are being removed and are not part of this document; their permissions are already withdrawn from every role.</w:t>
      </w:r>
    </w:p>
    <w:p>
      <w:pPr>
        <w:pStyle w:val="Heading2"/>
      </w:pPr>
      <w:bookmarkStart w:id="104" w:name="_Toc000104"/>
      <w:r>
        <w:rPr/>
        <w:t>1.3 Sources</w:t>
      </w:r>
      <w:bookmarkEnd w:id="104"/>
    </w:p>
    <w:p>
      <w:pPr>
        <w:pStyle w:val="Caption"/>
        <w:keepNext/>
        <w:spacing w:after="60"/>
      </w:pPr>
      <w:r>
        <w:rPr>
          <w:b/>
          <w:i w:val="0"/>
        </w:rPr>
        <w:t xml:space="preserve">Table 2: </w:t>
      </w:r>
      <w:r>
        <w:rPr/>
        <w:t>Sources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767"/>
        <w:gridCol w:w="4603"/>
        <w:gridCol w:w="4603"/>
      </w:tblGrid>
      <w:tr>
        <w:trPr>
          <w:tblHeader w:val="true"/>
          <w:cantSplit w:val="true"/>
        </w:trPr>
        <w:tc>
          <w:tcPr>
            <w:tcW w:type="dxa" w:w="767"/>
            <w:shd w:val="clear" w:color="auto" w:fill="004EA8"/>
            <w:tcMar>
              <w:top w:w="50" w:type="dxa"/>
              <w:bottom w:w="50" w:type="dxa"/>
              <w:left w:w="90" w:type="dxa"/>
              <w:right w:w="90" w:type="dxa"/>
            </w:tcMar>
            <w:vAlign w:val="center"/>
          </w:tcPr>
          <w:p>
            <w:pPr>
              <w:pStyle w:val="BDOITableHeader"/>
            </w:pPr>
            <w:r>
              <w:rPr>
                <w:b/>
                <w:color w:val="FFFFFF"/>
                <w:sz w:val="18"/>
              </w:rPr>
              <w:t>Ref</w:t>
            </w:r>
          </w:p>
        </w:tc>
        <w:tc>
          <w:tcPr>
            <w:tcW w:type="dxa" w:w="4602"/>
            <w:shd w:val="clear" w:color="auto" w:fill="004EA8"/>
            <w:tcMar>
              <w:top w:w="50" w:type="dxa"/>
              <w:bottom w:w="50" w:type="dxa"/>
              <w:left w:w="90" w:type="dxa"/>
              <w:right w:w="90" w:type="dxa"/>
            </w:tcMar>
            <w:vAlign w:val="center"/>
          </w:tcPr>
          <w:p>
            <w:pPr>
              <w:pStyle w:val="BDOITableHeader"/>
            </w:pPr>
            <w:r>
              <w:rPr>
                <w:b/>
                <w:color w:val="FFFFFF"/>
                <w:sz w:val="18"/>
              </w:rPr>
              <w:t>Document</w:t>
            </w:r>
          </w:p>
        </w:tc>
        <w:tc>
          <w:tcPr>
            <w:tcW w:type="dxa" w:w="4602"/>
            <w:shd w:val="clear" w:color="auto" w:fill="004EA8"/>
            <w:tcMar>
              <w:top w:w="50" w:type="dxa"/>
              <w:bottom w:w="50" w:type="dxa"/>
              <w:left w:w="90" w:type="dxa"/>
              <w:right w:w="90" w:type="dxa"/>
            </w:tcMar>
            <w:vAlign w:val="center"/>
          </w:tcPr>
          <w:p>
            <w:pPr>
              <w:pStyle w:val="BDOITableHeader"/>
            </w:pPr>
            <w:r>
              <w:rPr>
                <w:b/>
                <w:color w:val="FFFFFF"/>
                <w:sz w:val="18"/>
              </w:rPr>
              <w:t>Used for</w:t>
            </w:r>
          </w:p>
        </w:tc>
      </w:tr>
      <w:tr>
        <w:trPr>
          <w:cantSplit w:val="true"/>
        </w:trPr>
        <w:tc>
          <w:tcPr>
            <w:tcW w:type="dxa" w:w="767"/>
            <w:tcMar>
              <w:top w:w="50" w:type="dxa"/>
              <w:bottom w:w="50" w:type="dxa"/>
              <w:left w:w="90" w:type="dxa"/>
              <w:right w:w="90" w:type="dxa"/>
            </w:tcMar>
          </w:tcPr>
          <w:p>
            <w:pPr>
              <w:pStyle w:val="BDOITable"/>
            </w:pPr>
            <w:r>
              <w:rPr>
                <w:b/>
                <w:sz w:val="18"/>
              </w:rPr>
              <w:t>S1</w:t>
            </w:r>
          </w:p>
        </w:tc>
        <w:tc>
          <w:tcPr>
            <w:tcW w:type="dxa" w:w="4602"/>
            <w:tcMar>
              <w:top w:w="50" w:type="dxa"/>
              <w:bottom w:w="50" w:type="dxa"/>
              <w:left w:w="90" w:type="dxa"/>
              <w:right w:w="90" w:type="dxa"/>
            </w:tcMar>
          </w:tcPr>
          <w:p>
            <w:pPr>
              <w:pStyle w:val="BDOITable"/>
            </w:pPr>
            <w:r>
              <w:rPr>
                <w:sz w:val="18"/>
              </w:rPr>
              <w:t>BRD-11 User Access Maintenance and its FRS v2.0 (UAM-NFR-01 to 41)</w:t>
            </w:r>
          </w:p>
        </w:tc>
        <w:tc>
          <w:tcPr>
            <w:tcW w:type="dxa" w:w="4602"/>
            <w:tcMar>
              <w:top w:w="50" w:type="dxa"/>
              <w:bottom w:w="50" w:type="dxa"/>
              <w:left w:w="90" w:type="dxa"/>
              <w:right w:w="90" w:type="dxa"/>
            </w:tcMar>
          </w:tcPr>
          <w:p>
            <w:pPr>
              <w:pStyle w:val="BDOITable"/>
            </w:pPr>
            <w:r>
              <w:rPr>
                <w:sz w:val="18"/>
              </w:rPr>
              <w:t>Password, lockout, session, audit and four-eyes rules</w:t>
            </w:r>
          </w:p>
        </w:tc>
      </w:tr>
      <w:tr>
        <w:trPr>
          <w:cantSplit w:val="true"/>
        </w:trPr>
        <w:tc>
          <w:tcPr>
            <w:tcW w:type="dxa" w:w="767"/>
            <w:tcMar>
              <w:top w:w="50" w:type="dxa"/>
              <w:bottom w:w="50" w:type="dxa"/>
              <w:left w:w="90" w:type="dxa"/>
              <w:right w:w="90" w:type="dxa"/>
            </w:tcMar>
            <w:shd w:val="clear" w:color="auto" w:fill="E5F5FF"/>
          </w:tcPr>
          <w:p>
            <w:pPr>
              <w:pStyle w:val="BDOITable"/>
            </w:pPr>
            <w:r>
              <w:rPr>
                <w:b/>
                <w:sz w:val="18"/>
              </w:rPr>
              <w:t>S2</w:t>
            </w:r>
          </w:p>
        </w:tc>
        <w:tc>
          <w:tcPr>
            <w:tcW w:type="dxa" w:w="4602"/>
            <w:tcMar>
              <w:top w:w="50" w:type="dxa"/>
              <w:bottom w:w="50" w:type="dxa"/>
              <w:left w:w="90" w:type="dxa"/>
              <w:right w:w="90" w:type="dxa"/>
            </w:tcMar>
            <w:shd w:val="clear" w:color="auto" w:fill="E5F5FF"/>
          </w:tcPr>
          <w:p>
            <w:pPr>
              <w:pStyle w:val="BDOITable"/>
            </w:pPr>
            <w:r>
              <w:rPr>
                <w:sz w:val="18"/>
              </w:rPr>
              <w:t>Umbrella BRD (00 BRD BDOI Core Replacement) and the BRD non-functional sections</w:t>
            </w:r>
          </w:p>
        </w:tc>
        <w:tc>
          <w:tcPr>
            <w:tcW w:type="dxa" w:w="4602"/>
            <w:tcMar>
              <w:top w:w="50" w:type="dxa"/>
              <w:bottom w:w="50" w:type="dxa"/>
              <w:left w:w="90" w:type="dxa"/>
              <w:right w:w="90" w:type="dxa"/>
            </w:tcMar>
            <w:shd w:val="clear" w:color="auto" w:fill="E5F5FF"/>
          </w:tcPr>
          <w:p>
            <w:pPr>
              <w:pStyle w:val="BDOITable"/>
            </w:pPr>
            <w:r>
              <w:rPr>
                <w:sz w:val="18"/>
              </w:rPr>
              <w:t>Regulatory requirements (BSP MORB, Circular 808, AMLA, Data Privacy Act 2012)</w:t>
            </w:r>
          </w:p>
        </w:tc>
      </w:tr>
      <w:tr>
        <w:trPr>
          <w:cantSplit w:val="true"/>
        </w:trPr>
        <w:tc>
          <w:tcPr>
            <w:tcW w:type="dxa" w:w="767"/>
            <w:tcMar>
              <w:top w:w="50" w:type="dxa"/>
              <w:bottom w:w="50" w:type="dxa"/>
              <w:left w:w="90" w:type="dxa"/>
              <w:right w:w="90" w:type="dxa"/>
            </w:tcMar>
          </w:tcPr>
          <w:p>
            <w:pPr>
              <w:pStyle w:val="BDOITable"/>
            </w:pPr>
            <w:r>
              <w:rPr>
                <w:b/>
                <w:sz w:val="18"/>
              </w:rPr>
              <w:t>S3</w:t>
            </w:r>
          </w:p>
        </w:tc>
        <w:tc>
          <w:tcPr>
            <w:tcW w:type="dxa" w:w="4602"/>
            <w:tcMar>
              <w:top w:w="50" w:type="dxa"/>
              <w:bottom w:w="50" w:type="dxa"/>
              <w:left w:w="90" w:type="dxa"/>
              <w:right w:w="90" w:type="dxa"/>
            </w:tcMar>
          </w:tcPr>
          <w:p>
            <w:pPr>
              <w:pStyle w:val="BDOITable"/>
            </w:pPr>
            <w:r>
              <w:rPr>
                <w:sz w:val="18"/>
              </w:rPr>
              <w:t>IER workbook v20 (FR-ITC-ENG007)</w:t>
            </w:r>
          </w:p>
        </w:tc>
        <w:tc>
          <w:tcPr>
            <w:tcW w:type="dxa" w:w="4602"/>
            <w:tcMar>
              <w:top w:w="50" w:type="dxa"/>
              <w:bottom w:w="50" w:type="dxa"/>
              <w:left w:w="90" w:type="dxa"/>
              <w:right w:w="90" w:type="dxa"/>
            </w:tcMar>
          </w:tcPr>
          <w:p>
            <w:pPr>
              <w:pStyle w:val="BDOITable"/>
            </w:pPr>
            <w:r>
              <w:rPr>
                <w:sz w:val="18"/>
              </w:rPr>
              <w:t>Environments, RPO 15 minutes, RTO 4 hours, AWS services</w:t>
            </w:r>
          </w:p>
        </w:tc>
      </w:tr>
      <w:tr>
        <w:trPr>
          <w:cantSplit w:val="true"/>
        </w:trPr>
        <w:tc>
          <w:tcPr>
            <w:tcW w:type="dxa" w:w="767"/>
            <w:tcMar>
              <w:top w:w="50" w:type="dxa"/>
              <w:bottom w:w="50" w:type="dxa"/>
              <w:left w:w="90" w:type="dxa"/>
              <w:right w:w="90" w:type="dxa"/>
            </w:tcMar>
            <w:shd w:val="clear" w:color="auto" w:fill="E5F5FF"/>
          </w:tcPr>
          <w:p>
            <w:pPr>
              <w:pStyle w:val="BDOITable"/>
            </w:pPr>
            <w:r>
              <w:rPr>
                <w:b/>
                <w:sz w:val="18"/>
              </w:rPr>
              <w:t>S4</w:t>
            </w:r>
          </w:p>
        </w:tc>
        <w:tc>
          <w:tcPr>
            <w:tcW w:type="dxa" w:w="4602"/>
            <w:tcMar>
              <w:top w:w="50" w:type="dxa"/>
              <w:bottom w:w="50" w:type="dxa"/>
              <w:left w:w="90" w:type="dxa"/>
              <w:right w:w="90" w:type="dxa"/>
            </w:tcMar>
            <w:shd w:val="clear" w:color="auto" w:fill="E5F5FF"/>
          </w:tcPr>
          <w:p>
            <w:pPr>
              <w:pStyle w:val="BDOITable"/>
            </w:pPr>
            <w:r>
              <w:rPr>
                <w:sz w:val="18"/>
              </w:rPr>
              <w:t>Programme Alignment v1.0 and Integration Inventory v1.0</w:t>
            </w:r>
          </w:p>
        </w:tc>
        <w:tc>
          <w:tcPr>
            <w:tcW w:type="dxa" w:w="4602"/>
            <w:tcMar>
              <w:top w:w="50" w:type="dxa"/>
              <w:bottom w:w="50" w:type="dxa"/>
              <w:left w:w="90" w:type="dxa"/>
              <w:right w:w="90" w:type="dxa"/>
            </w:tcMar>
            <w:shd w:val="clear" w:color="auto" w:fill="E5F5FF"/>
          </w:tcPr>
          <w:p>
            <w:pPr>
              <w:pStyle w:val="BDOITable"/>
            </w:pPr>
            <w:r>
              <w:rPr>
                <w:sz w:val="18"/>
              </w:rPr>
              <w:t>EIAM, UIDM-ISC, Apigee X and the other interfaces</w:t>
            </w:r>
          </w:p>
        </w:tc>
      </w:tr>
      <w:tr>
        <w:trPr>
          <w:cantSplit w:val="true"/>
        </w:trPr>
        <w:tc>
          <w:tcPr>
            <w:tcW w:type="dxa" w:w="767"/>
            <w:tcMar>
              <w:top w:w="50" w:type="dxa"/>
              <w:bottom w:w="50" w:type="dxa"/>
              <w:left w:w="90" w:type="dxa"/>
              <w:right w:w="90" w:type="dxa"/>
            </w:tcMar>
          </w:tcPr>
          <w:p>
            <w:pPr>
              <w:pStyle w:val="BDOITable"/>
            </w:pPr>
            <w:r>
              <w:rPr>
                <w:b/>
                <w:sz w:val="18"/>
              </w:rPr>
              <w:t>S5</w:t>
            </w:r>
          </w:p>
        </w:tc>
        <w:tc>
          <w:tcPr>
            <w:tcW w:type="dxa" w:w="4602"/>
            <w:tcMar>
              <w:top w:w="50" w:type="dxa"/>
              <w:bottom w:w="50" w:type="dxa"/>
              <w:left w:w="90" w:type="dxa"/>
              <w:right w:w="90" w:type="dxa"/>
            </w:tcMar>
          </w:tcPr>
          <w:p>
            <w:pPr>
              <w:pStyle w:val="BDOITable"/>
            </w:pPr>
            <w:r>
              <w:rPr>
                <w:sz w:val="18"/>
              </w:rPr>
              <w:t>Document storage decision (BDOI answers of 26 September 2026)</w:t>
            </w:r>
          </w:p>
        </w:tc>
        <w:tc>
          <w:tcPr>
            <w:tcW w:type="dxa" w:w="4602"/>
            <w:tcMar>
              <w:top w:w="50" w:type="dxa"/>
              <w:bottom w:w="50" w:type="dxa"/>
              <w:left w:w="90" w:type="dxa"/>
              <w:right w:w="90" w:type="dxa"/>
            </w:tcMar>
          </w:tcPr>
          <w:p>
            <w:pPr>
              <w:pStyle w:val="BDOITable"/>
            </w:pPr>
            <w:r>
              <w:rPr>
                <w:sz w:val="18"/>
              </w:rPr>
              <w:t>S3, SSE-KMS with BDOI keys, Object Lock, malware scan, ECM archive</w:t>
            </w:r>
          </w:p>
        </w:tc>
      </w:tr>
      <w:tr>
        <w:trPr>
          <w:cantSplit w:val="true"/>
        </w:trPr>
        <w:tc>
          <w:tcPr>
            <w:tcW w:type="dxa" w:w="767"/>
            <w:tcMar>
              <w:top w:w="50" w:type="dxa"/>
              <w:bottom w:w="50" w:type="dxa"/>
              <w:left w:w="90" w:type="dxa"/>
              <w:right w:w="90" w:type="dxa"/>
            </w:tcMar>
            <w:shd w:val="clear" w:color="auto" w:fill="E5F5FF"/>
          </w:tcPr>
          <w:p>
            <w:pPr>
              <w:pStyle w:val="BDOITable"/>
            </w:pPr>
            <w:r>
              <w:rPr>
                <w:b/>
                <w:sz w:val="18"/>
              </w:rPr>
              <w:t>S6</w:t>
            </w:r>
          </w:p>
        </w:tc>
        <w:tc>
          <w:tcPr>
            <w:tcW w:type="dxa" w:w="4602"/>
            <w:tcMar>
              <w:top w:w="50" w:type="dxa"/>
              <w:bottom w:w="50" w:type="dxa"/>
              <w:left w:w="90" w:type="dxa"/>
              <w:right w:w="90" w:type="dxa"/>
            </w:tcMar>
            <w:shd w:val="clear" w:color="auto" w:fill="E5F5FF"/>
          </w:tcPr>
          <w:p>
            <w:pPr>
              <w:pStyle w:val="BDOITable"/>
            </w:pPr>
            <w:r>
              <w:rPr>
                <w:sz w:val="18"/>
              </w:rPr>
              <w:t>Client decisions of 8 October 2026</w:t>
            </w:r>
          </w:p>
        </w:tc>
        <w:tc>
          <w:tcPr>
            <w:tcW w:type="dxa" w:w="4602"/>
            <w:tcMar>
              <w:top w:w="50" w:type="dxa"/>
              <w:bottom w:w="50" w:type="dxa"/>
              <w:left w:w="90" w:type="dxa"/>
              <w:right w:w="90" w:type="dxa"/>
            </w:tcMar>
            <w:shd w:val="clear" w:color="auto" w:fill="E5F5FF"/>
          </w:tcPr>
          <w:p>
            <w:pPr>
              <w:pStyle w:val="BDOITable"/>
            </w:pPr>
            <w:r>
              <w:rPr>
                <w:sz w:val="18"/>
              </w:rPr>
              <w:t>Component baseline: PostgreSQL 16, Valkey 8 (replaces Redis), Apache Kafka 3.9, OpenJDK 21 LTS, Spring Boot 3.5, React, the Node runtime 22 LTS (packaging tool of the web client only), nginx, managed Kubernetes, Kubernetes Gateway API (replaces the retired ingress-nginx)</w:t>
            </w:r>
          </w:p>
        </w:tc>
      </w:tr>
      <w:tr>
        <w:trPr>
          <w:cantSplit w:val="true"/>
        </w:trPr>
        <w:tc>
          <w:tcPr>
            <w:tcW w:type="dxa" w:w="767"/>
            <w:tcMar>
              <w:top w:w="50" w:type="dxa"/>
              <w:bottom w:w="50" w:type="dxa"/>
              <w:left w:w="90" w:type="dxa"/>
              <w:right w:w="90" w:type="dxa"/>
            </w:tcMar>
          </w:tcPr>
          <w:p>
            <w:pPr>
              <w:pStyle w:val="BDOITable"/>
            </w:pPr>
            <w:r>
              <w:rPr>
                <w:b/>
                <w:sz w:val="18"/>
              </w:rPr>
              <w:t>S7</w:t>
            </w:r>
          </w:p>
        </w:tc>
        <w:tc>
          <w:tcPr>
            <w:tcW w:type="dxa" w:w="4602"/>
            <w:tcMar>
              <w:top w:w="50" w:type="dxa"/>
              <w:bottom w:w="50" w:type="dxa"/>
              <w:left w:w="90" w:type="dxa"/>
              <w:right w:w="90" w:type="dxa"/>
            </w:tcMar>
          </w:tcPr>
          <w:p>
            <w:pPr>
              <w:pStyle w:val="BDOITable"/>
            </w:pPr>
            <w:r>
              <w:rPr>
                <w:sz w:val="18"/>
              </w:rPr>
              <w:t>Platform security controls, configuration reference, deployment guide, runbook and quality gates of BIBS</w:t>
            </w:r>
          </w:p>
        </w:tc>
        <w:tc>
          <w:tcPr>
            <w:tcW w:type="dxa" w:w="4602"/>
            <w:tcMar>
              <w:top w:w="50" w:type="dxa"/>
              <w:bottom w:w="50" w:type="dxa"/>
              <w:left w:w="90" w:type="dxa"/>
              <w:right w:w="90" w:type="dxa"/>
            </w:tcMar>
          </w:tcPr>
          <w:p>
            <w:pPr>
              <w:pStyle w:val="BDOITable"/>
            </w:pPr>
            <w:r>
              <w:rPr>
                <w:sz w:val="18"/>
              </w:rPr>
              <w:t>The controls described here</w:t>
            </w:r>
          </w:p>
        </w:tc>
      </w:tr>
      <w:tr>
        <w:trPr>
          <w:cantSplit w:val="true"/>
        </w:trPr>
        <w:tc>
          <w:tcPr>
            <w:tcW w:type="dxa" w:w="767"/>
            <w:tcMar>
              <w:top w:w="50" w:type="dxa"/>
              <w:bottom w:w="50" w:type="dxa"/>
              <w:left w:w="90" w:type="dxa"/>
              <w:right w:w="90" w:type="dxa"/>
            </w:tcMar>
            <w:shd w:val="clear" w:color="auto" w:fill="E5F5FF"/>
          </w:tcPr>
          <w:p>
            <w:pPr>
              <w:pStyle w:val="BDOITable"/>
            </w:pPr>
            <w:r>
              <w:rPr>
                <w:b/>
                <w:sz w:val="18"/>
              </w:rPr>
              <w:t>S8</w:t>
            </w:r>
          </w:p>
        </w:tc>
        <w:tc>
          <w:tcPr>
            <w:tcW w:type="dxa" w:w="4602"/>
            <w:tcMar>
              <w:top w:w="50" w:type="dxa"/>
              <w:bottom w:w="50" w:type="dxa"/>
              <w:left w:w="90" w:type="dxa"/>
              <w:right w:w="90" w:type="dxa"/>
            </w:tcMar>
            <w:shd w:val="clear" w:color="auto" w:fill="E5F5FF"/>
          </w:tcPr>
          <w:p>
            <w:pPr>
              <w:pStyle w:val="BDOITable"/>
            </w:pPr>
            <w:r>
              <w:rPr>
                <w:sz w:val="18"/>
              </w:rPr>
              <w:t>OWASP Top 10 (2021); OWASP ASVS 4.0.3; NIST SP 800-207 (Zero Trust Architecture)</w:t>
            </w:r>
          </w:p>
        </w:tc>
        <w:tc>
          <w:tcPr>
            <w:tcW w:type="dxa" w:w="4602"/>
            <w:tcMar>
              <w:top w:w="50" w:type="dxa"/>
              <w:bottom w:w="50" w:type="dxa"/>
              <w:left w:w="90" w:type="dxa"/>
              <w:right w:w="90" w:type="dxa"/>
            </w:tcMar>
            <w:shd w:val="clear" w:color="auto" w:fill="E5F5FF"/>
          </w:tcPr>
          <w:p>
            <w:pPr>
              <w:pStyle w:val="BDOITable"/>
            </w:pPr>
            <w:r>
              <w:rPr>
                <w:sz w:val="18"/>
              </w:rPr>
              <w:t>Reference standards</w:t>
            </w:r>
          </w:p>
        </w:tc>
      </w:tr>
    </w:tbl>
    <w:p>
      <w:pPr>
        <w:pStyle w:val="BDOISpacer"/>
      </w:pPr>
    </w:p>
    <w:p>
      <w:pPr>
        <w:pStyle w:val="Heading2"/>
      </w:pPr>
      <w:bookmarkStart w:id="105" w:name="_Toc000105"/>
      <w:r>
        <w:rPr/>
        <w:t>1.4 Summary</w:t>
      </w:r>
      <w:bookmarkEnd w:id="105"/>
    </w:p>
    <w:p>
      <w:pPr>
        <w:tabs>
          <w:tab w:pos="312" w:val="left"/>
        </w:tabs>
        <w:spacing w:after="40"/>
        <w:ind w:left="312" w:hanging="283"/>
      </w:pPr>
      <w:r>
        <w:rPr>
          <w:color w:val="004EA8"/>
        </w:rPr>
        <w:t>•</w:t>
        <w:tab/>
      </w:r>
      <w:r>
        <w:rPr>
          <w:b/>
        </w:rPr>
        <w:t>Identity.</w:t>
      </w:r>
      <w:r>
        <w:rPr/>
        <w:t xml:space="preserve"> BDO users sign in with single sign-on at EIAM (OpenID Connect or SAML 2.0). BIBS links the identity to an existing user and issues its own short-lived token bound to a server-side session. Local passwords remain only for named break-glass administrators, who always need the second factor (TOTP).</w:t>
      </w:r>
    </w:p>
    <w:p>
      <w:pPr>
        <w:tabs>
          <w:tab w:pos="312" w:val="left"/>
        </w:tabs>
        <w:spacing w:after="40"/>
        <w:ind w:left="312" w:hanging="283"/>
      </w:pPr>
      <w:r>
        <w:rPr>
          <w:color w:val="004EA8"/>
        </w:rPr>
        <w:t>•</w:t>
        <w:tab/>
      </w:r>
      <w:r>
        <w:rPr>
          <w:b/>
        </w:rPr>
        <w:t>Access.</w:t>
      </w:r>
      <w:r>
        <w:rPr/>
        <w:t xml:space="preserve"> Every request is checked for a live session, a permission (role-based) and the company and branch data scope (attribute-based), then for the record rules (maker-checker, authorisation limits, separation of duties). Privileged access changes and security parameters need a second approver.</w:t>
      </w:r>
    </w:p>
    <w:p>
      <w:pPr>
        <w:tabs>
          <w:tab w:pos="312" w:val="left"/>
        </w:tabs>
        <w:spacing w:after="40"/>
        <w:ind w:left="312" w:hanging="283"/>
      </w:pPr>
      <w:r>
        <w:rPr>
          <w:color w:val="004EA8"/>
        </w:rPr>
        <w:t>•</w:t>
        <w:tab/>
      </w:r>
      <w:r>
        <w:rPr>
          <w:b/>
        </w:rPr>
        <w:t>Data protection.</w:t>
      </w:r>
      <w:r>
        <w:rPr/>
        <w:t xml:space="preserve"> TLS 1.2 or 1.3 on every connection; encryption at rest with KMS keys that BDOI owns; secrets in AWS Secrets Manager; insert-only audit trail protected by database triggers that the application login cannot disable.</w:t>
      </w:r>
    </w:p>
    <w:p>
      <w:pPr>
        <w:tabs>
          <w:tab w:pos="312" w:val="left"/>
        </w:tabs>
        <w:spacing w:after="120"/>
        <w:ind w:left="312" w:hanging="283"/>
      </w:pPr>
      <w:r>
        <w:rPr>
          <w:color w:val="004EA8"/>
        </w:rPr>
        <w:t>•</w:t>
        <w:tab/>
      </w:r>
      <w:r>
        <w:rPr>
          <w:b/>
        </w:rPr>
        <w:t>Assurance.</w:t>
      </w:r>
      <w:r>
        <w:rPr/>
        <w:t xml:space="preserve"> 197 of the 259 ASVS Level 2 requirements are met, 31 are partly met with a dated action, 1 is planned, 5 are met by BDO services and 25 do not apply (chapter 8). The pipeline stops a change on a high vulnerability, a secret or a static-analysis finding. A scan of every database call found no SQL text assembled from request values (section 7.2).</w:t>
      </w:r>
    </w:p>
    <w:p>
      <w:pPr>
        <w:pStyle w:val="Heading1"/>
        <w:pageBreakBefore/>
        <w:pBdr>
          <w:bottom w:val="single" w:sz="4" w:space="4" w:color="99C1E7"/>
        </w:pBdr>
      </w:pPr>
      <w:bookmarkStart w:id="106" w:name="_Toc000106"/>
      <w:r>
        <w:rPr/>
        <w:t>2 Security architecture overview</w:t>
      </w:r>
      <w:bookmarkEnd w:id="106"/>
    </w:p>
    <w:p>
      <w:r>
        <w:rPr/>
        <w:t>BIBS runs in six trust zones. Each arrow that crosses a zone is a trust boundary (TB1 to TB7) of the threat model in chapter 9.</w:t>
      </w:r>
    </w:p>
    <w:p>
      <w:pPr>
        <w:sectPr>
          <w:headerReference w:type="default" r:id="rId9"/>
          <w:footerReference w:type="default" r:id="rId10"/>
          <w:headerReference w:type="first" r:id="rId11"/>
          <w:footerReference w:type="first" r:id="rId12"/>
          <w:pgSz w:w="12240" w:h="15840"/>
          <w:pgMar w:top="1417" w:right="1134" w:bottom="1247" w:left="1134" w:header="567" w:footer="510" w:gutter="0"/>
          <w:cols w:space="720"/>
          <w:titlePg/>
          <w:docGrid w:linePitch="360"/>
        </w:sectPr>
      </w:pPr>
    </w:p>
    <w:p>
      <w:pPr>
        <w:keepNext/>
        <w:spacing w:before="80" w:after="0"/>
        <w:jc w:val="center"/>
      </w:pPr>
      <w:r>
        <w:drawing>
          <wp:inline xmlns:a="http://schemas.openxmlformats.org/drawingml/2006/main" xmlns:pic="http://schemas.openxmlformats.org/drawingml/2006/picture">
            <wp:extent cx="8618220" cy="4626510"/>
            <wp:docPr id="3" name="Picture 3"/>
            <wp:cNvGraphicFramePr>
              <a:graphicFrameLocks noChangeAspect="1"/>
            </wp:cNvGraphicFramePr>
            <a:graphic>
              <a:graphicData uri="http://schemas.openxmlformats.org/drawingml/2006/picture">
                <pic:pic>
                  <pic:nvPicPr>
                    <pic:cNvPr id="0" name="sa_trust_zones_1602.jpg"/>
                    <pic:cNvPicPr/>
                  </pic:nvPicPr>
                  <pic:blipFill>
                    <a:blip r:embed="rId19"/>
                    <a:stretch>
                      <a:fillRect/>
                    </a:stretch>
                  </pic:blipFill>
                  <pic:spPr>
                    <a:xfrm>
                      <a:off x="0" y="0"/>
                      <a:ext cx="8618220" cy="4626510"/>
                    </a:xfrm>
                    <a:prstGeom prst="rect"/>
                  </pic:spPr>
                </pic:pic>
              </a:graphicData>
            </a:graphic>
          </wp:inline>
        </w:drawing>
      </w:r>
    </w:p>
    <w:p>
      <w:pPr>
        <w:pStyle w:val="Caption"/>
        <w:jc w:val="center"/>
      </w:pPr>
      <w:r>
        <w:rPr>
          <w:b/>
          <w:i w:val="0"/>
        </w:rPr>
        <w:t xml:space="preserve">Figure 1: </w:t>
      </w:r>
      <w:r>
        <w:rPr/>
        <w:t>Trust zones and trust boundaries of BIBS</w:t>
      </w:r>
    </w:p>
    <w:p>
      <w:pPr>
        <w:sectPr>
          <w:headerReference w:type="default" r:id="rId15"/>
          <w:footerReference w:type="default" r:id="rId16"/>
          <w:headerReference w:type="first" r:id="rId17"/>
          <w:footerReference w:type="first" r:id="rId18"/>
          <w:pgSz w:w="15840" w:h="12240" w:orient="landscape"/>
          <w:pgMar w:top="1417" w:right="1134" w:bottom="1247" w:left="1134" w:header="567" w:footer="510" w:gutter="0"/>
          <w:cols w:space="720"/>
          <w:docGrid w:linePitch="360"/>
        </w:sectPr>
      </w:pPr>
    </w:p>
    <w:p>
      <w:pPr>
        <w:pStyle w:val="Caption"/>
        <w:keepNext/>
        <w:spacing w:after="60"/>
      </w:pPr>
      <w:r>
        <w:rPr>
          <w:b/>
          <w:i w:val="0"/>
        </w:rPr>
        <w:t xml:space="preserve">Table 3: </w:t>
      </w:r>
      <w:r>
        <w:rPr/>
        <w:t>Trust boundaries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041"/>
        <w:gridCol w:w="2977"/>
        <w:gridCol w:w="5954"/>
      </w:tblGrid>
      <w:tr>
        <w:trPr>
          <w:tblHeader w:val="true"/>
          <w:cantSplit w:val="true"/>
        </w:trPr>
        <w:tc>
          <w:tcPr>
            <w:tcW w:type="dxa" w:w="1042"/>
            <w:shd w:val="clear" w:color="auto" w:fill="004EA8"/>
            <w:tcMar>
              <w:top w:w="50" w:type="dxa"/>
              <w:bottom w:w="50" w:type="dxa"/>
              <w:left w:w="90" w:type="dxa"/>
              <w:right w:w="90" w:type="dxa"/>
            </w:tcMar>
            <w:vAlign w:val="center"/>
          </w:tcPr>
          <w:p>
            <w:pPr>
              <w:pStyle w:val="BDOITableHeader"/>
            </w:pPr>
            <w:r>
              <w:rPr>
                <w:b/>
                <w:color w:val="FFFFFF"/>
                <w:sz w:val="18"/>
              </w:rPr>
              <w:t>ID</w:t>
            </w:r>
          </w:p>
        </w:tc>
        <w:tc>
          <w:tcPr>
            <w:tcW w:type="dxa" w:w="2977"/>
            <w:shd w:val="clear" w:color="auto" w:fill="004EA8"/>
            <w:tcMar>
              <w:top w:w="50" w:type="dxa"/>
              <w:bottom w:w="50" w:type="dxa"/>
              <w:left w:w="90" w:type="dxa"/>
              <w:right w:w="90" w:type="dxa"/>
            </w:tcMar>
            <w:vAlign w:val="center"/>
          </w:tcPr>
          <w:p>
            <w:pPr>
              <w:pStyle w:val="BDOITableHeader"/>
            </w:pPr>
            <w:r>
              <w:rPr>
                <w:b/>
                <w:color w:val="FFFFFF"/>
                <w:sz w:val="18"/>
              </w:rPr>
              <w:t>Boundary</w:t>
            </w:r>
          </w:p>
        </w:tc>
        <w:tc>
          <w:tcPr>
            <w:tcW w:type="dxa" w:w="5953"/>
            <w:shd w:val="clear" w:color="auto" w:fill="004EA8"/>
            <w:tcMar>
              <w:top w:w="50" w:type="dxa"/>
              <w:bottom w:w="50" w:type="dxa"/>
              <w:left w:w="90" w:type="dxa"/>
              <w:right w:w="90" w:type="dxa"/>
            </w:tcMar>
            <w:vAlign w:val="center"/>
          </w:tcPr>
          <w:p>
            <w:pPr>
              <w:pStyle w:val="BDOITableHeader"/>
            </w:pPr>
            <w:r>
              <w:rPr>
                <w:b/>
                <w:color w:val="FFFFFF"/>
                <w:sz w:val="18"/>
              </w:rPr>
              <w:t>Controls at the boundary</w:t>
            </w:r>
          </w:p>
        </w:tc>
      </w:tr>
      <w:tr>
        <w:trPr>
          <w:cantSplit w:val="true"/>
        </w:trPr>
        <w:tc>
          <w:tcPr>
            <w:tcW w:type="dxa" w:w="1042"/>
            <w:tcMar>
              <w:top w:w="50" w:type="dxa"/>
              <w:bottom w:w="50" w:type="dxa"/>
              <w:left w:w="90" w:type="dxa"/>
              <w:right w:w="90" w:type="dxa"/>
            </w:tcMar>
          </w:tcPr>
          <w:p>
            <w:pPr>
              <w:pStyle w:val="BDOITable"/>
            </w:pPr>
            <w:r>
              <w:rPr>
                <w:b/>
                <w:sz w:val="18"/>
              </w:rPr>
              <w:t>TB1</w:t>
            </w:r>
          </w:p>
        </w:tc>
        <w:tc>
          <w:tcPr>
            <w:tcW w:type="dxa" w:w="2977"/>
            <w:tcMar>
              <w:top w:w="50" w:type="dxa"/>
              <w:bottom w:w="50" w:type="dxa"/>
              <w:left w:w="90" w:type="dxa"/>
              <w:right w:w="90" w:type="dxa"/>
            </w:tcMar>
          </w:tcPr>
          <w:p>
            <w:pPr>
              <w:pStyle w:val="BDOITable"/>
            </w:pPr>
            <w:r>
              <w:rPr>
                <w:sz w:val="18"/>
              </w:rPr>
              <w:t>User - EIAM</w:t>
            </w:r>
          </w:p>
        </w:tc>
        <w:tc>
          <w:tcPr>
            <w:tcW w:type="dxa" w:w="5953"/>
            <w:tcMar>
              <w:top w:w="50" w:type="dxa"/>
              <w:bottom w:w="50" w:type="dxa"/>
              <w:left w:w="90" w:type="dxa"/>
              <w:right w:w="90" w:type="dxa"/>
            </w:tcMar>
          </w:tcPr>
          <w:p>
            <w:pPr>
              <w:pStyle w:val="BDOITable"/>
            </w:pPr>
            <w:r>
              <w:rPr>
                <w:sz w:val="18"/>
              </w:rPr>
              <w:t>BDO password, MFA and conditional access at EIAM; OIDC authorisation code with PKCE or signed SAML assertion to BIBS</w:t>
            </w:r>
          </w:p>
        </w:tc>
      </w:tr>
      <w:tr>
        <w:trPr>
          <w:cantSplit w:val="true"/>
        </w:trPr>
        <w:tc>
          <w:tcPr>
            <w:tcW w:type="dxa" w:w="1042"/>
            <w:tcMar>
              <w:top w:w="50" w:type="dxa"/>
              <w:bottom w:w="50" w:type="dxa"/>
              <w:left w:w="90" w:type="dxa"/>
              <w:right w:w="90" w:type="dxa"/>
            </w:tcMar>
            <w:shd w:val="clear" w:color="auto" w:fill="E5F5FF"/>
          </w:tcPr>
          <w:p>
            <w:pPr>
              <w:pStyle w:val="BDOITable"/>
            </w:pPr>
            <w:r>
              <w:rPr>
                <w:b/>
                <w:sz w:val="18"/>
              </w:rPr>
              <w:t>TB2</w:t>
            </w:r>
          </w:p>
        </w:tc>
        <w:tc>
          <w:tcPr>
            <w:tcW w:type="dxa" w:w="2977"/>
            <w:tcMar>
              <w:top w:w="50" w:type="dxa"/>
              <w:bottom w:w="50" w:type="dxa"/>
              <w:left w:w="90" w:type="dxa"/>
              <w:right w:w="90" w:type="dxa"/>
            </w:tcMar>
            <w:shd w:val="clear" w:color="auto" w:fill="E5F5FF"/>
          </w:tcPr>
          <w:p>
            <w:pPr>
              <w:pStyle w:val="BDOITable"/>
            </w:pPr>
            <w:r>
              <w:rPr>
                <w:sz w:val="18"/>
              </w:rPr>
              <w:t>User browser - BIBS edge</w:t>
            </w:r>
          </w:p>
        </w:tc>
        <w:tc>
          <w:tcPr>
            <w:tcW w:type="dxa" w:w="5953"/>
            <w:tcMar>
              <w:top w:w="50" w:type="dxa"/>
              <w:bottom w:w="50" w:type="dxa"/>
              <w:left w:w="90" w:type="dxa"/>
              <w:right w:w="90" w:type="dxa"/>
            </w:tcMar>
            <w:shd w:val="clear" w:color="auto" w:fill="E5F5FF"/>
          </w:tcPr>
          <w:p>
            <w:pPr>
              <w:pStyle w:val="BDOITable"/>
            </w:pPr>
            <w:r>
              <w:rPr>
                <w:sz w:val="18"/>
              </w:rPr>
              <w:t>BDO network or VDI only; Route 53 private zone; AWS WAF (managed rule groups, SQL injection rules, rate rule on sign-in); internal load balancer with TLS 1.3/1.2; HSTS</w:t>
            </w:r>
          </w:p>
        </w:tc>
      </w:tr>
      <w:tr>
        <w:trPr>
          <w:cantSplit w:val="true"/>
        </w:trPr>
        <w:tc>
          <w:tcPr>
            <w:tcW w:type="dxa" w:w="1042"/>
            <w:tcMar>
              <w:top w:w="50" w:type="dxa"/>
              <w:bottom w:w="50" w:type="dxa"/>
              <w:left w:w="90" w:type="dxa"/>
              <w:right w:w="90" w:type="dxa"/>
            </w:tcMar>
          </w:tcPr>
          <w:p>
            <w:pPr>
              <w:pStyle w:val="BDOITable"/>
            </w:pPr>
            <w:r>
              <w:rPr>
                <w:b/>
                <w:sz w:val="18"/>
              </w:rPr>
              <w:t>TB3</w:t>
            </w:r>
          </w:p>
        </w:tc>
        <w:tc>
          <w:tcPr>
            <w:tcW w:type="dxa" w:w="2977"/>
            <w:tcMar>
              <w:top w:w="50" w:type="dxa"/>
              <w:bottom w:w="50" w:type="dxa"/>
              <w:left w:w="90" w:type="dxa"/>
              <w:right w:w="90" w:type="dxa"/>
            </w:tcMar>
          </w:tcPr>
          <w:p>
            <w:pPr>
              <w:pStyle w:val="BDOITable"/>
            </w:pPr>
            <w:r>
              <w:rPr>
                <w:sz w:val="18"/>
              </w:rPr>
              <w:t>BDO systems - BIBS (both directions)</w:t>
            </w:r>
          </w:p>
        </w:tc>
        <w:tc>
          <w:tcPr>
            <w:tcW w:type="dxa" w:w="5953"/>
            <w:tcMar>
              <w:top w:w="50" w:type="dxa"/>
              <w:bottom w:w="50" w:type="dxa"/>
              <w:left w:w="90" w:type="dxa"/>
              <w:right w:w="90" w:type="dxa"/>
            </w:tcMar>
          </w:tcPr>
          <w:p>
            <w:pPr>
              <w:pStyle w:val="BDOITable"/>
            </w:pPr>
            <w:r>
              <w:rPr>
                <w:sz w:val="18"/>
              </w:rPr>
              <w:t>Apigee X only; OAuth 2.0 access tokens verified by BIBS (signature against the Apigee key set, issuer, audience, scopes per API); a separate security chain that refuses user tokens; WAF admits the integration path only from Apigee source ranges</w:t>
            </w:r>
          </w:p>
        </w:tc>
      </w:tr>
      <w:tr>
        <w:trPr>
          <w:cantSplit w:val="true"/>
        </w:trPr>
        <w:tc>
          <w:tcPr>
            <w:tcW w:type="dxa" w:w="1042"/>
            <w:tcMar>
              <w:top w:w="50" w:type="dxa"/>
              <w:bottom w:w="50" w:type="dxa"/>
              <w:left w:w="90" w:type="dxa"/>
              <w:right w:w="90" w:type="dxa"/>
            </w:tcMar>
            <w:shd w:val="clear" w:color="auto" w:fill="E5F5FF"/>
          </w:tcPr>
          <w:p>
            <w:pPr>
              <w:pStyle w:val="BDOITable"/>
            </w:pPr>
            <w:r>
              <w:rPr>
                <w:b/>
                <w:sz w:val="18"/>
              </w:rPr>
              <w:t>TB4</w:t>
            </w:r>
          </w:p>
        </w:tc>
        <w:tc>
          <w:tcPr>
            <w:tcW w:type="dxa" w:w="2977"/>
            <w:tcMar>
              <w:top w:w="50" w:type="dxa"/>
              <w:bottom w:w="50" w:type="dxa"/>
              <w:left w:w="90" w:type="dxa"/>
              <w:right w:w="90" w:type="dxa"/>
            </w:tcMar>
            <w:shd w:val="clear" w:color="auto" w:fill="E5F5FF"/>
          </w:tcPr>
          <w:p>
            <w:pPr>
              <w:pStyle w:val="BDOITable"/>
            </w:pPr>
            <w:r>
              <w:rPr>
                <w:sz w:val="18"/>
              </w:rPr>
              <w:t>Edge - application pods</w:t>
            </w:r>
          </w:p>
        </w:tc>
        <w:tc>
          <w:tcPr>
            <w:tcW w:type="dxa" w:w="5953"/>
            <w:tcMar>
              <w:top w:w="50" w:type="dxa"/>
              <w:bottom w:w="50" w:type="dxa"/>
              <w:left w:w="90" w:type="dxa"/>
              <w:right w:w="90" w:type="dxa"/>
            </w:tcMar>
            <w:shd w:val="clear" w:color="auto" w:fill="E5F5FF"/>
          </w:tcPr>
          <w:p>
            <w:pPr>
              <w:pStyle w:val="BDOITable"/>
            </w:pPr>
            <w:r>
              <w:rPr>
                <w:sz w:val="18"/>
              </w:rPr>
              <w:t>Gateway API routes (users to bibs-web and bibs-frontend, systems to bibs-integration); TLS to the pods with certificates from AWS Private CA; NetworkPolicies deny by default</w:t>
            </w:r>
          </w:p>
        </w:tc>
      </w:tr>
      <w:tr>
        <w:trPr>
          <w:cantSplit w:val="true"/>
        </w:trPr>
        <w:tc>
          <w:tcPr>
            <w:tcW w:type="dxa" w:w="1042"/>
            <w:tcMar>
              <w:top w:w="50" w:type="dxa"/>
              <w:bottom w:w="50" w:type="dxa"/>
              <w:left w:w="90" w:type="dxa"/>
              <w:right w:w="90" w:type="dxa"/>
            </w:tcMar>
          </w:tcPr>
          <w:p>
            <w:pPr>
              <w:pStyle w:val="BDOITable"/>
            </w:pPr>
            <w:r>
              <w:rPr>
                <w:b/>
                <w:sz w:val="18"/>
              </w:rPr>
              <w:t>TB5</w:t>
            </w:r>
          </w:p>
        </w:tc>
        <w:tc>
          <w:tcPr>
            <w:tcW w:type="dxa" w:w="2977"/>
            <w:tcMar>
              <w:top w:w="50" w:type="dxa"/>
              <w:bottom w:w="50" w:type="dxa"/>
              <w:left w:w="90" w:type="dxa"/>
              <w:right w:w="90" w:type="dxa"/>
            </w:tcMar>
          </w:tcPr>
          <w:p>
            <w:pPr>
              <w:pStyle w:val="BDOITable"/>
            </w:pPr>
            <w:r>
              <w:rPr>
                <w:sz w:val="18"/>
              </w:rPr>
              <w:t>Application - data stores</w:t>
            </w:r>
          </w:p>
        </w:tc>
        <w:tc>
          <w:tcPr>
            <w:tcW w:type="dxa" w:w="5953"/>
            <w:tcMar>
              <w:top w:w="50" w:type="dxa"/>
              <w:bottom w:w="50" w:type="dxa"/>
              <w:left w:w="90" w:type="dxa"/>
              <w:right w:w="90" w:type="dxa"/>
            </w:tcMar>
          </w:tcPr>
          <w:p>
            <w:pPr>
              <w:pStyle w:val="BDOITable"/>
            </w:pPr>
            <w:r>
              <w:rPr>
                <w:sz w:val="18"/>
              </w:rPr>
              <w:t>Least-privilege database login, TLS verify-full; Valkey ACL user over TLS; Kafka SASL_SSL; private subnets</w:t>
            </w:r>
          </w:p>
        </w:tc>
      </w:tr>
      <w:tr>
        <w:trPr>
          <w:cantSplit w:val="true"/>
        </w:trPr>
        <w:tc>
          <w:tcPr>
            <w:tcW w:type="dxa" w:w="1042"/>
            <w:tcMar>
              <w:top w:w="50" w:type="dxa"/>
              <w:bottom w:w="50" w:type="dxa"/>
              <w:left w:w="90" w:type="dxa"/>
              <w:right w:w="90" w:type="dxa"/>
            </w:tcMar>
            <w:shd w:val="clear" w:color="auto" w:fill="E5F5FF"/>
          </w:tcPr>
          <w:p>
            <w:pPr>
              <w:pStyle w:val="BDOITable"/>
            </w:pPr>
            <w:r>
              <w:rPr>
                <w:b/>
                <w:sz w:val="18"/>
              </w:rPr>
              <w:t>TB6</w:t>
            </w:r>
          </w:p>
        </w:tc>
        <w:tc>
          <w:tcPr>
            <w:tcW w:type="dxa" w:w="2977"/>
            <w:tcMar>
              <w:top w:w="50" w:type="dxa"/>
              <w:bottom w:w="50" w:type="dxa"/>
              <w:left w:w="90" w:type="dxa"/>
              <w:right w:w="90" w:type="dxa"/>
            </w:tcMar>
            <w:shd w:val="clear" w:color="auto" w:fill="E5F5FF"/>
          </w:tcPr>
          <w:p>
            <w:pPr>
              <w:pStyle w:val="BDOITable"/>
            </w:pPr>
            <w:r>
              <w:rPr>
                <w:sz w:val="18"/>
              </w:rPr>
              <w:t>Application - AWS services</w:t>
            </w:r>
          </w:p>
        </w:tc>
        <w:tc>
          <w:tcPr>
            <w:tcW w:type="dxa" w:w="5953"/>
            <w:tcMar>
              <w:top w:w="50" w:type="dxa"/>
              <w:bottom w:w="50" w:type="dxa"/>
              <w:left w:w="90" w:type="dxa"/>
              <w:right w:w="90" w:type="dxa"/>
            </w:tcMar>
            <w:shd w:val="clear" w:color="auto" w:fill="E5F5FF"/>
          </w:tcPr>
          <w:p>
            <w:pPr>
              <w:pStyle w:val="BDOITable"/>
            </w:pPr>
            <w:r>
              <w:rPr>
                <w:sz w:val="18"/>
              </w:rPr>
              <w:t>IAM roles of the service accounts (no stored AWS keys); private VPC connections; bucket policies deny non-TLS and unencrypted writes</w:t>
            </w:r>
          </w:p>
        </w:tc>
      </w:tr>
      <w:tr>
        <w:trPr>
          <w:cantSplit w:val="true"/>
        </w:trPr>
        <w:tc>
          <w:tcPr>
            <w:tcW w:type="dxa" w:w="1042"/>
            <w:tcMar>
              <w:top w:w="50" w:type="dxa"/>
              <w:bottom w:w="50" w:type="dxa"/>
              <w:left w:w="90" w:type="dxa"/>
              <w:right w:w="90" w:type="dxa"/>
            </w:tcMar>
          </w:tcPr>
          <w:p>
            <w:pPr>
              <w:pStyle w:val="BDOITable"/>
            </w:pPr>
            <w:r>
              <w:rPr>
                <w:b/>
                <w:sz w:val="18"/>
              </w:rPr>
              <w:t>TB7</w:t>
            </w:r>
          </w:p>
        </w:tc>
        <w:tc>
          <w:tcPr>
            <w:tcW w:type="dxa" w:w="2977"/>
            <w:tcMar>
              <w:top w:w="50" w:type="dxa"/>
              <w:bottom w:w="50" w:type="dxa"/>
              <w:left w:w="90" w:type="dxa"/>
              <w:right w:w="90" w:type="dxa"/>
            </w:tcMar>
          </w:tcPr>
          <w:p>
            <w:pPr>
              <w:pStyle w:val="BDOITable"/>
            </w:pPr>
            <w:r>
              <w:rPr>
                <w:sz w:val="18"/>
              </w:rPr>
              <w:t>Delivery - runtime</w:t>
            </w:r>
          </w:p>
        </w:tc>
        <w:tc>
          <w:tcPr>
            <w:tcW w:type="dxa" w:w="5953"/>
            <w:tcMar>
              <w:top w:w="50" w:type="dxa"/>
              <w:bottom w:w="50" w:type="dxa"/>
              <w:left w:w="90" w:type="dxa"/>
              <w:right w:w="90" w:type="dxa"/>
            </w:tcMar>
          </w:tcPr>
          <w:p>
            <w:pPr>
              <w:pStyle w:val="BDOITable"/>
            </w:pPr>
            <w:r>
              <w:rPr>
                <w:sz w:val="18"/>
              </w:rPr>
              <w:t>Reviewed changes; pipeline gates; images pinned by digest and scanned; release by the release team from the overlays</w:t>
            </w:r>
          </w:p>
        </w:tc>
      </w:tr>
    </w:tbl>
    <w:p>
      <w:pPr>
        <w:pStyle w:val="BDOISpacer"/>
      </w:pPr>
    </w:p>
    <w:p>
      <w:pPr>
        <w:pStyle w:val="Caption"/>
        <w:keepNext/>
        <w:spacing w:after="60"/>
      </w:pPr>
      <w:r>
        <w:rPr>
          <w:b/>
          <w:i w:val="0"/>
        </w:rPr>
        <w:t xml:space="preserve">Table 4: </w:t>
      </w:r>
      <w:r>
        <w:rPr/>
        <w:t>Security components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493"/>
        <w:gridCol w:w="7479"/>
      </w:tblGrid>
      <w:tr>
        <w:trPr>
          <w:tblHeader w:val="true"/>
          <w:cantSplit w:val="true"/>
        </w:trPr>
        <w:tc>
          <w:tcPr>
            <w:tcW w:type="dxa" w:w="2493"/>
            <w:shd w:val="clear" w:color="auto" w:fill="004EA8"/>
            <w:tcMar>
              <w:top w:w="50" w:type="dxa"/>
              <w:bottom w:w="50" w:type="dxa"/>
              <w:left w:w="90" w:type="dxa"/>
              <w:right w:w="90" w:type="dxa"/>
            </w:tcMar>
            <w:vAlign w:val="center"/>
          </w:tcPr>
          <w:p>
            <w:pPr>
              <w:pStyle w:val="BDOITableHeader"/>
            </w:pPr>
            <w:r>
              <w:rPr>
                <w:b/>
                <w:color w:val="FFFFFF"/>
                <w:sz w:val="18"/>
              </w:rPr>
              <w:t>Component</w:t>
            </w:r>
          </w:p>
        </w:tc>
        <w:tc>
          <w:tcPr>
            <w:tcW w:type="dxa" w:w="7479"/>
            <w:shd w:val="clear" w:color="auto" w:fill="004EA8"/>
            <w:tcMar>
              <w:top w:w="50" w:type="dxa"/>
              <w:bottom w:w="50" w:type="dxa"/>
              <w:left w:w="90" w:type="dxa"/>
              <w:right w:w="90" w:type="dxa"/>
            </w:tcMar>
            <w:vAlign w:val="center"/>
          </w:tcPr>
          <w:p>
            <w:pPr>
              <w:pStyle w:val="BDOITableHeader"/>
            </w:pPr>
            <w:r>
              <w:rPr>
                <w:b/>
                <w:color w:val="FFFFFF"/>
                <w:sz w:val="18"/>
              </w:rPr>
              <w:t>Security function</w:t>
            </w:r>
          </w:p>
        </w:tc>
      </w:tr>
      <w:tr>
        <w:trPr>
          <w:cantSplit w:val="true"/>
        </w:trPr>
        <w:tc>
          <w:tcPr>
            <w:tcW w:type="dxa" w:w="2493"/>
            <w:tcMar>
              <w:top w:w="50" w:type="dxa"/>
              <w:bottom w:w="50" w:type="dxa"/>
              <w:left w:w="90" w:type="dxa"/>
              <w:right w:w="90" w:type="dxa"/>
            </w:tcMar>
          </w:tcPr>
          <w:p>
            <w:pPr>
              <w:pStyle w:val="BDOITable"/>
            </w:pPr>
            <w:r>
              <w:rPr>
                <w:b/>
                <w:sz w:val="18"/>
              </w:rPr>
              <w:t>bibs-frontend (nginx)</w:t>
            </w:r>
          </w:p>
        </w:tc>
        <w:tc>
          <w:tcPr>
            <w:tcW w:type="dxa" w:w="7479"/>
            <w:tcMar>
              <w:top w:w="50" w:type="dxa"/>
              <w:bottom w:w="50" w:type="dxa"/>
              <w:left w:w="90" w:type="dxa"/>
              <w:right w:w="90" w:type="dxa"/>
            </w:tcMar>
          </w:tcPr>
          <w:p>
            <w:pPr>
              <w:pStyle w:val="BDOITable"/>
            </w:pPr>
            <w:r>
              <w:rPr>
                <w:sz w:val="18"/>
              </w:rPr>
              <w:t>Serves the compiled client only; Content Security Policy, HSTS, frame denial, no server version; runs as an unprivileged user on 8443</w:t>
            </w:r>
          </w:p>
        </w:tc>
      </w:tr>
      <w:tr>
        <w:trPr>
          <w:cantSplit w:val="true"/>
        </w:trPr>
        <w:tc>
          <w:tcPr>
            <w:tcW w:type="dxa" w:w="2493"/>
            <w:tcMar>
              <w:top w:w="50" w:type="dxa"/>
              <w:bottom w:w="50" w:type="dxa"/>
              <w:left w:w="90" w:type="dxa"/>
              <w:right w:w="90" w:type="dxa"/>
            </w:tcMar>
            <w:shd w:val="clear" w:color="auto" w:fill="E5F5FF"/>
          </w:tcPr>
          <w:p>
            <w:pPr>
              <w:pStyle w:val="BDOITable"/>
            </w:pPr>
            <w:r>
              <w:rPr>
                <w:b/>
                <w:sz w:val="18"/>
              </w:rPr>
              <w:t>bibs-web</w:t>
            </w:r>
          </w:p>
        </w:tc>
        <w:tc>
          <w:tcPr>
            <w:tcW w:type="dxa" w:w="7479"/>
            <w:tcMar>
              <w:top w:w="50" w:type="dxa"/>
              <w:bottom w:w="50" w:type="dxa"/>
              <w:left w:w="90" w:type="dxa"/>
              <w:right w:w="90" w:type="dxa"/>
            </w:tcMar>
            <w:shd w:val="clear" w:color="auto" w:fill="E5F5FF"/>
          </w:tcPr>
          <w:p>
            <w:pPr>
              <w:pStyle w:val="BDOITable"/>
            </w:pPr>
            <w:r>
              <w:rPr>
                <w:sz w:val="18"/>
              </w:rPr>
              <w:t>User APIs: authentication, permission and data scope checks, business validation, audit; no schedulers and no integration path</w:t>
            </w:r>
          </w:p>
        </w:tc>
      </w:tr>
      <w:tr>
        <w:trPr>
          <w:cantSplit w:val="true"/>
        </w:trPr>
        <w:tc>
          <w:tcPr>
            <w:tcW w:type="dxa" w:w="2493"/>
            <w:tcMar>
              <w:top w:w="50" w:type="dxa"/>
              <w:bottom w:w="50" w:type="dxa"/>
              <w:left w:w="90" w:type="dxa"/>
              <w:right w:w="90" w:type="dxa"/>
            </w:tcMar>
          </w:tcPr>
          <w:p>
            <w:pPr>
              <w:pStyle w:val="BDOITable"/>
            </w:pPr>
            <w:r>
              <w:rPr>
                <w:b/>
                <w:sz w:val="18"/>
              </w:rPr>
              <w:t>bibs-jobs</w:t>
            </w:r>
          </w:p>
        </w:tc>
        <w:tc>
          <w:tcPr>
            <w:tcW w:type="dxa" w:w="7479"/>
            <w:tcMar>
              <w:top w:w="50" w:type="dxa"/>
              <w:bottom w:w="50" w:type="dxa"/>
              <w:left w:w="90" w:type="dxa"/>
              <w:right w:w="90" w:type="dxa"/>
            </w:tcMar>
          </w:tcPr>
          <w:p>
            <w:pPr>
              <w:pStyle w:val="BDOITable"/>
            </w:pPr>
            <w:r>
              <w:rPr>
                <w:sz w:val="18"/>
              </w:rPr>
              <w:t>Batch jobs under a job lock; no user API (actuator only)</w:t>
            </w:r>
          </w:p>
        </w:tc>
      </w:tr>
      <w:tr>
        <w:trPr>
          <w:cantSplit w:val="true"/>
        </w:trPr>
        <w:tc>
          <w:tcPr>
            <w:tcW w:type="dxa" w:w="2493"/>
            <w:tcMar>
              <w:top w:w="50" w:type="dxa"/>
              <w:bottom w:w="50" w:type="dxa"/>
              <w:left w:w="90" w:type="dxa"/>
              <w:right w:w="90" w:type="dxa"/>
            </w:tcMar>
            <w:shd w:val="clear" w:color="auto" w:fill="E5F5FF"/>
          </w:tcPr>
          <w:p>
            <w:pPr>
              <w:pStyle w:val="BDOITable"/>
            </w:pPr>
            <w:r>
              <w:rPr>
                <w:b/>
                <w:sz w:val="18"/>
              </w:rPr>
              <w:t>bibs-integration</w:t>
            </w:r>
          </w:p>
        </w:tc>
        <w:tc>
          <w:tcPr>
            <w:tcW w:type="dxa" w:w="7479"/>
            <w:tcMar>
              <w:top w:w="50" w:type="dxa"/>
              <w:bottom w:w="50" w:type="dxa"/>
              <w:left w:w="90" w:type="dxa"/>
              <w:right w:w="90" w:type="dxa"/>
            </w:tcMar>
            <w:shd w:val="clear" w:color="auto" w:fill="E5F5FF"/>
          </w:tcPr>
          <w:p>
            <w:pPr>
              <w:pStyle w:val="BDOITable"/>
            </w:pPr>
            <w:r>
              <w:rPr>
                <w:sz w:val="18"/>
              </w:rPr>
              <w:t>Apigee-authenticated system APIs, outbox relay to Kafka, inbound files; no user API</w:t>
            </w:r>
          </w:p>
        </w:tc>
      </w:tr>
      <w:tr>
        <w:trPr>
          <w:cantSplit w:val="true"/>
        </w:trPr>
        <w:tc>
          <w:tcPr>
            <w:tcW w:type="dxa" w:w="2493"/>
            <w:tcMar>
              <w:top w:w="50" w:type="dxa"/>
              <w:bottom w:w="50" w:type="dxa"/>
              <w:left w:w="90" w:type="dxa"/>
              <w:right w:w="90" w:type="dxa"/>
            </w:tcMar>
          </w:tcPr>
          <w:p>
            <w:pPr>
              <w:pStyle w:val="BDOITable"/>
            </w:pPr>
            <w:r>
              <w:rPr>
                <w:b/>
                <w:sz w:val="18"/>
              </w:rPr>
              <w:t>Security filter chains</w:t>
            </w:r>
          </w:p>
        </w:tc>
        <w:tc>
          <w:tcPr>
            <w:tcW w:type="dxa" w:w="7479"/>
            <w:tcMar>
              <w:top w:w="50" w:type="dxa"/>
              <w:bottom w:w="50" w:type="dxa"/>
              <w:left w:w="90" w:type="dxa"/>
              <w:right w:w="90" w:type="dxa"/>
            </w:tcMar>
          </w:tcPr>
          <w:p>
            <w:pPr>
              <w:pStyle w:val="BDOITable"/>
            </w:pPr>
            <w:r>
              <w:rPr>
                <w:sz w:val="18"/>
              </w:rPr>
              <w:t>One chain for users (bearer token and session), one for systems (Apigee tokens); stateless, CSRF-safe</w:t>
            </w:r>
          </w:p>
        </w:tc>
      </w:tr>
      <w:tr>
        <w:trPr>
          <w:cantSplit w:val="true"/>
        </w:trPr>
        <w:tc>
          <w:tcPr>
            <w:tcW w:type="dxa" w:w="2493"/>
            <w:tcMar>
              <w:top w:w="50" w:type="dxa"/>
              <w:bottom w:w="50" w:type="dxa"/>
              <w:left w:w="90" w:type="dxa"/>
              <w:right w:w="90" w:type="dxa"/>
            </w:tcMar>
            <w:shd w:val="clear" w:color="auto" w:fill="E5F5FF"/>
          </w:tcPr>
          <w:p>
            <w:pPr>
              <w:pStyle w:val="BDOITable"/>
            </w:pPr>
            <w:r>
              <w:rPr>
                <w:b/>
                <w:sz w:val="18"/>
              </w:rPr>
              <w:t>Data scope guard</w:t>
            </w:r>
          </w:p>
        </w:tc>
        <w:tc>
          <w:tcPr>
            <w:tcW w:type="dxa" w:w="7479"/>
            <w:tcMar>
              <w:top w:w="50" w:type="dxa"/>
              <w:bottom w:w="50" w:type="dxa"/>
              <w:left w:w="90" w:type="dxa"/>
              <w:right w:w="90" w:type="dxa"/>
            </w:tcMar>
            <w:shd w:val="clear" w:color="auto" w:fill="E5F5FF"/>
          </w:tcPr>
          <w:p>
            <w:pPr>
              <w:pStyle w:val="BDOITable"/>
            </w:pPr>
            <w:r>
              <w:rPr>
                <w:sz w:val="18"/>
              </w:rPr>
              <w:t>Central company and branch check before the controller, fail closed</w:t>
            </w:r>
          </w:p>
        </w:tc>
      </w:tr>
      <w:tr>
        <w:trPr>
          <w:cantSplit w:val="true"/>
        </w:trPr>
        <w:tc>
          <w:tcPr>
            <w:tcW w:type="dxa" w:w="2493"/>
            <w:tcMar>
              <w:top w:w="50" w:type="dxa"/>
              <w:bottom w:w="50" w:type="dxa"/>
              <w:left w:w="90" w:type="dxa"/>
              <w:right w:w="90" w:type="dxa"/>
            </w:tcMar>
          </w:tcPr>
          <w:p>
            <w:pPr>
              <w:pStyle w:val="BDOITable"/>
            </w:pPr>
            <w:r>
              <w:rPr>
                <w:b/>
                <w:sz w:val="18"/>
              </w:rPr>
              <w:t>Audit service</w:t>
            </w:r>
          </w:p>
        </w:tc>
        <w:tc>
          <w:tcPr>
            <w:tcW w:type="dxa" w:w="7479"/>
            <w:tcMar>
              <w:top w:w="50" w:type="dxa"/>
              <w:bottom w:w="50" w:type="dxa"/>
              <w:left w:w="90" w:type="dxa"/>
              <w:right w:w="90" w:type="dxa"/>
            </w:tcMar>
          </w:tcPr>
          <w:p>
            <w:pPr>
              <w:pStyle w:val="BDOITable"/>
            </w:pPr>
            <w:r>
              <w:rPr>
                <w:sz w:val="18"/>
              </w:rPr>
              <w:t>Insert-only audit trail written in the same transaction as the change</w:t>
            </w:r>
          </w:p>
        </w:tc>
      </w:tr>
      <w:tr>
        <w:trPr>
          <w:cantSplit w:val="true"/>
        </w:trPr>
        <w:tc>
          <w:tcPr>
            <w:tcW w:type="dxa" w:w="2493"/>
            <w:tcMar>
              <w:top w:w="50" w:type="dxa"/>
              <w:bottom w:w="50" w:type="dxa"/>
              <w:left w:w="90" w:type="dxa"/>
              <w:right w:w="90" w:type="dxa"/>
            </w:tcMar>
            <w:shd w:val="clear" w:color="auto" w:fill="E5F5FF"/>
          </w:tcPr>
          <w:p>
            <w:pPr>
              <w:pStyle w:val="BDOITable"/>
            </w:pPr>
            <w:r>
              <w:rPr>
                <w:b/>
                <w:sz w:val="18"/>
              </w:rPr>
              <w:t>File store</w:t>
            </w:r>
          </w:p>
        </w:tc>
        <w:tc>
          <w:tcPr>
            <w:tcW w:type="dxa" w:w="7479"/>
            <w:tcMar>
              <w:top w:w="50" w:type="dxa"/>
              <w:bottom w:w="50" w:type="dxa"/>
              <w:left w:w="90" w:type="dxa"/>
              <w:right w:w="90" w:type="dxa"/>
            </w:tcMar>
            <w:shd w:val="clear" w:color="auto" w:fill="E5F5FF"/>
          </w:tcPr>
          <w:p>
            <w:pPr>
              <w:pStyle w:val="BDOITable"/>
            </w:pPr>
            <w:r>
              <w:rPr>
                <w:sz w:val="18"/>
              </w:rPr>
              <w:t>S3 with SSE-KMS, generated object keys, malware scan, presigned links of 5 minutes, legal hold</w:t>
            </w:r>
          </w:p>
        </w:tc>
      </w:tr>
      <w:tr>
        <w:trPr>
          <w:cantSplit w:val="true"/>
        </w:trPr>
        <w:tc>
          <w:tcPr>
            <w:tcW w:type="dxa" w:w="2493"/>
            <w:tcMar>
              <w:top w:w="50" w:type="dxa"/>
              <w:bottom w:w="50" w:type="dxa"/>
              <w:left w:w="90" w:type="dxa"/>
              <w:right w:w="90" w:type="dxa"/>
            </w:tcMar>
          </w:tcPr>
          <w:p>
            <w:pPr>
              <w:pStyle w:val="BDOITable"/>
            </w:pPr>
            <w:r>
              <w:rPr>
                <w:b/>
                <w:sz w:val="18"/>
              </w:rPr>
              <w:t>Production safeguards</w:t>
            </w:r>
          </w:p>
        </w:tc>
        <w:tc>
          <w:tcPr>
            <w:tcW w:type="dxa" w:w="7479"/>
            <w:tcMar>
              <w:top w:w="50" w:type="dxa"/>
              <w:bottom w:w="50" w:type="dxa"/>
              <w:left w:w="90" w:type="dxa"/>
              <w:right w:w="90" w:type="dxa"/>
            </w:tcMar>
          </w:tcPr>
          <w:p>
            <w:pPr>
              <w:pStyle w:val="BDOITable"/>
            </w:pPr>
            <w:r>
              <w:rPr>
                <w:sz w:val="18"/>
              </w:rPr>
              <w:t>Refuse to start with a missing or development secret, a plaintext connection, seed data or API documentation in production</w:t>
            </w:r>
          </w:p>
        </w:tc>
      </w:tr>
    </w:tbl>
    <w:p>
      <w:pPr>
        <w:pStyle w:val="BDOISpacer"/>
      </w:pPr>
    </w:p>
    <w:p>
      <w:pPr>
        <w:pStyle w:val="Heading1"/>
        <w:pageBreakBefore/>
        <w:pBdr>
          <w:bottom w:val="single" w:sz="4" w:space="4" w:color="99C1E7"/>
        </w:pBdr>
      </w:pPr>
      <w:bookmarkStart w:id="107" w:name="_Toc000107"/>
      <w:r>
        <w:rPr/>
        <w:t>3 Zero Trust principles applied</w:t>
      </w:r>
      <w:bookmarkEnd w:id="107"/>
    </w:p>
    <w:p>
      <w:r>
        <w:rPr/>
        <w:t>BIBS follows the tenets of NIST SP 800-207: no request is trusted because of where it comes from; every request is authenticated, authorised and encrypted, with the least privilege, and every decision is recorded.</w:t>
      </w:r>
    </w:p>
    <w:p>
      <w:pPr>
        <w:pStyle w:val="Caption"/>
        <w:keepNext/>
        <w:spacing w:after="60"/>
      </w:pPr>
      <w:r>
        <w:rPr>
          <w:b/>
          <w:i w:val="0"/>
        </w:rPr>
        <w:t xml:space="preserve">Table 5: </w:t>
      </w:r>
      <w:r>
        <w:rPr/>
        <w:t>Zero Trust principles in BIBS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734"/>
        <w:gridCol w:w="7238"/>
      </w:tblGrid>
      <w:tr>
        <w:trPr>
          <w:tblHeader w:val="true"/>
          <w:cantSplit w:val="true"/>
        </w:trPr>
        <w:tc>
          <w:tcPr>
            <w:tcW w:type="dxa" w:w="2734"/>
            <w:shd w:val="clear" w:color="auto" w:fill="004EA8"/>
            <w:tcMar>
              <w:top w:w="50" w:type="dxa"/>
              <w:bottom w:w="50" w:type="dxa"/>
              <w:left w:w="90" w:type="dxa"/>
              <w:right w:w="90" w:type="dxa"/>
            </w:tcMar>
            <w:vAlign w:val="center"/>
          </w:tcPr>
          <w:p>
            <w:pPr>
              <w:pStyle w:val="BDOITableHeader"/>
            </w:pPr>
            <w:r>
              <w:rPr>
                <w:b/>
                <w:color w:val="FFFFFF"/>
                <w:sz w:val="18"/>
              </w:rPr>
              <w:t>Principle</w:t>
            </w:r>
          </w:p>
        </w:tc>
        <w:tc>
          <w:tcPr>
            <w:tcW w:type="dxa" w:w="7238"/>
            <w:shd w:val="clear" w:color="auto" w:fill="004EA8"/>
            <w:tcMar>
              <w:top w:w="50" w:type="dxa"/>
              <w:bottom w:w="50" w:type="dxa"/>
              <w:left w:w="90" w:type="dxa"/>
              <w:right w:w="90" w:type="dxa"/>
            </w:tcMar>
            <w:vAlign w:val="center"/>
          </w:tcPr>
          <w:p>
            <w:pPr>
              <w:pStyle w:val="BDOITableHeader"/>
            </w:pPr>
            <w:r>
              <w:rPr>
                <w:b/>
                <w:color w:val="FFFFFF"/>
                <w:sz w:val="18"/>
              </w:rPr>
              <w:t>How BIBS applies it</w:t>
            </w:r>
          </w:p>
        </w:tc>
      </w:tr>
      <w:tr>
        <w:trPr>
          <w:cantSplit w:val="true"/>
        </w:trPr>
        <w:tc>
          <w:tcPr>
            <w:tcW w:type="dxa" w:w="2734"/>
            <w:tcMar>
              <w:top w:w="50" w:type="dxa"/>
              <w:bottom w:w="50" w:type="dxa"/>
              <w:left w:w="90" w:type="dxa"/>
              <w:right w:w="90" w:type="dxa"/>
            </w:tcMar>
          </w:tcPr>
          <w:p>
            <w:pPr>
              <w:pStyle w:val="BDOITable"/>
            </w:pPr>
            <w:r>
              <w:rPr>
                <w:b/>
                <w:sz w:val="18"/>
              </w:rPr>
              <w:t>Verify explicitly</w:t>
            </w:r>
          </w:p>
        </w:tc>
        <w:tc>
          <w:tcPr>
            <w:tcW w:type="dxa" w:w="7238"/>
            <w:tcMar>
              <w:top w:w="50" w:type="dxa"/>
              <w:bottom w:w="50" w:type="dxa"/>
              <w:left w:w="90" w:type="dxa"/>
              <w:right w:w="90" w:type="dxa"/>
            </w:tcMar>
          </w:tcPr>
          <w:p>
            <w:pPr>
              <w:pStyle w:val="BDOITable"/>
            </w:pPr>
            <w:r>
              <w:rPr>
                <w:sz w:val="18"/>
              </w:rPr>
              <w:t>Every user request carries a token whose session is checked in the session log on each call; a token without a live session is refused. System calls carry an Apigee token checked for signature, issuer, audience and scope on each call. The internal network grants nothing</w:t>
            </w:r>
          </w:p>
        </w:tc>
      </w:tr>
      <w:tr>
        <w:trPr>
          <w:cantSplit w:val="true"/>
        </w:trPr>
        <w:tc>
          <w:tcPr>
            <w:tcW w:type="dxa" w:w="2734"/>
            <w:tcMar>
              <w:top w:w="50" w:type="dxa"/>
              <w:bottom w:w="50" w:type="dxa"/>
              <w:left w:w="90" w:type="dxa"/>
              <w:right w:w="90" w:type="dxa"/>
            </w:tcMar>
            <w:shd w:val="clear" w:color="auto" w:fill="E5F5FF"/>
          </w:tcPr>
          <w:p>
            <w:pPr>
              <w:pStyle w:val="BDOITable"/>
            </w:pPr>
            <w:r>
              <w:rPr>
                <w:b/>
                <w:sz w:val="18"/>
              </w:rPr>
              <w:t>Least privilege</w:t>
            </w:r>
          </w:p>
        </w:tc>
        <w:tc>
          <w:tcPr>
            <w:tcW w:type="dxa" w:w="7238"/>
            <w:tcMar>
              <w:top w:w="50" w:type="dxa"/>
              <w:bottom w:w="50" w:type="dxa"/>
              <w:left w:w="90" w:type="dxa"/>
              <w:right w:w="90" w:type="dxa"/>
            </w:tcMar>
            <w:shd w:val="clear" w:color="auto" w:fill="E5F5FF"/>
          </w:tcPr>
          <w:p>
            <w:pPr>
              <w:pStyle w:val="BDOITable"/>
            </w:pPr>
            <w:r>
              <w:rPr>
                <w:sz w:val="18"/>
              </w:rPr>
              <w:t>About 300 fine-grained permissions bundled into 94 active roles; company and branch data scope per user; database runtime login with row access only (no DDL, no TRUNCATE, cannot disable triggers); containers without Linux capabilities; IAM role per workload with the actions it needs</w:t>
            </w:r>
          </w:p>
        </w:tc>
      </w:tr>
      <w:tr>
        <w:trPr>
          <w:cantSplit w:val="true"/>
        </w:trPr>
        <w:tc>
          <w:tcPr>
            <w:tcW w:type="dxa" w:w="2734"/>
            <w:tcMar>
              <w:top w:w="50" w:type="dxa"/>
              <w:bottom w:w="50" w:type="dxa"/>
              <w:left w:w="90" w:type="dxa"/>
              <w:right w:w="90" w:type="dxa"/>
            </w:tcMar>
          </w:tcPr>
          <w:p>
            <w:pPr>
              <w:pStyle w:val="BDOITable"/>
            </w:pPr>
            <w:r>
              <w:rPr>
                <w:b/>
                <w:sz w:val="18"/>
              </w:rPr>
              <w:t>Assume breach</w:t>
            </w:r>
          </w:p>
        </w:tc>
        <w:tc>
          <w:tcPr>
            <w:tcW w:type="dxa" w:w="7238"/>
            <w:tcMar>
              <w:top w:w="50" w:type="dxa"/>
              <w:bottom w:w="50" w:type="dxa"/>
              <w:left w:w="90" w:type="dxa"/>
              <w:right w:w="90" w:type="dxa"/>
            </w:tcMar>
          </w:tcPr>
          <w:p>
            <w:pPr>
              <w:pStyle w:val="BDOITable"/>
            </w:pPr>
            <w:r>
              <w:rPr>
                <w:sz w:val="18"/>
              </w:rPr>
              <w:t>NetworkPolicies deny all traffic by default and pods never call each other; secrets only in memory; keys in KMS; insert-only audit and ledger tables; malware scan and quarantine of every file; break-glass accounts named and audited</w:t>
            </w:r>
          </w:p>
        </w:tc>
      </w:tr>
      <w:tr>
        <w:trPr>
          <w:cantSplit w:val="true"/>
        </w:trPr>
        <w:tc>
          <w:tcPr>
            <w:tcW w:type="dxa" w:w="2734"/>
            <w:tcMar>
              <w:top w:w="50" w:type="dxa"/>
              <w:bottom w:w="50" w:type="dxa"/>
              <w:left w:w="90" w:type="dxa"/>
              <w:right w:w="90" w:type="dxa"/>
            </w:tcMar>
            <w:shd w:val="clear" w:color="auto" w:fill="E5F5FF"/>
          </w:tcPr>
          <w:p>
            <w:pPr>
              <w:pStyle w:val="BDOITable"/>
            </w:pPr>
            <w:r>
              <w:rPr>
                <w:b/>
                <w:sz w:val="18"/>
              </w:rPr>
              <w:t>Fail closed</w:t>
            </w:r>
          </w:p>
        </w:tc>
        <w:tc>
          <w:tcPr>
            <w:tcW w:type="dxa" w:w="7238"/>
            <w:tcMar>
              <w:top w:w="50" w:type="dxa"/>
              <w:bottom w:w="50" w:type="dxa"/>
              <w:left w:w="90" w:type="dxa"/>
              <w:right w:w="90" w:type="dxa"/>
            </w:tcMar>
            <w:shd w:val="clear" w:color="auto" w:fill="E5F5FF"/>
          </w:tcPr>
          <w:p>
            <w:pPr>
              <w:pStyle w:val="BDOITable"/>
            </w:pPr>
            <w:r>
              <w:rPr>
                <w:sz w:val="18"/>
              </w:rPr>
              <w:t>When the token denylist (Valkey) cannot be read the session log decides; when the session log cannot be read the request is refused (status 503) and an alert is raised; rate limits fall back to the database and refuse when neither store answers; an unknown user or company is refused</w:t>
            </w:r>
          </w:p>
        </w:tc>
      </w:tr>
      <w:tr>
        <w:trPr>
          <w:cantSplit w:val="true"/>
        </w:trPr>
        <w:tc>
          <w:tcPr>
            <w:tcW w:type="dxa" w:w="2734"/>
            <w:tcMar>
              <w:top w:w="50" w:type="dxa"/>
              <w:bottom w:w="50" w:type="dxa"/>
              <w:left w:w="90" w:type="dxa"/>
              <w:right w:w="90" w:type="dxa"/>
            </w:tcMar>
          </w:tcPr>
          <w:p>
            <w:pPr>
              <w:pStyle w:val="BDOITable"/>
            </w:pPr>
            <w:r>
              <w:rPr>
                <w:b/>
                <w:sz w:val="18"/>
              </w:rPr>
              <w:t>Encrypt everywhere</w:t>
            </w:r>
          </w:p>
        </w:tc>
        <w:tc>
          <w:tcPr>
            <w:tcW w:type="dxa" w:w="7238"/>
            <w:tcMar>
              <w:top w:w="50" w:type="dxa"/>
              <w:bottom w:w="50" w:type="dxa"/>
              <w:left w:w="90" w:type="dxa"/>
              <w:right w:w="90" w:type="dxa"/>
            </w:tcMar>
          </w:tcPr>
          <w:p>
            <w:pPr>
              <w:pStyle w:val="BDOITable"/>
            </w:pPr>
            <w:r>
              <w:rPr>
                <w:sz w:val="18"/>
              </w:rPr>
              <w:t>TLS on every hop, including inside the cluster; encryption at rest with BDOI-owned KMS keys</w:t>
            </w:r>
          </w:p>
        </w:tc>
      </w:tr>
      <w:tr>
        <w:trPr>
          <w:cantSplit w:val="true"/>
        </w:trPr>
        <w:tc>
          <w:tcPr>
            <w:tcW w:type="dxa" w:w="2734"/>
            <w:tcMar>
              <w:top w:w="50" w:type="dxa"/>
              <w:bottom w:w="50" w:type="dxa"/>
              <w:left w:w="90" w:type="dxa"/>
              <w:right w:w="90" w:type="dxa"/>
            </w:tcMar>
            <w:shd w:val="clear" w:color="auto" w:fill="E5F5FF"/>
          </w:tcPr>
          <w:p>
            <w:pPr>
              <w:pStyle w:val="BDOITable"/>
            </w:pPr>
            <w:r>
              <w:rPr>
                <w:b/>
                <w:sz w:val="18"/>
              </w:rPr>
              <w:t>Continuous monitoring</w:t>
            </w:r>
          </w:p>
        </w:tc>
        <w:tc>
          <w:tcPr>
            <w:tcW w:type="dxa" w:w="7238"/>
            <w:tcMar>
              <w:top w:w="50" w:type="dxa"/>
              <w:bottom w:w="50" w:type="dxa"/>
              <w:left w:w="90" w:type="dxa"/>
              <w:right w:w="90" w:type="dxa"/>
            </w:tcMar>
            <w:shd w:val="clear" w:color="auto" w:fill="E5F5FF"/>
          </w:tcPr>
          <w:p>
            <w:pPr>
              <w:pStyle w:val="BDOITable"/>
            </w:pPr>
            <w:r>
              <w:rPr>
                <w:sz w:val="18"/>
              </w:rPr>
              <w:t>Audit trail, sign-in audit, access change log, security store alarms, metrics; forwarding to the BDO SIEM (open point SEC-07)</w:t>
            </w:r>
          </w:p>
        </w:tc>
      </w:tr>
      <w:tr>
        <w:trPr>
          <w:cantSplit w:val="true"/>
        </w:trPr>
        <w:tc>
          <w:tcPr>
            <w:tcW w:type="dxa" w:w="2734"/>
            <w:tcMar>
              <w:top w:w="50" w:type="dxa"/>
              <w:bottom w:w="50" w:type="dxa"/>
              <w:left w:w="90" w:type="dxa"/>
              <w:right w:w="90" w:type="dxa"/>
            </w:tcMar>
          </w:tcPr>
          <w:p>
            <w:pPr>
              <w:pStyle w:val="BDOITable"/>
            </w:pPr>
            <w:r>
              <w:rPr>
                <w:b/>
                <w:sz w:val="18"/>
              </w:rPr>
              <w:t>Device and context</w:t>
            </w:r>
          </w:p>
        </w:tc>
        <w:tc>
          <w:tcPr>
            <w:tcW w:type="dxa" w:w="7238"/>
            <w:tcMar>
              <w:top w:w="50" w:type="dxa"/>
              <w:bottom w:w="50" w:type="dxa"/>
              <w:left w:w="90" w:type="dxa"/>
              <w:right w:w="90" w:type="dxa"/>
            </w:tcMar>
          </w:tcPr>
          <w:p>
            <w:pPr>
              <w:pStyle w:val="BDOITable"/>
            </w:pPr>
            <w:r>
              <w:rPr>
                <w:sz w:val="18"/>
              </w:rPr>
              <w:t>Conditional access (device compliance, location, risk) is applied by EIAM at sign-in; BIBS accepts only users from the BDO network and VDI ranges at the WAF</w:t>
            </w:r>
          </w:p>
        </w:tc>
      </w:tr>
    </w:tbl>
    <w:p>
      <w:pPr>
        <w:pStyle w:val="BDOISpacer"/>
      </w:pPr>
    </w:p>
    <w:p>
      <w:pPr>
        <w:pStyle w:val="Heading1"/>
        <w:pageBreakBefore/>
        <w:pBdr>
          <w:bottom w:val="single" w:sz="4" w:space="4" w:color="99C1E7"/>
        </w:pBdr>
      </w:pPr>
      <w:bookmarkStart w:id="108" w:name="_Toc000108"/>
      <w:r>
        <w:rPr/>
        <w:t>4 Identity and access management</w:t>
      </w:r>
      <w:bookmarkEnd w:id="108"/>
    </w:p>
    <w:p>
      <w:pPr>
        <w:pStyle w:val="Heading2"/>
      </w:pPr>
      <w:bookmarkStart w:id="109" w:name="_Toc000109"/>
      <w:r>
        <w:rPr/>
        <w:t>4.1 Single sign-on with EIAM</w:t>
      </w:r>
      <w:bookmarkEnd w:id="109"/>
    </w:p>
    <w:p>
      <w:pPr>
        <w:pStyle w:val="Caption"/>
        <w:keepNext/>
        <w:spacing w:after="60"/>
      </w:pPr>
      <w:r>
        <w:rPr>
          <w:b/>
          <w:i w:val="0"/>
        </w:rPr>
        <w:t xml:space="preserve">Table 6: </w:t>
      </w:r>
      <w:r>
        <w:rPr/>
        <w:t>Sign-in modes (security parameter AUTH_MODE)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493"/>
        <w:gridCol w:w="7479"/>
      </w:tblGrid>
      <w:tr>
        <w:trPr>
          <w:tblHeader w:val="true"/>
          <w:cantSplit w:val="true"/>
        </w:trPr>
        <w:tc>
          <w:tcPr>
            <w:tcW w:type="dxa" w:w="2493"/>
            <w:shd w:val="clear" w:color="auto" w:fill="004EA8"/>
            <w:tcMar>
              <w:top w:w="50" w:type="dxa"/>
              <w:bottom w:w="50" w:type="dxa"/>
              <w:left w:w="90" w:type="dxa"/>
              <w:right w:w="90" w:type="dxa"/>
            </w:tcMar>
            <w:vAlign w:val="center"/>
          </w:tcPr>
          <w:p>
            <w:pPr>
              <w:pStyle w:val="BDOITableHeader"/>
            </w:pPr>
            <w:r>
              <w:rPr>
                <w:b/>
                <w:color w:val="FFFFFF"/>
                <w:sz w:val="18"/>
              </w:rPr>
              <w:t>Mode</w:t>
            </w:r>
          </w:p>
        </w:tc>
        <w:tc>
          <w:tcPr>
            <w:tcW w:type="dxa" w:w="7479"/>
            <w:shd w:val="clear" w:color="auto" w:fill="004EA8"/>
            <w:tcMar>
              <w:top w:w="50" w:type="dxa"/>
              <w:bottom w:w="50" w:type="dxa"/>
              <w:left w:w="90" w:type="dxa"/>
              <w:right w:w="90" w:type="dxa"/>
            </w:tcMar>
            <w:vAlign w:val="center"/>
          </w:tcPr>
          <w:p>
            <w:pPr>
              <w:pStyle w:val="BDOITableHeader"/>
            </w:pPr>
            <w:r>
              <w:rPr>
                <w:b/>
                <w:color w:val="FFFFFF"/>
                <w:sz w:val="18"/>
              </w:rPr>
              <w:t>Use in BIBS</w:t>
            </w:r>
          </w:p>
        </w:tc>
      </w:tr>
      <w:tr>
        <w:trPr>
          <w:cantSplit w:val="true"/>
        </w:trPr>
        <w:tc>
          <w:tcPr>
            <w:tcW w:type="dxa" w:w="2493"/>
            <w:tcMar>
              <w:top w:w="50" w:type="dxa"/>
              <w:bottom w:w="50" w:type="dxa"/>
              <w:left w:w="90" w:type="dxa"/>
              <w:right w:w="90" w:type="dxa"/>
            </w:tcMar>
          </w:tcPr>
          <w:p>
            <w:pPr>
              <w:pStyle w:val="BDOITable"/>
            </w:pPr>
            <w:r>
              <w:rPr>
                <w:b/>
                <w:sz w:val="18"/>
              </w:rPr>
              <w:t>OIDC (proposed for production)</w:t>
            </w:r>
          </w:p>
        </w:tc>
        <w:tc>
          <w:tcPr>
            <w:tcW w:type="dxa" w:w="7479"/>
            <w:tcMar>
              <w:top w:w="50" w:type="dxa"/>
              <w:bottom w:w="50" w:type="dxa"/>
              <w:left w:w="90" w:type="dxa"/>
              <w:right w:w="90" w:type="dxa"/>
            </w:tcMar>
          </w:tcPr>
          <w:p>
            <w:pPr>
              <w:pStyle w:val="BDOITable"/>
            </w:pPr>
            <w:r>
              <w:rPr>
                <w:sz w:val="18"/>
              </w:rPr>
              <w:t>Microsoft Entra ID as OpenID Connect provider: authorisation code with PKCE (S256), confidential client, ID token signature from the provider's key set (RS256 only), issuer, audience, expiry and nonce checked; clock tolerance 2 minutes</w:t>
            </w:r>
          </w:p>
        </w:tc>
      </w:tr>
      <w:tr>
        <w:trPr>
          <w:cantSplit w:val="true"/>
        </w:trPr>
        <w:tc>
          <w:tcPr>
            <w:tcW w:type="dxa" w:w="2493"/>
            <w:tcMar>
              <w:top w:w="50" w:type="dxa"/>
              <w:bottom w:w="50" w:type="dxa"/>
              <w:left w:w="90" w:type="dxa"/>
              <w:right w:w="90" w:type="dxa"/>
            </w:tcMar>
            <w:shd w:val="clear" w:color="auto" w:fill="E5F5FF"/>
          </w:tcPr>
          <w:p>
            <w:pPr>
              <w:pStyle w:val="BDOITable"/>
            </w:pPr>
            <w:r>
              <w:rPr>
                <w:b/>
                <w:sz w:val="18"/>
              </w:rPr>
              <w:t>SAML</w:t>
            </w:r>
          </w:p>
        </w:tc>
        <w:tc>
          <w:tcPr>
            <w:tcW w:type="dxa" w:w="7479"/>
            <w:tcMar>
              <w:top w:w="50" w:type="dxa"/>
              <w:bottom w:w="50" w:type="dxa"/>
              <w:left w:w="90" w:type="dxa"/>
              <w:right w:w="90" w:type="dxa"/>
            </w:tcMar>
            <w:shd w:val="clear" w:color="auto" w:fill="E5F5FF"/>
          </w:tcPr>
          <w:p>
            <w:pPr>
              <w:pStyle w:val="BDOITable"/>
            </w:pPr>
            <w:r>
              <w:rPr>
                <w:sz w:val="18"/>
              </w:rPr>
              <w:t>Signed Response or Assertion validated with the configured provider certificate only (never a key inside the message); one Assertion as a child of the Response; reference to the signed ID and unique IDs against signature wrapping; audience, recipient, validity and In-Response-To checked; no DTDs</w:t>
            </w:r>
          </w:p>
        </w:tc>
      </w:tr>
      <w:tr>
        <w:trPr>
          <w:cantSplit w:val="true"/>
        </w:trPr>
        <w:tc>
          <w:tcPr>
            <w:tcW w:type="dxa" w:w="2493"/>
            <w:tcMar>
              <w:top w:w="50" w:type="dxa"/>
              <w:bottom w:w="50" w:type="dxa"/>
              <w:left w:w="90" w:type="dxa"/>
              <w:right w:w="90" w:type="dxa"/>
            </w:tcMar>
          </w:tcPr>
          <w:p>
            <w:pPr>
              <w:pStyle w:val="BDOITable"/>
            </w:pPr>
            <w:r>
              <w:rPr>
                <w:b/>
                <w:sz w:val="18"/>
              </w:rPr>
              <w:t>LOCAL</w:t>
            </w:r>
          </w:p>
        </w:tc>
        <w:tc>
          <w:tcPr>
            <w:tcW w:type="dxa" w:w="7479"/>
            <w:tcMar>
              <w:top w:w="50" w:type="dxa"/>
              <w:bottom w:w="50" w:type="dxa"/>
              <w:left w:w="90" w:type="dxa"/>
              <w:right w:w="90" w:type="dxa"/>
            </w:tcMar>
          </w:tcPr>
          <w:p>
            <w:pPr>
              <w:pStyle w:val="BDOITable"/>
            </w:pPr>
            <w:r>
              <w:rPr>
                <w:sz w:val="18"/>
              </w:rPr>
              <w:t>Only for the break-glass administrators named in the configuration, with the second factor always asked</w:t>
            </w:r>
          </w:p>
        </w:tc>
      </w:tr>
    </w:tbl>
    <w:p>
      <w:pPr>
        <w:pStyle w:val="BDOISpacer"/>
      </w:pPr>
    </w:p>
    <w:p>
      <w:r>
        <w:rPr/>
        <w:t>The identity returned by EIAM is linked to an existing, active BIBS user only; BIBS never creates a user from a sign-in. Roles are never granted from EIAM groups; an optional group gate accepts a sign-in only when EIAM asserts a group mapped to a role the user holds. The provider's answer is exchanged for a one-time ticket of 2 minutes that the web client redeems, so no token appears in a URL.</w:t>
      </w:r>
    </w:p>
    <w:p>
      <w:pPr>
        <w:keepNext/>
        <w:spacing w:before="80" w:after="0"/>
        <w:jc w:val="center"/>
      </w:pPr>
      <w:r>
        <w:drawing>
          <wp:inline xmlns:a="http://schemas.openxmlformats.org/drawingml/2006/main" xmlns:pic="http://schemas.openxmlformats.org/drawingml/2006/picture">
            <wp:extent cx="3960000" cy="3916957"/>
            <wp:docPr id="4" name="Picture 4"/>
            <wp:cNvGraphicFramePr>
              <a:graphicFrameLocks noChangeAspect="1"/>
            </wp:cNvGraphicFramePr>
            <a:graphic>
              <a:graphicData uri="http://schemas.openxmlformats.org/drawingml/2006/picture">
                <pic:pic>
                  <pic:nvPicPr>
                    <pic:cNvPr id="0" name="sa_sso_flow_736.jpg"/>
                    <pic:cNvPicPr/>
                  </pic:nvPicPr>
                  <pic:blipFill>
                    <a:blip r:embed="rId24"/>
                    <a:stretch>
                      <a:fillRect/>
                    </a:stretch>
                  </pic:blipFill>
                  <pic:spPr>
                    <a:xfrm>
                      <a:off x="0" y="0"/>
                      <a:ext cx="3960000" cy="3916957"/>
                    </a:xfrm>
                    <a:prstGeom prst="rect"/>
                  </pic:spPr>
                </pic:pic>
              </a:graphicData>
            </a:graphic>
          </wp:inline>
        </w:drawing>
      </w:r>
    </w:p>
    <w:p>
      <w:pPr>
        <w:pStyle w:val="Caption"/>
        <w:jc w:val="center"/>
      </w:pPr>
      <w:r>
        <w:rPr>
          <w:b/>
          <w:i w:val="0"/>
        </w:rPr>
        <w:t xml:space="preserve">Figure 2: </w:t>
      </w:r>
      <w:r>
        <w:rPr/>
        <w:t>Single sign-on with EIAM and the BIBS session</w:t>
      </w:r>
    </w:p>
    <w:p>
      <w:pPr>
        <w:pStyle w:val="Heading2"/>
      </w:pPr>
      <w:bookmarkStart w:id="110" w:name="_Toc000110"/>
      <w:r>
        <w:rPr/>
        <w:t>4.2 Provisioning with UIDM-ISC (SCIM)</w:t>
      </w:r>
      <w:bookmarkEnd w:id="110"/>
    </w:p>
    <w:p>
      <w:r>
        <w:rPr/>
        <w:t>UIDM-ISC, BDO's identity governance tool, provisions joiners, movers and leavers and certifies access. We propose option (a) of the Programme Alignment (open point IQ05): UIDM-ISC creates, deactivates and reactivates user accounts through a SCIM 2.0 Users interface published through Apigee X, and role (group profile) and data scope changes stay as BIBS access requests under four eyes. Every change applied from UIDM-ISC writes the access change log with source IGA and the UIDM-ISC request number, so the BRD-11 audit reports stay complete. BIBS also offers an aggregation export of accounts, roles and permissions for access certification. The SCIM interface is planned with the EIAM integration of Drop 0 and is listed under open point SEC-12.</w:t>
      </w:r>
    </w:p>
    <w:p>
      <w:pPr>
        <w:pStyle w:val="Heading2"/>
      </w:pPr>
      <w:bookmarkStart w:id="111" w:name="_Toc000111"/>
      <w:r>
        <w:rPr/>
        <w:t>4.3 Second factor</w:t>
      </w:r>
      <w:bookmarkEnd w:id="111"/>
    </w:p>
    <w:p>
      <w:pPr>
        <w:tabs>
          <w:tab w:pos="312" w:val="left"/>
        </w:tabs>
        <w:spacing w:after="40"/>
        <w:ind w:left="312" w:hanging="283"/>
      </w:pPr>
      <w:r>
        <w:rPr>
          <w:color w:val="004EA8"/>
        </w:rPr>
        <w:t>•</w:t>
        <w:tab/>
      </w:r>
      <w:r>
        <w:rPr/>
        <w:t>TOTP (RFC 6238, 6 digits, 30 seconds, one step of drift) with an authenticator app; a code is never accepted twice; a wrong code counts towards the lockout.</w:t>
      </w:r>
    </w:p>
    <w:p>
      <w:pPr>
        <w:tabs>
          <w:tab w:pos="312" w:val="left"/>
        </w:tabs>
        <w:spacing w:after="40"/>
        <w:ind w:left="312" w:hanging="283"/>
      </w:pPr>
      <w:r>
        <w:rPr>
          <w:color w:val="004EA8"/>
        </w:rPr>
        <w:t>•</w:t>
        <w:tab/>
      </w:r>
      <w:r>
        <w:rPr/>
        <w:t>Policy parameter MFA_POLICY: ALL, PRIVILEGED (roles of privilege level HIGH or ADMIN; delivered value) or OFF. A user who enrolled is always asked. With OIDC or SAML, EIAM's own MFA applies; BIBS can ask its own second factor as well.</w:t>
      </w:r>
    </w:p>
    <w:p>
      <w:pPr>
        <w:tabs>
          <w:tab w:pos="312" w:val="left"/>
        </w:tabs>
        <w:spacing w:after="40"/>
        <w:ind w:left="312" w:hanging="283"/>
      </w:pPr>
      <w:r>
        <w:rPr>
          <w:color w:val="004EA8"/>
        </w:rPr>
        <w:t>•</w:t>
        <w:tab/>
      </w:r>
      <w:r>
        <w:rPr/>
        <w:t>Enrolment at the first sign-in or on My Profile; ten single-use recovery codes stored as SHA-256 hashes; secrets encrypted with AES-256-GCM under a key from Secrets Manager, bound to the user.</w:t>
      </w:r>
    </w:p>
    <w:p>
      <w:pPr>
        <w:tabs>
          <w:tab w:pos="312" w:val="left"/>
        </w:tabs>
        <w:spacing w:after="40"/>
        <w:ind w:left="312" w:hanging="283"/>
      </w:pPr>
      <w:r>
        <w:rPr>
          <w:color w:val="004EA8"/>
        </w:rPr>
        <w:t>•</w:t>
        <w:tab/>
      </w:r>
      <w:r>
        <w:rPr/>
        <w:t>Remembered devices are off (MFA_REMEMBER_DEVICE_DAYS = 0).</w:t>
      </w:r>
    </w:p>
    <w:p>
      <w:pPr>
        <w:tabs>
          <w:tab w:pos="312" w:val="left"/>
        </w:tabs>
        <w:spacing w:after="120"/>
        <w:ind w:left="312" w:hanging="283"/>
      </w:pPr>
      <w:r>
        <w:rPr>
          <w:color w:val="004EA8"/>
        </w:rPr>
        <w:t>•</w:t>
        <w:tab/>
      </w:r>
      <w:r>
        <w:rPr/>
        <w:t>A lost authenticator is reset by a System Administrator and approved by a second administrator (never the requester); the reset removes the app, the codes and the devices and ends the user's sessions.</w:t>
      </w:r>
    </w:p>
    <w:p>
      <w:r>
        <w:rPr/>
        <w:t>Today only the System Administrator role carries privilege level ADMIN, so PRIVILEGED covers one role. We propose privilege level HIGH for the roles that change access, money or security (open point SEC-01).</w:t>
      </w:r>
    </w:p>
    <w:p>
      <w:pPr>
        <w:pStyle w:val="Heading2"/>
      </w:pPr>
      <w:bookmarkStart w:id="112" w:name="_Toc000112"/>
      <w:r>
        <w:rPr/>
        <w:t>4.4 Break-glass access</w:t>
      </w:r>
      <w:bookmarkEnd w:id="112"/>
    </w:p>
    <w:p>
      <w:pPr>
        <w:pStyle w:val="Caption"/>
        <w:keepNext/>
        <w:spacing w:after="60"/>
      </w:pPr>
      <w:r>
        <w:rPr>
          <w:b/>
          <w:i w:val="0"/>
        </w:rPr>
        <w:t xml:space="preserve">Table 7: </w:t>
      </w:r>
      <w:r>
        <w:rPr/>
        <w:t>Break-glass administrators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493"/>
        <w:gridCol w:w="7479"/>
      </w:tblGrid>
      <w:tr>
        <w:trPr>
          <w:tblHeader w:val="true"/>
          <w:cantSplit w:val="true"/>
        </w:trPr>
        <w:tc>
          <w:tcPr>
            <w:tcW w:type="dxa" w:w="2493"/>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7479"/>
            <w:shd w:val="clear" w:color="auto" w:fill="004EA8"/>
            <w:tcMar>
              <w:top w:w="50" w:type="dxa"/>
              <w:bottom w:w="50" w:type="dxa"/>
              <w:left w:w="90" w:type="dxa"/>
              <w:right w:w="90" w:type="dxa"/>
            </w:tcMar>
            <w:vAlign w:val="center"/>
          </w:tcPr>
          <w:p>
            <w:pPr>
              <w:pStyle w:val="BDOITableHeader"/>
            </w:pPr>
            <w:r>
              <w:rPr>
                <w:b/>
                <w:color w:val="FFFFFF"/>
                <w:sz w:val="18"/>
              </w:rPr>
              <w:t>Value</w:t>
            </w:r>
          </w:p>
        </w:tc>
      </w:tr>
      <w:tr>
        <w:trPr>
          <w:cantSplit w:val="true"/>
        </w:trPr>
        <w:tc>
          <w:tcPr>
            <w:tcW w:type="dxa" w:w="2493"/>
            <w:tcMar>
              <w:top w:w="50" w:type="dxa"/>
              <w:bottom w:w="50" w:type="dxa"/>
              <w:left w:w="90" w:type="dxa"/>
              <w:right w:w="90" w:type="dxa"/>
            </w:tcMar>
          </w:tcPr>
          <w:p>
            <w:pPr>
              <w:pStyle w:val="BDOITable"/>
            </w:pPr>
            <w:r>
              <w:rPr>
                <w:b/>
                <w:sz w:val="18"/>
              </w:rPr>
              <w:t>Who</w:t>
            </w:r>
          </w:p>
        </w:tc>
        <w:tc>
          <w:tcPr>
            <w:tcW w:type="dxa" w:w="7479"/>
            <w:tcMar>
              <w:top w:w="50" w:type="dxa"/>
              <w:bottom w:w="50" w:type="dxa"/>
              <w:left w:w="90" w:type="dxa"/>
              <w:right w:w="90" w:type="dxa"/>
            </w:tcMar>
          </w:tcPr>
          <w:p>
            <w:pPr>
              <w:pStyle w:val="BDOITable"/>
            </w:pPr>
            <w:r>
              <w:rPr>
                <w:sz w:val="18"/>
              </w:rPr>
              <w:t>Two named System Administrators of BDOI IT (proposal), listed in the deployment configuration; no shared account</w:t>
            </w:r>
          </w:p>
        </w:tc>
      </w:tr>
      <w:tr>
        <w:trPr>
          <w:cantSplit w:val="true"/>
        </w:trPr>
        <w:tc>
          <w:tcPr>
            <w:tcW w:type="dxa" w:w="2493"/>
            <w:tcMar>
              <w:top w:w="50" w:type="dxa"/>
              <w:bottom w:w="50" w:type="dxa"/>
              <w:left w:w="90" w:type="dxa"/>
              <w:right w:w="90" w:type="dxa"/>
            </w:tcMar>
            <w:shd w:val="clear" w:color="auto" w:fill="E5F5FF"/>
          </w:tcPr>
          <w:p>
            <w:pPr>
              <w:pStyle w:val="BDOITable"/>
            </w:pPr>
            <w:r>
              <w:rPr>
                <w:b/>
                <w:sz w:val="18"/>
              </w:rPr>
              <w:t>When</w:t>
            </w:r>
          </w:p>
        </w:tc>
        <w:tc>
          <w:tcPr>
            <w:tcW w:type="dxa" w:w="7479"/>
            <w:tcMar>
              <w:top w:w="50" w:type="dxa"/>
              <w:bottom w:w="50" w:type="dxa"/>
              <w:left w:w="90" w:type="dxa"/>
              <w:right w:w="90" w:type="dxa"/>
            </w:tcMar>
            <w:shd w:val="clear" w:color="auto" w:fill="E5F5FF"/>
          </w:tcPr>
          <w:p>
            <w:pPr>
              <w:pStyle w:val="BDOITable"/>
            </w:pPr>
            <w:r>
              <w:rPr>
                <w:sz w:val="18"/>
              </w:rPr>
              <w:t>EIAM or the network path to EIAM is unavailable, or a single sign-on configuration must be repaired</w:t>
            </w:r>
          </w:p>
        </w:tc>
      </w:tr>
      <w:tr>
        <w:trPr>
          <w:cantSplit w:val="true"/>
        </w:trPr>
        <w:tc>
          <w:tcPr>
            <w:tcW w:type="dxa" w:w="2493"/>
            <w:tcMar>
              <w:top w:w="50" w:type="dxa"/>
              <w:bottom w:w="50" w:type="dxa"/>
              <w:left w:w="90" w:type="dxa"/>
              <w:right w:w="90" w:type="dxa"/>
            </w:tcMar>
          </w:tcPr>
          <w:p>
            <w:pPr>
              <w:pStyle w:val="BDOITable"/>
            </w:pPr>
            <w:r>
              <w:rPr>
                <w:b/>
                <w:sz w:val="18"/>
              </w:rPr>
              <w:t>How</w:t>
            </w:r>
          </w:p>
        </w:tc>
        <w:tc>
          <w:tcPr>
            <w:tcW w:type="dxa" w:w="7479"/>
            <w:tcMar>
              <w:top w:w="50" w:type="dxa"/>
              <w:bottom w:w="50" w:type="dxa"/>
              <w:left w:w="90" w:type="dxa"/>
              <w:right w:w="90" w:type="dxa"/>
            </w:tcMar>
          </w:tcPr>
          <w:p>
            <w:pPr>
              <w:pStyle w:val="BDOITable"/>
            </w:pPr>
            <w:r>
              <w:rPr>
                <w:sz w:val="18"/>
              </w:rPr>
              <w:t>Local password (at least 10 characters, complexity, history of 8, maximum age 90 days) plus the BIBS second factor, always</w:t>
            </w:r>
          </w:p>
        </w:tc>
      </w:tr>
      <w:tr>
        <w:trPr>
          <w:cantSplit w:val="true"/>
        </w:trPr>
        <w:tc>
          <w:tcPr>
            <w:tcW w:type="dxa" w:w="2493"/>
            <w:tcMar>
              <w:top w:w="50" w:type="dxa"/>
              <w:bottom w:w="50" w:type="dxa"/>
              <w:left w:w="90" w:type="dxa"/>
              <w:right w:w="90" w:type="dxa"/>
            </w:tcMar>
            <w:shd w:val="clear" w:color="auto" w:fill="E5F5FF"/>
          </w:tcPr>
          <w:p>
            <w:pPr>
              <w:pStyle w:val="BDOITable"/>
            </w:pPr>
            <w:r>
              <w:rPr>
                <w:b/>
                <w:sz w:val="18"/>
              </w:rPr>
              <w:t>Control</w:t>
            </w:r>
          </w:p>
        </w:tc>
        <w:tc>
          <w:tcPr>
            <w:tcW w:type="dxa" w:w="7479"/>
            <w:tcMar>
              <w:top w:w="50" w:type="dxa"/>
              <w:bottom w:w="50" w:type="dxa"/>
              <w:left w:w="90" w:type="dxa"/>
              <w:right w:w="90" w:type="dxa"/>
            </w:tcMar>
            <w:shd w:val="clear" w:color="auto" w:fill="E5F5FF"/>
          </w:tcPr>
          <w:p>
            <w:pPr>
              <w:pStyle w:val="BDOITable"/>
            </w:pPr>
            <w:r>
              <w:rPr>
                <w:sz w:val="18"/>
              </w:rPr>
              <w:t>Every sign-in audited and alerted to BDOI Information Security; credentials kept in the BDOI privileged access vault; use reviewed within one working day; password changed after each use</w:t>
            </w:r>
          </w:p>
        </w:tc>
      </w:tr>
    </w:tbl>
    <w:p>
      <w:pPr>
        <w:pStyle w:val="BDOISpacer"/>
      </w:pPr>
    </w:p>
    <w:p>
      <w:pPr>
        <w:pStyle w:val="Heading2"/>
      </w:pPr>
      <w:bookmarkStart w:id="113" w:name="_Toc000113"/>
      <w:r>
        <w:rPr/>
        <w:t>4.5 Role-based access control</w:t>
      </w:r>
      <w:bookmarkEnd w:id="113"/>
    </w:p>
    <w:p>
      <w:pPr>
        <w:tabs>
          <w:tab w:pos="312" w:val="left"/>
        </w:tabs>
        <w:spacing w:after="40"/>
        <w:ind w:left="312" w:hanging="283"/>
      </w:pPr>
      <w:r>
        <w:rPr>
          <w:color w:val="004EA8"/>
        </w:rPr>
        <w:t>•</w:t>
        <w:tab/>
      </w:r>
      <w:r>
        <w:rPr/>
        <w:t xml:space="preserve">A </w:t>
      </w:r>
      <w:r>
        <w:rPr>
          <w:b/>
        </w:rPr>
        <w:t>permission</w:t>
      </w:r>
      <w:r>
        <w:rPr/>
        <w:t xml:space="preserve"> is one function (for example approve a disbursement voucher, maintain the chart of accounts). The catalogue holds about 300 permissions, each with its area and action class (view, create, amend, approve).</w:t>
      </w:r>
    </w:p>
    <w:p>
      <w:pPr>
        <w:tabs>
          <w:tab w:pos="312" w:val="left"/>
        </w:tabs>
        <w:spacing w:after="40"/>
        <w:ind w:left="312" w:hanging="283"/>
      </w:pPr>
      <w:r>
        <w:rPr>
          <w:color w:val="004EA8"/>
        </w:rPr>
        <w:t>•</w:t>
        <w:tab/>
      </w:r>
      <w:r>
        <w:rPr/>
        <w:t xml:space="preserve">A </w:t>
      </w:r>
      <w:r>
        <w:rPr>
          <w:b/>
        </w:rPr>
        <w:t>role</w:t>
      </w:r>
      <w:r>
        <w:rPr/>
        <w:t xml:space="preserve"> (group profile) is a bundle of permissions; a user can hold several roles. 94 roles are active in the schema of 8 October 2026, one per persona of the BRDs (for example MKT_AO, PROCESSING_TL, CASHIER, DISB_APPROVER, FRBS_HEAD, SCR_INVESTIGATOR, UAM_APPROVER).</w:t>
      </w:r>
    </w:p>
    <w:p>
      <w:pPr>
        <w:tabs>
          <w:tab w:pos="312" w:val="left"/>
        </w:tabs>
        <w:spacing w:after="40"/>
        <w:ind w:left="312" w:hanging="283"/>
      </w:pPr>
      <w:r>
        <w:rPr>
          <w:color w:val="004EA8"/>
        </w:rPr>
        <w:t>•</w:t>
        <w:tab/>
      </w:r>
      <w:r>
        <w:rPr/>
        <w:t>Roles have a privilege level (STANDARD, HIGH, ADMIN) that drives the second factor and the second approval of changes.</w:t>
      </w:r>
    </w:p>
    <w:p>
      <w:pPr>
        <w:tabs>
          <w:tab w:pos="312" w:val="left"/>
        </w:tabs>
        <w:spacing w:after="40"/>
        <w:ind w:left="312" w:hanging="283"/>
      </w:pPr>
      <w:r>
        <w:rPr>
          <w:color w:val="004EA8"/>
        </w:rPr>
        <w:t>•</w:t>
        <w:tab/>
      </w:r>
      <w:r>
        <w:rPr/>
        <w:t>Every controller method names its permission; the web client menus follow the same permissions, so a user never sees a function the server refuses.</w:t>
      </w:r>
    </w:p>
    <w:p>
      <w:pPr>
        <w:tabs>
          <w:tab w:pos="312" w:val="left"/>
        </w:tabs>
        <w:spacing w:after="120"/>
        <w:ind w:left="312" w:hanging="283"/>
      </w:pPr>
      <w:r>
        <w:rPr>
          <w:color w:val="004EA8"/>
        </w:rPr>
        <w:t>•</w:t>
        <w:tab/>
      </w:r>
      <w:r>
        <w:rPr/>
        <w:t>The insurer-only permissions (insurer policies, claims, reinsurance, reserves, consolidation, insurer taxes) are withdrawn from every role and refused by the User Access screens.</w:t>
      </w:r>
    </w:p>
    <w:p>
      <w:pPr>
        <w:pStyle w:val="Heading2"/>
      </w:pPr>
      <w:bookmarkStart w:id="114" w:name="_Toc000114"/>
      <w:r>
        <w:rPr/>
        <w:t>4.6 Data scope (attribute-based access control)</w:t>
      </w:r>
      <w:bookmarkEnd w:id="114"/>
    </w:p>
    <w:p>
      <w:r>
        <w:rPr/>
        <w:t>Each user has a data scope: "All companies" or a list of companies, each with all or some of its branches. The scope is checked centrally before the controller for every request that names a company or branch (query parameter, path variable or request body); lists, inboxes and pickers show only allowed companies. On 8 October 2026 all 747 request mappings that take a company are guarded, and the pipeline fails when a new one is not. A request outside the scope is refused with the code DATA_SCOPE_DENIED. A scope changes only through an approved access request or the audited emergency edit, only within the administrator's own scope, and never one's own.</w:t>
      </w:r>
    </w:p>
    <w:p>
      <w:r>
        <w:rPr/>
        <w:t>Records loaded by their identifier alone carry their company but the request does not name it; adding the check on load for those requests, module by module, is open point SEC-05.</w:t>
      </w:r>
    </w:p>
    <w:p>
      <w:pPr>
        <w:keepNext/>
        <w:spacing w:before="80" w:after="0"/>
        <w:jc w:val="center"/>
      </w:pPr>
      <w:r>
        <w:drawing>
          <wp:inline xmlns:a="http://schemas.openxmlformats.org/drawingml/2006/main" xmlns:pic="http://schemas.openxmlformats.org/drawingml/2006/picture">
            <wp:extent cx="4320000" cy="4750386"/>
            <wp:docPr id="5" name="Picture 5"/>
            <wp:cNvGraphicFramePr>
              <a:graphicFrameLocks noChangeAspect="1"/>
            </wp:cNvGraphicFramePr>
            <a:graphic>
              <a:graphicData uri="http://schemas.openxmlformats.org/drawingml/2006/picture">
                <pic:pic>
                  <pic:nvPicPr>
                    <pic:cNvPr id="0" name="sa_access_model_803.jpg"/>
                    <pic:cNvPicPr/>
                  </pic:nvPicPr>
                  <pic:blipFill>
                    <a:blip r:embed="rId25"/>
                    <a:stretch>
                      <a:fillRect/>
                    </a:stretch>
                  </pic:blipFill>
                  <pic:spPr>
                    <a:xfrm>
                      <a:off x="0" y="0"/>
                      <a:ext cx="4320000" cy="4750386"/>
                    </a:xfrm>
                    <a:prstGeom prst="rect"/>
                  </pic:spPr>
                </pic:pic>
              </a:graphicData>
            </a:graphic>
          </wp:inline>
        </w:drawing>
      </w:r>
    </w:p>
    <w:p>
      <w:pPr>
        <w:pStyle w:val="Caption"/>
        <w:jc w:val="center"/>
      </w:pPr>
      <w:r>
        <w:rPr>
          <w:b/>
          <w:i w:val="0"/>
        </w:rPr>
        <w:t xml:space="preserve">Figure 3: </w:t>
      </w:r>
      <w:r>
        <w:rPr/>
        <w:t>How BIBS decides an access</w:t>
      </w:r>
    </w:p>
    <w:p>
      <w:pPr>
        <w:pStyle w:val="Heading2"/>
      </w:pPr>
      <w:bookmarkStart w:id="115" w:name="_Toc000115"/>
      <w:r>
        <w:rPr/>
        <w:t>4.7 Second approval and segregation of duties</w:t>
      </w:r>
      <w:bookmarkEnd w:id="115"/>
    </w:p>
    <w:p>
      <w:pPr>
        <w:pStyle w:val="Caption"/>
        <w:keepNext/>
        <w:spacing w:after="60"/>
      </w:pPr>
      <w:r>
        <w:rPr>
          <w:b/>
          <w:i w:val="0"/>
        </w:rPr>
        <w:t xml:space="preserve">Table 8: </w:t>
      </w:r>
      <w:r>
        <w:rPr/>
        <w:t>Four-eyes controls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324"/>
        <w:gridCol w:w="6648"/>
      </w:tblGrid>
      <w:tr>
        <w:trPr>
          <w:tblHeader w:val="true"/>
          <w:cantSplit w:val="true"/>
        </w:trPr>
        <w:tc>
          <w:tcPr>
            <w:tcW w:type="dxa" w:w="3324"/>
            <w:shd w:val="clear" w:color="auto" w:fill="004EA8"/>
            <w:tcMar>
              <w:top w:w="50" w:type="dxa"/>
              <w:bottom w:w="50" w:type="dxa"/>
              <w:left w:w="90" w:type="dxa"/>
              <w:right w:w="90" w:type="dxa"/>
            </w:tcMar>
            <w:vAlign w:val="center"/>
          </w:tcPr>
          <w:p>
            <w:pPr>
              <w:pStyle w:val="BDOITableHeader"/>
            </w:pPr>
            <w:r>
              <w:rPr>
                <w:b/>
                <w:color w:val="FFFFFF"/>
                <w:sz w:val="18"/>
              </w:rPr>
              <w:t>Control</w:t>
            </w:r>
          </w:p>
        </w:tc>
        <w:tc>
          <w:tcPr>
            <w:tcW w:type="dxa" w:w="6648"/>
            <w:shd w:val="clear" w:color="auto" w:fill="004EA8"/>
            <w:tcMar>
              <w:top w:w="50" w:type="dxa"/>
              <w:bottom w:w="50" w:type="dxa"/>
              <w:left w:w="90" w:type="dxa"/>
              <w:right w:w="90" w:type="dxa"/>
            </w:tcMar>
            <w:vAlign w:val="center"/>
          </w:tcPr>
          <w:p>
            <w:pPr>
              <w:pStyle w:val="BDOITableHeader"/>
            </w:pPr>
            <w:r>
              <w:rPr>
                <w:b/>
                <w:color w:val="FFFFFF"/>
                <w:sz w:val="18"/>
              </w:rPr>
              <w:t>Rule</w:t>
            </w:r>
          </w:p>
        </w:tc>
      </w:tr>
      <w:tr>
        <w:trPr>
          <w:cantSplit w:val="true"/>
        </w:trPr>
        <w:tc>
          <w:tcPr>
            <w:tcW w:type="dxa" w:w="3324"/>
            <w:tcMar>
              <w:top w:w="50" w:type="dxa"/>
              <w:bottom w:w="50" w:type="dxa"/>
              <w:left w:w="90" w:type="dxa"/>
              <w:right w:w="90" w:type="dxa"/>
            </w:tcMar>
          </w:tcPr>
          <w:p>
            <w:pPr>
              <w:pStyle w:val="BDOITable"/>
            </w:pPr>
            <w:r>
              <w:rPr>
                <w:b/>
                <w:sz w:val="18"/>
              </w:rPr>
              <w:t>User access requests</w:t>
            </w:r>
          </w:p>
        </w:tc>
        <w:tc>
          <w:tcPr>
            <w:tcW w:type="dxa" w:w="6648"/>
            <w:tcMar>
              <w:top w:w="50" w:type="dxa"/>
              <w:bottom w:w="50" w:type="dxa"/>
              <w:left w:w="90" w:type="dxa"/>
              <w:right w:w="90" w:type="dxa"/>
            </w:tcMar>
          </w:tcPr>
          <w:p>
            <w:pPr>
              <w:pStyle w:val="BDOITable"/>
            </w:pPr>
            <w:r>
              <w:rPr>
                <w:sz w:val="18"/>
              </w:rPr>
              <w:t>The requester and the subject user never decide; the approver is chosen by the requester; a change to a high-privilege profile or submitted outside UAM_WORKING_HOURS (08:00-18:00, Monday to Friday) needs a second approver who differs from the first</w:t>
            </w:r>
          </w:p>
        </w:tc>
      </w:tr>
      <w:tr>
        <w:trPr>
          <w:cantSplit w:val="true"/>
        </w:trPr>
        <w:tc>
          <w:tcPr>
            <w:tcW w:type="dxa" w:w="3324"/>
            <w:tcMar>
              <w:top w:w="50" w:type="dxa"/>
              <w:bottom w:w="50" w:type="dxa"/>
              <w:left w:w="90" w:type="dxa"/>
              <w:right w:w="90" w:type="dxa"/>
            </w:tcMar>
            <w:shd w:val="clear" w:color="auto" w:fill="E5F5FF"/>
          </w:tcPr>
          <w:p>
            <w:pPr>
              <w:pStyle w:val="BDOITable"/>
            </w:pPr>
            <w:r>
              <w:rPr>
                <w:b/>
                <w:sz w:val="18"/>
              </w:rPr>
              <w:t>Group profile requests</w:t>
            </w:r>
          </w:p>
        </w:tc>
        <w:tc>
          <w:tcPr>
            <w:tcW w:type="dxa" w:w="6648"/>
            <w:tcMar>
              <w:top w:w="50" w:type="dxa"/>
              <w:bottom w:w="50" w:type="dxa"/>
              <w:left w:w="90" w:type="dxa"/>
              <w:right w:w="90" w:type="dxa"/>
            </w:tcMar>
            <w:shd w:val="clear" w:color="auto" w:fill="E5F5FF"/>
          </w:tcPr>
          <w:p>
            <w:pPr>
              <w:pStyle w:val="BDOITable"/>
            </w:pPr>
            <w:r>
              <w:rPr>
                <w:sz w:val="18"/>
              </w:rPr>
              <w:t>Implemented by the System Administrator, who is not the requester</w:t>
            </w:r>
          </w:p>
        </w:tc>
      </w:tr>
      <w:tr>
        <w:trPr>
          <w:cantSplit w:val="true"/>
        </w:trPr>
        <w:tc>
          <w:tcPr>
            <w:tcW w:type="dxa" w:w="3324"/>
            <w:tcMar>
              <w:top w:w="50" w:type="dxa"/>
              <w:bottom w:w="50" w:type="dxa"/>
              <w:left w:w="90" w:type="dxa"/>
              <w:right w:w="90" w:type="dxa"/>
            </w:tcMar>
          </w:tcPr>
          <w:p>
            <w:pPr>
              <w:pStyle w:val="BDOITable"/>
            </w:pPr>
            <w:r>
              <w:rPr>
                <w:b/>
                <w:sz w:val="18"/>
              </w:rPr>
              <w:t>Security parameters</w:t>
            </w:r>
          </w:p>
        </w:tc>
        <w:tc>
          <w:tcPr>
            <w:tcW w:type="dxa" w:w="6648"/>
            <w:tcMar>
              <w:top w:w="50" w:type="dxa"/>
              <w:bottom w:w="50" w:type="dxa"/>
              <w:left w:w="90" w:type="dxa"/>
              <w:right w:w="90" w:type="dxa"/>
            </w:tcMar>
          </w:tcPr>
          <w:p>
            <w:pPr>
              <w:pStyle w:val="BDOITable"/>
            </w:pPr>
            <w:r>
              <w:rPr>
                <w:sz w:val="18"/>
              </w:rPr>
              <w:t>A change (for example AUTH_MODE, MFA_POLICY, LOGIN_MAX_FAILED_ATTEMPTS) waits as a pending value until a holder of the approval permission other than the requester approves it</w:t>
            </w:r>
          </w:p>
        </w:tc>
      </w:tr>
      <w:tr>
        <w:trPr>
          <w:cantSplit w:val="true"/>
        </w:trPr>
        <w:tc>
          <w:tcPr>
            <w:tcW w:type="dxa" w:w="3324"/>
            <w:tcMar>
              <w:top w:w="50" w:type="dxa"/>
              <w:bottom w:w="50" w:type="dxa"/>
              <w:left w:w="90" w:type="dxa"/>
              <w:right w:w="90" w:type="dxa"/>
            </w:tcMar>
            <w:shd w:val="clear" w:color="auto" w:fill="E5F5FF"/>
          </w:tcPr>
          <w:p>
            <w:pPr>
              <w:pStyle w:val="BDOITable"/>
            </w:pPr>
            <w:r>
              <w:rPr>
                <w:b/>
                <w:sz w:val="18"/>
              </w:rPr>
              <w:t>Second-factor reset</w:t>
            </w:r>
          </w:p>
        </w:tc>
        <w:tc>
          <w:tcPr>
            <w:tcW w:type="dxa" w:w="6648"/>
            <w:tcMar>
              <w:top w:w="50" w:type="dxa"/>
              <w:bottom w:w="50" w:type="dxa"/>
              <w:left w:w="90" w:type="dxa"/>
              <w:right w:w="90" w:type="dxa"/>
            </w:tcMar>
            <w:shd w:val="clear" w:color="auto" w:fill="E5F5FF"/>
          </w:tcPr>
          <w:p>
            <w:pPr>
              <w:pStyle w:val="BDOITable"/>
            </w:pPr>
            <w:r>
              <w:rPr>
                <w:sz w:val="18"/>
              </w:rPr>
              <w:t>Requested by one administrator, approved by another</w:t>
            </w:r>
          </w:p>
        </w:tc>
      </w:tr>
      <w:tr>
        <w:trPr>
          <w:cantSplit w:val="true"/>
        </w:trPr>
        <w:tc>
          <w:tcPr>
            <w:tcW w:type="dxa" w:w="3324"/>
            <w:tcMar>
              <w:top w:w="50" w:type="dxa"/>
              <w:bottom w:w="50" w:type="dxa"/>
              <w:left w:w="90" w:type="dxa"/>
              <w:right w:w="90" w:type="dxa"/>
            </w:tcMar>
          </w:tcPr>
          <w:p>
            <w:pPr>
              <w:pStyle w:val="BDOITable"/>
            </w:pPr>
            <w:r>
              <w:rPr>
                <w:b/>
                <w:sz w:val="18"/>
              </w:rPr>
              <w:t>Master data and journals</w:t>
            </w:r>
          </w:p>
        </w:tc>
        <w:tc>
          <w:tcPr>
            <w:tcW w:type="dxa" w:w="6648"/>
            <w:tcMar>
              <w:top w:w="50" w:type="dxa"/>
              <w:bottom w:w="50" w:type="dxa"/>
              <w:left w:w="90" w:type="dxa"/>
              <w:right w:w="90" w:type="dxa"/>
            </w:tcMar>
          </w:tcPr>
          <w:p>
            <w:pPr>
              <w:pStyle w:val="BDOITable"/>
            </w:pPr>
            <w:r>
              <w:rPr>
                <w:sz w:val="18"/>
              </w:rPr>
              <w:t>Maker-checker on every master record; the maker never authorises his own journal or master record; administrators cannot post</w:t>
            </w:r>
          </w:p>
        </w:tc>
      </w:tr>
      <w:tr>
        <w:trPr>
          <w:cantSplit w:val="true"/>
        </w:trPr>
        <w:tc>
          <w:tcPr>
            <w:tcW w:type="dxa" w:w="3324"/>
            <w:tcMar>
              <w:top w:w="50" w:type="dxa"/>
              <w:bottom w:w="50" w:type="dxa"/>
              <w:left w:w="90" w:type="dxa"/>
              <w:right w:w="90" w:type="dxa"/>
            </w:tcMar>
            <w:shd w:val="clear" w:color="auto" w:fill="E5F5FF"/>
          </w:tcPr>
          <w:p>
            <w:pPr>
              <w:pStyle w:val="BDOITable"/>
            </w:pPr>
            <w:r>
              <w:rPr>
                <w:b/>
                <w:sz w:val="18"/>
              </w:rPr>
              <w:t>Authorisation limits</w:t>
            </w:r>
          </w:p>
        </w:tc>
        <w:tc>
          <w:tcPr>
            <w:tcW w:type="dxa" w:w="6648"/>
            <w:tcMar>
              <w:top w:w="50" w:type="dxa"/>
              <w:bottom w:w="50" w:type="dxa"/>
              <w:left w:w="90" w:type="dxa"/>
              <w:right w:w="90" w:type="dxa"/>
            </w:tcMar>
            <w:shd w:val="clear" w:color="auto" w:fill="E5F5FF"/>
          </w:tcPr>
          <w:p>
            <w:pPr>
              <w:pStyle w:val="BDOITable"/>
            </w:pPr>
            <w:r>
              <w:rPr>
                <w:sz w:val="18"/>
              </w:rPr>
              <w:t>Per user on journals, payables, disbursement vouchers and claims payments; the approval inbox hides items above the viewer's limit</w:t>
            </w:r>
          </w:p>
        </w:tc>
      </w:tr>
      <w:tr>
        <w:trPr>
          <w:cantSplit w:val="true"/>
        </w:trPr>
        <w:tc>
          <w:tcPr>
            <w:tcW w:type="dxa" w:w="3324"/>
            <w:tcMar>
              <w:top w:w="50" w:type="dxa"/>
              <w:bottom w:w="50" w:type="dxa"/>
              <w:left w:w="90" w:type="dxa"/>
              <w:right w:w="90" w:type="dxa"/>
            </w:tcMar>
          </w:tcPr>
          <w:p>
            <w:pPr>
              <w:pStyle w:val="BDOITable"/>
            </w:pPr>
            <w:r>
              <w:rPr>
                <w:b/>
                <w:sz w:val="18"/>
              </w:rPr>
              <w:t>Separation-of-duties rules</w:t>
            </w:r>
          </w:p>
        </w:tc>
        <w:tc>
          <w:tcPr>
            <w:tcW w:type="dxa" w:w="6648"/>
            <w:tcMar>
              <w:top w:w="50" w:type="dxa"/>
              <w:bottom w:w="50" w:type="dxa"/>
              <w:left w:w="90" w:type="dxa"/>
              <w:right w:w="90" w:type="dxa"/>
            </w:tcMar>
          </w:tcPr>
          <w:p>
            <w:pPr>
              <w:pStyle w:val="BDOITable"/>
            </w:pPr>
            <w:r>
              <w:rPr>
                <w:sz w:val="18"/>
              </w:rPr>
              <w:t>Pairs of group profiles that one user may not hold, maintained under maker-checker and checked on submission, on each bulk line and again at approval</w:t>
            </w:r>
          </w:p>
        </w:tc>
      </w:tr>
      <w:tr>
        <w:trPr>
          <w:cantSplit w:val="true"/>
        </w:trPr>
        <w:tc>
          <w:tcPr>
            <w:tcW w:type="dxa" w:w="3324"/>
            <w:tcMar>
              <w:top w:w="50" w:type="dxa"/>
              <w:bottom w:w="50" w:type="dxa"/>
              <w:left w:w="90" w:type="dxa"/>
              <w:right w:w="90" w:type="dxa"/>
            </w:tcMar>
            <w:shd w:val="clear" w:color="auto" w:fill="E5F5FF"/>
          </w:tcPr>
          <w:p>
            <w:pPr>
              <w:pStyle w:val="BDOITable"/>
            </w:pPr>
            <w:r>
              <w:rPr>
                <w:b/>
                <w:sz w:val="18"/>
              </w:rPr>
              <w:t>Legal hold</w:t>
            </w:r>
          </w:p>
        </w:tc>
        <w:tc>
          <w:tcPr>
            <w:tcW w:type="dxa" w:w="6648"/>
            <w:tcMar>
              <w:top w:w="50" w:type="dxa"/>
              <w:bottom w:w="50" w:type="dxa"/>
              <w:left w:w="90" w:type="dxa"/>
              <w:right w:w="90" w:type="dxa"/>
            </w:tcMar>
            <w:shd w:val="clear" w:color="auto" w:fill="E5F5FF"/>
          </w:tcPr>
          <w:p>
            <w:pPr>
              <w:pStyle w:val="BDOITable"/>
            </w:pPr>
            <w:r>
              <w:rPr>
                <w:sz w:val="18"/>
              </w:rPr>
              <w:t>Placing or releasing a hold on a record, and any governance bypass, is limited to the roles of the BDOI Delegation of Authority with approver and reason recorded</w:t>
            </w:r>
          </w:p>
        </w:tc>
      </w:tr>
    </w:tbl>
    <w:p>
      <w:pPr>
        <w:pStyle w:val="BDOISpacer"/>
      </w:pPr>
    </w:p>
    <w:p>
      <w:pPr>
        <w:pStyle w:val="Heading2"/>
      </w:pPr>
      <w:bookmarkStart w:id="116" w:name="_Toc000116"/>
      <w:r>
        <w:rPr/>
        <w:t>4.8 Account life cycle</w:t>
      </w:r>
      <w:bookmarkEnd w:id="116"/>
    </w:p>
    <w:p>
      <w:pPr>
        <w:tabs>
          <w:tab w:pos="312" w:val="left"/>
        </w:tabs>
        <w:spacing w:after="40"/>
        <w:ind w:left="312" w:hanging="283"/>
      </w:pPr>
      <w:r>
        <w:rPr>
          <w:color w:val="004EA8"/>
        </w:rPr>
        <w:t>•</w:t>
        <w:tab/>
      </w:r>
      <w:r>
        <w:rPr/>
        <w:t>Lockout after LOGIN_MAX_FAILED_ATTEMPTS (3) consecutive failures of password or code; unlock by an administrator.</w:t>
      </w:r>
    </w:p>
    <w:p>
      <w:pPr>
        <w:tabs>
          <w:tab w:pos="312" w:val="left"/>
        </w:tabs>
        <w:spacing w:after="40"/>
        <w:ind w:left="312" w:hanging="283"/>
      </w:pPr>
      <w:r>
        <w:rPr>
          <w:color w:val="004EA8"/>
        </w:rPr>
        <w:t>•</w:t>
        <w:tab/>
      </w:r>
      <w:r>
        <w:rPr/>
        <w:t>One message for a wrong password, a locked and a deactivated account ("Invalid user name or password"); the real reason is audited.</w:t>
      </w:r>
    </w:p>
    <w:p>
      <w:pPr>
        <w:tabs>
          <w:tab w:pos="312" w:val="left"/>
        </w:tabs>
        <w:spacing w:after="40"/>
        <w:ind w:left="312" w:hanging="283"/>
      </w:pPr>
      <w:r>
        <w:rPr>
          <w:color w:val="004EA8"/>
        </w:rPr>
        <w:t>•</w:t>
        <w:tab/>
      </w:r>
      <w:r>
        <w:rPr/>
        <w:t>Dormant accounts: a system deactivation request after UAM_DORMANT_DAYS (90) without sign-in, with notice 7 days before; System Administrators are exempt and reviewed quarterly.</w:t>
      </w:r>
    </w:p>
    <w:p>
      <w:pPr>
        <w:tabs>
          <w:tab w:pos="312" w:val="left"/>
        </w:tabs>
        <w:spacing w:after="40"/>
        <w:ind w:left="312" w:hanging="283"/>
      </w:pPr>
      <w:r>
        <w:rPr>
          <w:color w:val="004EA8"/>
        </w:rPr>
        <w:t>•</w:t>
        <w:tab/>
      </w:r>
      <w:r>
        <w:rPr/>
        <w:t>Deactivation ends every open session of the user at once.</w:t>
      </w:r>
    </w:p>
    <w:p>
      <w:pPr>
        <w:tabs>
          <w:tab w:pos="312" w:val="left"/>
        </w:tabs>
        <w:spacing w:after="120"/>
        <w:ind w:left="312" w:hanging="283"/>
      </w:pPr>
      <w:r>
        <w:rPr>
          <w:color w:val="004EA8"/>
        </w:rPr>
        <w:t>•</w:t>
        <w:tab/>
      </w:r>
      <w:r>
        <w:rPr/>
        <w:t>The initial administrator exists only on an empty installation, from a secret, and must change the password at the first sign-in.</w:t>
      </w:r>
    </w:p>
    <w:p>
      <w:pPr>
        <w:pStyle w:val="Heading1"/>
        <w:pageBreakBefore/>
        <w:pBdr>
          <w:bottom w:val="single" w:sz="4" w:space="4" w:color="99C1E7"/>
        </w:pBdr>
      </w:pPr>
      <w:bookmarkStart w:id="117" w:name="_Toc000117"/>
      <w:r>
        <w:rPr/>
        <w:t>5 Session management</w:t>
      </w:r>
      <w:bookmarkEnd w:id="117"/>
    </w:p>
    <w:p>
      <w:pPr>
        <w:pStyle w:val="Caption"/>
        <w:keepNext/>
        <w:spacing w:after="60"/>
      </w:pPr>
      <w:r>
        <w:rPr>
          <w:b/>
          <w:i w:val="0"/>
        </w:rPr>
        <w:t xml:space="preserve">Table 9: </w:t>
      </w:r>
      <w:r>
        <w:rPr/>
        <w:t>Session controls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991"/>
        <w:gridCol w:w="6981"/>
      </w:tblGrid>
      <w:tr>
        <w:trPr>
          <w:tblHeader w:val="true"/>
          <w:cantSplit w:val="true"/>
        </w:trPr>
        <w:tc>
          <w:tcPr>
            <w:tcW w:type="dxa" w:w="2992"/>
            <w:shd w:val="clear" w:color="auto" w:fill="004EA8"/>
            <w:tcMar>
              <w:top w:w="50" w:type="dxa"/>
              <w:bottom w:w="50" w:type="dxa"/>
              <w:left w:w="90" w:type="dxa"/>
              <w:right w:w="90" w:type="dxa"/>
            </w:tcMar>
            <w:vAlign w:val="center"/>
          </w:tcPr>
          <w:p>
            <w:pPr>
              <w:pStyle w:val="BDOITableHeader"/>
            </w:pPr>
            <w:r>
              <w:rPr>
                <w:b/>
                <w:color w:val="FFFFFF"/>
                <w:sz w:val="18"/>
              </w:rPr>
              <w:t>Control</w:t>
            </w:r>
          </w:p>
        </w:tc>
        <w:tc>
          <w:tcPr>
            <w:tcW w:type="dxa" w:w="6980"/>
            <w:shd w:val="clear" w:color="auto" w:fill="004EA8"/>
            <w:tcMar>
              <w:top w:w="50" w:type="dxa"/>
              <w:bottom w:w="50" w:type="dxa"/>
              <w:left w:w="90" w:type="dxa"/>
              <w:right w:w="90" w:type="dxa"/>
            </w:tcMar>
            <w:vAlign w:val="center"/>
          </w:tcPr>
          <w:p>
            <w:pPr>
              <w:pStyle w:val="BDOITableHeader"/>
            </w:pPr>
            <w:r>
              <w:rPr>
                <w:b/>
                <w:color w:val="FFFFFF"/>
                <w:sz w:val="18"/>
              </w:rPr>
              <w:t>Value</w:t>
            </w:r>
          </w:p>
        </w:tc>
      </w:tr>
      <w:tr>
        <w:trPr>
          <w:cantSplit w:val="true"/>
        </w:trPr>
        <w:tc>
          <w:tcPr>
            <w:tcW w:type="dxa" w:w="2992"/>
            <w:tcMar>
              <w:top w:w="50" w:type="dxa"/>
              <w:bottom w:w="50" w:type="dxa"/>
              <w:left w:w="90" w:type="dxa"/>
              <w:right w:w="90" w:type="dxa"/>
            </w:tcMar>
          </w:tcPr>
          <w:p>
            <w:pPr>
              <w:pStyle w:val="BDOITable"/>
            </w:pPr>
            <w:r>
              <w:rPr>
                <w:b/>
                <w:sz w:val="18"/>
              </w:rPr>
              <w:t>Access token</w:t>
            </w:r>
          </w:p>
        </w:tc>
        <w:tc>
          <w:tcPr>
            <w:tcW w:type="dxa" w:w="6980"/>
            <w:tcMar>
              <w:top w:w="50" w:type="dxa"/>
              <w:bottom w:w="50" w:type="dxa"/>
              <w:left w:w="90" w:type="dxa"/>
              <w:right w:w="90" w:type="dxa"/>
            </w:tcMar>
          </w:tcPr>
          <w:p>
            <w:pPr>
              <w:pStyle w:val="BDOITable"/>
            </w:pPr>
            <w:r>
              <w:rPr>
                <w:sz w:val="18"/>
              </w:rPr>
              <w:t>Signed (HMAC-SHA256) with issuer, expiry, token id and session id; life ACCESS_TOKEN_MINUTES = 15; kept in the browser's session storage only</w:t>
            </w:r>
          </w:p>
        </w:tc>
      </w:tr>
      <w:tr>
        <w:trPr>
          <w:cantSplit w:val="true"/>
        </w:trPr>
        <w:tc>
          <w:tcPr>
            <w:tcW w:type="dxa" w:w="2992"/>
            <w:tcMar>
              <w:top w:w="50" w:type="dxa"/>
              <w:bottom w:w="50" w:type="dxa"/>
              <w:left w:w="90" w:type="dxa"/>
              <w:right w:w="90" w:type="dxa"/>
            </w:tcMar>
            <w:shd w:val="clear" w:color="auto" w:fill="E5F5FF"/>
          </w:tcPr>
          <w:p>
            <w:pPr>
              <w:pStyle w:val="BDOITable"/>
            </w:pPr>
            <w:r>
              <w:rPr>
                <w:b/>
                <w:sz w:val="18"/>
              </w:rPr>
              <w:t>Refresh token</w:t>
            </w:r>
          </w:p>
        </w:tc>
        <w:tc>
          <w:tcPr>
            <w:tcW w:type="dxa" w:w="6980"/>
            <w:tcMar>
              <w:top w:w="50" w:type="dxa"/>
              <w:bottom w:w="50" w:type="dxa"/>
              <w:left w:w="90" w:type="dxa"/>
              <w:right w:w="90" w:type="dxa"/>
            </w:tcMar>
            <w:shd w:val="clear" w:color="auto" w:fill="E5F5FF"/>
          </w:tcPr>
          <w:p>
            <w:pPr>
              <w:pStyle w:val="BDOITable"/>
            </w:pPr>
            <w:r>
              <w:rPr>
                <w:sz w:val="18"/>
              </w:rPr>
              <w:t>256-bit random value in an HttpOnly, Secure, SameSite=Strict cookie limited to the sign-in path; replaced on every renewal; only its SHA-256 is stored; a replaced token presented after 30 seconds ends the session (token reuse)</w:t>
            </w:r>
          </w:p>
        </w:tc>
      </w:tr>
      <w:tr>
        <w:trPr>
          <w:cantSplit w:val="true"/>
        </w:trPr>
        <w:tc>
          <w:tcPr>
            <w:tcW w:type="dxa" w:w="2992"/>
            <w:tcMar>
              <w:top w:w="50" w:type="dxa"/>
              <w:bottom w:w="50" w:type="dxa"/>
              <w:left w:w="90" w:type="dxa"/>
              <w:right w:w="90" w:type="dxa"/>
            </w:tcMar>
          </w:tcPr>
          <w:p>
            <w:pPr>
              <w:pStyle w:val="BDOITable"/>
            </w:pPr>
            <w:r>
              <w:rPr>
                <w:b/>
                <w:sz w:val="18"/>
              </w:rPr>
              <w:t>Idle time-out</w:t>
            </w:r>
          </w:p>
        </w:tc>
        <w:tc>
          <w:tcPr>
            <w:tcW w:type="dxa" w:w="6980"/>
            <w:tcMar>
              <w:top w:w="50" w:type="dxa"/>
              <w:bottom w:w="50" w:type="dxa"/>
              <w:left w:w="90" w:type="dxa"/>
              <w:right w:w="90" w:type="dxa"/>
            </w:tcMar>
          </w:tcPr>
          <w:p>
            <w:pPr>
              <w:pStyle w:val="BDOITable"/>
            </w:pPr>
            <w:r>
              <w:rPr>
                <w:sz w:val="18"/>
              </w:rPr>
              <w:t>Warning after SESSION_IDLE_WARNING_MINUTES = 15; sign-out after SESSION_TIMEOUT_MINUTES = 30 without activity; renewal is not activity</w:t>
            </w:r>
          </w:p>
        </w:tc>
      </w:tr>
      <w:tr>
        <w:trPr>
          <w:cantSplit w:val="true"/>
        </w:trPr>
        <w:tc>
          <w:tcPr>
            <w:tcW w:type="dxa" w:w="2992"/>
            <w:tcMar>
              <w:top w:w="50" w:type="dxa"/>
              <w:bottom w:w="50" w:type="dxa"/>
              <w:left w:w="90" w:type="dxa"/>
              <w:right w:w="90" w:type="dxa"/>
            </w:tcMar>
            <w:shd w:val="clear" w:color="auto" w:fill="E5F5FF"/>
          </w:tcPr>
          <w:p>
            <w:pPr>
              <w:pStyle w:val="BDOITable"/>
            </w:pPr>
            <w:r>
              <w:rPr>
                <w:b/>
                <w:sz w:val="18"/>
              </w:rPr>
              <w:t>Absolute end</w:t>
            </w:r>
          </w:p>
        </w:tc>
        <w:tc>
          <w:tcPr>
            <w:tcW w:type="dxa" w:w="6980"/>
            <w:tcMar>
              <w:top w:w="50" w:type="dxa"/>
              <w:bottom w:w="50" w:type="dxa"/>
              <w:left w:w="90" w:type="dxa"/>
              <w:right w:w="90" w:type="dxa"/>
            </w:tcMar>
            <w:shd w:val="clear" w:color="auto" w:fill="E5F5FF"/>
          </w:tcPr>
          <w:p>
            <w:pPr>
              <w:pStyle w:val="BDOITable"/>
            </w:pPr>
            <w:r>
              <w:rPr>
                <w:sz w:val="18"/>
              </w:rPr>
              <w:t>8 hours after sign-in, with a warning 30 minutes before</w:t>
            </w:r>
          </w:p>
        </w:tc>
      </w:tr>
      <w:tr>
        <w:trPr>
          <w:cantSplit w:val="true"/>
        </w:trPr>
        <w:tc>
          <w:tcPr>
            <w:tcW w:type="dxa" w:w="2992"/>
            <w:tcMar>
              <w:top w:w="50" w:type="dxa"/>
              <w:bottom w:w="50" w:type="dxa"/>
              <w:left w:w="90" w:type="dxa"/>
              <w:right w:w="90" w:type="dxa"/>
            </w:tcMar>
          </w:tcPr>
          <w:p>
            <w:pPr>
              <w:pStyle w:val="BDOITable"/>
            </w:pPr>
            <w:r>
              <w:rPr>
                <w:b/>
                <w:sz w:val="18"/>
              </w:rPr>
              <w:t>Sign-out</w:t>
            </w:r>
          </w:p>
        </w:tc>
        <w:tc>
          <w:tcPr>
            <w:tcW w:type="dxa" w:w="6980"/>
            <w:tcMar>
              <w:top w:w="50" w:type="dxa"/>
              <w:bottom w:w="50" w:type="dxa"/>
              <w:left w:w="90" w:type="dxa"/>
              <w:right w:w="90" w:type="dxa"/>
            </w:tcMar>
          </w:tcPr>
          <w:p>
            <w:pPr>
              <w:pStyle w:val="BDOITable"/>
            </w:pPr>
            <w:r>
              <w:rPr>
                <w:sz w:val="18"/>
              </w:rPr>
              <w:t>Ends the session in the session log and the token denylist at once; clears the browser storage</w:t>
            </w:r>
          </w:p>
        </w:tc>
      </w:tr>
      <w:tr>
        <w:trPr>
          <w:cantSplit w:val="true"/>
        </w:trPr>
        <w:tc>
          <w:tcPr>
            <w:tcW w:type="dxa" w:w="2992"/>
            <w:tcMar>
              <w:top w:w="50" w:type="dxa"/>
              <w:bottom w:w="50" w:type="dxa"/>
              <w:left w:w="90" w:type="dxa"/>
              <w:right w:w="90" w:type="dxa"/>
            </w:tcMar>
            <w:shd w:val="clear" w:color="auto" w:fill="E5F5FF"/>
          </w:tcPr>
          <w:p>
            <w:pPr>
              <w:pStyle w:val="BDOITable"/>
            </w:pPr>
            <w:r>
              <w:rPr>
                <w:b/>
                <w:sz w:val="18"/>
              </w:rPr>
              <w:t>Server-side check</w:t>
            </w:r>
          </w:p>
        </w:tc>
        <w:tc>
          <w:tcPr>
            <w:tcW w:type="dxa" w:w="6980"/>
            <w:tcMar>
              <w:top w:w="50" w:type="dxa"/>
              <w:bottom w:w="50" w:type="dxa"/>
              <w:left w:w="90" w:type="dxa"/>
              <w:right w:w="90" w:type="dxa"/>
            </w:tcMar>
            <w:shd w:val="clear" w:color="auto" w:fill="E5F5FF"/>
          </w:tcPr>
          <w:p>
            <w:pPr>
              <w:pStyle w:val="BDOITable"/>
            </w:pPr>
            <w:r>
              <w:rPr>
                <w:sz w:val="18"/>
              </w:rPr>
              <w:t>Every request checks the session in the session log (cached in Valkey); fail closed when the store cannot be read</w:t>
            </w:r>
          </w:p>
        </w:tc>
      </w:tr>
      <w:tr>
        <w:trPr>
          <w:cantSplit w:val="true"/>
        </w:trPr>
        <w:tc>
          <w:tcPr>
            <w:tcW w:type="dxa" w:w="2992"/>
            <w:tcMar>
              <w:top w:w="50" w:type="dxa"/>
              <w:bottom w:w="50" w:type="dxa"/>
              <w:left w:w="90" w:type="dxa"/>
              <w:right w:w="90" w:type="dxa"/>
            </w:tcMar>
          </w:tcPr>
          <w:p>
            <w:pPr>
              <w:pStyle w:val="BDOITable"/>
            </w:pPr>
            <w:r>
              <w:rPr>
                <w:b/>
                <w:sz w:val="18"/>
              </w:rPr>
              <w:t>Concurrent sessions</w:t>
            </w:r>
          </w:p>
        </w:tc>
        <w:tc>
          <w:tcPr>
            <w:tcW w:type="dxa" w:w="6980"/>
            <w:tcMar>
              <w:top w:w="50" w:type="dxa"/>
              <w:bottom w:w="50" w:type="dxa"/>
              <w:left w:w="90" w:type="dxa"/>
              <w:right w:w="90" w:type="dxa"/>
            </w:tcMar>
          </w:tcPr>
          <w:p>
            <w:pPr>
              <w:pStyle w:val="BDOITable"/>
            </w:pPr>
            <w:r>
              <w:rPr>
                <w:sz w:val="18"/>
              </w:rPr>
              <w:t>Visible to administrators (users online, session log); administrators can end them</w:t>
            </w:r>
          </w:p>
        </w:tc>
      </w:tr>
      <w:tr>
        <w:trPr>
          <w:cantSplit w:val="true"/>
        </w:trPr>
        <w:tc>
          <w:tcPr>
            <w:tcW w:type="dxa" w:w="2992"/>
            <w:tcMar>
              <w:top w:w="50" w:type="dxa"/>
              <w:bottom w:w="50" w:type="dxa"/>
              <w:left w:w="90" w:type="dxa"/>
              <w:right w:w="90" w:type="dxa"/>
            </w:tcMar>
            <w:shd w:val="clear" w:color="auto" w:fill="E5F5FF"/>
          </w:tcPr>
          <w:p>
            <w:pPr>
              <w:pStyle w:val="BDOITable"/>
            </w:pPr>
            <w:r>
              <w:rPr>
                <w:b/>
                <w:sz w:val="18"/>
              </w:rPr>
              <w:t>CSRF</w:t>
            </w:r>
          </w:p>
        </w:tc>
        <w:tc>
          <w:tcPr>
            <w:tcW w:type="dxa" w:w="6980"/>
            <w:tcMar>
              <w:top w:w="50" w:type="dxa"/>
              <w:bottom w:w="50" w:type="dxa"/>
              <w:left w:w="90" w:type="dxa"/>
              <w:right w:w="90" w:type="dxa"/>
            </w:tcMar>
            <w:shd w:val="clear" w:color="auto" w:fill="E5F5FF"/>
          </w:tcPr>
          <w:p>
            <w:pPr>
              <w:pStyle w:val="BDOITable"/>
            </w:pPr>
            <w:r>
              <w:rPr>
                <w:sz w:val="18"/>
              </w:rPr>
              <w:t>User APIs authenticate by the Authorization header, which browsers never send on their own; the renewal call needs the SameSite=Strict cookie and a custom request header</w:t>
            </w:r>
          </w:p>
        </w:tc>
      </w:tr>
    </w:tbl>
    <w:p>
      <w:pPr>
        <w:pStyle w:val="BDOISpacer"/>
      </w:pPr>
    </w:p>
    <w:p>
      <w:r>
        <w:rPr/>
        <w:t>Open point SEC-03 adds a user notice after a password change or a new device, the option to sign out all other sessions after a password change, and the user's own session list on My Profile.</w:t>
      </w:r>
    </w:p>
    <w:p>
      <w:pPr>
        <w:pStyle w:val="Heading1"/>
        <w:pageBreakBefore/>
        <w:pBdr>
          <w:bottom w:val="single" w:sz="4" w:space="4" w:color="99C1E7"/>
        </w:pBdr>
      </w:pPr>
      <w:bookmarkStart w:id="118" w:name="_Toc000118"/>
      <w:r>
        <w:rPr/>
        <w:t>6 Cryptography, secrets and keys</w:t>
      </w:r>
      <w:bookmarkEnd w:id="118"/>
    </w:p>
    <w:p>
      <w:pPr>
        <w:pStyle w:val="Heading2"/>
      </w:pPr>
      <w:bookmarkStart w:id="119" w:name="_Toc000119"/>
      <w:r>
        <w:rPr/>
        <w:t>6.1 Encryption in transit</w:t>
      </w:r>
      <w:bookmarkEnd w:id="119"/>
    </w:p>
    <w:p>
      <w:pPr>
        <w:pStyle w:val="Caption"/>
        <w:keepNext/>
        <w:spacing w:after="60"/>
      </w:pPr>
      <w:r>
        <w:rPr>
          <w:b/>
          <w:i w:val="0"/>
        </w:rPr>
        <w:t xml:space="preserve">Table 10: </w:t>
      </w:r>
      <w:r>
        <w:rPr/>
        <w:t>Encryption in transit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324"/>
        <w:gridCol w:w="6648"/>
      </w:tblGrid>
      <w:tr>
        <w:trPr>
          <w:tblHeader w:val="true"/>
          <w:cantSplit w:val="true"/>
        </w:trPr>
        <w:tc>
          <w:tcPr>
            <w:tcW w:type="dxa" w:w="3324"/>
            <w:shd w:val="clear" w:color="auto" w:fill="004EA8"/>
            <w:tcMar>
              <w:top w:w="50" w:type="dxa"/>
              <w:bottom w:w="50" w:type="dxa"/>
              <w:left w:w="90" w:type="dxa"/>
              <w:right w:w="90" w:type="dxa"/>
            </w:tcMar>
            <w:vAlign w:val="center"/>
          </w:tcPr>
          <w:p>
            <w:pPr>
              <w:pStyle w:val="BDOITableHeader"/>
            </w:pPr>
            <w:r>
              <w:rPr>
                <w:b/>
                <w:color w:val="FFFFFF"/>
                <w:sz w:val="18"/>
              </w:rPr>
              <w:t>Hop</w:t>
            </w:r>
          </w:p>
        </w:tc>
        <w:tc>
          <w:tcPr>
            <w:tcW w:type="dxa" w:w="6648"/>
            <w:shd w:val="clear" w:color="auto" w:fill="004EA8"/>
            <w:tcMar>
              <w:top w:w="50" w:type="dxa"/>
              <w:bottom w:w="50" w:type="dxa"/>
              <w:left w:w="90" w:type="dxa"/>
              <w:right w:w="90" w:type="dxa"/>
            </w:tcMar>
            <w:vAlign w:val="center"/>
          </w:tcPr>
          <w:p>
            <w:pPr>
              <w:pStyle w:val="BDOITableHeader"/>
            </w:pPr>
            <w:r>
              <w:rPr>
                <w:b/>
                <w:color w:val="FFFFFF"/>
                <w:sz w:val="18"/>
              </w:rPr>
              <w:t>Control</w:t>
            </w:r>
          </w:p>
        </w:tc>
      </w:tr>
      <w:tr>
        <w:trPr>
          <w:cantSplit w:val="true"/>
        </w:trPr>
        <w:tc>
          <w:tcPr>
            <w:tcW w:type="dxa" w:w="3324"/>
            <w:tcMar>
              <w:top w:w="50" w:type="dxa"/>
              <w:bottom w:w="50" w:type="dxa"/>
              <w:left w:w="90" w:type="dxa"/>
              <w:right w:w="90" w:type="dxa"/>
            </w:tcMar>
          </w:tcPr>
          <w:p>
            <w:pPr>
              <w:pStyle w:val="BDOITable"/>
            </w:pPr>
            <w:r>
              <w:rPr>
                <w:b/>
                <w:sz w:val="18"/>
              </w:rPr>
              <w:t>Browser - load balancer</w:t>
            </w:r>
          </w:p>
        </w:tc>
        <w:tc>
          <w:tcPr>
            <w:tcW w:type="dxa" w:w="6648"/>
            <w:tcMar>
              <w:top w:w="50" w:type="dxa"/>
              <w:bottom w:w="50" w:type="dxa"/>
              <w:left w:w="90" w:type="dxa"/>
              <w:right w:w="90" w:type="dxa"/>
            </w:tcMar>
          </w:tcPr>
          <w:p>
            <w:pPr>
              <w:pStyle w:val="BDOITable"/>
            </w:pPr>
            <w:r>
              <w:rPr>
                <w:sz w:val="18"/>
              </w:rPr>
              <w:t>HTTPS 443 only, certificate of the BDO domain (BDO PKI or ACM), policy TLS 1.3 / 1.2 (ELBSecurityPolicy-TLS13-1-2-2021-06); HSTS one year with sub-domains</w:t>
            </w:r>
          </w:p>
        </w:tc>
      </w:tr>
      <w:tr>
        <w:trPr>
          <w:cantSplit w:val="true"/>
        </w:trPr>
        <w:tc>
          <w:tcPr>
            <w:tcW w:type="dxa" w:w="3324"/>
            <w:tcMar>
              <w:top w:w="50" w:type="dxa"/>
              <w:bottom w:w="50" w:type="dxa"/>
              <w:left w:w="90" w:type="dxa"/>
              <w:right w:w="90" w:type="dxa"/>
            </w:tcMar>
            <w:shd w:val="clear" w:color="auto" w:fill="E5F5FF"/>
          </w:tcPr>
          <w:p>
            <w:pPr>
              <w:pStyle w:val="BDOITable"/>
            </w:pPr>
            <w:r>
              <w:rPr>
                <w:b/>
                <w:sz w:val="18"/>
              </w:rPr>
              <w:t>Load balancer and Gateway - pods</w:t>
            </w:r>
          </w:p>
        </w:tc>
        <w:tc>
          <w:tcPr>
            <w:tcW w:type="dxa" w:w="6648"/>
            <w:tcMar>
              <w:top w:w="50" w:type="dxa"/>
              <w:bottom w:w="50" w:type="dxa"/>
              <w:left w:w="90" w:type="dxa"/>
              <w:right w:w="90" w:type="dxa"/>
            </w:tcMar>
            <w:shd w:val="clear" w:color="auto" w:fill="E5F5FF"/>
          </w:tcPr>
          <w:p>
            <w:pPr>
              <w:pStyle w:val="BDOITable"/>
            </w:pPr>
            <w:r>
              <w:rPr>
                <w:sz w:val="18"/>
              </w:rPr>
              <w:t>HTTPS on 8443 with certificates from AWS Private CA through cert-manager (90 days, renewed 15 days before expiry, new key each time)</w:t>
            </w:r>
          </w:p>
        </w:tc>
      </w:tr>
      <w:tr>
        <w:trPr>
          <w:cantSplit w:val="true"/>
        </w:trPr>
        <w:tc>
          <w:tcPr>
            <w:tcW w:type="dxa" w:w="3324"/>
            <w:tcMar>
              <w:top w:w="50" w:type="dxa"/>
              <w:bottom w:w="50" w:type="dxa"/>
              <w:left w:w="90" w:type="dxa"/>
              <w:right w:w="90" w:type="dxa"/>
            </w:tcMar>
          </w:tcPr>
          <w:p>
            <w:pPr>
              <w:pStyle w:val="BDOITable"/>
            </w:pPr>
            <w:r>
              <w:rPr>
                <w:b/>
                <w:sz w:val="18"/>
              </w:rPr>
              <w:t>Backend - PostgreSQL</w:t>
            </w:r>
          </w:p>
        </w:tc>
        <w:tc>
          <w:tcPr>
            <w:tcW w:type="dxa" w:w="6648"/>
            <w:tcMar>
              <w:top w:w="50" w:type="dxa"/>
              <w:bottom w:w="50" w:type="dxa"/>
              <w:left w:w="90" w:type="dxa"/>
              <w:right w:w="90" w:type="dxa"/>
            </w:tcMar>
          </w:tcPr>
          <w:p>
            <w:pPr>
              <w:pStyle w:val="BDOITable"/>
            </w:pPr>
            <w:r>
              <w:rPr>
                <w:sz w:val="18"/>
              </w:rPr>
              <w:t>sslmode verify-full with the RDS CA bundle; the database forces TLS</w:t>
            </w:r>
          </w:p>
        </w:tc>
      </w:tr>
      <w:tr>
        <w:trPr>
          <w:cantSplit w:val="true"/>
        </w:trPr>
        <w:tc>
          <w:tcPr>
            <w:tcW w:type="dxa" w:w="3324"/>
            <w:tcMar>
              <w:top w:w="50" w:type="dxa"/>
              <w:bottom w:w="50" w:type="dxa"/>
              <w:left w:w="90" w:type="dxa"/>
              <w:right w:w="90" w:type="dxa"/>
            </w:tcMar>
            <w:shd w:val="clear" w:color="auto" w:fill="E5F5FF"/>
          </w:tcPr>
          <w:p>
            <w:pPr>
              <w:pStyle w:val="BDOITable"/>
            </w:pPr>
            <w:r>
              <w:rPr>
                <w:b/>
                <w:sz w:val="18"/>
              </w:rPr>
              <w:t>Backend - Valkey 8</w:t>
            </w:r>
          </w:p>
        </w:tc>
        <w:tc>
          <w:tcPr>
            <w:tcW w:type="dxa" w:w="6648"/>
            <w:tcMar>
              <w:top w:w="50" w:type="dxa"/>
              <w:bottom w:w="50" w:type="dxa"/>
              <w:left w:w="90" w:type="dxa"/>
              <w:right w:w="90" w:type="dxa"/>
            </w:tcMar>
            <w:shd w:val="clear" w:color="auto" w:fill="E5F5FF"/>
          </w:tcPr>
          <w:p>
            <w:pPr>
              <w:pStyle w:val="BDOITable"/>
            </w:pPr>
            <w:r>
              <w:rPr>
                <w:sz w:val="18"/>
              </w:rPr>
              <w:t>TLS with an ACL user</w:t>
            </w:r>
          </w:p>
        </w:tc>
      </w:tr>
      <w:tr>
        <w:trPr>
          <w:cantSplit w:val="true"/>
        </w:trPr>
        <w:tc>
          <w:tcPr>
            <w:tcW w:type="dxa" w:w="3324"/>
            <w:tcMar>
              <w:top w:w="50" w:type="dxa"/>
              <w:bottom w:w="50" w:type="dxa"/>
              <w:left w:w="90" w:type="dxa"/>
              <w:right w:w="90" w:type="dxa"/>
            </w:tcMar>
          </w:tcPr>
          <w:p>
            <w:pPr>
              <w:pStyle w:val="BDOITable"/>
            </w:pPr>
            <w:r>
              <w:rPr>
                <w:b/>
                <w:sz w:val="18"/>
              </w:rPr>
              <w:t>Backend - Kafka 3.9 (MSK)</w:t>
            </w:r>
          </w:p>
        </w:tc>
        <w:tc>
          <w:tcPr>
            <w:tcW w:type="dxa" w:w="6648"/>
            <w:tcMar>
              <w:top w:w="50" w:type="dxa"/>
              <w:bottom w:w="50" w:type="dxa"/>
              <w:left w:w="90" w:type="dxa"/>
              <w:right w:w="90" w:type="dxa"/>
            </w:tcMar>
          </w:tcPr>
          <w:p>
            <w:pPr>
              <w:pStyle w:val="BDOITable"/>
            </w:pPr>
            <w:r>
              <w:rPr>
                <w:sz w:val="18"/>
              </w:rPr>
              <w:t>SASL_SSL with SCRAM-SHA-512 or IAM; plaintext listeners disabled</w:t>
            </w:r>
          </w:p>
        </w:tc>
      </w:tr>
      <w:tr>
        <w:trPr>
          <w:cantSplit w:val="true"/>
        </w:trPr>
        <w:tc>
          <w:tcPr>
            <w:tcW w:type="dxa" w:w="3324"/>
            <w:tcMar>
              <w:top w:w="50" w:type="dxa"/>
              <w:bottom w:w="50" w:type="dxa"/>
              <w:left w:w="90" w:type="dxa"/>
              <w:right w:w="90" w:type="dxa"/>
            </w:tcMar>
            <w:shd w:val="clear" w:color="auto" w:fill="E5F5FF"/>
          </w:tcPr>
          <w:p>
            <w:pPr>
              <w:pStyle w:val="BDOITable"/>
            </w:pPr>
            <w:r>
              <w:rPr>
                <w:b/>
                <w:sz w:val="18"/>
              </w:rPr>
              <w:t>Backend - S3, KMS, STS, Secrets Manager</w:t>
            </w:r>
          </w:p>
        </w:tc>
        <w:tc>
          <w:tcPr>
            <w:tcW w:type="dxa" w:w="6648"/>
            <w:tcMar>
              <w:top w:w="50" w:type="dxa"/>
              <w:bottom w:w="50" w:type="dxa"/>
              <w:left w:w="90" w:type="dxa"/>
              <w:right w:w="90" w:type="dxa"/>
            </w:tcMar>
            <w:shd w:val="clear" w:color="auto" w:fill="E5F5FF"/>
          </w:tcPr>
          <w:p>
            <w:pPr>
              <w:pStyle w:val="BDOITable"/>
            </w:pPr>
            <w:r>
              <w:rPr>
                <w:sz w:val="18"/>
              </w:rPr>
              <w:t>private VPC connections over TLS; bucket policies deny non-TLS requests</w:t>
            </w:r>
          </w:p>
        </w:tc>
      </w:tr>
      <w:tr>
        <w:trPr>
          <w:cantSplit w:val="true"/>
        </w:trPr>
        <w:tc>
          <w:tcPr>
            <w:tcW w:type="dxa" w:w="3324"/>
            <w:tcMar>
              <w:top w:w="50" w:type="dxa"/>
              <w:bottom w:w="50" w:type="dxa"/>
              <w:left w:w="90" w:type="dxa"/>
              <w:right w:w="90" w:type="dxa"/>
            </w:tcMar>
          </w:tcPr>
          <w:p>
            <w:pPr>
              <w:pStyle w:val="BDOITable"/>
            </w:pPr>
            <w:r>
              <w:rPr>
                <w:b/>
                <w:sz w:val="18"/>
              </w:rPr>
              <w:t>Backend - BDO systems</w:t>
            </w:r>
          </w:p>
        </w:tc>
        <w:tc>
          <w:tcPr>
            <w:tcW w:type="dxa" w:w="6648"/>
            <w:tcMar>
              <w:top w:w="50" w:type="dxa"/>
              <w:bottom w:w="50" w:type="dxa"/>
              <w:left w:w="90" w:type="dxa"/>
              <w:right w:w="90" w:type="dxa"/>
            </w:tcMar>
          </w:tcPr>
          <w:p>
            <w:pPr>
              <w:pStyle w:val="BDOITable"/>
            </w:pPr>
            <w:r>
              <w:rPr>
                <w:sz w:val="18"/>
              </w:rPr>
              <w:t>Through Apigee X over TLS; SMTP to CCM with STARTTLS</w:t>
            </w:r>
          </w:p>
        </w:tc>
      </w:tr>
    </w:tbl>
    <w:p>
      <w:pPr>
        <w:pStyle w:val="BDOISpacer"/>
      </w:pPr>
    </w:p>
    <w:p>
      <w:r>
        <w:rPr/>
        <w:t>A production start is refused when any of these connections could run in plaintext.</w:t>
      </w:r>
    </w:p>
    <w:p>
      <w:pPr>
        <w:pStyle w:val="Heading2"/>
      </w:pPr>
      <w:bookmarkStart w:id="120" w:name="_Toc000120"/>
      <w:r>
        <w:rPr/>
        <w:t>6.2 Encryption at rest</w:t>
      </w:r>
      <w:bookmarkEnd w:id="120"/>
    </w:p>
    <w:p>
      <w:pPr>
        <w:pStyle w:val="Caption"/>
        <w:keepNext/>
        <w:spacing w:after="60"/>
      </w:pPr>
      <w:r>
        <w:rPr>
          <w:b/>
          <w:i w:val="0"/>
        </w:rPr>
        <w:t xml:space="preserve">Table 11: </w:t>
      </w:r>
      <w:r>
        <w:rPr/>
        <w:t>Encryption at rest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324"/>
        <w:gridCol w:w="6648"/>
      </w:tblGrid>
      <w:tr>
        <w:trPr>
          <w:tblHeader w:val="true"/>
          <w:cantSplit w:val="true"/>
        </w:trPr>
        <w:tc>
          <w:tcPr>
            <w:tcW w:type="dxa" w:w="3324"/>
            <w:shd w:val="clear" w:color="auto" w:fill="004EA8"/>
            <w:tcMar>
              <w:top w:w="50" w:type="dxa"/>
              <w:bottom w:w="50" w:type="dxa"/>
              <w:left w:w="90" w:type="dxa"/>
              <w:right w:w="90" w:type="dxa"/>
            </w:tcMar>
            <w:vAlign w:val="center"/>
          </w:tcPr>
          <w:p>
            <w:pPr>
              <w:pStyle w:val="BDOITableHeader"/>
            </w:pPr>
            <w:r>
              <w:rPr>
                <w:b/>
                <w:color w:val="FFFFFF"/>
                <w:sz w:val="18"/>
              </w:rPr>
              <w:t>Store</w:t>
            </w:r>
          </w:p>
        </w:tc>
        <w:tc>
          <w:tcPr>
            <w:tcW w:type="dxa" w:w="6648"/>
            <w:shd w:val="clear" w:color="auto" w:fill="004EA8"/>
            <w:tcMar>
              <w:top w:w="50" w:type="dxa"/>
              <w:bottom w:w="50" w:type="dxa"/>
              <w:left w:w="90" w:type="dxa"/>
              <w:right w:w="90" w:type="dxa"/>
            </w:tcMar>
            <w:vAlign w:val="center"/>
          </w:tcPr>
          <w:p>
            <w:pPr>
              <w:pStyle w:val="BDOITableHeader"/>
            </w:pPr>
            <w:r>
              <w:rPr>
                <w:b/>
                <w:color w:val="FFFFFF"/>
                <w:sz w:val="18"/>
              </w:rPr>
              <w:t>Control</w:t>
            </w:r>
          </w:p>
        </w:tc>
      </w:tr>
      <w:tr>
        <w:trPr>
          <w:cantSplit w:val="true"/>
        </w:trPr>
        <w:tc>
          <w:tcPr>
            <w:tcW w:type="dxa" w:w="3324"/>
            <w:tcMar>
              <w:top w:w="50" w:type="dxa"/>
              <w:bottom w:w="50" w:type="dxa"/>
              <w:left w:w="90" w:type="dxa"/>
              <w:right w:w="90" w:type="dxa"/>
            </w:tcMar>
          </w:tcPr>
          <w:p>
            <w:pPr>
              <w:pStyle w:val="BDOITable"/>
            </w:pPr>
            <w:r>
              <w:rPr>
                <w:b/>
                <w:sz w:val="18"/>
              </w:rPr>
              <w:t>PostgreSQL (RDS Multi-AZ)</w:t>
            </w:r>
          </w:p>
        </w:tc>
        <w:tc>
          <w:tcPr>
            <w:tcW w:type="dxa" w:w="6648"/>
            <w:tcMar>
              <w:top w:w="50" w:type="dxa"/>
              <w:bottom w:w="50" w:type="dxa"/>
              <w:left w:w="90" w:type="dxa"/>
              <w:right w:w="90" w:type="dxa"/>
            </w:tcMar>
          </w:tcPr>
          <w:p>
            <w:pPr>
              <w:pStyle w:val="BDOITable"/>
            </w:pPr>
            <w:r>
              <w:rPr>
                <w:sz w:val="18"/>
              </w:rPr>
              <w:t>Storage, snapshots, automated backups and the cross-region replica encrypted with a BDOI customer-managed KMS key</w:t>
            </w:r>
          </w:p>
        </w:tc>
      </w:tr>
      <w:tr>
        <w:trPr>
          <w:cantSplit w:val="true"/>
        </w:trPr>
        <w:tc>
          <w:tcPr>
            <w:tcW w:type="dxa" w:w="3324"/>
            <w:tcMar>
              <w:top w:w="50" w:type="dxa"/>
              <w:bottom w:w="50" w:type="dxa"/>
              <w:left w:w="90" w:type="dxa"/>
              <w:right w:w="90" w:type="dxa"/>
            </w:tcMar>
            <w:shd w:val="clear" w:color="auto" w:fill="E5F5FF"/>
          </w:tcPr>
          <w:p>
            <w:pPr>
              <w:pStyle w:val="BDOITable"/>
            </w:pPr>
            <w:r>
              <w:rPr>
                <w:b/>
                <w:sz w:val="18"/>
              </w:rPr>
              <w:t>Amazon S3 (documents, reports, inbound, migration)</w:t>
            </w:r>
          </w:p>
        </w:tc>
        <w:tc>
          <w:tcPr>
            <w:tcW w:type="dxa" w:w="6648"/>
            <w:tcMar>
              <w:top w:w="50" w:type="dxa"/>
              <w:bottom w:w="50" w:type="dxa"/>
              <w:left w:w="90" w:type="dxa"/>
              <w:right w:w="90" w:type="dxa"/>
            </w:tcMar>
            <w:shd w:val="clear" w:color="auto" w:fill="E5F5FF"/>
          </w:tcPr>
          <w:p>
            <w:pPr>
              <w:pStyle w:val="BDOITable"/>
            </w:pPr>
            <w:r>
              <w:rPr>
                <w:sz w:val="18"/>
              </w:rPr>
              <w:t>SSE-KMS with one BDOI customer-managed key per environment and bucket class, bucket keys on; unencrypted writes denied; Object Lock (governance) on documents</w:t>
            </w:r>
          </w:p>
        </w:tc>
      </w:tr>
      <w:tr>
        <w:trPr>
          <w:cantSplit w:val="true"/>
        </w:trPr>
        <w:tc>
          <w:tcPr>
            <w:tcW w:type="dxa" w:w="3324"/>
            <w:tcMar>
              <w:top w:w="50" w:type="dxa"/>
              <w:bottom w:w="50" w:type="dxa"/>
              <w:left w:w="90" w:type="dxa"/>
              <w:right w:w="90" w:type="dxa"/>
            </w:tcMar>
          </w:tcPr>
          <w:p>
            <w:pPr>
              <w:pStyle w:val="BDOITable"/>
            </w:pPr>
            <w:r>
              <w:rPr>
                <w:b/>
                <w:sz w:val="18"/>
              </w:rPr>
              <w:t>Valkey 8 and Kafka (MSK)</w:t>
            </w:r>
          </w:p>
        </w:tc>
        <w:tc>
          <w:tcPr>
            <w:tcW w:type="dxa" w:w="6648"/>
            <w:tcMar>
              <w:top w:w="50" w:type="dxa"/>
              <w:bottom w:w="50" w:type="dxa"/>
              <w:left w:w="90" w:type="dxa"/>
              <w:right w:w="90" w:type="dxa"/>
            </w:tcMar>
          </w:tcPr>
          <w:p>
            <w:pPr>
              <w:pStyle w:val="BDOITable"/>
            </w:pPr>
            <w:r>
              <w:rPr>
                <w:sz w:val="18"/>
              </w:rPr>
              <w:t>Encryption at rest with KMS; no personal data in the cache beyond the session and scope entries</w:t>
            </w:r>
          </w:p>
        </w:tc>
      </w:tr>
      <w:tr>
        <w:trPr>
          <w:cantSplit w:val="true"/>
        </w:trPr>
        <w:tc>
          <w:tcPr>
            <w:tcW w:type="dxa" w:w="3324"/>
            <w:tcMar>
              <w:top w:w="50" w:type="dxa"/>
              <w:bottom w:w="50" w:type="dxa"/>
              <w:left w:w="90" w:type="dxa"/>
              <w:right w:w="90" w:type="dxa"/>
            </w:tcMar>
            <w:shd w:val="clear" w:color="auto" w:fill="E5F5FF"/>
          </w:tcPr>
          <w:p>
            <w:pPr>
              <w:pStyle w:val="BDOITable"/>
            </w:pPr>
            <w:r>
              <w:rPr>
                <w:b/>
                <w:sz w:val="18"/>
              </w:rPr>
              <w:t>Second-factor secrets</w:t>
            </w:r>
          </w:p>
        </w:tc>
        <w:tc>
          <w:tcPr>
            <w:tcW w:type="dxa" w:w="6648"/>
            <w:tcMar>
              <w:top w:w="50" w:type="dxa"/>
              <w:bottom w:w="50" w:type="dxa"/>
              <w:left w:w="90" w:type="dxa"/>
              <w:right w:w="90" w:type="dxa"/>
            </w:tcMar>
            <w:shd w:val="clear" w:color="auto" w:fill="E5F5FF"/>
          </w:tcPr>
          <w:p>
            <w:pPr>
              <w:pStyle w:val="BDOITable"/>
            </w:pPr>
            <w:r>
              <w:rPr>
                <w:sz w:val="18"/>
              </w:rPr>
              <w:t>AES-256-GCM in the application, key from Secrets Manager, user name as additional data</w:t>
            </w:r>
          </w:p>
        </w:tc>
      </w:tr>
      <w:tr>
        <w:trPr>
          <w:cantSplit w:val="true"/>
        </w:trPr>
        <w:tc>
          <w:tcPr>
            <w:tcW w:type="dxa" w:w="3324"/>
            <w:tcMar>
              <w:top w:w="50" w:type="dxa"/>
              <w:bottom w:w="50" w:type="dxa"/>
              <w:left w:w="90" w:type="dxa"/>
              <w:right w:w="90" w:type="dxa"/>
            </w:tcMar>
          </w:tcPr>
          <w:p>
            <w:pPr>
              <w:pStyle w:val="BDOITable"/>
            </w:pPr>
            <w:r>
              <w:rPr>
                <w:b/>
                <w:sz w:val="18"/>
              </w:rPr>
              <w:t>Passwords and recovery codes</w:t>
            </w:r>
          </w:p>
        </w:tc>
        <w:tc>
          <w:tcPr>
            <w:tcW w:type="dxa" w:w="6648"/>
            <w:tcMar>
              <w:top w:w="50" w:type="dxa"/>
              <w:bottom w:w="50" w:type="dxa"/>
              <w:left w:w="90" w:type="dxa"/>
              <w:right w:w="90" w:type="dxa"/>
            </w:tcMar>
          </w:tcPr>
          <w:p>
            <w:pPr>
              <w:pStyle w:val="BDOITable"/>
            </w:pPr>
            <w:r>
              <w:rPr>
                <w:sz w:val="18"/>
              </w:rPr>
              <w:t>BCrypt (cost 12); recovery codes, refresh tokens and reset links as SHA-256</w:t>
            </w:r>
          </w:p>
        </w:tc>
      </w:tr>
      <w:tr>
        <w:trPr>
          <w:cantSplit w:val="true"/>
        </w:trPr>
        <w:tc>
          <w:tcPr>
            <w:tcW w:type="dxa" w:w="3324"/>
            <w:tcMar>
              <w:top w:w="50" w:type="dxa"/>
              <w:bottom w:w="50" w:type="dxa"/>
              <w:left w:w="90" w:type="dxa"/>
              <w:right w:w="90" w:type="dxa"/>
            </w:tcMar>
            <w:shd w:val="clear" w:color="auto" w:fill="E5F5FF"/>
          </w:tcPr>
          <w:p>
            <w:pPr>
              <w:pStyle w:val="BDOITable"/>
            </w:pPr>
            <w:r>
              <w:rPr>
                <w:b/>
                <w:sz w:val="18"/>
              </w:rPr>
              <w:t>Non-production migration data</w:t>
            </w:r>
          </w:p>
        </w:tc>
        <w:tc>
          <w:tcPr>
            <w:tcW w:type="dxa" w:w="6648"/>
            <w:tcMar>
              <w:top w:w="50" w:type="dxa"/>
              <w:bottom w:w="50" w:type="dxa"/>
              <w:left w:w="90" w:type="dxa"/>
              <w:right w:w="90" w:type="dxa"/>
            </w:tcMar>
            <w:shd w:val="clear" w:color="auto" w:fill="E5F5FF"/>
          </w:tcPr>
          <w:p>
            <w:pPr>
              <w:pStyle w:val="BDOITable"/>
            </w:pPr>
            <w:r>
              <w:rPr>
                <w:sz w:val="18"/>
              </w:rPr>
              <w:t>Personal data masked with a keyed HMAC before staging; unmasked extracts never leave production</w:t>
            </w:r>
          </w:p>
        </w:tc>
      </w:tr>
    </w:tbl>
    <w:p>
      <w:pPr>
        <w:pStyle w:val="BDOISpacer"/>
      </w:pPr>
    </w:p>
    <w:p>
      <w:pPr>
        <w:pStyle w:val="Heading2"/>
      </w:pPr>
      <w:bookmarkStart w:id="121" w:name="_Toc000121"/>
      <w:r>
        <w:rPr/>
        <w:t>6.3 Secret and key management</w:t>
      </w:r>
      <w:bookmarkEnd w:id="121"/>
    </w:p>
    <w:p>
      <w:pPr>
        <w:pStyle w:val="Caption"/>
        <w:keepNext/>
        <w:spacing w:after="60"/>
      </w:pPr>
      <w:r>
        <w:rPr>
          <w:b/>
          <w:i w:val="0"/>
        </w:rPr>
        <w:t xml:space="preserve">Table 12: </w:t>
      </w:r>
      <w:r>
        <w:rPr/>
        <w:t>Secrets and keys with their rotation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512"/>
        <w:gridCol w:w="2436"/>
        <w:gridCol w:w="2436"/>
        <w:gridCol w:w="2588"/>
      </w:tblGrid>
      <w:tr>
        <w:trPr>
          <w:tblHeader w:val="true"/>
          <w:cantSplit w:val="true"/>
        </w:trPr>
        <w:tc>
          <w:tcPr>
            <w:tcW w:type="dxa" w:w="2512"/>
            <w:shd w:val="clear" w:color="auto" w:fill="004EA8"/>
            <w:tcMar>
              <w:top w:w="50" w:type="dxa"/>
              <w:bottom w:w="50" w:type="dxa"/>
              <w:left w:w="90" w:type="dxa"/>
              <w:right w:w="90" w:type="dxa"/>
            </w:tcMar>
            <w:vAlign w:val="center"/>
          </w:tcPr>
          <w:p>
            <w:pPr>
              <w:pStyle w:val="BDOITableHeader"/>
            </w:pPr>
            <w:r>
              <w:rPr>
                <w:b/>
                <w:color w:val="FFFFFF"/>
                <w:sz w:val="18"/>
              </w:rPr>
              <w:t>Secret or key</w:t>
            </w:r>
          </w:p>
        </w:tc>
        <w:tc>
          <w:tcPr>
            <w:tcW w:type="dxa" w:w="2436"/>
            <w:shd w:val="clear" w:color="auto" w:fill="004EA8"/>
            <w:tcMar>
              <w:top w:w="50" w:type="dxa"/>
              <w:bottom w:w="50" w:type="dxa"/>
              <w:left w:w="90" w:type="dxa"/>
              <w:right w:w="90" w:type="dxa"/>
            </w:tcMar>
            <w:vAlign w:val="center"/>
          </w:tcPr>
          <w:p>
            <w:pPr>
              <w:pStyle w:val="BDOITableHeader"/>
            </w:pPr>
            <w:r>
              <w:rPr>
                <w:b/>
                <w:color w:val="FFFFFF"/>
                <w:sz w:val="18"/>
              </w:rPr>
              <w:t>Held in</w:t>
            </w:r>
          </w:p>
        </w:tc>
        <w:tc>
          <w:tcPr>
            <w:tcW w:type="dxa" w:w="2436"/>
            <w:shd w:val="clear" w:color="auto" w:fill="004EA8"/>
            <w:tcMar>
              <w:top w:w="50" w:type="dxa"/>
              <w:bottom w:w="50" w:type="dxa"/>
              <w:left w:w="90" w:type="dxa"/>
              <w:right w:w="90" w:type="dxa"/>
            </w:tcMar>
            <w:vAlign w:val="center"/>
          </w:tcPr>
          <w:p>
            <w:pPr>
              <w:pStyle w:val="BDOITableHeader"/>
            </w:pPr>
            <w:r>
              <w:rPr>
                <w:b/>
                <w:color w:val="FFFFFF"/>
                <w:sz w:val="18"/>
              </w:rPr>
              <w:t>Owner</w:t>
            </w:r>
          </w:p>
        </w:tc>
        <w:tc>
          <w:tcPr>
            <w:tcW w:type="dxa" w:w="2588"/>
            <w:shd w:val="clear" w:color="auto" w:fill="004EA8"/>
            <w:tcMar>
              <w:top w:w="50" w:type="dxa"/>
              <w:bottom w:w="50" w:type="dxa"/>
              <w:left w:w="90" w:type="dxa"/>
              <w:right w:w="90" w:type="dxa"/>
            </w:tcMar>
            <w:vAlign w:val="center"/>
          </w:tcPr>
          <w:p>
            <w:pPr>
              <w:pStyle w:val="BDOITableHeader"/>
            </w:pPr>
            <w:r>
              <w:rPr>
                <w:b/>
                <w:color w:val="FFFFFF"/>
                <w:sz w:val="18"/>
              </w:rPr>
              <w:t>Rotation (proposal)</w:t>
            </w:r>
          </w:p>
        </w:tc>
      </w:tr>
      <w:tr>
        <w:trPr>
          <w:cantSplit w:val="true"/>
        </w:trPr>
        <w:tc>
          <w:tcPr>
            <w:tcW w:type="dxa" w:w="2512"/>
            <w:tcMar>
              <w:top w:w="50" w:type="dxa"/>
              <w:bottom w:w="50" w:type="dxa"/>
              <w:left w:w="90" w:type="dxa"/>
              <w:right w:w="90" w:type="dxa"/>
            </w:tcMar>
          </w:tcPr>
          <w:p>
            <w:pPr>
              <w:pStyle w:val="BDOITable"/>
            </w:pPr>
            <w:r>
              <w:rPr>
                <w:b/>
                <w:sz w:val="18"/>
              </w:rPr>
              <w:t>KMS keys (RDS, S3, Valkey, MSK)</w:t>
            </w:r>
          </w:p>
        </w:tc>
        <w:tc>
          <w:tcPr>
            <w:tcW w:type="dxa" w:w="2436"/>
            <w:tcMar>
              <w:top w:w="50" w:type="dxa"/>
              <w:bottom w:w="50" w:type="dxa"/>
              <w:left w:w="90" w:type="dxa"/>
              <w:right w:w="90" w:type="dxa"/>
            </w:tcMar>
          </w:tcPr>
          <w:p>
            <w:pPr>
              <w:pStyle w:val="BDOITable"/>
            </w:pPr>
            <w:r>
              <w:rPr>
                <w:sz w:val="18"/>
              </w:rPr>
              <w:t>AWS KMS, BDOI account</w:t>
            </w:r>
          </w:p>
        </w:tc>
        <w:tc>
          <w:tcPr>
            <w:tcW w:type="dxa" w:w="2436"/>
            <w:tcMar>
              <w:top w:w="50" w:type="dxa"/>
              <w:bottom w:w="50" w:type="dxa"/>
              <w:left w:w="90" w:type="dxa"/>
              <w:right w:w="90" w:type="dxa"/>
            </w:tcMar>
          </w:tcPr>
          <w:p>
            <w:pPr>
              <w:pStyle w:val="BDOITable"/>
            </w:pPr>
            <w:r>
              <w:rPr>
                <w:sz w:val="18"/>
              </w:rPr>
              <w:t>BDOI Information Security (key administrators)</w:t>
            </w:r>
          </w:p>
        </w:tc>
        <w:tc>
          <w:tcPr>
            <w:tcW w:type="dxa" w:w="2588"/>
            <w:tcMar>
              <w:top w:w="50" w:type="dxa"/>
              <w:bottom w:w="50" w:type="dxa"/>
              <w:left w:w="90" w:type="dxa"/>
              <w:right w:w="90" w:type="dxa"/>
            </w:tcMar>
          </w:tcPr>
          <w:p>
            <w:pPr>
              <w:pStyle w:val="BDOITable"/>
            </w:pPr>
            <w:r>
              <w:rPr>
                <w:sz w:val="18"/>
              </w:rPr>
              <w:t>Automatic yearly, or the BDOI policy</w:t>
            </w:r>
          </w:p>
        </w:tc>
      </w:tr>
      <w:tr>
        <w:trPr>
          <w:cantSplit w:val="true"/>
        </w:trPr>
        <w:tc>
          <w:tcPr>
            <w:tcW w:type="dxa" w:w="2512"/>
            <w:tcMar>
              <w:top w:w="50" w:type="dxa"/>
              <w:bottom w:w="50" w:type="dxa"/>
              <w:left w:w="90" w:type="dxa"/>
              <w:right w:w="90" w:type="dxa"/>
            </w:tcMar>
            <w:shd w:val="clear" w:color="auto" w:fill="E5F5FF"/>
          </w:tcPr>
          <w:p>
            <w:pPr>
              <w:pStyle w:val="BDOITable"/>
            </w:pPr>
            <w:r>
              <w:rPr>
                <w:b/>
                <w:sz w:val="18"/>
              </w:rPr>
              <w:t>Token signing key</w:t>
            </w:r>
          </w:p>
        </w:tc>
        <w:tc>
          <w:tcPr>
            <w:tcW w:type="dxa" w:w="2436"/>
            <w:tcMar>
              <w:top w:w="50" w:type="dxa"/>
              <w:bottom w:w="50" w:type="dxa"/>
              <w:left w:w="90" w:type="dxa"/>
              <w:right w:w="90" w:type="dxa"/>
            </w:tcMar>
            <w:shd w:val="clear" w:color="auto" w:fill="E5F5FF"/>
          </w:tcPr>
          <w:p>
            <w:pPr>
              <w:pStyle w:val="BDOITable"/>
            </w:pPr>
            <w:r>
              <w:rPr>
                <w:sz w:val="18"/>
              </w:rPr>
              <w:t>Secrets Manager</w:t>
            </w:r>
          </w:p>
        </w:tc>
        <w:tc>
          <w:tcPr>
            <w:tcW w:type="dxa" w:w="2436"/>
            <w:tcMar>
              <w:top w:w="50" w:type="dxa"/>
              <w:bottom w:w="50" w:type="dxa"/>
              <w:left w:w="90" w:type="dxa"/>
              <w:right w:w="90" w:type="dxa"/>
            </w:tcMar>
            <w:shd w:val="clear" w:color="auto" w:fill="E5F5FF"/>
          </w:tcPr>
          <w:p>
            <w:pPr>
              <w:pStyle w:val="BDOITable"/>
            </w:pPr>
            <w:r>
              <w:rPr>
                <w:sz w:val="18"/>
              </w:rPr>
              <w:t>BDOI IT</w:t>
            </w:r>
          </w:p>
        </w:tc>
        <w:tc>
          <w:tcPr>
            <w:tcW w:type="dxa" w:w="2588"/>
            <w:tcMar>
              <w:top w:w="50" w:type="dxa"/>
              <w:bottom w:w="50" w:type="dxa"/>
              <w:left w:w="90" w:type="dxa"/>
              <w:right w:w="90" w:type="dxa"/>
            </w:tcMar>
            <w:shd w:val="clear" w:color="auto" w:fill="E5F5FF"/>
          </w:tcPr>
          <w:p>
            <w:pPr>
              <w:pStyle w:val="BDOITable"/>
            </w:pPr>
            <w:r>
              <w:rPr>
                <w:sz w:val="18"/>
              </w:rPr>
              <w:t>Every 90 days; rotation re-issues tokens through the refresh cookie without signing users out</w:t>
            </w:r>
          </w:p>
        </w:tc>
      </w:tr>
      <w:tr>
        <w:trPr>
          <w:cantSplit w:val="true"/>
        </w:trPr>
        <w:tc>
          <w:tcPr>
            <w:tcW w:type="dxa" w:w="2512"/>
            <w:tcMar>
              <w:top w:w="50" w:type="dxa"/>
              <w:bottom w:w="50" w:type="dxa"/>
              <w:left w:w="90" w:type="dxa"/>
              <w:right w:w="90" w:type="dxa"/>
            </w:tcMar>
          </w:tcPr>
          <w:p>
            <w:pPr>
              <w:pStyle w:val="BDOITable"/>
            </w:pPr>
            <w:r>
              <w:rPr>
                <w:b/>
                <w:sz w:val="18"/>
              </w:rPr>
              <w:t>Second-factor encryption key</w:t>
            </w:r>
          </w:p>
        </w:tc>
        <w:tc>
          <w:tcPr>
            <w:tcW w:type="dxa" w:w="2436"/>
            <w:tcMar>
              <w:top w:w="50" w:type="dxa"/>
              <w:bottom w:w="50" w:type="dxa"/>
              <w:left w:w="90" w:type="dxa"/>
              <w:right w:w="90" w:type="dxa"/>
            </w:tcMar>
          </w:tcPr>
          <w:p>
            <w:pPr>
              <w:pStyle w:val="BDOITable"/>
            </w:pPr>
            <w:r>
              <w:rPr>
                <w:sz w:val="18"/>
              </w:rPr>
              <w:t>Secrets Manager</w:t>
            </w:r>
          </w:p>
        </w:tc>
        <w:tc>
          <w:tcPr>
            <w:tcW w:type="dxa" w:w="2436"/>
            <w:tcMar>
              <w:top w:w="50" w:type="dxa"/>
              <w:bottom w:w="50" w:type="dxa"/>
              <w:left w:w="90" w:type="dxa"/>
              <w:right w:w="90" w:type="dxa"/>
            </w:tcMar>
          </w:tcPr>
          <w:p>
            <w:pPr>
              <w:pStyle w:val="BDOITable"/>
            </w:pPr>
            <w:r>
              <w:rPr>
                <w:sz w:val="18"/>
              </w:rPr>
              <w:t>BDOI IT</w:t>
            </w:r>
          </w:p>
        </w:tc>
        <w:tc>
          <w:tcPr>
            <w:tcW w:type="dxa" w:w="2588"/>
            <w:tcMar>
              <w:top w:w="50" w:type="dxa"/>
              <w:bottom w:w="50" w:type="dxa"/>
              <w:left w:w="90" w:type="dxa"/>
              <w:right w:w="90" w:type="dxa"/>
            </w:tcMar>
          </w:tcPr>
          <w:p>
            <w:pPr>
              <w:pStyle w:val="BDOITable"/>
            </w:pPr>
            <w:r>
              <w:rPr>
                <w:sz w:val="18"/>
              </w:rPr>
              <w:t>Yearly; the previous key stays readable and secrets are re-encrypted at their next use</w:t>
            </w:r>
          </w:p>
        </w:tc>
      </w:tr>
      <w:tr>
        <w:trPr>
          <w:cantSplit w:val="true"/>
        </w:trPr>
        <w:tc>
          <w:tcPr>
            <w:tcW w:type="dxa" w:w="2512"/>
            <w:tcMar>
              <w:top w:w="50" w:type="dxa"/>
              <w:bottom w:w="50" w:type="dxa"/>
              <w:left w:w="90" w:type="dxa"/>
              <w:right w:w="90" w:type="dxa"/>
            </w:tcMar>
            <w:shd w:val="clear" w:color="auto" w:fill="E5F5FF"/>
          </w:tcPr>
          <w:p>
            <w:pPr>
              <w:pStyle w:val="BDOITable"/>
            </w:pPr>
            <w:r>
              <w:rPr>
                <w:b/>
                <w:sz w:val="18"/>
              </w:rPr>
              <w:t>Migration masking key</w:t>
            </w:r>
          </w:p>
        </w:tc>
        <w:tc>
          <w:tcPr>
            <w:tcW w:type="dxa" w:w="2436"/>
            <w:tcMar>
              <w:top w:w="50" w:type="dxa"/>
              <w:bottom w:w="50" w:type="dxa"/>
              <w:left w:w="90" w:type="dxa"/>
              <w:right w:w="90" w:type="dxa"/>
            </w:tcMar>
            <w:shd w:val="clear" w:color="auto" w:fill="E5F5FF"/>
          </w:tcPr>
          <w:p>
            <w:pPr>
              <w:pStyle w:val="BDOITable"/>
            </w:pPr>
            <w:r>
              <w:rPr>
                <w:sz w:val="18"/>
              </w:rPr>
              <w:t>Secrets Manager</w:t>
            </w:r>
          </w:p>
        </w:tc>
        <w:tc>
          <w:tcPr>
            <w:tcW w:type="dxa" w:w="2436"/>
            <w:tcMar>
              <w:top w:w="50" w:type="dxa"/>
              <w:bottom w:w="50" w:type="dxa"/>
              <w:left w:w="90" w:type="dxa"/>
              <w:right w:w="90" w:type="dxa"/>
            </w:tcMar>
            <w:shd w:val="clear" w:color="auto" w:fill="E5F5FF"/>
          </w:tcPr>
          <w:p>
            <w:pPr>
              <w:pStyle w:val="BDOITable"/>
            </w:pPr>
            <w:r>
              <w:rPr>
                <w:sz w:val="18"/>
              </w:rPr>
              <w:t>Data Migration Lead</w:t>
            </w:r>
          </w:p>
        </w:tc>
        <w:tc>
          <w:tcPr>
            <w:tcW w:type="dxa" w:w="2588"/>
            <w:tcMar>
              <w:top w:w="50" w:type="dxa"/>
              <w:bottom w:w="50" w:type="dxa"/>
              <w:left w:w="90" w:type="dxa"/>
              <w:right w:w="90" w:type="dxa"/>
            </w:tcMar>
            <w:shd w:val="clear" w:color="auto" w:fill="E5F5FF"/>
          </w:tcPr>
          <w:p>
            <w:pPr>
              <w:pStyle w:val="BDOITable"/>
            </w:pPr>
            <w:r>
              <w:rPr>
                <w:sz w:val="18"/>
              </w:rPr>
              <w:t>Per environment, at each refresh of SIT and UAT</w:t>
            </w:r>
          </w:p>
        </w:tc>
      </w:tr>
      <w:tr>
        <w:trPr>
          <w:cantSplit w:val="true"/>
        </w:trPr>
        <w:tc>
          <w:tcPr>
            <w:tcW w:type="dxa" w:w="2512"/>
            <w:tcMar>
              <w:top w:w="50" w:type="dxa"/>
              <w:bottom w:w="50" w:type="dxa"/>
              <w:left w:w="90" w:type="dxa"/>
              <w:right w:w="90" w:type="dxa"/>
            </w:tcMar>
          </w:tcPr>
          <w:p>
            <w:pPr>
              <w:pStyle w:val="BDOITable"/>
            </w:pPr>
            <w:r>
              <w:rPr>
                <w:b/>
                <w:sz w:val="18"/>
              </w:rPr>
              <w:t>Database logins (owner, application)</w:t>
            </w:r>
          </w:p>
        </w:tc>
        <w:tc>
          <w:tcPr>
            <w:tcW w:type="dxa" w:w="2436"/>
            <w:tcMar>
              <w:top w:w="50" w:type="dxa"/>
              <w:bottom w:w="50" w:type="dxa"/>
              <w:left w:w="90" w:type="dxa"/>
              <w:right w:w="90" w:type="dxa"/>
            </w:tcMar>
          </w:tcPr>
          <w:p>
            <w:pPr>
              <w:pStyle w:val="BDOITable"/>
            </w:pPr>
            <w:r>
              <w:rPr>
                <w:sz w:val="18"/>
              </w:rPr>
              <w:t>Secrets Manager</w:t>
            </w:r>
          </w:p>
        </w:tc>
        <w:tc>
          <w:tcPr>
            <w:tcW w:type="dxa" w:w="2436"/>
            <w:tcMar>
              <w:top w:w="50" w:type="dxa"/>
              <w:bottom w:w="50" w:type="dxa"/>
              <w:left w:w="90" w:type="dxa"/>
              <w:right w:w="90" w:type="dxa"/>
            </w:tcMar>
          </w:tcPr>
          <w:p>
            <w:pPr>
              <w:pStyle w:val="BDOITable"/>
            </w:pPr>
            <w:r>
              <w:rPr>
                <w:sz w:val="18"/>
              </w:rPr>
              <w:t>DBA</w:t>
            </w:r>
          </w:p>
        </w:tc>
        <w:tc>
          <w:tcPr>
            <w:tcW w:type="dxa" w:w="2588"/>
            <w:tcMar>
              <w:top w:w="50" w:type="dxa"/>
              <w:bottom w:w="50" w:type="dxa"/>
              <w:left w:w="90" w:type="dxa"/>
              <w:right w:w="90" w:type="dxa"/>
            </w:tcMar>
          </w:tcPr>
          <w:p>
            <w:pPr>
              <w:pStyle w:val="BDOITable"/>
            </w:pPr>
            <w:r>
              <w:rPr>
                <w:sz w:val="18"/>
              </w:rPr>
              <w:t>90 days, automatic rotation of RDS</w:t>
            </w:r>
          </w:p>
        </w:tc>
      </w:tr>
      <w:tr>
        <w:trPr>
          <w:cantSplit w:val="true"/>
        </w:trPr>
        <w:tc>
          <w:tcPr>
            <w:tcW w:type="dxa" w:w="2512"/>
            <w:tcMar>
              <w:top w:w="50" w:type="dxa"/>
              <w:bottom w:w="50" w:type="dxa"/>
              <w:left w:w="90" w:type="dxa"/>
              <w:right w:w="90" w:type="dxa"/>
            </w:tcMar>
            <w:shd w:val="clear" w:color="auto" w:fill="E5F5FF"/>
          </w:tcPr>
          <w:p>
            <w:pPr>
              <w:pStyle w:val="BDOITable"/>
            </w:pPr>
            <w:r>
              <w:rPr>
                <w:b/>
                <w:sz w:val="18"/>
              </w:rPr>
              <w:t>Valkey and Kafka credentials</w:t>
            </w:r>
          </w:p>
        </w:tc>
        <w:tc>
          <w:tcPr>
            <w:tcW w:type="dxa" w:w="2436"/>
            <w:tcMar>
              <w:top w:w="50" w:type="dxa"/>
              <w:bottom w:w="50" w:type="dxa"/>
              <w:left w:w="90" w:type="dxa"/>
              <w:right w:w="90" w:type="dxa"/>
            </w:tcMar>
            <w:shd w:val="clear" w:color="auto" w:fill="E5F5FF"/>
          </w:tcPr>
          <w:p>
            <w:pPr>
              <w:pStyle w:val="BDOITable"/>
            </w:pPr>
            <w:r>
              <w:rPr>
                <w:sz w:val="18"/>
              </w:rPr>
              <w:t>Secrets Manager</w:t>
            </w:r>
          </w:p>
        </w:tc>
        <w:tc>
          <w:tcPr>
            <w:tcW w:type="dxa" w:w="2436"/>
            <w:tcMar>
              <w:top w:w="50" w:type="dxa"/>
              <w:bottom w:w="50" w:type="dxa"/>
              <w:left w:w="90" w:type="dxa"/>
              <w:right w:w="90" w:type="dxa"/>
            </w:tcMar>
            <w:shd w:val="clear" w:color="auto" w:fill="E5F5FF"/>
          </w:tcPr>
          <w:p>
            <w:pPr>
              <w:pStyle w:val="BDOITable"/>
            </w:pPr>
            <w:r>
              <w:rPr>
                <w:sz w:val="18"/>
              </w:rPr>
              <w:t>BDOI IT</w:t>
            </w:r>
          </w:p>
        </w:tc>
        <w:tc>
          <w:tcPr>
            <w:tcW w:type="dxa" w:w="2588"/>
            <w:tcMar>
              <w:top w:w="50" w:type="dxa"/>
              <w:bottom w:w="50" w:type="dxa"/>
              <w:left w:w="90" w:type="dxa"/>
              <w:right w:w="90" w:type="dxa"/>
            </w:tcMar>
            <w:shd w:val="clear" w:color="auto" w:fill="E5F5FF"/>
          </w:tcPr>
          <w:p>
            <w:pPr>
              <w:pStyle w:val="BDOITable"/>
            </w:pPr>
            <w:r>
              <w:rPr>
                <w:sz w:val="18"/>
              </w:rPr>
              <w:t>90 days</w:t>
            </w:r>
          </w:p>
        </w:tc>
      </w:tr>
      <w:tr>
        <w:trPr>
          <w:cantSplit w:val="true"/>
        </w:trPr>
        <w:tc>
          <w:tcPr>
            <w:tcW w:type="dxa" w:w="2512"/>
            <w:tcMar>
              <w:top w:w="50" w:type="dxa"/>
              <w:bottom w:w="50" w:type="dxa"/>
              <w:left w:w="90" w:type="dxa"/>
              <w:right w:w="90" w:type="dxa"/>
            </w:tcMar>
          </w:tcPr>
          <w:p>
            <w:pPr>
              <w:pStyle w:val="BDOITable"/>
            </w:pPr>
            <w:r>
              <w:rPr>
                <w:b/>
                <w:sz w:val="18"/>
              </w:rPr>
              <w:t>OIDC client secret</w:t>
            </w:r>
          </w:p>
        </w:tc>
        <w:tc>
          <w:tcPr>
            <w:tcW w:type="dxa" w:w="2436"/>
            <w:tcMar>
              <w:top w:w="50" w:type="dxa"/>
              <w:bottom w:w="50" w:type="dxa"/>
              <w:left w:w="90" w:type="dxa"/>
              <w:right w:w="90" w:type="dxa"/>
            </w:tcMar>
          </w:tcPr>
          <w:p>
            <w:pPr>
              <w:pStyle w:val="BDOITable"/>
            </w:pPr>
            <w:r>
              <w:rPr>
                <w:sz w:val="18"/>
              </w:rPr>
              <w:t>Secrets Manager</w:t>
            </w:r>
          </w:p>
        </w:tc>
        <w:tc>
          <w:tcPr>
            <w:tcW w:type="dxa" w:w="2436"/>
            <w:tcMar>
              <w:top w:w="50" w:type="dxa"/>
              <w:bottom w:w="50" w:type="dxa"/>
              <w:left w:w="90" w:type="dxa"/>
              <w:right w:w="90" w:type="dxa"/>
            </w:tcMar>
          </w:tcPr>
          <w:p>
            <w:pPr>
              <w:pStyle w:val="BDOITable"/>
            </w:pPr>
            <w:r>
              <w:rPr>
                <w:sz w:val="18"/>
              </w:rPr>
              <w:t>BDOI IT and the EIAM team</w:t>
            </w:r>
          </w:p>
        </w:tc>
        <w:tc>
          <w:tcPr>
            <w:tcW w:type="dxa" w:w="2588"/>
            <w:tcMar>
              <w:top w:w="50" w:type="dxa"/>
              <w:bottom w:w="50" w:type="dxa"/>
              <w:left w:w="90" w:type="dxa"/>
              <w:right w:w="90" w:type="dxa"/>
            </w:tcMar>
          </w:tcPr>
          <w:p>
            <w:pPr>
              <w:pStyle w:val="BDOITable"/>
            </w:pPr>
            <w:r>
              <w:rPr>
                <w:sz w:val="18"/>
              </w:rPr>
              <w:t>Before expiry of the app registration secret (at most 12 months)</w:t>
            </w:r>
          </w:p>
        </w:tc>
      </w:tr>
      <w:tr>
        <w:trPr>
          <w:cantSplit w:val="true"/>
        </w:trPr>
        <w:tc>
          <w:tcPr>
            <w:tcW w:type="dxa" w:w="2512"/>
            <w:tcMar>
              <w:top w:w="50" w:type="dxa"/>
              <w:bottom w:w="50" w:type="dxa"/>
              <w:left w:w="90" w:type="dxa"/>
              <w:right w:w="90" w:type="dxa"/>
            </w:tcMar>
            <w:shd w:val="clear" w:color="auto" w:fill="E5F5FF"/>
          </w:tcPr>
          <w:p>
            <w:pPr>
              <w:pStyle w:val="BDOITable"/>
            </w:pPr>
            <w:r>
              <w:rPr>
                <w:b/>
                <w:sz w:val="18"/>
              </w:rPr>
              <w:t>TLS certificates</w:t>
            </w:r>
          </w:p>
        </w:tc>
        <w:tc>
          <w:tcPr>
            <w:tcW w:type="dxa" w:w="2436"/>
            <w:tcMar>
              <w:top w:w="50" w:type="dxa"/>
              <w:bottom w:w="50" w:type="dxa"/>
              <w:left w:w="90" w:type="dxa"/>
              <w:right w:w="90" w:type="dxa"/>
            </w:tcMar>
            <w:shd w:val="clear" w:color="auto" w:fill="E5F5FF"/>
          </w:tcPr>
          <w:p>
            <w:pPr>
              <w:pStyle w:val="BDOITable"/>
            </w:pPr>
            <w:r>
              <w:rPr>
                <w:sz w:val="18"/>
              </w:rPr>
              <w:t>ACM, AWS Private CA</w:t>
            </w:r>
          </w:p>
        </w:tc>
        <w:tc>
          <w:tcPr>
            <w:tcW w:type="dxa" w:w="2436"/>
            <w:tcMar>
              <w:top w:w="50" w:type="dxa"/>
              <w:bottom w:w="50" w:type="dxa"/>
              <w:left w:w="90" w:type="dxa"/>
              <w:right w:w="90" w:type="dxa"/>
            </w:tcMar>
            <w:shd w:val="clear" w:color="auto" w:fill="E5F5FF"/>
          </w:tcPr>
          <w:p>
            <w:pPr>
              <w:pStyle w:val="BDOITable"/>
            </w:pPr>
            <w:r>
              <w:rPr>
                <w:sz w:val="18"/>
              </w:rPr>
              <w:t>BDO PKI team</w:t>
            </w:r>
          </w:p>
        </w:tc>
        <w:tc>
          <w:tcPr>
            <w:tcW w:type="dxa" w:w="2588"/>
            <w:tcMar>
              <w:top w:w="50" w:type="dxa"/>
              <w:bottom w:w="50" w:type="dxa"/>
              <w:left w:w="90" w:type="dxa"/>
              <w:right w:w="90" w:type="dxa"/>
            </w:tcMar>
            <w:shd w:val="clear" w:color="auto" w:fill="E5F5FF"/>
          </w:tcPr>
          <w:p>
            <w:pPr>
              <w:pStyle w:val="BDOITable"/>
            </w:pPr>
            <w:r>
              <w:rPr>
                <w:sz w:val="18"/>
              </w:rPr>
              <w:t>90 days in the cluster (automatic); per BDO PKI at the edge</w:t>
            </w:r>
          </w:p>
        </w:tc>
      </w:tr>
      <w:tr>
        <w:trPr>
          <w:cantSplit w:val="true"/>
        </w:trPr>
        <w:tc>
          <w:tcPr>
            <w:tcW w:type="dxa" w:w="2512"/>
            <w:tcMar>
              <w:top w:w="50" w:type="dxa"/>
              <w:bottom w:w="50" w:type="dxa"/>
              <w:left w:w="90" w:type="dxa"/>
              <w:right w:w="90" w:type="dxa"/>
            </w:tcMar>
          </w:tcPr>
          <w:p>
            <w:pPr>
              <w:pStyle w:val="BDOITable"/>
            </w:pPr>
            <w:r>
              <w:rPr>
                <w:b/>
                <w:sz w:val="18"/>
              </w:rPr>
              <w:t>Apigee signing keys</w:t>
            </w:r>
          </w:p>
        </w:tc>
        <w:tc>
          <w:tcPr>
            <w:tcW w:type="dxa" w:w="2436"/>
            <w:tcMar>
              <w:top w:w="50" w:type="dxa"/>
              <w:bottom w:w="50" w:type="dxa"/>
              <w:left w:w="90" w:type="dxa"/>
              <w:right w:w="90" w:type="dxa"/>
            </w:tcMar>
          </w:tcPr>
          <w:p>
            <w:pPr>
              <w:pStyle w:val="BDOITable"/>
            </w:pPr>
            <w:r>
              <w:rPr>
                <w:sz w:val="18"/>
              </w:rPr>
              <w:t>Apigee X</w:t>
            </w:r>
          </w:p>
        </w:tc>
        <w:tc>
          <w:tcPr>
            <w:tcW w:type="dxa" w:w="2436"/>
            <w:tcMar>
              <w:top w:w="50" w:type="dxa"/>
              <w:bottom w:w="50" w:type="dxa"/>
              <w:left w:w="90" w:type="dxa"/>
              <w:right w:w="90" w:type="dxa"/>
            </w:tcMar>
          </w:tcPr>
          <w:p>
            <w:pPr>
              <w:pStyle w:val="BDOITable"/>
            </w:pPr>
            <w:r>
              <w:rPr>
                <w:sz w:val="18"/>
              </w:rPr>
              <w:t>BDO API team</w:t>
            </w:r>
          </w:p>
        </w:tc>
        <w:tc>
          <w:tcPr>
            <w:tcW w:type="dxa" w:w="2588"/>
            <w:tcMar>
              <w:top w:w="50" w:type="dxa"/>
              <w:bottom w:w="50" w:type="dxa"/>
              <w:left w:w="90" w:type="dxa"/>
              <w:right w:w="90" w:type="dxa"/>
            </w:tcMar>
          </w:tcPr>
          <w:p>
            <w:pPr>
              <w:pStyle w:val="BDOITable"/>
            </w:pPr>
            <w:r>
              <w:rPr>
                <w:sz w:val="18"/>
              </w:rPr>
              <w:t>Per BDO API policy; BIBS reads the key set</w:t>
            </w:r>
          </w:p>
        </w:tc>
      </w:tr>
    </w:tbl>
    <w:p>
      <w:pPr>
        <w:pStyle w:val="BDOISpacer"/>
      </w:pPr>
    </w:p>
    <w:p>
      <w:r>
        <w:rPr/>
        <w:t>Secrets reach the pods through the namespace secret created from Secrets Manager (External Secrets Operator or the release pipeline); they are never in images, configuration files or version control. The workloads access AWS with the IAM role of their service account; no AWS key is stored anywhere. Every environment except a developer's machine refuses to start with a missing secret or a development value.</w:t>
      </w:r>
    </w:p>
    <w:p>
      <w:pPr>
        <w:pStyle w:val="Heading1"/>
        <w:pageBreakBefore/>
        <w:pBdr>
          <w:bottom w:val="single" w:sz="4" w:space="4" w:color="99C1E7"/>
        </w:pBdr>
      </w:pPr>
      <w:bookmarkStart w:id="122" w:name="_Toc000122"/>
      <w:r>
        <w:rPr/>
        <w:t>7 Secure coding</w:t>
      </w:r>
      <w:bookmarkEnd w:id="122"/>
    </w:p>
    <w:p>
      <w:pPr>
        <w:pStyle w:val="Heading2"/>
      </w:pPr>
      <w:bookmarkStart w:id="123" w:name="_Toc000123"/>
      <w:r>
        <w:rPr/>
        <w:t>7.1 Standards</w:t>
      </w:r>
      <w:bookmarkEnd w:id="123"/>
    </w:p>
    <w:p>
      <w:pPr>
        <w:tabs>
          <w:tab w:pos="312" w:val="left"/>
        </w:tabs>
        <w:spacing w:after="40"/>
        <w:ind w:left="312" w:hanging="283"/>
      </w:pPr>
      <w:r>
        <w:rPr>
          <w:color w:val="004EA8"/>
        </w:rPr>
        <w:t>•</w:t>
        <w:tab/>
      </w:r>
      <w:r>
        <w:rPr/>
        <w:t>Coding rules of the Developer Guide; static analysis on every change: SpotBugs with its security plug-in, PMD, Checkstyle, CodeQL for Java and TypeScript, SonarJS rules for the web client; compiler warnings are errors.</w:t>
      </w:r>
    </w:p>
    <w:p>
      <w:pPr>
        <w:tabs>
          <w:tab w:pos="312" w:val="left"/>
        </w:tabs>
        <w:spacing w:after="40"/>
        <w:ind w:left="312" w:hanging="283"/>
      </w:pPr>
      <w:r>
        <w:rPr>
          <w:color w:val="004EA8"/>
        </w:rPr>
        <w:t>•</w:t>
        <w:tab/>
      </w:r>
      <w:r>
        <w:rPr/>
        <w:t>Module boundaries enforced by architecture rules; security controls are shared platform services, never copied into a module.</w:t>
      </w:r>
    </w:p>
    <w:p>
      <w:pPr>
        <w:tabs>
          <w:tab w:pos="312" w:val="left"/>
        </w:tabs>
        <w:spacing w:after="120"/>
        <w:ind w:left="312" w:hanging="283"/>
      </w:pPr>
      <w:r>
        <w:rPr>
          <w:color w:val="004EA8"/>
        </w:rPr>
        <w:t>•</w:t>
        <w:tab/>
      </w:r>
      <w:r>
        <w:rPr/>
        <w:t>Every change is reviewed by a second developer before it is merged.</w:t>
      </w:r>
    </w:p>
    <w:p>
      <w:pPr>
        <w:pStyle w:val="Heading2"/>
      </w:pPr>
      <w:bookmarkStart w:id="124" w:name="_Toc000124"/>
      <w:r>
        <w:rPr/>
        <w:t>7.2 Parameterised queries: scan result</w:t>
      </w:r>
      <w:bookmarkEnd w:id="124"/>
    </w:p>
    <w:p>
      <w:r>
        <w:rPr/>
        <w:t>All database access goes through JPA (entity queries, criteria queries) or the Spring JDBC templates with bound parameters. On 8 October 2026 we scanned every database call of the backend for SQL text assembled from values:</w:t>
      </w:r>
    </w:p>
    <w:p>
      <w:pPr>
        <w:pStyle w:val="Caption"/>
        <w:keepNext/>
        <w:spacing w:after="60"/>
      </w:pPr>
      <w:r>
        <w:rPr>
          <w:b/>
          <w:i w:val="0"/>
        </w:rPr>
        <w:t xml:space="preserve">Table 13: </w:t>
      </w:r>
      <w:r>
        <w:rPr/>
        <w:t>Database call scan of 8 October 2026</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55"/>
        <w:gridCol w:w="5817"/>
      </w:tblGrid>
      <w:tr>
        <w:trPr>
          <w:tblHeader w:val="true"/>
          <w:cantSplit w:val="true"/>
        </w:trPr>
        <w:tc>
          <w:tcPr>
            <w:tcW w:type="dxa" w:w="4155"/>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5817"/>
            <w:shd w:val="clear" w:color="auto" w:fill="004EA8"/>
            <w:tcMar>
              <w:top w:w="50" w:type="dxa"/>
              <w:bottom w:w="50" w:type="dxa"/>
              <w:left w:w="90" w:type="dxa"/>
              <w:right w:w="90" w:type="dxa"/>
            </w:tcMar>
            <w:vAlign w:val="center"/>
          </w:tcPr>
          <w:p>
            <w:pPr>
              <w:pStyle w:val="BDOITableHeader"/>
            </w:pPr>
            <w:r>
              <w:rPr>
                <w:b/>
                <w:color w:val="FFFFFF"/>
                <w:sz w:val="18"/>
              </w:rPr>
              <w:t>Result</w:t>
            </w:r>
          </w:p>
        </w:tc>
      </w:tr>
      <w:tr>
        <w:trPr>
          <w:cantSplit w:val="true"/>
        </w:trPr>
        <w:tc>
          <w:tcPr>
            <w:tcW w:type="dxa" w:w="4155"/>
            <w:tcMar>
              <w:top w:w="50" w:type="dxa"/>
              <w:bottom w:w="50" w:type="dxa"/>
              <w:left w:w="90" w:type="dxa"/>
              <w:right w:w="90" w:type="dxa"/>
            </w:tcMar>
          </w:tcPr>
          <w:p>
            <w:pPr>
              <w:pStyle w:val="BDOITable"/>
            </w:pPr>
            <w:r>
              <w:rPr>
                <w:b/>
                <w:sz w:val="18"/>
              </w:rPr>
              <w:t>Database calls in the classes that use JDBC, JPA query APIs or the Java SQL package</w:t>
            </w:r>
          </w:p>
        </w:tc>
        <w:tc>
          <w:tcPr>
            <w:tcW w:type="dxa" w:w="5817"/>
            <w:tcMar>
              <w:top w:w="50" w:type="dxa"/>
              <w:bottom w:w="50" w:type="dxa"/>
              <w:left w:w="90" w:type="dxa"/>
              <w:right w:w="90" w:type="dxa"/>
            </w:tcMar>
          </w:tcPr>
          <w:p>
            <w:pPr>
              <w:pStyle w:val="BDOITable"/>
            </w:pPr>
            <w:r>
              <w:rPr>
                <w:sz w:val="18"/>
              </w:rPr>
              <w:t>249 calls: 22 with a literal SQL text, 196 with a constant, 31 with a text assembled in the method</w:t>
            </w:r>
          </w:p>
        </w:tc>
      </w:tr>
      <w:tr>
        <w:trPr>
          <w:cantSplit w:val="true"/>
        </w:trPr>
        <w:tc>
          <w:tcPr>
            <w:tcW w:type="dxa" w:w="4155"/>
            <w:tcMar>
              <w:top w:w="50" w:type="dxa"/>
              <w:bottom w:w="50" w:type="dxa"/>
              <w:left w:w="90" w:type="dxa"/>
              <w:right w:w="90" w:type="dxa"/>
            </w:tcMar>
            <w:shd w:val="clear" w:color="auto" w:fill="E5F5FF"/>
          </w:tcPr>
          <w:p>
            <w:pPr>
              <w:pStyle w:val="BDOITable"/>
            </w:pPr>
            <w:r>
              <w:rPr>
                <w:b/>
                <w:sz w:val="18"/>
              </w:rPr>
              <w:t>The 31 assembled texts</w:t>
            </w:r>
          </w:p>
        </w:tc>
        <w:tc>
          <w:tcPr>
            <w:tcW w:type="dxa" w:w="5817"/>
            <w:tcMar>
              <w:top w:w="50" w:type="dxa"/>
              <w:bottom w:w="50" w:type="dxa"/>
              <w:left w:w="90" w:type="dxa"/>
              <w:right w:w="90" w:type="dxa"/>
            </w:tcMar>
            <w:shd w:val="clear" w:color="auto" w:fill="E5F5FF"/>
          </w:tcPr>
          <w:p>
            <w:pPr>
              <w:pStyle w:val="BDOITable"/>
            </w:pPr>
            <w:r>
              <w:rPr>
                <w:sz w:val="18"/>
              </w:rPr>
              <w:t>Each traced to its source: report definitions and helpers that join constant fragments (columns, joins, filters), JPA criteria queries, a fixed list of disbursement types written in the program, and the business time zone (an identifier validated as a time zone, which cannot hold a quote)</w:t>
            </w:r>
          </w:p>
        </w:tc>
      </w:tr>
      <w:tr>
        <w:trPr>
          <w:cantSplit w:val="true"/>
        </w:trPr>
        <w:tc>
          <w:tcPr>
            <w:tcW w:type="dxa" w:w="4155"/>
            <w:tcMar>
              <w:top w:w="50" w:type="dxa"/>
              <w:bottom w:w="50" w:type="dxa"/>
              <w:left w:w="90" w:type="dxa"/>
              <w:right w:w="90" w:type="dxa"/>
            </w:tcMar>
          </w:tcPr>
          <w:p>
            <w:pPr>
              <w:pStyle w:val="BDOITable"/>
            </w:pPr>
            <w:r>
              <w:rPr>
                <w:b/>
                <w:sz w:val="18"/>
              </w:rPr>
              <w:t>SQL text concatenated with any other value (scan of every string that contains SQL keywords and is joined with a non-constant)</w:t>
            </w:r>
          </w:p>
        </w:tc>
        <w:tc>
          <w:tcPr>
            <w:tcW w:type="dxa" w:w="5817"/>
            <w:tcMar>
              <w:top w:w="50" w:type="dxa"/>
              <w:bottom w:w="50" w:type="dxa"/>
              <w:left w:w="90" w:type="dxa"/>
              <w:right w:w="90" w:type="dxa"/>
            </w:tcMar>
          </w:tcPr>
          <w:p>
            <w:pPr>
              <w:pStyle w:val="BDOITable"/>
            </w:pPr>
            <w:r>
              <w:rPr>
                <w:sz w:val="18"/>
              </w:rPr>
              <w:t>37 candidates; all are messages or the fragments above; none joins a value from a request, a file or the database into SQL text</w:t>
            </w:r>
          </w:p>
        </w:tc>
      </w:tr>
      <w:tr>
        <w:trPr>
          <w:cantSplit w:val="true"/>
        </w:trPr>
        <w:tc>
          <w:tcPr>
            <w:tcW w:type="dxa" w:w="4155"/>
            <w:tcMar>
              <w:top w:w="50" w:type="dxa"/>
              <w:bottom w:w="50" w:type="dxa"/>
              <w:left w:w="90" w:type="dxa"/>
              <w:right w:w="90" w:type="dxa"/>
            </w:tcMar>
            <w:shd w:val="clear" w:color="auto" w:fill="E5F5FF"/>
          </w:tcPr>
          <w:p>
            <w:pPr>
              <w:pStyle w:val="BDOITable"/>
            </w:pPr>
            <w:r>
              <w:rPr>
                <w:b/>
                <w:sz w:val="18"/>
              </w:rPr>
              <w:t>Values of filters, codes, dates and amounts</w:t>
            </w:r>
          </w:p>
        </w:tc>
        <w:tc>
          <w:tcPr>
            <w:tcW w:type="dxa" w:w="5817"/>
            <w:tcMar>
              <w:top w:w="50" w:type="dxa"/>
              <w:bottom w:w="50" w:type="dxa"/>
              <w:left w:w="90" w:type="dxa"/>
              <w:right w:w="90" w:type="dxa"/>
            </w:tcMar>
            <w:shd w:val="clear" w:color="auto" w:fill="E5F5FF"/>
          </w:tcPr>
          <w:p>
            <w:pPr>
              <w:pStyle w:val="BDOITable"/>
            </w:pPr>
            <w:r>
              <w:rPr>
                <w:sz w:val="18"/>
              </w:rPr>
              <w:t>Always bound parameters (positional or named)</w:t>
            </w:r>
          </w:p>
        </w:tc>
      </w:tr>
      <w:tr>
        <w:trPr>
          <w:cantSplit w:val="true"/>
        </w:trPr>
        <w:tc>
          <w:tcPr>
            <w:tcW w:type="dxa" w:w="4155"/>
            <w:tcMar>
              <w:top w:w="50" w:type="dxa"/>
              <w:bottom w:w="50" w:type="dxa"/>
              <w:left w:w="90" w:type="dxa"/>
              <w:right w:w="90" w:type="dxa"/>
            </w:tcMar>
          </w:tcPr>
          <w:p>
            <w:pPr>
              <w:pStyle w:val="BDOITable"/>
            </w:pPr>
            <w:r>
              <w:rPr>
                <w:b/>
                <w:sz w:val="18"/>
              </w:rPr>
              <w:t>Result</w:t>
            </w:r>
          </w:p>
        </w:tc>
        <w:tc>
          <w:tcPr>
            <w:tcW w:type="dxa" w:w="5817"/>
            <w:tcMar>
              <w:top w:w="50" w:type="dxa"/>
              <w:bottom w:w="50" w:type="dxa"/>
              <w:left w:w="90" w:type="dxa"/>
              <w:right w:w="90" w:type="dxa"/>
            </w:tcMar>
          </w:tcPr>
          <w:p>
            <w:pPr>
              <w:pStyle w:val="BDOITable"/>
            </w:pPr>
            <w:r>
              <w:rPr>
                <w:b/>
                <w:sz w:val="18"/>
              </w:rPr>
              <w:t>No SQL text is assembled from external values.</w:t>
            </w:r>
            <w:r>
              <w:rPr>
                <w:sz w:val="18"/>
              </w:rPr>
              <w:t xml:space="preserve"> The rules of the SpotBugs security plug-in and CodeQL for SQL injection stay active on every change</w:t>
            </w:r>
          </w:p>
        </w:tc>
      </w:tr>
    </w:tbl>
    <w:p>
      <w:pPr>
        <w:pStyle w:val="BDOISpacer"/>
      </w:pPr>
    </w:p>
    <w:p>
      <w:pPr>
        <w:pStyle w:val="Heading2"/>
      </w:pPr>
      <w:bookmarkStart w:id="125" w:name="_Toc000125"/>
      <w:r>
        <w:rPr/>
        <w:t>7.3 Input validation</w:t>
      </w:r>
      <w:bookmarkEnd w:id="125"/>
    </w:p>
    <w:p>
      <w:pPr>
        <w:tabs>
          <w:tab w:pos="312" w:val="left"/>
        </w:tabs>
        <w:spacing w:after="40"/>
        <w:ind w:left="312" w:hanging="283"/>
      </w:pPr>
      <w:r>
        <w:rPr>
          <w:color w:val="004EA8"/>
        </w:rPr>
        <w:t>•</w:t>
        <w:tab/>
      </w:r>
      <w:r>
        <w:rPr/>
        <w:t>Every request body binds to a dedicated request object with Bean Validation (types, lengths, patterns, lists of values); server-owned fields (status, approver, time stamps) cannot be bound.</w:t>
      </w:r>
    </w:p>
    <w:p>
      <w:pPr>
        <w:tabs>
          <w:tab w:pos="312" w:val="left"/>
        </w:tabs>
        <w:spacing w:after="40"/>
        <w:ind w:left="312" w:hanging="283"/>
      </w:pPr>
      <w:r>
        <w:rPr>
          <w:color w:val="004EA8"/>
        </w:rPr>
        <w:t>•</w:t>
        <w:tab/>
      </w:r>
      <w:r>
        <w:rPr/>
        <w:t>Business rules are checked in the services and answer with a business code (status 422).</w:t>
      </w:r>
    </w:p>
    <w:p>
      <w:pPr>
        <w:tabs>
          <w:tab w:pos="312" w:val="left"/>
        </w:tabs>
        <w:spacing w:after="40"/>
        <w:ind w:left="312" w:hanging="283"/>
      </w:pPr>
      <w:r>
        <w:rPr>
          <w:color w:val="004EA8"/>
        </w:rPr>
        <w:t>•</w:t>
        <w:tab/>
      </w:r>
      <w:r>
        <w:rPr/>
        <w:t>Request size: JSON bodies at most 2 MB; uploads at most 25 MB through BIBS, larger bulk files by presigned upload to the quarantine prefix of S3.</w:t>
      </w:r>
    </w:p>
    <w:p>
      <w:pPr>
        <w:tabs>
          <w:tab w:pos="312" w:val="left"/>
        </w:tabs>
        <w:spacing w:after="40"/>
        <w:ind w:left="312" w:hanging="283"/>
      </w:pPr>
      <w:r>
        <w:rPr>
          <w:color w:val="004EA8"/>
        </w:rPr>
        <w:t>•</w:t>
        <w:tab/>
      </w:r>
      <w:r>
        <w:rPr/>
        <w:t>Uploaded Office and OpenDocument files are read within fixed limits (1,000 parts, 64 MB per part, expansion at most 100 times); CSV and TXT must be text in UTF-8.</w:t>
      </w:r>
    </w:p>
    <w:p>
      <w:pPr>
        <w:tabs>
          <w:tab w:pos="312" w:val="left"/>
        </w:tabs>
        <w:spacing w:after="120"/>
        <w:ind w:left="312" w:hanging="283"/>
      </w:pPr>
      <w:r>
        <w:rPr>
          <w:color w:val="004EA8"/>
        </w:rPr>
        <w:t>•</w:t>
        <w:tab/>
      </w:r>
      <w:r>
        <w:rPr/>
        <w:t>XML (SAML responses, OpenDocument) is parsed with DTDs and external entities disabled.</w:t>
      </w:r>
    </w:p>
    <w:p>
      <w:pPr>
        <w:pStyle w:val="Heading2"/>
      </w:pPr>
      <w:bookmarkStart w:id="126" w:name="_Toc000126"/>
      <w:r>
        <w:rPr/>
        <w:t>7.4 Output encoding</w:t>
      </w:r>
      <w:bookmarkEnd w:id="126"/>
    </w:p>
    <w:p>
      <w:pPr>
        <w:tabs>
          <w:tab w:pos="312" w:val="left"/>
        </w:tabs>
        <w:spacing w:after="40"/>
        <w:ind w:left="312" w:hanging="283"/>
      </w:pPr>
      <w:r>
        <w:rPr>
          <w:color w:val="004EA8"/>
        </w:rPr>
        <w:t>•</w:t>
        <w:tab/>
      </w:r>
      <w:r>
        <w:rPr/>
        <w:t>React escapes all rendered text; the web client never inserts raw HTML and loads no script from another origin (Content Security Policy).</w:t>
      </w:r>
    </w:p>
    <w:p>
      <w:pPr>
        <w:tabs>
          <w:tab w:pos="312" w:val="left"/>
        </w:tabs>
        <w:spacing w:after="40"/>
        <w:ind w:left="312" w:hanging="283"/>
      </w:pPr>
      <w:r>
        <w:rPr>
          <w:color w:val="004EA8"/>
        </w:rPr>
        <w:t>•</w:t>
        <w:tab/>
      </w:r>
      <w:r>
        <w:rPr/>
        <w:t>Error answers follow RFC 7807 with a business message; unexpected errors return a generic message and a reference for support, never a stack trace.</w:t>
      </w:r>
    </w:p>
    <w:p>
      <w:pPr>
        <w:tabs>
          <w:tab w:pos="312" w:val="left"/>
        </w:tabs>
        <w:spacing w:after="40"/>
        <w:ind w:left="312" w:hanging="283"/>
      </w:pPr>
      <w:r>
        <w:rPr>
          <w:color w:val="004EA8"/>
        </w:rPr>
        <w:t>•</w:t>
        <w:tab/>
      </w:r>
      <w:r>
        <w:rPr/>
        <w:t>CSV exports neutralise formulas; downloads carry Content-Disposition attachment and no-store.</w:t>
      </w:r>
    </w:p>
    <w:p>
      <w:pPr>
        <w:tabs>
          <w:tab w:pos="312" w:val="left"/>
        </w:tabs>
        <w:spacing w:after="120"/>
        <w:ind w:left="312" w:hanging="283"/>
      </w:pPr>
      <w:r>
        <w:rPr>
          <w:color w:val="004EA8"/>
        </w:rPr>
        <w:t>•</w:t>
        <w:tab/>
      </w:r>
      <w:r>
        <w:rPr/>
        <w:t>Log messages have their line breaks neutralised.</w:t>
      </w:r>
    </w:p>
    <w:p>
      <w:pPr>
        <w:pStyle w:val="Heading1"/>
        <w:pageBreakBefore/>
        <w:pBdr>
          <w:bottom w:val="single" w:sz="4" w:space="4" w:color="99C1E7"/>
        </w:pBdr>
      </w:pPr>
      <w:bookmarkStart w:id="127" w:name="_Toc000127"/>
      <w:r>
        <w:rPr/>
        <w:t>8 OWASP Top 10 and ASVS Level 2</w:t>
      </w:r>
      <w:bookmarkEnd w:id="127"/>
    </w:p>
    <w:p>
      <w:pPr>
        <w:pStyle w:val="Heading2"/>
      </w:pPr>
      <w:bookmarkStart w:id="128" w:name="_Toc000128"/>
      <w:r>
        <w:rPr/>
        <w:t>8.1 OWASP Top 10 (2021)</w:t>
      </w:r>
      <w:bookmarkEnd w:id="128"/>
    </w:p>
    <w:p>
      <w:pPr>
        <w:pStyle w:val="Caption"/>
        <w:keepNext/>
        <w:spacing w:after="60"/>
      </w:pPr>
      <w:r>
        <w:rPr>
          <w:b/>
          <w:i w:val="0"/>
        </w:rPr>
        <w:t xml:space="preserve">Table 14: </w:t>
      </w:r>
      <w:r>
        <w:rPr/>
        <w:t>OWASP Top 10 (2021) and the BIBS controls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39"/>
        <w:gridCol w:w="1662"/>
        <w:gridCol w:w="5114"/>
        <w:gridCol w:w="2557"/>
      </w:tblGrid>
      <w:tr>
        <w:trPr>
          <w:tblHeader w:val="true"/>
          <w:cantSplit w:val="true"/>
        </w:trPr>
        <w:tc>
          <w:tcPr>
            <w:tcW w:type="dxa" w:w="639"/>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1662"/>
            <w:shd w:val="clear" w:color="auto" w:fill="004EA8"/>
            <w:tcMar>
              <w:top w:w="50" w:type="dxa"/>
              <w:bottom w:w="50" w:type="dxa"/>
              <w:left w:w="90" w:type="dxa"/>
              <w:right w:w="90" w:type="dxa"/>
            </w:tcMar>
            <w:vAlign w:val="center"/>
          </w:tcPr>
          <w:p>
            <w:pPr>
              <w:pStyle w:val="BDOITableHeader"/>
            </w:pPr>
            <w:r>
              <w:rPr>
                <w:b/>
                <w:color w:val="FFFFFF"/>
                <w:sz w:val="17"/>
              </w:rPr>
              <w:t>Category</w:t>
            </w:r>
          </w:p>
        </w:tc>
        <w:tc>
          <w:tcPr>
            <w:tcW w:type="dxa" w:w="5114"/>
            <w:shd w:val="clear" w:color="auto" w:fill="004EA8"/>
            <w:tcMar>
              <w:top w:w="50" w:type="dxa"/>
              <w:bottom w:w="50" w:type="dxa"/>
              <w:left w:w="90" w:type="dxa"/>
              <w:right w:w="90" w:type="dxa"/>
            </w:tcMar>
            <w:vAlign w:val="center"/>
          </w:tcPr>
          <w:p>
            <w:pPr>
              <w:pStyle w:val="BDOITableHeader"/>
            </w:pPr>
            <w:r>
              <w:rPr>
                <w:b/>
                <w:color w:val="FFFFFF"/>
                <w:sz w:val="17"/>
              </w:rPr>
              <w:t>BIBS controls</w:t>
            </w:r>
          </w:p>
        </w:tc>
        <w:tc>
          <w:tcPr>
            <w:tcW w:type="dxa" w:w="2557"/>
            <w:shd w:val="clear" w:color="auto" w:fill="004EA8"/>
            <w:tcMar>
              <w:top w:w="50" w:type="dxa"/>
              <w:bottom w:w="50" w:type="dxa"/>
              <w:left w:w="90" w:type="dxa"/>
              <w:right w:w="90" w:type="dxa"/>
            </w:tcMar>
            <w:vAlign w:val="center"/>
          </w:tcPr>
          <w:p>
            <w:pPr>
              <w:pStyle w:val="BDOITableHeader"/>
            </w:pPr>
            <w:r>
              <w:rPr>
                <w:b/>
                <w:color w:val="FFFFFF"/>
                <w:sz w:val="17"/>
              </w:rPr>
              <w:t>Verified by</w:t>
            </w:r>
          </w:p>
        </w:tc>
      </w:tr>
      <w:tr>
        <w:trPr>
          <w:cantSplit w:val="true"/>
        </w:trPr>
        <w:tc>
          <w:tcPr>
            <w:tcW w:type="dxa" w:w="639"/>
            <w:tcMar>
              <w:top w:w="50" w:type="dxa"/>
              <w:bottom w:w="50" w:type="dxa"/>
              <w:left w:w="90" w:type="dxa"/>
              <w:right w:w="90" w:type="dxa"/>
            </w:tcMar>
          </w:tcPr>
          <w:p>
            <w:pPr>
              <w:pStyle w:val="BDOITable"/>
            </w:pPr>
            <w:r>
              <w:rPr>
                <w:b/>
                <w:sz w:val="17"/>
              </w:rPr>
              <w:t>A01</w:t>
            </w:r>
          </w:p>
        </w:tc>
        <w:tc>
          <w:tcPr>
            <w:tcW w:type="dxa" w:w="1662"/>
            <w:tcMar>
              <w:top w:w="50" w:type="dxa"/>
              <w:bottom w:w="50" w:type="dxa"/>
              <w:left w:w="90" w:type="dxa"/>
              <w:right w:w="90" w:type="dxa"/>
            </w:tcMar>
          </w:tcPr>
          <w:p>
            <w:pPr>
              <w:pStyle w:val="BDOITable"/>
            </w:pPr>
            <w:r>
              <w:rPr>
                <w:sz w:val="17"/>
              </w:rPr>
              <w:t>Broken Access Control</w:t>
            </w:r>
          </w:p>
        </w:tc>
        <w:tc>
          <w:tcPr>
            <w:tcW w:type="dxa" w:w="5114"/>
            <w:tcMar>
              <w:top w:w="50" w:type="dxa"/>
              <w:bottom w:w="50" w:type="dxa"/>
              <w:left w:w="90" w:type="dxa"/>
              <w:right w:w="90" w:type="dxa"/>
            </w:tcMar>
          </w:tcPr>
          <w:p>
            <w:pPr>
              <w:pStyle w:val="BDOITable"/>
            </w:pPr>
            <w:r>
              <w:rPr>
                <w:sz w:val="17"/>
              </w:rPr>
              <w:t>Permission check on every controller method; central company and branch data scope (fail closed); maker-checker and second approval; separation-of-duties rules; authorisation limits; CORS allow list; directory listing off</w:t>
            </w:r>
          </w:p>
        </w:tc>
        <w:tc>
          <w:tcPr>
            <w:tcW w:type="dxa" w:w="2557"/>
            <w:tcMar>
              <w:top w:w="50" w:type="dxa"/>
              <w:bottom w:w="50" w:type="dxa"/>
              <w:left w:w="90" w:type="dxa"/>
              <w:right w:w="90" w:type="dxa"/>
            </w:tcMar>
          </w:tcPr>
          <w:p>
            <w:pPr>
              <w:pStyle w:val="BDOITable"/>
            </w:pPr>
            <w:r>
              <w:rPr>
                <w:sz w:val="17"/>
              </w:rPr>
              <w:t>Architecture rule and data scope coverage check in the pipeline; negative access cases per persona in the test plans; penetration test</w:t>
            </w:r>
          </w:p>
        </w:tc>
      </w:tr>
      <w:tr>
        <w:trPr>
          <w:cantSplit w:val="true"/>
        </w:trPr>
        <w:tc>
          <w:tcPr>
            <w:tcW w:type="dxa" w:w="639"/>
            <w:tcMar>
              <w:top w:w="50" w:type="dxa"/>
              <w:bottom w:w="50" w:type="dxa"/>
              <w:left w:w="90" w:type="dxa"/>
              <w:right w:w="90" w:type="dxa"/>
            </w:tcMar>
            <w:shd w:val="clear" w:color="auto" w:fill="E5F5FF"/>
          </w:tcPr>
          <w:p>
            <w:pPr>
              <w:pStyle w:val="BDOITable"/>
            </w:pPr>
            <w:r>
              <w:rPr>
                <w:b/>
                <w:sz w:val="17"/>
              </w:rPr>
              <w:t>A02</w:t>
            </w:r>
          </w:p>
        </w:tc>
        <w:tc>
          <w:tcPr>
            <w:tcW w:type="dxa" w:w="1662"/>
            <w:tcMar>
              <w:top w:w="50" w:type="dxa"/>
              <w:bottom w:w="50" w:type="dxa"/>
              <w:left w:w="90" w:type="dxa"/>
              <w:right w:w="90" w:type="dxa"/>
            </w:tcMar>
            <w:shd w:val="clear" w:color="auto" w:fill="E5F5FF"/>
          </w:tcPr>
          <w:p>
            <w:pPr>
              <w:pStyle w:val="BDOITable"/>
            </w:pPr>
            <w:r>
              <w:rPr>
                <w:sz w:val="17"/>
              </w:rPr>
              <w:t>Cryptographic Failures</w:t>
            </w:r>
          </w:p>
        </w:tc>
        <w:tc>
          <w:tcPr>
            <w:tcW w:type="dxa" w:w="5114"/>
            <w:tcMar>
              <w:top w:w="50" w:type="dxa"/>
              <w:bottom w:w="50" w:type="dxa"/>
              <w:left w:w="90" w:type="dxa"/>
              <w:right w:w="90" w:type="dxa"/>
            </w:tcMar>
            <w:shd w:val="clear" w:color="auto" w:fill="E5F5FF"/>
          </w:tcPr>
          <w:p>
            <w:pPr>
              <w:pStyle w:val="BDOITable"/>
            </w:pPr>
            <w:r>
              <w:rPr>
                <w:sz w:val="17"/>
              </w:rPr>
              <w:t>TLS 1.2/1.3 on every hop (verify-full to PostgreSQL); HSTS; SSE-KMS with BDOI-owned keys; RDS, Valkey and MSK encryption at rest; AES-256-GCM for second-factor secrets; BCrypt cost 12; no secrets in code</w:t>
            </w:r>
          </w:p>
        </w:tc>
        <w:tc>
          <w:tcPr>
            <w:tcW w:type="dxa" w:w="2557"/>
            <w:tcMar>
              <w:top w:w="50" w:type="dxa"/>
              <w:bottom w:w="50" w:type="dxa"/>
              <w:left w:w="90" w:type="dxa"/>
              <w:right w:w="90" w:type="dxa"/>
            </w:tcMar>
            <w:shd w:val="clear" w:color="auto" w:fill="E5F5FF"/>
          </w:tcPr>
          <w:p>
            <w:pPr>
              <w:pStyle w:val="BDOITable"/>
            </w:pPr>
            <w:r>
              <w:rPr>
                <w:sz w:val="17"/>
              </w:rPr>
              <w:t>Start-up safeguards refuse plaintext in production; TLS scan of the edge; configuration review</w:t>
            </w:r>
          </w:p>
        </w:tc>
      </w:tr>
      <w:tr>
        <w:trPr>
          <w:cantSplit w:val="true"/>
        </w:trPr>
        <w:tc>
          <w:tcPr>
            <w:tcW w:type="dxa" w:w="639"/>
            <w:tcMar>
              <w:top w:w="50" w:type="dxa"/>
              <w:bottom w:w="50" w:type="dxa"/>
              <w:left w:w="90" w:type="dxa"/>
              <w:right w:w="90" w:type="dxa"/>
            </w:tcMar>
          </w:tcPr>
          <w:p>
            <w:pPr>
              <w:pStyle w:val="BDOITable"/>
            </w:pPr>
            <w:r>
              <w:rPr>
                <w:b/>
                <w:sz w:val="17"/>
              </w:rPr>
              <w:t>A03</w:t>
            </w:r>
          </w:p>
        </w:tc>
        <w:tc>
          <w:tcPr>
            <w:tcW w:type="dxa" w:w="1662"/>
            <w:tcMar>
              <w:top w:w="50" w:type="dxa"/>
              <w:bottom w:w="50" w:type="dxa"/>
              <w:left w:w="90" w:type="dxa"/>
              <w:right w:w="90" w:type="dxa"/>
            </w:tcMar>
          </w:tcPr>
          <w:p>
            <w:pPr>
              <w:pStyle w:val="BDOITable"/>
            </w:pPr>
            <w:r>
              <w:rPr>
                <w:sz w:val="17"/>
              </w:rPr>
              <w:t>Injection</w:t>
            </w:r>
          </w:p>
        </w:tc>
        <w:tc>
          <w:tcPr>
            <w:tcW w:type="dxa" w:w="5114"/>
            <w:tcMar>
              <w:top w:w="50" w:type="dxa"/>
              <w:bottom w:w="50" w:type="dxa"/>
              <w:left w:w="90" w:type="dxa"/>
              <w:right w:w="90" w:type="dxa"/>
            </w:tcMar>
          </w:tcPr>
          <w:p>
            <w:pPr>
              <w:pStyle w:val="BDOITable"/>
            </w:pPr>
            <w:r>
              <w:rPr>
                <w:sz w:val="17"/>
              </w:rPr>
              <w:t>JPA and bound parameters only (scan of 8 October 2026: no request value concatenated into SQL); Bean Validation on every request; React escaping; CSV formula neutralisation; XML parsers without DTDs; no eval</w:t>
            </w:r>
          </w:p>
        </w:tc>
        <w:tc>
          <w:tcPr>
            <w:tcW w:type="dxa" w:w="2557"/>
            <w:tcMar>
              <w:top w:w="50" w:type="dxa"/>
              <w:bottom w:w="50" w:type="dxa"/>
              <w:left w:w="90" w:type="dxa"/>
              <w:right w:w="90" w:type="dxa"/>
            </w:tcMar>
          </w:tcPr>
          <w:p>
            <w:pPr>
              <w:pStyle w:val="BDOITable"/>
            </w:pPr>
            <w:r>
              <w:rPr>
                <w:sz w:val="17"/>
              </w:rPr>
              <w:t>CodeQL and the SpotBugs security plug-in on every pipeline; DAST; penetration test</w:t>
            </w:r>
          </w:p>
        </w:tc>
      </w:tr>
      <w:tr>
        <w:trPr>
          <w:cantSplit w:val="true"/>
        </w:trPr>
        <w:tc>
          <w:tcPr>
            <w:tcW w:type="dxa" w:w="639"/>
            <w:tcMar>
              <w:top w:w="50" w:type="dxa"/>
              <w:bottom w:w="50" w:type="dxa"/>
              <w:left w:w="90" w:type="dxa"/>
              <w:right w:w="90" w:type="dxa"/>
            </w:tcMar>
            <w:shd w:val="clear" w:color="auto" w:fill="E5F5FF"/>
          </w:tcPr>
          <w:p>
            <w:pPr>
              <w:pStyle w:val="BDOITable"/>
            </w:pPr>
            <w:r>
              <w:rPr>
                <w:b/>
                <w:sz w:val="17"/>
              </w:rPr>
              <w:t>A04</w:t>
            </w:r>
          </w:p>
        </w:tc>
        <w:tc>
          <w:tcPr>
            <w:tcW w:type="dxa" w:w="1662"/>
            <w:tcMar>
              <w:top w:w="50" w:type="dxa"/>
              <w:bottom w:w="50" w:type="dxa"/>
              <w:left w:w="90" w:type="dxa"/>
              <w:right w:w="90" w:type="dxa"/>
            </w:tcMar>
            <w:shd w:val="clear" w:color="auto" w:fill="E5F5FF"/>
          </w:tcPr>
          <w:p>
            <w:pPr>
              <w:pStyle w:val="BDOITable"/>
            </w:pPr>
            <w:r>
              <w:rPr>
                <w:sz w:val="17"/>
              </w:rPr>
              <w:t>Insecure Design</w:t>
            </w:r>
          </w:p>
        </w:tc>
        <w:tc>
          <w:tcPr>
            <w:tcW w:type="dxa" w:w="5114"/>
            <w:tcMar>
              <w:top w:w="50" w:type="dxa"/>
              <w:bottom w:w="50" w:type="dxa"/>
              <w:left w:w="90" w:type="dxa"/>
              <w:right w:w="90" w:type="dxa"/>
            </w:tcMar>
            <w:shd w:val="clear" w:color="auto" w:fill="E5F5FF"/>
          </w:tcPr>
          <w:p>
            <w:pPr>
              <w:pStyle w:val="BDOITable"/>
            </w:pPr>
            <w:r>
              <w:rPr>
                <w:sz w:val="17"/>
              </w:rPr>
              <w:t>STRIDE threat model per trust boundary; security requirements in every FRS; four eyes on money, access and master data; modular monolith with enforced module boundaries</w:t>
            </w:r>
          </w:p>
        </w:tc>
        <w:tc>
          <w:tcPr>
            <w:tcW w:type="dxa" w:w="2557"/>
            <w:tcMar>
              <w:top w:w="50" w:type="dxa"/>
              <w:bottom w:w="50" w:type="dxa"/>
              <w:left w:w="90" w:type="dxa"/>
              <w:right w:w="90" w:type="dxa"/>
            </w:tcMar>
            <w:shd w:val="clear" w:color="auto" w:fill="E5F5FF"/>
          </w:tcPr>
          <w:p>
            <w:pPr>
              <w:pStyle w:val="BDOITable"/>
            </w:pPr>
            <w:r>
              <w:rPr>
                <w:sz w:val="17"/>
              </w:rPr>
              <w:t>Threat model review per drop; architecture rules in the pipeline</w:t>
            </w:r>
          </w:p>
        </w:tc>
      </w:tr>
      <w:tr>
        <w:trPr>
          <w:cantSplit w:val="true"/>
        </w:trPr>
        <w:tc>
          <w:tcPr>
            <w:tcW w:type="dxa" w:w="639"/>
            <w:tcMar>
              <w:top w:w="50" w:type="dxa"/>
              <w:bottom w:w="50" w:type="dxa"/>
              <w:left w:w="90" w:type="dxa"/>
              <w:right w:w="90" w:type="dxa"/>
            </w:tcMar>
          </w:tcPr>
          <w:p>
            <w:pPr>
              <w:pStyle w:val="BDOITable"/>
            </w:pPr>
            <w:r>
              <w:rPr>
                <w:b/>
                <w:sz w:val="17"/>
              </w:rPr>
              <w:t>A05</w:t>
            </w:r>
          </w:p>
        </w:tc>
        <w:tc>
          <w:tcPr>
            <w:tcW w:type="dxa" w:w="1662"/>
            <w:tcMar>
              <w:top w:w="50" w:type="dxa"/>
              <w:bottom w:w="50" w:type="dxa"/>
              <w:left w:w="90" w:type="dxa"/>
              <w:right w:w="90" w:type="dxa"/>
            </w:tcMar>
          </w:tcPr>
          <w:p>
            <w:pPr>
              <w:pStyle w:val="BDOITable"/>
            </w:pPr>
            <w:r>
              <w:rPr>
                <w:sz w:val="17"/>
              </w:rPr>
              <w:t>Security Misconfiguration</w:t>
            </w:r>
          </w:p>
        </w:tc>
        <w:tc>
          <w:tcPr>
            <w:tcW w:type="dxa" w:w="5114"/>
            <w:tcMar>
              <w:top w:w="50" w:type="dxa"/>
              <w:bottom w:w="50" w:type="dxa"/>
              <w:left w:w="90" w:type="dxa"/>
              <w:right w:w="90" w:type="dxa"/>
            </w:tcMar>
          </w:tcPr>
          <w:p>
            <w:pPr>
              <w:pStyle w:val="BDOITable"/>
            </w:pPr>
            <w:r>
              <w:rPr>
                <w:sz w:val="17"/>
              </w:rPr>
              <w:t>Production start-up safeguards; hardened containers (non-root, read-only, no capabilities, restricted Pod Security); NetworkPolicies deny by default; security headers and CSP; API documentation and seed data refused in production</w:t>
            </w:r>
          </w:p>
        </w:tc>
        <w:tc>
          <w:tcPr>
            <w:tcW w:type="dxa" w:w="2557"/>
            <w:tcMar>
              <w:top w:w="50" w:type="dxa"/>
              <w:bottom w:w="50" w:type="dxa"/>
              <w:left w:w="90" w:type="dxa"/>
              <w:right w:w="90" w:type="dxa"/>
            </w:tcMar>
          </w:tcPr>
          <w:p>
            <w:pPr>
              <w:pStyle w:val="BDOITable"/>
            </w:pPr>
            <w:r>
              <w:rPr>
                <w:sz w:val="17"/>
              </w:rPr>
              <w:t>Trivy configuration and image scan; kubeconform; DAST baseline scan</w:t>
            </w:r>
          </w:p>
        </w:tc>
      </w:tr>
      <w:tr>
        <w:trPr>
          <w:cantSplit w:val="true"/>
        </w:trPr>
        <w:tc>
          <w:tcPr>
            <w:tcW w:type="dxa" w:w="639"/>
            <w:tcMar>
              <w:top w:w="50" w:type="dxa"/>
              <w:bottom w:w="50" w:type="dxa"/>
              <w:left w:w="90" w:type="dxa"/>
              <w:right w:w="90" w:type="dxa"/>
            </w:tcMar>
            <w:shd w:val="clear" w:color="auto" w:fill="E5F5FF"/>
          </w:tcPr>
          <w:p>
            <w:pPr>
              <w:pStyle w:val="BDOITable"/>
            </w:pPr>
            <w:r>
              <w:rPr>
                <w:b/>
                <w:sz w:val="17"/>
              </w:rPr>
              <w:t>A06</w:t>
            </w:r>
          </w:p>
        </w:tc>
        <w:tc>
          <w:tcPr>
            <w:tcW w:type="dxa" w:w="1662"/>
            <w:tcMar>
              <w:top w:w="50" w:type="dxa"/>
              <w:bottom w:w="50" w:type="dxa"/>
              <w:left w:w="90" w:type="dxa"/>
              <w:right w:w="90" w:type="dxa"/>
            </w:tcMar>
            <w:shd w:val="clear" w:color="auto" w:fill="E5F5FF"/>
          </w:tcPr>
          <w:p>
            <w:pPr>
              <w:pStyle w:val="BDOITable"/>
            </w:pPr>
            <w:r>
              <w:rPr>
                <w:sz w:val="17"/>
              </w:rPr>
              <w:t>Vulnerable and Outdated Components</w:t>
            </w:r>
          </w:p>
        </w:tc>
        <w:tc>
          <w:tcPr>
            <w:tcW w:type="dxa" w:w="5114"/>
            <w:tcMar>
              <w:top w:w="50" w:type="dxa"/>
              <w:bottom w:w="50" w:type="dxa"/>
              <w:left w:w="90" w:type="dxa"/>
              <w:right w:w="90" w:type="dxa"/>
            </w:tcMar>
            <w:shd w:val="clear" w:color="auto" w:fill="E5F5FF"/>
          </w:tcPr>
          <w:p>
            <w:pPr>
              <w:pStyle w:val="BDOITable"/>
            </w:pPr>
            <w:r>
              <w:rPr>
                <w:sz w:val="17"/>
              </w:rPr>
              <w:t>OWASP dependency-check (CVSS 7 or higher fails), npm audit (high fails), Trivy (high and critical with a fix fail); weekly update proposals; SBOM per pipeline; time-boxed exceptions</w:t>
            </w:r>
          </w:p>
        </w:tc>
        <w:tc>
          <w:tcPr>
            <w:tcW w:type="dxa" w:w="2557"/>
            <w:tcMar>
              <w:top w:w="50" w:type="dxa"/>
              <w:bottom w:w="50" w:type="dxa"/>
              <w:left w:w="90" w:type="dxa"/>
              <w:right w:w="90" w:type="dxa"/>
            </w:tcMar>
            <w:shd w:val="clear" w:color="auto" w:fill="E5F5FF"/>
          </w:tcPr>
          <w:p>
            <w:pPr>
              <w:pStyle w:val="BDOITable"/>
            </w:pPr>
            <w:r>
              <w:rPr>
                <w:sz w:val="17"/>
              </w:rPr>
              <w:t>Pipeline gates; exception register reviewed monthly</w:t>
            </w:r>
          </w:p>
        </w:tc>
      </w:tr>
      <w:tr>
        <w:trPr>
          <w:cantSplit w:val="true"/>
        </w:trPr>
        <w:tc>
          <w:tcPr>
            <w:tcW w:type="dxa" w:w="639"/>
            <w:tcMar>
              <w:top w:w="50" w:type="dxa"/>
              <w:bottom w:w="50" w:type="dxa"/>
              <w:left w:w="90" w:type="dxa"/>
              <w:right w:w="90" w:type="dxa"/>
            </w:tcMar>
          </w:tcPr>
          <w:p>
            <w:pPr>
              <w:pStyle w:val="BDOITable"/>
            </w:pPr>
            <w:r>
              <w:rPr>
                <w:b/>
                <w:sz w:val="17"/>
              </w:rPr>
              <w:t>A07</w:t>
            </w:r>
          </w:p>
        </w:tc>
        <w:tc>
          <w:tcPr>
            <w:tcW w:type="dxa" w:w="1662"/>
            <w:tcMar>
              <w:top w:w="50" w:type="dxa"/>
              <w:bottom w:w="50" w:type="dxa"/>
              <w:left w:w="90" w:type="dxa"/>
              <w:right w:w="90" w:type="dxa"/>
            </w:tcMar>
          </w:tcPr>
          <w:p>
            <w:pPr>
              <w:pStyle w:val="BDOITable"/>
            </w:pPr>
            <w:r>
              <w:rPr>
                <w:sz w:val="17"/>
              </w:rPr>
              <w:t>Identification and Authentication Failures</w:t>
            </w:r>
          </w:p>
        </w:tc>
        <w:tc>
          <w:tcPr>
            <w:tcW w:type="dxa" w:w="5114"/>
            <w:tcMar>
              <w:top w:w="50" w:type="dxa"/>
              <w:bottom w:w="50" w:type="dxa"/>
              <w:left w:w="90" w:type="dxa"/>
              <w:right w:w="90" w:type="dxa"/>
            </w:tcMar>
          </w:tcPr>
          <w:p>
            <w:pPr>
              <w:pStyle w:val="BDOITable"/>
            </w:pPr>
            <w:r>
              <w:rPr>
                <w:sz w:val="17"/>
              </w:rPr>
              <w:t>Single sign-on with EIAM (OIDC or SAML 2.0); TOTP second factor; lockout after 3 failures; rate limits; server-side sessions with idle (30 min) and absolute (8 h) limits; refresh token rotation with reuse detection; break-glass accounts with second factor</w:t>
            </w:r>
          </w:p>
        </w:tc>
        <w:tc>
          <w:tcPr>
            <w:tcW w:type="dxa" w:w="2557"/>
            <w:tcMar>
              <w:top w:w="50" w:type="dxa"/>
              <w:bottom w:w="50" w:type="dxa"/>
              <w:left w:w="90" w:type="dxa"/>
              <w:right w:w="90" w:type="dxa"/>
            </w:tcMar>
          </w:tcPr>
          <w:p>
            <w:pPr>
              <w:pStyle w:val="BDOITable"/>
            </w:pPr>
            <w:r>
              <w:rPr>
                <w:sz w:val="17"/>
              </w:rPr>
              <w:t>Sign-in, single sign-on and second-factor integration checks; penetration test</w:t>
            </w:r>
          </w:p>
        </w:tc>
      </w:tr>
      <w:tr>
        <w:trPr>
          <w:cantSplit w:val="true"/>
        </w:trPr>
        <w:tc>
          <w:tcPr>
            <w:tcW w:type="dxa" w:w="639"/>
            <w:tcMar>
              <w:top w:w="50" w:type="dxa"/>
              <w:bottom w:w="50" w:type="dxa"/>
              <w:left w:w="90" w:type="dxa"/>
              <w:right w:w="90" w:type="dxa"/>
            </w:tcMar>
            <w:shd w:val="clear" w:color="auto" w:fill="E5F5FF"/>
          </w:tcPr>
          <w:p>
            <w:pPr>
              <w:pStyle w:val="BDOITable"/>
            </w:pPr>
            <w:r>
              <w:rPr>
                <w:b/>
                <w:sz w:val="17"/>
              </w:rPr>
              <w:t>A08</w:t>
            </w:r>
          </w:p>
        </w:tc>
        <w:tc>
          <w:tcPr>
            <w:tcW w:type="dxa" w:w="1662"/>
            <w:tcMar>
              <w:top w:w="50" w:type="dxa"/>
              <w:bottom w:w="50" w:type="dxa"/>
              <w:left w:w="90" w:type="dxa"/>
              <w:right w:w="90" w:type="dxa"/>
            </w:tcMar>
            <w:shd w:val="clear" w:color="auto" w:fill="E5F5FF"/>
          </w:tcPr>
          <w:p>
            <w:pPr>
              <w:pStyle w:val="BDOITable"/>
            </w:pPr>
            <w:r>
              <w:rPr>
                <w:sz w:val="17"/>
              </w:rPr>
              <w:t>Software and Data Integrity Failures</w:t>
            </w:r>
          </w:p>
        </w:tc>
        <w:tc>
          <w:tcPr>
            <w:tcW w:type="dxa" w:w="5114"/>
            <w:tcMar>
              <w:top w:w="50" w:type="dxa"/>
              <w:bottom w:w="50" w:type="dxa"/>
              <w:left w:w="90" w:type="dxa"/>
              <w:right w:w="90" w:type="dxa"/>
            </w:tcMar>
            <w:shd w:val="clear" w:color="auto" w:fill="E5F5FF"/>
          </w:tcPr>
          <w:p>
            <w:pPr>
              <w:pStyle w:val="BDOITable"/>
            </w:pPr>
            <w:r>
              <w:rPr>
                <w:sz w:val="17"/>
              </w:rPr>
              <w:t>Pipeline actions pinned by content hash; scanners verified by SHA-256; base images pinned by digest; no Java deserialisation of untrusted data; insert-only audit and ledger tables; image signing planned (SEC-11)</w:t>
            </w:r>
          </w:p>
        </w:tc>
        <w:tc>
          <w:tcPr>
            <w:tcW w:type="dxa" w:w="2557"/>
            <w:tcMar>
              <w:top w:w="50" w:type="dxa"/>
              <w:bottom w:w="50" w:type="dxa"/>
              <w:left w:w="90" w:type="dxa"/>
              <w:right w:w="90" w:type="dxa"/>
            </w:tcMar>
            <w:shd w:val="clear" w:color="auto" w:fill="E5F5FF"/>
          </w:tcPr>
          <w:p>
            <w:pPr>
              <w:pStyle w:val="BDOITable"/>
            </w:pPr>
            <w:r>
              <w:rPr>
                <w:sz w:val="17"/>
              </w:rPr>
              <w:t>Pipeline review; gitleaks; Trivy</w:t>
            </w:r>
          </w:p>
        </w:tc>
      </w:tr>
      <w:tr>
        <w:trPr>
          <w:cantSplit w:val="true"/>
        </w:trPr>
        <w:tc>
          <w:tcPr>
            <w:tcW w:type="dxa" w:w="639"/>
            <w:tcMar>
              <w:top w:w="50" w:type="dxa"/>
              <w:bottom w:w="50" w:type="dxa"/>
              <w:left w:w="90" w:type="dxa"/>
              <w:right w:w="90" w:type="dxa"/>
            </w:tcMar>
          </w:tcPr>
          <w:p>
            <w:pPr>
              <w:pStyle w:val="BDOITable"/>
            </w:pPr>
            <w:r>
              <w:rPr>
                <w:b/>
                <w:sz w:val="17"/>
              </w:rPr>
              <w:t>A09</w:t>
            </w:r>
          </w:p>
        </w:tc>
        <w:tc>
          <w:tcPr>
            <w:tcW w:type="dxa" w:w="1662"/>
            <w:tcMar>
              <w:top w:w="50" w:type="dxa"/>
              <w:bottom w:w="50" w:type="dxa"/>
              <w:left w:w="90" w:type="dxa"/>
              <w:right w:w="90" w:type="dxa"/>
            </w:tcMar>
          </w:tcPr>
          <w:p>
            <w:pPr>
              <w:pStyle w:val="BDOITable"/>
            </w:pPr>
            <w:r>
              <w:rPr>
                <w:sz w:val="17"/>
              </w:rPr>
              <w:t>Security Logging and Monitoring Failures</w:t>
            </w:r>
          </w:p>
        </w:tc>
        <w:tc>
          <w:tcPr>
            <w:tcW w:type="dxa" w:w="5114"/>
            <w:tcMar>
              <w:top w:w="50" w:type="dxa"/>
              <w:bottom w:w="50" w:type="dxa"/>
              <w:left w:w="90" w:type="dxa"/>
              <w:right w:w="90" w:type="dxa"/>
            </w:tcMar>
          </w:tcPr>
          <w:p>
            <w:pPr>
              <w:pStyle w:val="BDOITable"/>
            </w:pPr>
            <w:r>
              <w:rPr>
                <w:sz w:val="17"/>
              </w:rPr>
              <w:t>Insert-only audit trail; sign-in audit; access change log; security store alarm and alerts; log forging protection; metrics on the management port; forwarding to the BDO SIEM (SEC-07)</w:t>
            </w:r>
          </w:p>
        </w:tc>
        <w:tc>
          <w:tcPr>
            <w:tcW w:type="dxa" w:w="2557"/>
            <w:tcMar>
              <w:top w:w="50" w:type="dxa"/>
              <w:bottom w:w="50" w:type="dxa"/>
              <w:left w:w="90" w:type="dxa"/>
              <w:right w:w="90" w:type="dxa"/>
            </w:tcMar>
          </w:tcPr>
          <w:p>
            <w:pPr>
              <w:pStyle w:val="BDOITable"/>
            </w:pPr>
            <w:r>
              <w:rPr>
                <w:sz w:val="17"/>
              </w:rPr>
              <w:t>Audit reports of BRD-11; SIEM use cases with BDOI Information Security</w:t>
            </w:r>
          </w:p>
        </w:tc>
      </w:tr>
      <w:tr>
        <w:trPr>
          <w:cantSplit w:val="true"/>
        </w:trPr>
        <w:tc>
          <w:tcPr>
            <w:tcW w:type="dxa" w:w="639"/>
            <w:tcMar>
              <w:top w:w="50" w:type="dxa"/>
              <w:bottom w:w="50" w:type="dxa"/>
              <w:left w:w="90" w:type="dxa"/>
              <w:right w:w="90" w:type="dxa"/>
            </w:tcMar>
            <w:shd w:val="clear" w:color="auto" w:fill="E5F5FF"/>
          </w:tcPr>
          <w:p>
            <w:pPr>
              <w:pStyle w:val="BDOITable"/>
            </w:pPr>
            <w:r>
              <w:rPr>
                <w:b/>
                <w:sz w:val="17"/>
              </w:rPr>
              <w:t>A10</w:t>
            </w:r>
          </w:p>
        </w:tc>
        <w:tc>
          <w:tcPr>
            <w:tcW w:type="dxa" w:w="1662"/>
            <w:tcMar>
              <w:top w:w="50" w:type="dxa"/>
              <w:bottom w:w="50" w:type="dxa"/>
              <w:left w:w="90" w:type="dxa"/>
              <w:right w:w="90" w:type="dxa"/>
            </w:tcMar>
            <w:shd w:val="clear" w:color="auto" w:fill="E5F5FF"/>
          </w:tcPr>
          <w:p>
            <w:pPr>
              <w:pStyle w:val="BDOITable"/>
            </w:pPr>
            <w:r>
              <w:rPr>
                <w:sz w:val="17"/>
              </w:rPr>
              <w:t>Server-Side Request Forgery</w:t>
            </w:r>
          </w:p>
        </w:tc>
        <w:tc>
          <w:tcPr>
            <w:tcW w:type="dxa" w:w="5114"/>
            <w:tcMar>
              <w:top w:w="50" w:type="dxa"/>
              <w:bottom w:w="50" w:type="dxa"/>
              <w:left w:w="90" w:type="dxa"/>
              <w:right w:w="90" w:type="dxa"/>
            </w:tcMar>
            <w:shd w:val="clear" w:color="auto" w:fill="E5F5FF"/>
          </w:tcPr>
          <w:p>
            <w:pPr>
              <w:pStyle w:val="BDOITable"/>
            </w:pPr>
            <w:r>
              <w:rPr>
                <w:sz w:val="17"/>
              </w:rPr>
              <w:t>No outbound URL from user input; outbound addresses from configuration; egress NetworkPolicies to named subnets and VPC interface connections; file metadata never used as a URL</w:t>
            </w:r>
          </w:p>
        </w:tc>
        <w:tc>
          <w:tcPr>
            <w:tcW w:type="dxa" w:w="2557"/>
            <w:tcMar>
              <w:top w:w="50" w:type="dxa"/>
              <w:bottom w:w="50" w:type="dxa"/>
              <w:left w:w="90" w:type="dxa"/>
              <w:right w:w="90" w:type="dxa"/>
            </w:tcMar>
            <w:shd w:val="clear" w:color="auto" w:fill="E5F5FF"/>
          </w:tcPr>
          <w:p>
            <w:pPr>
              <w:pStyle w:val="BDOITable"/>
            </w:pPr>
            <w:r>
              <w:rPr>
                <w:sz w:val="17"/>
              </w:rPr>
              <w:t>Code review; penetration test</w:t>
            </w:r>
          </w:p>
        </w:tc>
      </w:tr>
    </w:tbl>
    <w:p>
      <w:pPr>
        <w:pStyle w:val="BDOISpacer"/>
      </w:pPr>
    </w:p>
    <w:p>
      <w:pPr>
        <w:pStyle w:val="Heading2"/>
      </w:pPr>
      <w:bookmarkStart w:id="129" w:name="_Toc000129"/>
      <w:r>
        <w:rPr/>
        <w:t>8.2 ASVS 4.0.3 Level 2 control mapping</w:t>
      </w:r>
      <w:bookmarkEnd w:id="129"/>
    </w:p>
    <w:p>
      <w:r>
        <w:rPr/>
        <w:t>The workbook BIBS ASVS L2 Control Mapping v1.0 maps each of the 259 Level 2 requirements to the control, the evidence in code, configuration or pipeline, and the gap with its action, owner and date.</w:t>
      </w:r>
    </w:p>
    <w:p>
      <w:pPr>
        <w:pStyle w:val="Caption"/>
        <w:keepNext/>
        <w:spacing w:after="60"/>
      </w:pPr>
      <w:r>
        <w:rPr>
          <w:b/>
          <w:i w:val="0"/>
        </w:rPr>
        <w:t xml:space="preserve">Table 15: </w:t>
      </w:r>
      <w:r>
        <w:rPr/>
        <w:t>OWASP ASVS 4.0.3 Level 2: requirements per chapter and status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415"/>
        <w:gridCol w:w="1092"/>
        <w:gridCol w:w="1092"/>
        <w:gridCol w:w="1092"/>
        <w:gridCol w:w="1092"/>
        <w:gridCol w:w="1092"/>
        <w:gridCol w:w="1092"/>
      </w:tblGrid>
      <w:tr>
        <w:trPr>
          <w:tblHeader w:val="true"/>
          <w:cantSplit w:val="true"/>
        </w:trPr>
        <w:tc>
          <w:tcPr>
            <w:tcW w:type="dxa" w:w="3415"/>
            <w:shd w:val="clear" w:color="auto" w:fill="004EA8"/>
            <w:tcMar>
              <w:top w:w="50" w:type="dxa"/>
              <w:bottom w:w="50" w:type="dxa"/>
              <w:left w:w="90" w:type="dxa"/>
              <w:right w:w="90" w:type="dxa"/>
            </w:tcMar>
            <w:vAlign w:val="center"/>
          </w:tcPr>
          <w:p>
            <w:pPr>
              <w:pStyle w:val="BDOITableHeader"/>
            </w:pPr>
            <w:r>
              <w:rPr>
                <w:b/>
                <w:color w:val="FFFFFF"/>
                <w:sz w:val="18"/>
              </w:rPr>
              <w:t>Chapter</w:t>
            </w:r>
          </w:p>
        </w:tc>
        <w:tc>
          <w:tcPr>
            <w:tcW w:type="dxa" w:w="1093"/>
            <w:shd w:val="clear" w:color="auto" w:fill="004EA8"/>
            <w:tcMar>
              <w:top w:w="50" w:type="dxa"/>
              <w:bottom w:w="50" w:type="dxa"/>
              <w:left w:w="90" w:type="dxa"/>
              <w:right w:w="90" w:type="dxa"/>
            </w:tcMar>
            <w:vAlign w:val="center"/>
          </w:tcPr>
          <w:p>
            <w:pPr>
              <w:pStyle w:val="BDOITableHeader"/>
            </w:pPr>
            <w:r>
              <w:rPr>
                <w:b/>
                <w:color w:val="FFFFFF"/>
                <w:sz w:val="18"/>
              </w:rPr>
              <w:t>Met</w:t>
            </w:r>
          </w:p>
        </w:tc>
        <w:tc>
          <w:tcPr>
            <w:tcW w:type="dxa" w:w="1093"/>
            <w:shd w:val="clear" w:color="auto" w:fill="004EA8"/>
            <w:tcMar>
              <w:top w:w="50" w:type="dxa"/>
              <w:bottom w:w="50" w:type="dxa"/>
              <w:left w:w="90" w:type="dxa"/>
              <w:right w:w="90" w:type="dxa"/>
            </w:tcMar>
            <w:vAlign w:val="center"/>
          </w:tcPr>
          <w:p>
            <w:pPr>
              <w:pStyle w:val="BDOITableHeader"/>
            </w:pPr>
            <w:r>
              <w:rPr>
                <w:b/>
                <w:color w:val="FFFFFF"/>
                <w:sz w:val="18"/>
              </w:rPr>
              <w:t>Partly met</w:t>
            </w:r>
          </w:p>
        </w:tc>
        <w:tc>
          <w:tcPr>
            <w:tcW w:type="dxa" w:w="1093"/>
            <w:shd w:val="clear" w:color="auto" w:fill="004EA8"/>
            <w:tcMar>
              <w:top w:w="50" w:type="dxa"/>
              <w:bottom w:w="50" w:type="dxa"/>
              <w:left w:w="90" w:type="dxa"/>
              <w:right w:w="90" w:type="dxa"/>
            </w:tcMar>
            <w:vAlign w:val="center"/>
          </w:tcPr>
          <w:p>
            <w:pPr>
              <w:pStyle w:val="BDOITableHeader"/>
            </w:pPr>
            <w:r>
              <w:rPr>
                <w:b/>
                <w:color w:val="FFFFFF"/>
                <w:sz w:val="18"/>
              </w:rPr>
              <w:t>Planned</w:t>
            </w:r>
          </w:p>
        </w:tc>
        <w:tc>
          <w:tcPr>
            <w:tcW w:type="dxa" w:w="1093"/>
            <w:shd w:val="clear" w:color="auto" w:fill="004EA8"/>
            <w:tcMar>
              <w:top w:w="50" w:type="dxa"/>
              <w:bottom w:w="50" w:type="dxa"/>
              <w:left w:w="90" w:type="dxa"/>
              <w:right w:w="90" w:type="dxa"/>
            </w:tcMar>
            <w:vAlign w:val="center"/>
          </w:tcPr>
          <w:p>
            <w:pPr>
              <w:pStyle w:val="BDOITableHeader"/>
            </w:pPr>
            <w:r>
              <w:rPr>
                <w:b/>
                <w:color w:val="FFFFFF"/>
                <w:sz w:val="18"/>
              </w:rPr>
              <w:t>BDOI</w:t>
            </w:r>
          </w:p>
        </w:tc>
        <w:tc>
          <w:tcPr>
            <w:tcW w:type="dxa" w:w="1093"/>
            <w:shd w:val="clear" w:color="auto" w:fill="004EA8"/>
            <w:tcMar>
              <w:top w:w="50" w:type="dxa"/>
              <w:bottom w:w="50" w:type="dxa"/>
              <w:left w:w="90" w:type="dxa"/>
              <w:right w:w="90" w:type="dxa"/>
            </w:tcMar>
            <w:vAlign w:val="center"/>
          </w:tcPr>
          <w:p>
            <w:pPr>
              <w:pStyle w:val="BDOITableHeader"/>
            </w:pPr>
            <w:r>
              <w:rPr>
                <w:b/>
                <w:color w:val="FFFFFF"/>
                <w:sz w:val="18"/>
              </w:rPr>
              <w:t>Not applicable</w:t>
            </w:r>
          </w:p>
        </w:tc>
        <w:tc>
          <w:tcPr>
            <w:tcW w:type="dxa" w:w="1093"/>
            <w:shd w:val="clear" w:color="auto" w:fill="004EA8"/>
            <w:tcMar>
              <w:top w:w="50" w:type="dxa"/>
              <w:bottom w:w="50" w:type="dxa"/>
              <w:left w:w="90" w:type="dxa"/>
              <w:right w:w="90" w:type="dxa"/>
            </w:tcMar>
            <w:vAlign w:val="center"/>
          </w:tcPr>
          <w:p>
            <w:pPr>
              <w:pStyle w:val="BDOITableHeader"/>
            </w:pPr>
            <w:r>
              <w:rPr>
                <w:b/>
                <w:color w:val="FFFFFF"/>
                <w:sz w:val="18"/>
              </w:rPr>
              <w:t>Total</w:t>
            </w:r>
          </w:p>
        </w:tc>
      </w:tr>
      <w:tr>
        <w:trPr>
          <w:cantSplit w:val="true"/>
        </w:trPr>
        <w:tc>
          <w:tcPr>
            <w:tcW w:type="dxa" w:w="3415"/>
            <w:tcMar>
              <w:top w:w="50" w:type="dxa"/>
              <w:bottom w:w="50" w:type="dxa"/>
              <w:left w:w="90" w:type="dxa"/>
              <w:right w:w="90" w:type="dxa"/>
            </w:tcMar>
          </w:tcPr>
          <w:p>
            <w:pPr>
              <w:pStyle w:val="BDOITable"/>
            </w:pPr>
            <w:r>
              <w:rPr>
                <w:b/>
                <w:sz w:val="18"/>
              </w:rPr>
              <w:t>V1 Architecture, Design and Threat Modeling</w:t>
            </w:r>
          </w:p>
        </w:tc>
        <w:tc>
          <w:tcPr>
            <w:tcW w:type="dxa" w:w="1093"/>
            <w:tcMar>
              <w:top w:w="50" w:type="dxa"/>
              <w:bottom w:w="50" w:type="dxa"/>
              <w:left w:w="90" w:type="dxa"/>
              <w:right w:w="90" w:type="dxa"/>
            </w:tcMar>
          </w:tcPr>
          <w:p>
            <w:pPr>
              <w:pStyle w:val="BDOITable"/>
            </w:pPr>
            <w:r>
              <w:rPr>
                <w:sz w:val="18"/>
              </w:rPr>
              <w:t>33</w:t>
            </w:r>
          </w:p>
        </w:tc>
        <w:tc>
          <w:tcPr>
            <w:tcW w:type="dxa" w:w="1093"/>
            <w:tcMar>
              <w:top w:w="50" w:type="dxa"/>
              <w:bottom w:w="50" w:type="dxa"/>
              <w:left w:w="90" w:type="dxa"/>
              <w:right w:w="90" w:type="dxa"/>
            </w:tcMar>
          </w:tcPr>
          <w:p>
            <w:pPr>
              <w:pStyle w:val="BDOITable"/>
            </w:pPr>
            <w:r>
              <w:rPr>
                <w:sz w:val="18"/>
              </w:rPr>
              <w:t>4</w:t>
            </w:r>
          </w:p>
        </w:tc>
        <w:tc>
          <w:tcPr>
            <w:tcW w:type="dxa" w:w="1093"/>
            <w:tcMar>
              <w:top w:w="50" w:type="dxa"/>
              <w:bottom w:w="50" w:type="dxa"/>
              <w:left w:w="90" w:type="dxa"/>
              <w:right w:w="90" w:type="dxa"/>
            </w:tcMar>
          </w:tcPr>
          <w:p>
            <w:pPr>
              <w:pStyle w:val="BDOITable"/>
            </w:pPr>
            <w:r>
              <w:rPr>
                <w:sz w:val="18"/>
              </w:rPr>
              <w:t>0</w:t>
            </w:r>
          </w:p>
        </w:tc>
        <w:tc>
          <w:tcPr>
            <w:tcW w:type="dxa" w:w="1093"/>
            <w:tcMar>
              <w:top w:w="50" w:type="dxa"/>
              <w:bottom w:w="50" w:type="dxa"/>
              <w:left w:w="90" w:type="dxa"/>
              <w:right w:w="90" w:type="dxa"/>
            </w:tcMar>
          </w:tcPr>
          <w:p>
            <w:pPr>
              <w:pStyle w:val="BDOITable"/>
            </w:pPr>
            <w:r>
              <w:rPr>
                <w:sz w:val="18"/>
              </w:rPr>
              <w:t>1</w:t>
            </w:r>
          </w:p>
        </w:tc>
        <w:tc>
          <w:tcPr>
            <w:tcW w:type="dxa" w:w="1093"/>
            <w:tcMar>
              <w:top w:w="50" w:type="dxa"/>
              <w:bottom w:w="50" w:type="dxa"/>
              <w:left w:w="90" w:type="dxa"/>
              <w:right w:w="90" w:type="dxa"/>
            </w:tcMar>
          </w:tcPr>
          <w:p>
            <w:pPr>
              <w:pStyle w:val="BDOITable"/>
            </w:pPr>
            <w:r>
              <w:rPr>
                <w:sz w:val="18"/>
              </w:rPr>
              <w:t>0</w:t>
            </w:r>
          </w:p>
        </w:tc>
        <w:tc>
          <w:tcPr>
            <w:tcW w:type="dxa" w:w="1093"/>
            <w:tcMar>
              <w:top w:w="50" w:type="dxa"/>
              <w:bottom w:w="50" w:type="dxa"/>
              <w:left w:w="90" w:type="dxa"/>
              <w:right w:w="90" w:type="dxa"/>
            </w:tcMar>
          </w:tcPr>
          <w:p>
            <w:pPr>
              <w:pStyle w:val="BDOITable"/>
            </w:pPr>
            <w:r>
              <w:rPr>
                <w:sz w:val="18"/>
              </w:rPr>
              <w:t>38</w:t>
            </w:r>
          </w:p>
        </w:tc>
      </w:tr>
      <w:tr>
        <w:trPr>
          <w:cantSplit w:val="true"/>
        </w:trPr>
        <w:tc>
          <w:tcPr>
            <w:tcW w:type="dxa" w:w="3415"/>
            <w:tcMar>
              <w:top w:w="50" w:type="dxa"/>
              <w:bottom w:w="50" w:type="dxa"/>
              <w:left w:w="90" w:type="dxa"/>
              <w:right w:w="90" w:type="dxa"/>
            </w:tcMar>
            <w:shd w:val="clear" w:color="auto" w:fill="E5F5FF"/>
          </w:tcPr>
          <w:p>
            <w:pPr>
              <w:pStyle w:val="BDOITable"/>
            </w:pPr>
            <w:r>
              <w:rPr>
                <w:b/>
                <w:sz w:val="18"/>
              </w:rPr>
              <w:t>V2 Authentication</w:t>
            </w:r>
          </w:p>
        </w:tc>
        <w:tc>
          <w:tcPr>
            <w:tcW w:type="dxa" w:w="1093"/>
            <w:tcMar>
              <w:top w:w="50" w:type="dxa"/>
              <w:bottom w:w="50" w:type="dxa"/>
              <w:left w:w="90" w:type="dxa"/>
              <w:right w:w="90" w:type="dxa"/>
            </w:tcMar>
            <w:shd w:val="clear" w:color="auto" w:fill="E5F5FF"/>
          </w:tcPr>
          <w:p>
            <w:pPr>
              <w:pStyle w:val="BDOITable"/>
            </w:pPr>
            <w:r>
              <w:rPr>
                <w:sz w:val="18"/>
              </w:rPr>
              <w:t>31</w:t>
            </w:r>
          </w:p>
        </w:tc>
        <w:tc>
          <w:tcPr>
            <w:tcW w:type="dxa" w:w="1093"/>
            <w:tcMar>
              <w:top w:w="50" w:type="dxa"/>
              <w:bottom w:w="50" w:type="dxa"/>
              <w:left w:w="90" w:type="dxa"/>
              <w:right w:w="90" w:type="dxa"/>
            </w:tcMar>
            <w:shd w:val="clear" w:color="auto" w:fill="E5F5FF"/>
          </w:tcPr>
          <w:p>
            <w:pPr>
              <w:pStyle w:val="BDOITable"/>
            </w:pPr>
            <w:r>
              <w:rPr>
                <w:sz w:val="18"/>
              </w:rPr>
              <w:t>7</w:t>
            </w:r>
          </w:p>
        </w:tc>
        <w:tc>
          <w:tcPr>
            <w:tcW w:type="dxa" w:w="1093"/>
            <w:tcMar>
              <w:top w:w="50" w:type="dxa"/>
              <w:bottom w:w="50" w:type="dxa"/>
              <w:left w:w="90" w:type="dxa"/>
              <w:right w:w="90" w:type="dxa"/>
            </w:tcMar>
            <w:shd w:val="clear" w:color="auto" w:fill="E5F5FF"/>
          </w:tcPr>
          <w:p>
            <w:pPr>
              <w:pStyle w:val="BDOITable"/>
            </w:pPr>
            <w:r>
              <w:rPr>
                <w:sz w:val="18"/>
              </w:rPr>
              <w:t>1</w:t>
            </w:r>
          </w:p>
        </w:tc>
        <w:tc>
          <w:tcPr>
            <w:tcW w:type="dxa" w:w="1093"/>
            <w:tcMar>
              <w:top w:w="50" w:type="dxa"/>
              <w:bottom w:w="50" w:type="dxa"/>
              <w:left w:w="90" w:type="dxa"/>
              <w:right w:w="90" w:type="dxa"/>
            </w:tcMar>
            <w:shd w:val="clear" w:color="auto" w:fill="E5F5FF"/>
          </w:tcPr>
          <w:p>
            <w:pPr>
              <w:pStyle w:val="BDOITable"/>
            </w:pPr>
            <w:r>
              <w:rPr>
                <w:sz w:val="18"/>
              </w:rPr>
              <w:t>1</w:t>
            </w:r>
          </w:p>
        </w:tc>
        <w:tc>
          <w:tcPr>
            <w:tcW w:type="dxa" w:w="1093"/>
            <w:tcMar>
              <w:top w:w="50" w:type="dxa"/>
              <w:bottom w:w="50" w:type="dxa"/>
              <w:left w:w="90" w:type="dxa"/>
              <w:right w:w="90" w:type="dxa"/>
            </w:tcMar>
            <w:shd w:val="clear" w:color="auto" w:fill="E5F5FF"/>
          </w:tcPr>
          <w:p>
            <w:pPr>
              <w:pStyle w:val="BDOITable"/>
            </w:pPr>
            <w:r>
              <w:rPr>
                <w:sz w:val="18"/>
              </w:rPr>
              <w:t>13</w:t>
            </w:r>
          </w:p>
        </w:tc>
        <w:tc>
          <w:tcPr>
            <w:tcW w:type="dxa" w:w="1093"/>
            <w:tcMar>
              <w:top w:w="50" w:type="dxa"/>
              <w:bottom w:w="50" w:type="dxa"/>
              <w:left w:w="90" w:type="dxa"/>
              <w:right w:w="90" w:type="dxa"/>
            </w:tcMar>
            <w:shd w:val="clear" w:color="auto" w:fill="E5F5FF"/>
          </w:tcPr>
          <w:p>
            <w:pPr>
              <w:pStyle w:val="BDOITable"/>
            </w:pPr>
            <w:r>
              <w:rPr>
                <w:sz w:val="18"/>
              </w:rPr>
              <w:t>53</w:t>
            </w:r>
          </w:p>
        </w:tc>
      </w:tr>
      <w:tr>
        <w:trPr>
          <w:cantSplit w:val="true"/>
        </w:trPr>
        <w:tc>
          <w:tcPr>
            <w:tcW w:type="dxa" w:w="3415"/>
            <w:tcMar>
              <w:top w:w="50" w:type="dxa"/>
              <w:bottom w:w="50" w:type="dxa"/>
              <w:left w:w="90" w:type="dxa"/>
              <w:right w:w="90" w:type="dxa"/>
            </w:tcMar>
          </w:tcPr>
          <w:p>
            <w:pPr>
              <w:pStyle w:val="BDOITable"/>
            </w:pPr>
            <w:r>
              <w:rPr>
                <w:b/>
                <w:sz w:val="18"/>
              </w:rPr>
              <w:t>V3 Session Management</w:t>
            </w:r>
          </w:p>
        </w:tc>
        <w:tc>
          <w:tcPr>
            <w:tcW w:type="dxa" w:w="1093"/>
            <w:tcMar>
              <w:top w:w="50" w:type="dxa"/>
              <w:bottom w:w="50" w:type="dxa"/>
              <w:left w:w="90" w:type="dxa"/>
              <w:right w:w="90" w:type="dxa"/>
            </w:tcMar>
          </w:tcPr>
          <w:p>
            <w:pPr>
              <w:pStyle w:val="BDOITable"/>
            </w:pPr>
            <w:r>
              <w:rPr>
                <w:sz w:val="18"/>
              </w:rPr>
              <w:t>14</w:t>
            </w:r>
          </w:p>
        </w:tc>
        <w:tc>
          <w:tcPr>
            <w:tcW w:type="dxa" w:w="1093"/>
            <w:tcMar>
              <w:top w:w="50" w:type="dxa"/>
              <w:bottom w:w="50" w:type="dxa"/>
              <w:left w:w="90" w:type="dxa"/>
              <w:right w:w="90" w:type="dxa"/>
            </w:tcMar>
          </w:tcPr>
          <w:p>
            <w:pPr>
              <w:pStyle w:val="BDOITable"/>
            </w:pPr>
            <w:r>
              <w:rPr>
                <w:sz w:val="18"/>
              </w:rPr>
              <w:t>3</w:t>
            </w:r>
          </w:p>
        </w:tc>
        <w:tc>
          <w:tcPr>
            <w:tcW w:type="dxa" w:w="1093"/>
            <w:tcMar>
              <w:top w:w="50" w:type="dxa"/>
              <w:bottom w:w="50" w:type="dxa"/>
              <w:left w:w="90" w:type="dxa"/>
              <w:right w:w="90" w:type="dxa"/>
            </w:tcMar>
          </w:tcPr>
          <w:p>
            <w:pPr>
              <w:pStyle w:val="BDOITable"/>
            </w:pPr>
            <w:r>
              <w:rPr>
                <w:sz w:val="18"/>
              </w:rPr>
              <w:t>0</w:t>
            </w:r>
          </w:p>
        </w:tc>
        <w:tc>
          <w:tcPr>
            <w:tcW w:type="dxa" w:w="1093"/>
            <w:tcMar>
              <w:top w:w="50" w:type="dxa"/>
              <w:bottom w:w="50" w:type="dxa"/>
              <w:left w:w="90" w:type="dxa"/>
              <w:right w:w="90" w:type="dxa"/>
            </w:tcMar>
          </w:tcPr>
          <w:p>
            <w:pPr>
              <w:pStyle w:val="BDOITable"/>
            </w:pPr>
            <w:r>
              <w:rPr>
                <w:sz w:val="18"/>
              </w:rPr>
              <w:t>0</w:t>
            </w:r>
          </w:p>
        </w:tc>
        <w:tc>
          <w:tcPr>
            <w:tcW w:type="dxa" w:w="1093"/>
            <w:tcMar>
              <w:top w:w="50" w:type="dxa"/>
              <w:bottom w:w="50" w:type="dxa"/>
              <w:left w:w="90" w:type="dxa"/>
              <w:right w:w="90" w:type="dxa"/>
            </w:tcMar>
          </w:tcPr>
          <w:p>
            <w:pPr>
              <w:pStyle w:val="BDOITable"/>
            </w:pPr>
            <w:r>
              <w:rPr>
                <w:sz w:val="18"/>
              </w:rPr>
              <w:t>1</w:t>
            </w:r>
          </w:p>
        </w:tc>
        <w:tc>
          <w:tcPr>
            <w:tcW w:type="dxa" w:w="1093"/>
            <w:tcMar>
              <w:top w:w="50" w:type="dxa"/>
              <w:bottom w:w="50" w:type="dxa"/>
              <w:left w:w="90" w:type="dxa"/>
              <w:right w:w="90" w:type="dxa"/>
            </w:tcMar>
          </w:tcPr>
          <w:p>
            <w:pPr>
              <w:pStyle w:val="BDOITable"/>
            </w:pPr>
            <w:r>
              <w:rPr>
                <w:sz w:val="18"/>
              </w:rPr>
              <w:t>18</w:t>
            </w:r>
          </w:p>
        </w:tc>
      </w:tr>
      <w:tr>
        <w:trPr>
          <w:cantSplit w:val="true"/>
        </w:trPr>
        <w:tc>
          <w:tcPr>
            <w:tcW w:type="dxa" w:w="3415"/>
            <w:tcMar>
              <w:top w:w="50" w:type="dxa"/>
              <w:bottom w:w="50" w:type="dxa"/>
              <w:left w:w="90" w:type="dxa"/>
              <w:right w:w="90" w:type="dxa"/>
            </w:tcMar>
            <w:shd w:val="clear" w:color="auto" w:fill="E5F5FF"/>
          </w:tcPr>
          <w:p>
            <w:pPr>
              <w:pStyle w:val="BDOITable"/>
            </w:pPr>
            <w:r>
              <w:rPr>
                <w:b/>
                <w:sz w:val="18"/>
              </w:rPr>
              <w:t>V4 Access Control</w:t>
            </w:r>
          </w:p>
        </w:tc>
        <w:tc>
          <w:tcPr>
            <w:tcW w:type="dxa" w:w="1093"/>
            <w:tcMar>
              <w:top w:w="50" w:type="dxa"/>
              <w:bottom w:w="50" w:type="dxa"/>
              <w:left w:w="90" w:type="dxa"/>
              <w:right w:w="90" w:type="dxa"/>
            </w:tcMar>
            <w:shd w:val="clear" w:color="auto" w:fill="E5F5FF"/>
          </w:tcPr>
          <w:p>
            <w:pPr>
              <w:pStyle w:val="BDOITable"/>
            </w:pPr>
            <w:r>
              <w:rPr>
                <w:sz w:val="18"/>
              </w:rPr>
              <w:t>7</w:t>
            </w:r>
          </w:p>
        </w:tc>
        <w:tc>
          <w:tcPr>
            <w:tcW w:type="dxa" w:w="1093"/>
            <w:tcMar>
              <w:top w:w="50" w:type="dxa"/>
              <w:bottom w:w="50" w:type="dxa"/>
              <w:left w:w="90" w:type="dxa"/>
              <w:right w:w="90" w:type="dxa"/>
            </w:tcMar>
            <w:shd w:val="clear" w:color="auto" w:fill="E5F5FF"/>
          </w:tcPr>
          <w:p>
            <w:pPr>
              <w:pStyle w:val="BDOITable"/>
            </w:pPr>
            <w:r>
              <w:rPr>
                <w:sz w:val="18"/>
              </w:rPr>
              <w:t>2</w:t>
            </w:r>
          </w:p>
        </w:tc>
        <w:tc>
          <w:tcPr>
            <w:tcW w:type="dxa" w:w="1093"/>
            <w:tcMar>
              <w:top w:w="50" w:type="dxa"/>
              <w:bottom w:w="50" w:type="dxa"/>
              <w:left w:w="90" w:type="dxa"/>
              <w:right w:w="90" w:type="dxa"/>
            </w:tcMar>
            <w:shd w:val="clear" w:color="auto" w:fill="E5F5FF"/>
          </w:tcPr>
          <w:p>
            <w:pPr>
              <w:pStyle w:val="BDOITable"/>
            </w:pPr>
            <w:r>
              <w:rPr>
                <w:sz w:val="18"/>
              </w:rPr>
              <w:t>0</w:t>
            </w:r>
          </w:p>
        </w:tc>
        <w:tc>
          <w:tcPr>
            <w:tcW w:type="dxa" w:w="1093"/>
            <w:tcMar>
              <w:top w:w="50" w:type="dxa"/>
              <w:bottom w:w="50" w:type="dxa"/>
              <w:left w:w="90" w:type="dxa"/>
              <w:right w:w="90" w:type="dxa"/>
            </w:tcMar>
            <w:shd w:val="clear" w:color="auto" w:fill="E5F5FF"/>
          </w:tcPr>
          <w:p>
            <w:pPr>
              <w:pStyle w:val="BDOITable"/>
            </w:pPr>
            <w:r>
              <w:rPr>
                <w:sz w:val="18"/>
              </w:rPr>
              <w:t>0</w:t>
            </w:r>
          </w:p>
        </w:tc>
        <w:tc>
          <w:tcPr>
            <w:tcW w:type="dxa" w:w="1093"/>
            <w:tcMar>
              <w:top w:w="50" w:type="dxa"/>
              <w:bottom w:w="50" w:type="dxa"/>
              <w:left w:w="90" w:type="dxa"/>
              <w:right w:w="90" w:type="dxa"/>
            </w:tcMar>
            <w:shd w:val="clear" w:color="auto" w:fill="E5F5FF"/>
          </w:tcPr>
          <w:p>
            <w:pPr>
              <w:pStyle w:val="BDOITable"/>
            </w:pPr>
            <w:r>
              <w:rPr>
                <w:sz w:val="18"/>
              </w:rPr>
              <w:t>0</w:t>
            </w:r>
          </w:p>
        </w:tc>
        <w:tc>
          <w:tcPr>
            <w:tcW w:type="dxa" w:w="1093"/>
            <w:tcMar>
              <w:top w:w="50" w:type="dxa"/>
              <w:bottom w:w="50" w:type="dxa"/>
              <w:left w:w="90" w:type="dxa"/>
              <w:right w:w="90" w:type="dxa"/>
            </w:tcMar>
            <w:shd w:val="clear" w:color="auto" w:fill="E5F5FF"/>
          </w:tcPr>
          <w:p>
            <w:pPr>
              <w:pStyle w:val="BDOITable"/>
            </w:pPr>
            <w:r>
              <w:rPr>
                <w:sz w:val="18"/>
              </w:rPr>
              <w:t>9</w:t>
            </w:r>
          </w:p>
        </w:tc>
      </w:tr>
      <w:tr>
        <w:trPr>
          <w:cantSplit w:val="true"/>
        </w:trPr>
        <w:tc>
          <w:tcPr>
            <w:tcW w:type="dxa" w:w="3415"/>
            <w:tcMar>
              <w:top w:w="50" w:type="dxa"/>
              <w:bottom w:w="50" w:type="dxa"/>
              <w:left w:w="90" w:type="dxa"/>
              <w:right w:w="90" w:type="dxa"/>
            </w:tcMar>
          </w:tcPr>
          <w:p>
            <w:pPr>
              <w:pStyle w:val="BDOITable"/>
            </w:pPr>
            <w:r>
              <w:rPr>
                <w:b/>
                <w:sz w:val="18"/>
              </w:rPr>
              <w:t>V5 Validation, Sanitization and Encoding</w:t>
            </w:r>
          </w:p>
        </w:tc>
        <w:tc>
          <w:tcPr>
            <w:tcW w:type="dxa" w:w="1093"/>
            <w:tcMar>
              <w:top w:w="50" w:type="dxa"/>
              <w:bottom w:w="50" w:type="dxa"/>
              <w:left w:w="90" w:type="dxa"/>
              <w:right w:w="90" w:type="dxa"/>
            </w:tcMar>
          </w:tcPr>
          <w:p>
            <w:pPr>
              <w:pStyle w:val="BDOITable"/>
            </w:pPr>
            <w:r>
              <w:rPr>
                <w:sz w:val="18"/>
              </w:rPr>
              <w:t>26</w:t>
            </w:r>
          </w:p>
        </w:tc>
        <w:tc>
          <w:tcPr>
            <w:tcW w:type="dxa" w:w="1093"/>
            <w:tcMar>
              <w:top w:w="50" w:type="dxa"/>
              <w:bottom w:w="50" w:type="dxa"/>
              <w:left w:w="90" w:type="dxa"/>
              <w:right w:w="90" w:type="dxa"/>
            </w:tcMar>
          </w:tcPr>
          <w:p>
            <w:pPr>
              <w:pStyle w:val="BDOITable"/>
            </w:pPr>
            <w:r>
              <w:rPr>
                <w:sz w:val="18"/>
              </w:rPr>
              <w:t>0</w:t>
            </w:r>
          </w:p>
        </w:tc>
        <w:tc>
          <w:tcPr>
            <w:tcW w:type="dxa" w:w="1093"/>
            <w:tcMar>
              <w:top w:w="50" w:type="dxa"/>
              <w:bottom w:w="50" w:type="dxa"/>
              <w:left w:w="90" w:type="dxa"/>
              <w:right w:w="90" w:type="dxa"/>
            </w:tcMar>
          </w:tcPr>
          <w:p>
            <w:pPr>
              <w:pStyle w:val="BDOITable"/>
            </w:pPr>
            <w:r>
              <w:rPr>
                <w:sz w:val="18"/>
              </w:rPr>
              <w:t>0</w:t>
            </w:r>
          </w:p>
        </w:tc>
        <w:tc>
          <w:tcPr>
            <w:tcW w:type="dxa" w:w="1093"/>
            <w:tcMar>
              <w:top w:w="50" w:type="dxa"/>
              <w:bottom w:w="50" w:type="dxa"/>
              <w:left w:w="90" w:type="dxa"/>
              <w:right w:w="90" w:type="dxa"/>
            </w:tcMar>
          </w:tcPr>
          <w:p>
            <w:pPr>
              <w:pStyle w:val="BDOITable"/>
            </w:pPr>
            <w:r>
              <w:rPr>
                <w:sz w:val="18"/>
              </w:rPr>
              <w:t>0</w:t>
            </w:r>
          </w:p>
        </w:tc>
        <w:tc>
          <w:tcPr>
            <w:tcW w:type="dxa" w:w="1093"/>
            <w:tcMar>
              <w:top w:w="50" w:type="dxa"/>
              <w:bottom w:w="50" w:type="dxa"/>
              <w:left w:w="90" w:type="dxa"/>
              <w:right w:w="90" w:type="dxa"/>
            </w:tcMar>
          </w:tcPr>
          <w:p>
            <w:pPr>
              <w:pStyle w:val="BDOITable"/>
            </w:pPr>
            <w:r>
              <w:rPr>
                <w:sz w:val="18"/>
              </w:rPr>
              <w:t>4</w:t>
            </w:r>
          </w:p>
        </w:tc>
        <w:tc>
          <w:tcPr>
            <w:tcW w:type="dxa" w:w="1093"/>
            <w:tcMar>
              <w:top w:w="50" w:type="dxa"/>
              <w:bottom w:w="50" w:type="dxa"/>
              <w:left w:w="90" w:type="dxa"/>
              <w:right w:w="90" w:type="dxa"/>
            </w:tcMar>
          </w:tcPr>
          <w:p>
            <w:pPr>
              <w:pStyle w:val="BDOITable"/>
            </w:pPr>
            <w:r>
              <w:rPr>
                <w:sz w:val="18"/>
              </w:rPr>
              <w:t>30</w:t>
            </w:r>
          </w:p>
        </w:tc>
      </w:tr>
      <w:tr>
        <w:trPr>
          <w:cantSplit w:val="true"/>
        </w:trPr>
        <w:tc>
          <w:tcPr>
            <w:tcW w:type="dxa" w:w="3415"/>
            <w:tcMar>
              <w:top w:w="50" w:type="dxa"/>
              <w:bottom w:w="50" w:type="dxa"/>
              <w:left w:w="90" w:type="dxa"/>
              <w:right w:w="90" w:type="dxa"/>
            </w:tcMar>
            <w:shd w:val="clear" w:color="auto" w:fill="E5F5FF"/>
          </w:tcPr>
          <w:p>
            <w:pPr>
              <w:pStyle w:val="BDOITable"/>
            </w:pPr>
            <w:r>
              <w:rPr>
                <w:b/>
                <w:sz w:val="18"/>
              </w:rPr>
              <w:t>V6 Stored Cryptography</w:t>
            </w:r>
          </w:p>
        </w:tc>
        <w:tc>
          <w:tcPr>
            <w:tcW w:type="dxa" w:w="1093"/>
            <w:tcMar>
              <w:top w:w="50" w:type="dxa"/>
              <w:bottom w:w="50" w:type="dxa"/>
              <w:left w:w="90" w:type="dxa"/>
              <w:right w:w="90" w:type="dxa"/>
            </w:tcMar>
            <w:shd w:val="clear" w:color="auto" w:fill="E5F5FF"/>
          </w:tcPr>
          <w:p>
            <w:pPr>
              <w:pStyle w:val="BDOITable"/>
            </w:pPr>
            <w:r>
              <w:rPr>
                <w:sz w:val="18"/>
              </w:rPr>
              <w:t>12</w:t>
            </w:r>
          </w:p>
        </w:tc>
        <w:tc>
          <w:tcPr>
            <w:tcW w:type="dxa" w:w="1093"/>
            <w:tcMar>
              <w:top w:w="50" w:type="dxa"/>
              <w:bottom w:w="50" w:type="dxa"/>
              <w:left w:w="90" w:type="dxa"/>
              <w:right w:w="90" w:type="dxa"/>
            </w:tcMar>
            <w:shd w:val="clear" w:color="auto" w:fill="E5F5FF"/>
          </w:tcPr>
          <w:p>
            <w:pPr>
              <w:pStyle w:val="BDOITable"/>
            </w:pPr>
            <w:r>
              <w:rPr>
                <w:sz w:val="18"/>
              </w:rPr>
              <w:t>1</w:t>
            </w:r>
          </w:p>
        </w:tc>
        <w:tc>
          <w:tcPr>
            <w:tcW w:type="dxa" w:w="1093"/>
            <w:tcMar>
              <w:top w:w="50" w:type="dxa"/>
              <w:bottom w:w="50" w:type="dxa"/>
              <w:left w:w="90" w:type="dxa"/>
              <w:right w:w="90" w:type="dxa"/>
            </w:tcMar>
            <w:shd w:val="clear" w:color="auto" w:fill="E5F5FF"/>
          </w:tcPr>
          <w:p>
            <w:pPr>
              <w:pStyle w:val="BDOITable"/>
            </w:pPr>
            <w:r>
              <w:rPr>
                <w:sz w:val="18"/>
              </w:rPr>
              <w:t>0</w:t>
            </w:r>
          </w:p>
        </w:tc>
        <w:tc>
          <w:tcPr>
            <w:tcW w:type="dxa" w:w="1093"/>
            <w:tcMar>
              <w:top w:w="50" w:type="dxa"/>
              <w:bottom w:w="50" w:type="dxa"/>
              <w:left w:w="90" w:type="dxa"/>
              <w:right w:w="90" w:type="dxa"/>
            </w:tcMar>
            <w:shd w:val="clear" w:color="auto" w:fill="E5F5FF"/>
          </w:tcPr>
          <w:p>
            <w:pPr>
              <w:pStyle w:val="BDOITable"/>
            </w:pPr>
            <w:r>
              <w:rPr>
                <w:sz w:val="18"/>
              </w:rPr>
              <w:t>0</w:t>
            </w:r>
          </w:p>
        </w:tc>
        <w:tc>
          <w:tcPr>
            <w:tcW w:type="dxa" w:w="1093"/>
            <w:tcMar>
              <w:top w:w="50" w:type="dxa"/>
              <w:bottom w:w="50" w:type="dxa"/>
              <w:left w:w="90" w:type="dxa"/>
              <w:right w:w="90" w:type="dxa"/>
            </w:tcMar>
            <w:shd w:val="clear" w:color="auto" w:fill="E5F5FF"/>
          </w:tcPr>
          <w:p>
            <w:pPr>
              <w:pStyle w:val="BDOITable"/>
            </w:pPr>
            <w:r>
              <w:rPr>
                <w:sz w:val="18"/>
              </w:rPr>
              <w:t>0</w:t>
            </w:r>
          </w:p>
        </w:tc>
        <w:tc>
          <w:tcPr>
            <w:tcW w:type="dxa" w:w="1093"/>
            <w:tcMar>
              <w:top w:w="50" w:type="dxa"/>
              <w:bottom w:w="50" w:type="dxa"/>
              <w:left w:w="90" w:type="dxa"/>
              <w:right w:w="90" w:type="dxa"/>
            </w:tcMar>
            <w:shd w:val="clear" w:color="auto" w:fill="E5F5FF"/>
          </w:tcPr>
          <w:p>
            <w:pPr>
              <w:pStyle w:val="BDOITable"/>
            </w:pPr>
            <w:r>
              <w:rPr>
                <w:sz w:val="18"/>
              </w:rPr>
              <w:t>13</w:t>
            </w:r>
          </w:p>
        </w:tc>
      </w:tr>
      <w:tr>
        <w:trPr>
          <w:cantSplit w:val="true"/>
        </w:trPr>
        <w:tc>
          <w:tcPr>
            <w:tcW w:type="dxa" w:w="3415"/>
            <w:tcMar>
              <w:top w:w="50" w:type="dxa"/>
              <w:bottom w:w="50" w:type="dxa"/>
              <w:left w:w="90" w:type="dxa"/>
              <w:right w:w="90" w:type="dxa"/>
            </w:tcMar>
          </w:tcPr>
          <w:p>
            <w:pPr>
              <w:pStyle w:val="BDOITable"/>
            </w:pPr>
            <w:r>
              <w:rPr>
                <w:b/>
                <w:sz w:val="18"/>
              </w:rPr>
              <w:t>V7 Error Handling and Logging</w:t>
            </w:r>
          </w:p>
        </w:tc>
        <w:tc>
          <w:tcPr>
            <w:tcW w:type="dxa" w:w="1093"/>
            <w:tcMar>
              <w:top w:w="50" w:type="dxa"/>
              <w:bottom w:w="50" w:type="dxa"/>
              <w:left w:w="90" w:type="dxa"/>
              <w:right w:w="90" w:type="dxa"/>
            </w:tcMar>
          </w:tcPr>
          <w:p>
            <w:pPr>
              <w:pStyle w:val="BDOITable"/>
            </w:pPr>
            <w:r>
              <w:rPr>
                <w:sz w:val="18"/>
              </w:rPr>
              <w:t>10</w:t>
            </w:r>
          </w:p>
        </w:tc>
        <w:tc>
          <w:tcPr>
            <w:tcW w:type="dxa" w:w="1093"/>
            <w:tcMar>
              <w:top w:w="50" w:type="dxa"/>
              <w:bottom w:w="50" w:type="dxa"/>
              <w:left w:w="90" w:type="dxa"/>
              <w:right w:w="90" w:type="dxa"/>
            </w:tcMar>
          </w:tcPr>
          <w:p>
            <w:pPr>
              <w:pStyle w:val="BDOITable"/>
            </w:pPr>
            <w:r>
              <w:rPr>
                <w:sz w:val="18"/>
              </w:rPr>
              <w:t>2</w:t>
            </w:r>
          </w:p>
        </w:tc>
        <w:tc>
          <w:tcPr>
            <w:tcW w:type="dxa" w:w="1093"/>
            <w:tcMar>
              <w:top w:w="50" w:type="dxa"/>
              <w:bottom w:w="50" w:type="dxa"/>
              <w:left w:w="90" w:type="dxa"/>
              <w:right w:w="90" w:type="dxa"/>
            </w:tcMar>
          </w:tcPr>
          <w:p>
            <w:pPr>
              <w:pStyle w:val="BDOITable"/>
            </w:pPr>
            <w:r>
              <w:rPr>
                <w:sz w:val="18"/>
              </w:rPr>
              <w:t>0</w:t>
            </w:r>
          </w:p>
        </w:tc>
        <w:tc>
          <w:tcPr>
            <w:tcW w:type="dxa" w:w="1093"/>
            <w:tcMar>
              <w:top w:w="50" w:type="dxa"/>
              <w:bottom w:w="50" w:type="dxa"/>
              <w:left w:w="90" w:type="dxa"/>
              <w:right w:w="90" w:type="dxa"/>
            </w:tcMar>
          </w:tcPr>
          <w:p>
            <w:pPr>
              <w:pStyle w:val="BDOITable"/>
            </w:pPr>
            <w:r>
              <w:rPr>
                <w:sz w:val="18"/>
              </w:rPr>
              <w:t>0</w:t>
            </w:r>
          </w:p>
        </w:tc>
        <w:tc>
          <w:tcPr>
            <w:tcW w:type="dxa" w:w="1093"/>
            <w:tcMar>
              <w:top w:w="50" w:type="dxa"/>
              <w:bottom w:w="50" w:type="dxa"/>
              <w:left w:w="90" w:type="dxa"/>
              <w:right w:w="90" w:type="dxa"/>
            </w:tcMar>
          </w:tcPr>
          <w:p>
            <w:pPr>
              <w:pStyle w:val="BDOITable"/>
            </w:pPr>
            <w:r>
              <w:rPr>
                <w:sz w:val="18"/>
              </w:rPr>
              <w:t>0</w:t>
            </w:r>
          </w:p>
        </w:tc>
        <w:tc>
          <w:tcPr>
            <w:tcW w:type="dxa" w:w="1093"/>
            <w:tcMar>
              <w:top w:w="50" w:type="dxa"/>
              <w:bottom w:w="50" w:type="dxa"/>
              <w:left w:w="90" w:type="dxa"/>
              <w:right w:w="90" w:type="dxa"/>
            </w:tcMar>
          </w:tcPr>
          <w:p>
            <w:pPr>
              <w:pStyle w:val="BDOITable"/>
            </w:pPr>
            <w:r>
              <w:rPr>
                <w:sz w:val="18"/>
              </w:rPr>
              <w:t>12</w:t>
            </w:r>
          </w:p>
        </w:tc>
      </w:tr>
      <w:tr>
        <w:trPr>
          <w:cantSplit w:val="true"/>
        </w:trPr>
        <w:tc>
          <w:tcPr>
            <w:tcW w:type="dxa" w:w="3415"/>
            <w:tcMar>
              <w:top w:w="50" w:type="dxa"/>
              <w:bottom w:w="50" w:type="dxa"/>
              <w:left w:w="90" w:type="dxa"/>
              <w:right w:w="90" w:type="dxa"/>
            </w:tcMar>
            <w:shd w:val="clear" w:color="auto" w:fill="E5F5FF"/>
          </w:tcPr>
          <w:p>
            <w:pPr>
              <w:pStyle w:val="BDOITable"/>
            </w:pPr>
            <w:r>
              <w:rPr>
                <w:b/>
                <w:sz w:val="18"/>
              </w:rPr>
              <w:t>V8 Data Protection</w:t>
            </w:r>
          </w:p>
        </w:tc>
        <w:tc>
          <w:tcPr>
            <w:tcW w:type="dxa" w:w="1093"/>
            <w:tcMar>
              <w:top w:w="50" w:type="dxa"/>
              <w:bottom w:w="50" w:type="dxa"/>
              <w:left w:w="90" w:type="dxa"/>
              <w:right w:w="90" w:type="dxa"/>
            </w:tcMar>
            <w:shd w:val="clear" w:color="auto" w:fill="E5F5FF"/>
          </w:tcPr>
          <w:p>
            <w:pPr>
              <w:pStyle w:val="BDOITable"/>
            </w:pPr>
            <w:r>
              <w:rPr>
                <w:sz w:val="18"/>
              </w:rPr>
              <w:t>8</w:t>
            </w:r>
          </w:p>
        </w:tc>
        <w:tc>
          <w:tcPr>
            <w:tcW w:type="dxa" w:w="1093"/>
            <w:tcMar>
              <w:top w:w="50" w:type="dxa"/>
              <w:bottom w:w="50" w:type="dxa"/>
              <w:left w:w="90" w:type="dxa"/>
              <w:right w:w="90" w:type="dxa"/>
            </w:tcMar>
            <w:shd w:val="clear" w:color="auto" w:fill="E5F5FF"/>
          </w:tcPr>
          <w:p>
            <w:pPr>
              <w:pStyle w:val="BDOITable"/>
            </w:pPr>
            <w:r>
              <w:rPr>
                <w:sz w:val="18"/>
              </w:rPr>
              <w:t>5</w:t>
            </w:r>
          </w:p>
        </w:tc>
        <w:tc>
          <w:tcPr>
            <w:tcW w:type="dxa" w:w="1093"/>
            <w:tcMar>
              <w:top w:w="50" w:type="dxa"/>
              <w:bottom w:w="50" w:type="dxa"/>
              <w:left w:w="90" w:type="dxa"/>
              <w:right w:w="90" w:type="dxa"/>
            </w:tcMar>
            <w:shd w:val="clear" w:color="auto" w:fill="E5F5FF"/>
          </w:tcPr>
          <w:p>
            <w:pPr>
              <w:pStyle w:val="BDOITable"/>
            </w:pPr>
            <w:r>
              <w:rPr>
                <w:sz w:val="18"/>
              </w:rPr>
              <w:t>0</w:t>
            </w:r>
          </w:p>
        </w:tc>
        <w:tc>
          <w:tcPr>
            <w:tcW w:type="dxa" w:w="1093"/>
            <w:tcMar>
              <w:top w:w="50" w:type="dxa"/>
              <w:bottom w:w="50" w:type="dxa"/>
              <w:left w:w="90" w:type="dxa"/>
              <w:right w:w="90" w:type="dxa"/>
            </w:tcMar>
            <w:shd w:val="clear" w:color="auto" w:fill="E5F5FF"/>
          </w:tcPr>
          <w:p>
            <w:pPr>
              <w:pStyle w:val="BDOITable"/>
            </w:pPr>
            <w:r>
              <w:rPr>
                <w:sz w:val="18"/>
              </w:rPr>
              <w:t>1</w:t>
            </w:r>
          </w:p>
        </w:tc>
        <w:tc>
          <w:tcPr>
            <w:tcW w:type="dxa" w:w="1093"/>
            <w:tcMar>
              <w:top w:w="50" w:type="dxa"/>
              <w:bottom w:w="50" w:type="dxa"/>
              <w:left w:w="90" w:type="dxa"/>
              <w:right w:w="90" w:type="dxa"/>
            </w:tcMar>
            <w:shd w:val="clear" w:color="auto" w:fill="E5F5FF"/>
          </w:tcPr>
          <w:p>
            <w:pPr>
              <w:pStyle w:val="BDOITable"/>
            </w:pPr>
            <w:r>
              <w:rPr>
                <w:sz w:val="18"/>
              </w:rPr>
              <w:t>1</w:t>
            </w:r>
          </w:p>
        </w:tc>
        <w:tc>
          <w:tcPr>
            <w:tcW w:type="dxa" w:w="1093"/>
            <w:tcMar>
              <w:top w:w="50" w:type="dxa"/>
              <w:bottom w:w="50" w:type="dxa"/>
              <w:left w:w="90" w:type="dxa"/>
              <w:right w:w="90" w:type="dxa"/>
            </w:tcMar>
            <w:shd w:val="clear" w:color="auto" w:fill="E5F5FF"/>
          </w:tcPr>
          <w:p>
            <w:pPr>
              <w:pStyle w:val="BDOITable"/>
            </w:pPr>
            <w:r>
              <w:rPr>
                <w:sz w:val="18"/>
              </w:rPr>
              <w:t>15</w:t>
            </w:r>
          </w:p>
        </w:tc>
      </w:tr>
      <w:tr>
        <w:trPr>
          <w:cantSplit w:val="true"/>
        </w:trPr>
        <w:tc>
          <w:tcPr>
            <w:tcW w:type="dxa" w:w="3415"/>
            <w:tcMar>
              <w:top w:w="50" w:type="dxa"/>
              <w:bottom w:w="50" w:type="dxa"/>
              <w:left w:w="90" w:type="dxa"/>
              <w:right w:w="90" w:type="dxa"/>
            </w:tcMar>
          </w:tcPr>
          <w:p>
            <w:pPr>
              <w:pStyle w:val="BDOITable"/>
            </w:pPr>
            <w:r>
              <w:rPr>
                <w:b/>
                <w:sz w:val="18"/>
              </w:rPr>
              <w:t>V9 Communication</w:t>
            </w:r>
          </w:p>
        </w:tc>
        <w:tc>
          <w:tcPr>
            <w:tcW w:type="dxa" w:w="1093"/>
            <w:tcMar>
              <w:top w:w="50" w:type="dxa"/>
              <w:bottom w:w="50" w:type="dxa"/>
              <w:left w:w="90" w:type="dxa"/>
              <w:right w:w="90" w:type="dxa"/>
            </w:tcMar>
          </w:tcPr>
          <w:p>
            <w:pPr>
              <w:pStyle w:val="BDOITable"/>
            </w:pPr>
            <w:r>
              <w:rPr>
                <w:sz w:val="18"/>
              </w:rPr>
              <w:t>6</w:t>
            </w:r>
          </w:p>
        </w:tc>
        <w:tc>
          <w:tcPr>
            <w:tcW w:type="dxa" w:w="1093"/>
            <w:tcMar>
              <w:top w:w="50" w:type="dxa"/>
              <w:bottom w:w="50" w:type="dxa"/>
              <w:left w:w="90" w:type="dxa"/>
              <w:right w:w="90" w:type="dxa"/>
            </w:tcMar>
          </w:tcPr>
          <w:p>
            <w:pPr>
              <w:pStyle w:val="BDOITable"/>
            </w:pPr>
            <w:r>
              <w:rPr>
                <w:sz w:val="18"/>
              </w:rPr>
              <w:t>0</w:t>
            </w:r>
          </w:p>
        </w:tc>
        <w:tc>
          <w:tcPr>
            <w:tcW w:type="dxa" w:w="1093"/>
            <w:tcMar>
              <w:top w:w="50" w:type="dxa"/>
              <w:bottom w:w="50" w:type="dxa"/>
              <w:left w:w="90" w:type="dxa"/>
              <w:right w:w="90" w:type="dxa"/>
            </w:tcMar>
          </w:tcPr>
          <w:p>
            <w:pPr>
              <w:pStyle w:val="BDOITable"/>
            </w:pPr>
            <w:r>
              <w:rPr>
                <w:sz w:val="18"/>
              </w:rPr>
              <w:t>0</w:t>
            </w:r>
          </w:p>
        </w:tc>
        <w:tc>
          <w:tcPr>
            <w:tcW w:type="dxa" w:w="1093"/>
            <w:tcMar>
              <w:top w:w="50" w:type="dxa"/>
              <w:bottom w:w="50" w:type="dxa"/>
              <w:left w:w="90" w:type="dxa"/>
              <w:right w:w="90" w:type="dxa"/>
            </w:tcMar>
          </w:tcPr>
          <w:p>
            <w:pPr>
              <w:pStyle w:val="BDOITable"/>
            </w:pPr>
            <w:r>
              <w:rPr>
                <w:sz w:val="18"/>
              </w:rPr>
              <w:t>1</w:t>
            </w:r>
          </w:p>
        </w:tc>
        <w:tc>
          <w:tcPr>
            <w:tcW w:type="dxa" w:w="1093"/>
            <w:tcMar>
              <w:top w:w="50" w:type="dxa"/>
              <w:bottom w:w="50" w:type="dxa"/>
              <w:left w:w="90" w:type="dxa"/>
              <w:right w:w="90" w:type="dxa"/>
            </w:tcMar>
          </w:tcPr>
          <w:p>
            <w:pPr>
              <w:pStyle w:val="BDOITable"/>
            </w:pPr>
            <w:r>
              <w:rPr>
                <w:sz w:val="18"/>
              </w:rPr>
              <w:t>0</w:t>
            </w:r>
          </w:p>
        </w:tc>
        <w:tc>
          <w:tcPr>
            <w:tcW w:type="dxa" w:w="1093"/>
            <w:tcMar>
              <w:top w:w="50" w:type="dxa"/>
              <w:bottom w:w="50" w:type="dxa"/>
              <w:left w:w="90" w:type="dxa"/>
              <w:right w:w="90" w:type="dxa"/>
            </w:tcMar>
          </w:tcPr>
          <w:p>
            <w:pPr>
              <w:pStyle w:val="BDOITable"/>
            </w:pPr>
            <w:r>
              <w:rPr>
                <w:sz w:val="18"/>
              </w:rPr>
              <w:t>7</w:t>
            </w:r>
          </w:p>
        </w:tc>
      </w:tr>
      <w:tr>
        <w:trPr>
          <w:cantSplit w:val="true"/>
        </w:trPr>
        <w:tc>
          <w:tcPr>
            <w:tcW w:type="dxa" w:w="3415"/>
            <w:tcMar>
              <w:top w:w="50" w:type="dxa"/>
              <w:bottom w:w="50" w:type="dxa"/>
              <w:left w:w="90" w:type="dxa"/>
              <w:right w:w="90" w:type="dxa"/>
            </w:tcMar>
            <w:shd w:val="clear" w:color="auto" w:fill="E5F5FF"/>
          </w:tcPr>
          <w:p>
            <w:pPr>
              <w:pStyle w:val="BDOITable"/>
            </w:pPr>
            <w:r>
              <w:rPr>
                <w:b/>
                <w:sz w:val="18"/>
              </w:rPr>
              <w:t>V10 Malicious Code</w:t>
            </w:r>
          </w:p>
        </w:tc>
        <w:tc>
          <w:tcPr>
            <w:tcW w:type="dxa" w:w="1093"/>
            <w:tcMar>
              <w:top w:w="50" w:type="dxa"/>
              <w:bottom w:w="50" w:type="dxa"/>
              <w:left w:w="90" w:type="dxa"/>
              <w:right w:w="90" w:type="dxa"/>
            </w:tcMar>
            <w:shd w:val="clear" w:color="auto" w:fill="E5F5FF"/>
          </w:tcPr>
          <w:p>
            <w:pPr>
              <w:pStyle w:val="BDOITable"/>
            </w:pPr>
            <w:r>
              <w:rPr>
                <w:sz w:val="18"/>
              </w:rPr>
              <w:t>2</w:t>
            </w:r>
          </w:p>
        </w:tc>
        <w:tc>
          <w:tcPr>
            <w:tcW w:type="dxa" w:w="1093"/>
            <w:tcMar>
              <w:top w:w="50" w:type="dxa"/>
              <w:bottom w:w="50" w:type="dxa"/>
              <w:left w:w="90" w:type="dxa"/>
              <w:right w:w="90" w:type="dxa"/>
            </w:tcMar>
            <w:shd w:val="clear" w:color="auto" w:fill="E5F5FF"/>
          </w:tcPr>
          <w:p>
            <w:pPr>
              <w:pStyle w:val="BDOITable"/>
            </w:pPr>
            <w:r>
              <w:rPr>
                <w:sz w:val="18"/>
              </w:rPr>
              <w:t>0</w:t>
            </w:r>
          </w:p>
        </w:tc>
        <w:tc>
          <w:tcPr>
            <w:tcW w:type="dxa" w:w="1093"/>
            <w:tcMar>
              <w:top w:w="50" w:type="dxa"/>
              <w:bottom w:w="50" w:type="dxa"/>
              <w:left w:w="90" w:type="dxa"/>
              <w:right w:w="90" w:type="dxa"/>
            </w:tcMar>
            <w:shd w:val="clear" w:color="auto" w:fill="E5F5FF"/>
          </w:tcPr>
          <w:p>
            <w:pPr>
              <w:pStyle w:val="BDOITable"/>
            </w:pPr>
            <w:r>
              <w:rPr>
                <w:sz w:val="18"/>
              </w:rPr>
              <w:t>0</w:t>
            </w:r>
          </w:p>
        </w:tc>
        <w:tc>
          <w:tcPr>
            <w:tcW w:type="dxa" w:w="1093"/>
            <w:tcMar>
              <w:top w:w="50" w:type="dxa"/>
              <w:bottom w:w="50" w:type="dxa"/>
              <w:left w:w="90" w:type="dxa"/>
              <w:right w:w="90" w:type="dxa"/>
            </w:tcMar>
            <w:shd w:val="clear" w:color="auto" w:fill="E5F5FF"/>
          </w:tcPr>
          <w:p>
            <w:pPr>
              <w:pStyle w:val="BDOITable"/>
            </w:pPr>
            <w:r>
              <w:rPr>
                <w:sz w:val="18"/>
              </w:rPr>
              <w:t>1</w:t>
            </w:r>
          </w:p>
        </w:tc>
        <w:tc>
          <w:tcPr>
            <w:tcW w:type="dxa" w:w="1093"/>
            <w:tcMar>
              <w:top w:w="50" w:type="dxa"/>
              <w:bottom w:w="50" w:type="dxa"/>
              <w:left w:w="90" w:type="dxa"/>
              <w:right w:w="90" w:type="dxa"/>
            </w:tcMar>
            <w:shd w:val="clear" w:color="auto" w:fill="E5F5FF"/>
          </w:tcPr>
          <w:p>
            <w:pPr>
              <w:pStyle w:val="BDOITable"/>
            </w:pPr>
            <w:r>
              <w:rPr>
                <w:sz w:val="18"/>
              </w:rPr>
              <w:t>2</w:t>
            </w:r>
          </w:p>
        </w:tc>
        <w:tc>
          <w:tcPr>
            <w:tcW w:type="dxa" w:w="1093"/>
            <w:tcMar>
              <w:top w:w="50" w:type="dxa"/>
              <w:bottom w:w="50" w:type="dxa"/>
              <w:left w:w="90" w:type="dxa"/>
              <w:right w:w="90" w:type="dxa"/>
            </w:tcMar>
            <w:shd w:val="clear" w:color="auto" w:fill="E5F5FF"/>
          </w:tcPr>
          <w:p>
            <w:pPr>
              <w:pStyle w:val="BDOITable"/>
            </w:pPr>
            <w:r>
              <w:rPr>
                <w:sz w:val="18"/>
              </w:rPr>
              <w:t>5</w:t>
            </w:r>
          </w:p>
        </w:tc>
      </w:tr>
      <w:tr>
        <w:trPr>
          <w:cantSplit w:val="true"/>
        </w:trPr>
        <w:tc>
          <w:tcPr>
            <w:tcW w:type="dxa" w:w="3415"/>
            <w:tcMar>
              <w:top w:w="50" w:type="dxa"/>
              <w:bottom w:w="50" w:type="dxa"/>
              <w:left w:w="90" w:type="dxa"/>
              <w:right w:w="90" w:type="dxa"/>
            </w:tcMar>
          </w:tcPr>
          <w:p>
            <w:pPr>
              <w:pStyle w:val="BDOITable"/>
            </w:pPr>
            <w:r>
              <w:rPr>
                <w:b/>
                <w:sz w:val="18"/>
              </w:rPr>
              <w:t>V11 Business Logic</w:t>
            </w:r>
          </w:p>
        </w:tc>
        <w:tc>
          <w:tcPr>
            <w:tcW w:type="dxa" w:w="1093"/>
            <w:tcMar>
              <w:top w:w="50" w:type="dxa"/>
              <w:bottom w:w="50" w:type="dxa"/>
              <w:left w:w="90" w:type="dxa"/>
              <w:right w:w="90" w:type="dxa"/>
            </w:tcMar>
          </w:tcPr>
          <w:p>
            <w:pPr>
              <w:pStyle w:val="BDOITable"/>
            </w:pPr>
            <w:r>
              <w:rPr>
                <w:sz w:val="18"/>
              </w:rPr>
              <w:t>4</w:t>
            </w:r>
          </w:p>
        </w:tc>
        <w:tc>
          <w:tcPr>
            <w:tcW w:type="dxa" w:w="1093"/>
            <w:tcMar>
              <w:top w:w="50" w:type="dxa"/>
              <w:bottom w:w="50" w:type="dxa"/>
              <w:left w:w="90" w:type="dxa"/>
              <w:right w:w="90" w:type="dxa"/>
            </w:tcMar>
          </w:tcPr>
          <w:p>
            <w:pPr>
              <w:pStyle w:val="BDOITable"/>
            </w:pPr>
            <w:r>
              <w:rPr>
                <w:sz w:val="18"/>
              </w:rPr>
              <w:t>4</w:t>
            </w:r>
          </w:p>
        </w:tc>
        <w:tc>
          <w:tcPr>
            <w:tcW w:type="dxa" w:w="1093"/>
            <w:tcMar>
              <w:top w:w="50" w:type="dxa"/>
              <w:bottom w:w="50" w:type="dxa"/>
              <w:left w:w="90" w:type="dxa"/>
              <w:right w:w="90" w:type="dxa"/>
            </w:tcMar>
          </w:tcPr>
          <w:p>
            <w:pPr>
              <w:pStyle w:val="BDOITable"/>
            </w:pPr>
            <w:r>
              <w:rPr>
                <w:sz w:val="18"/>
              </w:rPr>
              <w:t>0</w:t>
            </w:r>
          </w:p>
        </w:tc>
        <w:tc>
          <w:tcPr>
            <w:tcW w:type="dxa" w:w="1093"/>
            <w:tcMar>
              <w:top w:w="50" w:type="dxa"/>
              <w:bottom w:w="50" w:type="dxa"/>
              <w:left w:w="90" w:type="dxa"/>
              <w:right w:w="90" w:type="dxa"/>
            </w:tcMar>
          </w:tcPr>
          <w:p>
            <w:pPr>
              <w:pStyle w:val="BDOITable"/>
            </w:pPr>
            <w:r>
              <w:rPr>
                <w:sz w:val="18"/>
              </w:rPr>
              <w:t>0</w:t>
            </w:r>
          </w:p>
        </w:tc>
        <w:tc>
          <w:tcPr>
            <w:tcW w:type="dxa" w:w="1093"/>
            <w:tcMar>
              <w:top w:w="50" w:type="dxa"/>
              <w:bottom w:w="50" w:type="dxa"/>
              <w:left w:w="90" w:type="dxa"/>
              <w:right w:w="90" w:type="dxa"/>
            </w:tcMar>
          </w:tcPr>
          <w:p>
            <w:pPr>
              <w:pStyle w:val="BDOITable"/>
            </w:pPr>
            <w:r>
              <w:rPr>
                <w:sz w:val="18"/>
              </w:rPr>
              <w:t>0</w:t>
            </w:r>
          </w:p>
        </w:tc>
        <w:tc>
          <w:tcPr>
            <w:tcW w:type="dxa" w:w="1093"/>
            <w:tcMar>
              <w:top w:w="50" w:type="dxa"/>
              <w:bottom w:w="50" w:type="dxa"/>
              <w:left w:w="90" w:type="dxa"/>
              <w:right w:w="90" w:type="dxa"/>
            </w:tcMar>
          </w:tcPr>
          <w:p>
            <w:pPr>
              <w:pStyle w:val="BDOITable"/>
            </w:pPr>
            <w:r>
              <w:rPr>
                <w:sz w:val="18"/>
              </w:rPr>
              <w:t>8</w:t>
            </w:r>
          </w:p>
        </w:tc>
      </w:tr>
      <w:tr>
        <w:trPr>
          <w:cantSplit w:val="true"/>
        </w:trPr>
        <w:tc>
          <w:tcPr>
            <w:tcW w:type="dxa" w:w="3415"/>
            <w:tcMar>
              <w:top w:w="50" w:type="dxa"/>
              <w:bottom w:w="50" w:type="dxa"/>
              <w:left w:w="90" w:type="dxa"/>
              <w:right w:w="90" w:type="dxa"/>
            </w:tcMar>
            <w:shd w:val="clear" w:color="auto" w:fill="E5F5FF"/>
          </w:tcPr>
          <w:p>
            <w:pPr>
              <w:pStyle w:val="BDOITable"/>
            </w:pPr>
            <w:r>
              <w:rPr>
                <w:b/>
                <w:sz w:val="18"/>
              </w:rPr>
              <w:t>V12 Files and Resources</w:t>
            </w:r>
          </w:p>
        </w:tc>
        <w:tc>
          <w:tcPr>
            <w:tcW w:type="dxa" w:w="1093"/>
            <w:tcMar>
              <w:top w:w="50" w:type="dxa"/>
              <w:bottom w:w="50" w:type="dxa"/>
              <w:left w:w="90" w:type="dxa"/>
              <w:right w:w="90" w:type="dxa"/>
            </w:tcMar>
            <w:shd w:val="clear" w:color="auto" w:fill="E5F5FF"/>
          </w:tcPr>
          <w:p>
            <w:pPr>
              <w:pStyle w:val="BDOITable"/>
            </w:pPr>
            <w:r>
              <w:rPr>
                <w:sz w:val="18"/>
              </w:rPr>
              <w:t>14</w:t>
            </w:r>
          </w:p>
        </w:tc>
        <w:tc>
          <w:tcPr>
            <w:tcW w:type="dxa" w:w="1093"/>
            <w:tcMar>
              <w:top w:w="50" w:type="dxa"/>
              <w:bottom w:w="50" w:type="dxa"/>
              <w:left w:w="90" w:type="dxa"/>
              <w:right w:w="90" w:type="dxa"/>
            </w:tcMar>
            <w:shd w:val="clear" w:color="auto" w:fill="E5F5FF"/>
          </w:tcPr>
          <w:p>
            <w:pPr>
              <w:pStyle w:val="BDOITable"/>
            </w:pPr>
            <w:r>
              <w:rPr>
                <w:sz w:val="18"/>
              </w:rPr>
              <w:t>1</w:t>
            </w:r>
          </w:p>
        </w:tc>
        <w:tc>
          <w:tcPr>
            <w:tcW w:type="dxa" w:w="1093"/>
            <w:tcMar>
              <w:top w:w="50" w:type="dxa"/>
              <w:bottom w:w="50" w:type="dxa"/>
              <w:left w:w="90" w:type="dxa"/>
              <w:right w:w="90" w:type="dxa"/>
            </w:tcMar>
            <w:shd w:val="clear" w:color="auto" w:fill="E5F5FF"/>
          </w:tcPr>
          <w:p>
            <w:pPr>
              <w:pStyle w:val="BDOITable"/>
            </w:pPr>
            <w:r>
              <w:rPr>
                <w:sz w:val="18"/>
              </w:rPr>
              <w:t>0</w:t>
            </w:r>
          </w:p>
        </w:tc>
        <w:tc>
          <w:tcPr>
            <w:tcW w:type="dxa" w:w="1093"/>
            <w:tcMar>
              <w:top w:w="50" w:type="dxa"/>
              <w:bottom w:w="50" w:type="dxa"/>
              <w:left w:w="90" w:type="dxa"/>
              <w:right w:w="90" w:type="dxa"/>
            </w:tcMar>
            <w:shd w:val="clear" w:color="auto" w:fill="E5F5FF"/>
          </w:tcPr>
          <w:p>
            <w:pPr>
              <w:pStyle w:val="BDOITable"/>
            </w:pPr>
            <w:r>
              <w:rPr>
                <w:sz w:val="18"/>
              </w:rPr>
              <w:t>0</w:t>
            </w:r>
          </w:p>
        </w:tc>
        <w:tc>
          <w:tcPr>
            <w:tcW w:type="dxa" w:w="1093"/>
            <w:tcMar>
              <w:top w:w="50" w:type="dxa"/>
              <w:bottom w:w="50" w:type="dxa"/>
              <w:left w:w="90" w:type="dxa"/>
              <w:right w:w="90" w:type="dxa"/>
            </w:tcMar>
            <w:shd w:val="clear" w:color="auto" w:fill="E5F5FF"/>
          </w:tcPr>
          <w:p>
            <w:pPr>
              <w:pStyle w:val="BDOITable"/>
            </w:pPr>
            <w:r>
              <w:rPr>
                <w:sz w:val="18"/>
              </w:rPr>
              <w:t>0</w:t>
            </w:r>
          </w:p>
        </w:tc>
        <w:tc>
          <w:tcPr>
            <w:tcW w:type="dxa" w:w="1093"/>
            <w:tcMar>
              <w:top w:w="50" w:type="dxa"/>
              <w:bottom w:w="50" w:type="dxa"/>
              <w:left w:w="90" w:type="dxa"/>
              <w:right w:w="90" w:type="dxa"/>
            </w:tcMar>
            <w:shd w:val="clear" w:color="auto" w:fill="E5F5FF"/>
          </w:tcPr>
          <w:p>
            <w:pPr>
              <w:pStyle w:val="BDOITable"/>
            </w:pPr>
            <w:r>
              <w:rPr>
                <w:sz w:val="18"/>
              </w:rPr>
              <w:t>15</w:t>
            </w:r>
          </w:p>
        </w:tc>
      </w:tr>
      <w:tr>
        <w:trPr>
          <w:cantSplit w:val="true"/>
        </w:trPr>
        <w:tc>
          <w:tcPr>
            <w:tcW w:type="dxa" w:w="3415"/>
            <w:tcMar>
              <w:top w:w="50" w:type="dxa"/>
              <w:bottom w:w="50" w:type="dxa"/>
              <w:left w:w="90" w:type="dxa"/>
              <w:right w:w="90" w:type="dxa"/>
            </w:tcMar>
          </w:tcPr>
          <w:p>
            <w:pPr>
              <w:pStyle w:val="BDOITable"/>
            </w:pPr>
            <w:r>
              <w:rPr>
                <w:b/>
                <w:sz w:val="18"/>
              </w:rPr>
              <w:t>V13 API and Web Service</w:t>
            </w:r>
          </w:p>
        </w:tc>
        <w:tc>
          <w:tcPr>
            <w:tcW w:type="dxa" w:w="1093"/>
            <w:tcMar>
              <w:top w:w="50" w:type="dxa"/>
              <w:bottom w:w="50" w:type="dxa"/>
              <w:left w:w="90" w:type="dxa"/>
              <w:right w:w="90" w:type="dxa"/>
            </w:tcMar>
          </w:tcPr>
          <w:p>
            <w:pPr>
              <w:pStyle w:val="BDOITable"/>
            </w:pPr>
            <w:r>
              <w:rPr>
                <w:sz w:val="18"/>
              </w:rPr>
              <w:t>10</w:t>
            </w:r>
          </w:p>
        </w:tc>
        <w:tc>
          <w:tcPr>
            <w:tcW w:type="dxa" w:w="1093"/>
            <w:tcMar>
              <w:top w:w="50" w:type="dxa"/>
              <w:bottom w:w="50" w:type="dxa"/>
              <w:left w:w="90" w:type="dxa"/>
              <w:right w:w="90" w:type="dxa"/>
            </w:tcMar>
          </w:tcPr>
          <w:p>
            <w:pPr>
              <w:pStyle w:val="BDOITable"/>
            </w:pPr>
            <w:r>
              <w:rPr>
                <w:sz w:val="18"/>
              </w:rPr>
              <w:t>0</w:t>
            </w:r>
          </w:p>
        </w:tc>
        <w:tc>
          <w:tcPr>
            <w:tcW w:type="dxa" w:w="1093"/>
            <w:tcMar>
              <w:top w:w="50" w:type="dxa"/>
              <w:bottom w:w="50" w:type="dxa"/>
              <w:left w:w="90" w:type="dxa"/>
              <w:right w:w="90" w:type="dxa"/>
            </w:tcMar>
          </w:tcPr>
          <w:p>
            <w:pPr>
              <w:pStyle w:val="BDOITable"/>
            </w:pPr>
            <w:r>
              <w:rPr>
                <w:sz w:val="18"/>
              </w:rPr>
              <w:t>0</w:t>
            </w:r>
          </w:p>
        </w:tc>
        <w:tc>
          <w:tcPr>
            <w:tcW w:type="dxa" w:w="1093"/>
            <w:tcMar>
              <w:top w:w="50" w:type="dxa"/>
              <w:bottom w:w="50" w:type="dxa"/>
              <w:left w:w="90" w:type="dxa"/>
              <w:right w:w="90" w:type="dxa"/>
            </w:tcMar>
          </w:tcPr>
          <w:p>
            <w:pPr>
              <w:pStyle w:val="BDOITable"/>
            </w:pPr>
            <w:r>
              <w:rPr>
                <w:sz w:val="18"/>
              </w:rPr>
              <w:t>0</w:t>
            </w:r>
          </w:p>
        </w:tc>
        <w:tc>
          <w:tcPr>
            <w:tcW w:type="dxa" w:w="1093"/>
            <w:tcMar>
              <w:top w:w="50" w:type="dxa"/>
              <w:bottom w:w="50" w:type="dxa"/>
              <w:left w:w="90" w:type="dxa"/>
              <w:right w:w="90" w:type="dxa"/>
            </w:tcMar>
          </w:tcPr>
          <w:p>
            <w:pPr>
              <w:pStyle w:val="BDOITable"/>
            </w:pPr>
            <w:r>
              <w:rPr>
                <w:sz w:val="18"/>
              </w:rPr>
              <w:t>3</w:t>
            </w:r>
          </w:p>
        </w:tc>
        <w:tc>
          <w:tcPr>
            <w:tcW w:type="dxa" w:w="1093"/>
            <w:tcMar>
              <w:top w:w="50" w:type="dxa"/>
              <w:bottom w:w="50" w:type="dxa"/>
              <w:left w:w="90" w:type="dxa"/>
              <w:right w:w="90" w:type="dxa"/>
            </w:tcMar>
          </w:tcPr>
          <w:p>
            <w:pPr>
              <w:pStyle w:val="BDOITable"/>
            </w:pPr>
            <w:r>
              <w:rPr>
                <w:sz w:val="18"/>
              </w:rPr>
              <w:t>13</w:t>
            </w:r>
          </w:p>
        </w:tc>
      </w:tr>
      <w:tr>
        <w:trPr>
          <w:cantSplit w:val="true"/>
        </w:trPr>
        <w:tc>
          <w:tcPr>
            <w:tcW w:type="dxa" w:w="3415"/>
            <w:tcMar>
              <w:top w:w="50" w:type="dxa"/>
              <w:bottom w:w="50" w:type="dxa"/>
              <w:left w:w="90" w:type="dxa"/>
              <w:right w:w="90" w:type="dxa"/>
            </w:tcMar>
            <w:shd w:val="clear" w:color="auto" w:fill="E5F5FF"/>
          </w:tcPr>
          <w:p>
            <w:pPr>
              <w:pStyle w:val="BDOITable"/>
            </w:pPr>
            <w:r>
              <w:rPr>
                <w:b/>
                <w:sz w:val="18"/>
              </w:rPr>
              <w:t>V14 Configuration</w:t>
            </w:r>
          </w:p>
        </w:tc>
        <w:tc>
          <w:tcPr>
            <w:tcW w:type="dxa" w:w="1093"/>
            <w:tcMar>
              <w:top w:w="50" w:type="dxa"/>
              <w:bottom w:w="50" w:type="dxa"/>
              <w:left w:w="90" w:type="dxa"/>
              <w:right w:w="90" w:type="dxa"/>
            </w:tcMar>
            <w:shd w:val="clear" w:color="auto" w:fill="E5F5FF"/>
          </w:tcPr>
          <w:p>
            <w:pPr>
              <w:pStyle w:val="BDOITable"/>
            </w:pPr>
            <w:r>
              <w:rPr>
                <w:sz w:val="18"/>
              </w:rPr>
              <w:t>20</w:t>
            </w:r>
          </w:p>
        </w:tc>
        <w:tc>
          <w:tcPr>
            <w:tcW w:type="dxa" w:w="1093"/>
            <w:tcMar>
              <w:top w:w="50" w:type="dxa"/>
              <w:bottom w:w="50" w:type="dxa"/>
              <w:left w:w="90" w:type="dxa"/>
              <w:right w:w="90" w:type="dxa"/>
            </w:tcMar>
            <w:shd w:val="clear" w:color="auto" w:fill="E5F5FF"/>
          </w:tcPr>
          <w:p>
            <w:pPr>
              <w:pStyle w:val="BDOITable"/>
            </w:pPr>
            <w:r>
              <w:rPr>
                <w:sz w:val="18"/>
              </w:rPr>
              <w:t>2</w:t>
            </w:r>
          </w:p>
        </w:tc>
        <w:tc>
          <w:tcPr>
            <w:tcW w:type="dxa" w:w="1093"/>
            <w:tcMar>
              <w:top w:w="50" w:type="dxa"/>
              <w:bottom w:w="50" w:type="dxa"/>
              <w:left w:w="90" w:type="dxa"/>
              <w:right w:w="90" w:type="dxa"/>
            </w:tcMar>
            <w:shd w:val="clear" w:color="auto" w:fill="E5F5FF"/>
          </w:tcPr>
          <w:p>
            <w:pPr>
              <w:pStyle w:val="BDOITable"/>
            </w:pPr>
            <w:r>
              <w:rPr>
                <w:sz w:val="18"/>
              </w:rPr>
              <w:t>0</w:t>
            </w:r>
          </w:p>
        </w:tc>
        <w:tc>
          <w:tcPr>
            <w:tcW w:type="dxa" w:w="1093"/>
            <w:tcMar>
              <w:top w:w="50" w:type="dxa"/>
              <w:bottom w:w="50" w:type="dxa"/>
              <w:left w:w="90" w:type="dxa"/>
              <w:right w:w="90" w:type="dxa"/>
            </w:tcMar>
            <w:shd w:val="clear" w:color="auto" w:fill="E5F5FF"/>
          </w:tcPr>
          <w:p>
            <w:pPr>
              <w:pStyle w:val="BDOITable"/>
            </w:pPr>
            <w:r>
              <w:rPr>
                <w:sz w:val="18"/>
              </w:rPr>
              <w:t>0</w:t>
            </w:r>
          </w:p>
        </w:tc>
        <w:tc>
          <w:tcPr>
            <w:tcW w:type="dxa" w:w="1093"/>
            <w:tcMar>
              <w:top w:w="50" w:type="dxa"/>
              <w:bottom w:w="50" w:type="dxa"/>
              <w:left w:w="90" w:type="dxa"/>
              <w:right w:w="90" w:type="dxa"/>
            </w:tcMar>
            <w:shd w:val="clear" w:color="auto" w:fill="E5F5FF"/>
          </w:tcPr>
          <w:p>
            <w:pPr>
              <w:pStyle w:val="BDOITable"/>
            </w:pPr>
            <w:r>
              <w:rPr>
                <w:sz w:val="18"/>
              </w:rPr>
              <w:t>1</w:t>
            </w:r>
          </w:p>
        </w:tc>
        <w:tc>
          <w:tcPr>
            <w:tcW w:type="dxa" w:w="1093"/>
            <w:tcMar>
              <w:top w:w="50" w:type="dxa"/>
              <w:bottom w:w="50" w:type="dxa"/>
              <w:left w:w="90" w:type="dxa"/>
              <w:right w:w="90" w:type="dxa"/>
            </w:tcMar>
            <w:shd w:val="clear" w:color="auto" w:fill="E5F5FF"/>
          </w:tcPr>
          <w:p>
            <w:pPr>
              <w:pStyle w:val="BDOITable"/>
            </w:pPr>
            <w:r>
              <w:rPr>
                <w:sz w:val="18"/>
              </w:rPr>
              <w:t>23</w:t>
            </w:r>
          </w:p>
        </w:tc>
      </w:tr>
      <w:tr>
        <w:trPr>
          <w:cantSplit w:val="true"/>
        </w:trPr>
        <w:tc>
          <w:tcPr>
            <w:tcW w:type="dxa" w:w="3415"/>
            <w:tcMar>
              <w:top w:w="50" w:type="dxa"/>
              <w:bottom w:w="50" w:type="dxa"/>
              <w:left w:w="90" w:type="dxa"/>
              <w:right w:w="90" w:type="dxa"/>
            </w:tcMar>
          </w:tcPr>
          <w:p>
            <w:pPr>
              <w:pStyle w:val="BDOITable"/>
            </w:pPr>
            <w:r>
              <w:rPr>
                <w:b/>
                <w:sz w:val="18"/>
              </w:rPr>
              <w:t>Total</w:t>
            </w:r>
          </w:p>
        </w:tc>
        <w:tc>
          <w:tcPr>
            <w:tcW w:type="dxa" w:w="1093"/>
            <w:tcMar>
              <w:top w:w="50" w:type="dxa"/>
              <w:bottom w:w="50" w:type="dxa"/>
              <w:left w:w="90" w:type="dxa"/>
              <w:right w:w="90" w:type="dxa"/>
            </w:tcMar>
          </w:tcPr>
          <w:p>
            <w:pPr>
              <w:pStyle w:val="BDOITable"/>
            </w:pPr>
            <w:r>
              <w:rPr>
                <w:sz w:val="18"/>
              </w:rPr>
              <w:t>197</w:t>
            </w:r>
          </w:p>
        </w:tc>
        <w:tc>
          <w:tcPr>
            <w:tcW w:type="dxa" w:w="1093"/>
            <w:tcMar>
              <w:top w:w="50" w:type="dxa"/>
              <w:bottom w:w="50" w:type="dxa"/>
              <w:left w:w="90" w:type="dxa"/>
              <w:right w:w="90" w:type="dxa"/>
            </w:tcMar>
          </w:tcPr>
          <w:p>
            <w:pPr>
              <w:pStyle w:val="BDOITable"/>
            </w:pPr>
            <w:r>
              <w:rPr>
                <w:sz w:val="18"/>
              </w:rPr>
              <w:t>31</w:t>
            </w:r>
          </w:p>
        </w:tc>
        <w:tc>
          <w:tcPr>
            <w:tcW w:type="dxa" w:w="1093"/>
            <w:tcMar>
              <w:top w:w="50" w:type="dxa"/>
              <w:bottom w:w="50" w:type="dxa"/>
              <w:left w:w="90" w:type="dxa"/>
              <w:right w:w="90" w:type="dxa"/>
            </w:tcMar>
          </w:tcPr>
          <w:p>
            <w:pPr>
              <w:pStyle w:val="BDOITable"/>
            </w:pPr>
            <w:r>
              <w:rPr>
                <w:sz w:val="18"/>
              </w:rPr>
              <w:t>1</w:t>
            </w:r>
          </w:p>
        </w:tc>
        <w:tc>
          <w:tcPr>
            <w:tcW w:type="dxa" w:w="1093"/>
            <w:tcMar>
              <w:top w:w="50" w:type="dxa"/>
              <w:bottom w:w="50" w:type="dxa"/>
              <w:left w:w="90" w:type="dxa"/>
              <w:right w:w="90" w:type="dxa"/>
            </w:tcMar>
          </w:tcPr>
          <w:p>
            <w:pPr>
              <w:pStyle w:val="BDOITable"/>
            </w:pPr>
            <w:r>
              <w:rPr>
                <w:sz w:val="18"/>
              </w:rPr>
              <w:t>5</w:t>
            </w:r>
          </w:p>
        </w:tc>
        <w:tc>
          <w:tcPr>
            <w:tcW w:type="dxa" w:w="1093"/>
            <w:tcMar>
              <w:top w:w="50" w:type="dxa"/>
              <w:bottom w:w="50" w:type="dxa"/>
              <w:left w:w="90" w:type="dxa"/>
              <w:right w:w="90" w:type="dxa"/>
            </w:tcMar>
          </w:tcPr>
          <w:p>
            <w:pPr>
              <w:pStyle w:val="BDOITable"/>
            </w:pPr>
            <w:r>
              <w:rPr>
                <w:sz w:val="18"/>
              </w:rPr>
              <w:t>25</w:t>
            </w:r>
          </w:p>
        </w:tc>
        <w:tc>
          <w:tcPr>
            <w:tcW w:type="dxa" w:w="1093"/>
            <w:tcMar>
              <w:top w:w="50" w:type="dxa"/>
              <w:bottom w:w="50" w:type="dxa"/>
              <w:left w:w="90" w:type="dxa"/>
              <w:right w:w="90" w:type="dxa"/>
            </w:tcMar>
          </w:tcPr>
          <w:p>
            <w:pPr>
              <w:pStyle w:val="BDOITable"/>
            </w:pPr>
            <w:r>
              <w:rPr>
                <w:sz w:val="18"/>
              </w:rPr>
              <w:t>259</w:t>
            </w:r>
          </w:p>
        </w:tc>
      </w:tr>
    </w:tbl>
    <w:p>
      <w:pPr>
        <w:pStyle w:val="BDOISpacer"/>
      </w:pPr>
    </w:p>
    <w:p>
      <w:r>
        <w:rPr/>
        <w:t>The rows with an action:</w:t>
      </w:r>
    </w:p>
    <w:p>
      <w:pPr>
        <w:pStyle w:val="Caption"/>
        <w:keepNext/>
        <w:spacing w:after="60"/>
      </w:pPr>
      <w:r>
        <w:rPr>
          <w:b/>
          <w:i w:val="0"/>
        </w:rPr>
        <w:t xml:space="preserve">Table 16: </w:t>
      </w:r>
      <w:r>
        <w:rPr/>
        <w:t>ASVS Level 2 rows with an action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757"/>
        <w:gridCol w:w="883"/>
        <w:gridCol w:w="5680"/>
        <w:gridCol w:w="1514"/>
        <w:gridCol w:w="1136"/>
      </w:tblGrid>
      <w:tr>
        <w:trPr>
          <w:tblHeader w:val="true"/>
          <w:cantSplit w:val="true"/>
        </w:trPr>
        <w:tc>
          <w:tcPr>
            <w:tcW w:type="dxa" w:w="757"/>
            <w:shd w:val="clear" w:color="auto" w:fill="004EA8"/>
            <w:tcMar>
              <w:top w:w="50" w:type="dxa"/>
              <w:bottom w:w="50" w:type="dxa"/>
              <w:left w:w="90" w:type="dxa"/>
              <w:right w:w="90" w:type="dxa"/>
            </w:tcMar>
            <w:vAlign w:val="center"/>
          </w:tcPr>
          <w:p>
            <w:pPr>
              <w:pStyle w:val="BDOITableHeader"/>
            </w:pPr>
            <w:r>
              <w:rPr>
                <w:b/>
                <w:color w:val="FFFFFF"/>
                <w:sz w:val="16"/>
              </w:rPr>
              <w:t>ASVS</w:t>
            </w:r>
          </w:p>
        </w:tc>
        <w:tc>
          <w:tcPr>
            <w:tcW w:type="dxa" w:w="884"/>
            <w:shd w:val="clear" w:color="auto" w:fill="004EA8"/>
            <w:tcMar>
              <w:top w:w="50" w:type="dxa"/>
              <w:bottom w:w="50" w:type="dxa"/>
              <w:left w:w="90" w:type="dxa"/>
              <w:right w:w="90" w:type="dxa"/>
            </w:tcMar>
            <w:vAlign w:val="center"/>
          </w:tcPr>
          <w:p>
            <w:pPr>
              <w:pStyle w:val="BDOITableHeader"/>
            </w:pPr>
            <w:r>
              <w:rPr>
                <w:b/>
                <w:color w:val="FFFFFF"/>
                <w:sz w:val="16"/>
              </w:rPr>
              <w:t>Status</w:t>
            </w:r>
          </w:p>
        </w:tc>
        <w:tc>
          <w:tcPr>
            <w:tcW w:type="dxa" w:w="5680"/>
            <w:shd w:val="clear" w:color="auto" w:fill="004EA8"/>
            <w:tcMar>
              <w:top w:w="50" w:type="dxa"/>
              <w:bottom w:w="50" w:type="dxa"/>
              <w:left w:w="90" w:type="dxa"/>
              <w:right w:w="90" w:type="dxa"/>
            </w:tcMar>
            <w:vAlign w:val="center"/>
          </w:tcPr>
          <w:p>
            <w:pPr>
              <w:pStyle w:val="BDOITableHeader"/>
            </w:pPr>
            <w:r>
              <w:rPr>
                <w:b/>
                <w:color w:val="FFFFFF"/>
                <w:sz w:val="16"/>
              </w:rPr>
              <w:t>Gap and action</w:t>
            </w:r>
          </w:p>
        </w:tc>
        <w:tc>
          <w:tcPr>
            <w:tcW w:type="dxa" w:w="1515"/>
            <w:shd w:val="clear" w:color="auto" w:fill="004EA8"/>
            <w:tcMar>
              <w:top w:w="50" w:type="dxa"/>
              <w:bottom w:w="50" w:type="dxa"/>
              <w:left w:w="90" w:type="dxa"/>
              <w:right w:w="90" w:type="dxa"/>
            </w:tcMar>
            <w:vAlign w:val="center"/>
          </w:tcPr>
          <w:p>
            <w:pPr>
              <w:pStyle w:val="BDOITableHeader"/>
            </w:pPr>
            <w:r>
              <w:rPr>
                <w:b/>
                <w:color w:val="FFFFFF"/>
                <w:sz w:val="16"/>
              </w:rPr>
              <w:t>Owner</w:t>
            </w:r>
          </w:p>
        </w:tc>
        <w:tc>
          <w:tcPr>
            <w:tcW w:type="dxa" w:w="1136"/>
            <w:shd w:val="clear" w:color="auto" w:fill="004EA8"/>
            <w:tcMar>
              <w:top w:w="50" w:type="dxa"/>
              <w:bottom w:w="50" w:type="dxa"/>
              <w:left w:w="90" w:type="dxa"/>
              <w:right w:w="90" w:type="dxa"/>
            </w:tcMar>
            <w:vAlign w:val="center"/>
          </w:tcPr>
          <w:p>
            <w:pPr>
              <w:pStyle w:val="BDOITableHeader"/>
            </w:pPr>
            <w:r>
              <w:rPr>
                <w:b/>
                <w:color w:val="FFFFFF"/>
                <w:sz w:val="16"/>
              </w:rPr>
              <w:t>Due</w:t>
            </w:r>
          </w:p>
        </w:tc>
      </w:tr>
      <w:tr>
        <w:trPr>
          <w:cantSplit w:val="true"/>
        </w:trPr>
        <w:tc>
          <w:tcPr>
            <w:tcW w:type="dxa" w:w="757"/>
            <w:tcMar>
              <w:top w:w="50" w:type="dxa"/>
              <w:bottom w:w="50" w:type="dxa"/>
              <w:left w:w="90" w:type="dxa"/>
              <w:right w:w="90" w:type="dxa"/>
            </w:tcMar>
          </w:tcPr>
          <w:p>
            <w:pPr>
              <w:pStyle w:val="BDOITable"/>
            </w:pPr>
            <w:r>
              <w:rPr>
                <w:sz w:val="16"/>
              </w:rPr>
              <w:t>V1.1.2</w:t>
            </w:r>
          </w:p>
        </w:tc>
        <w:tc>
          <w:tcPr>
            <w:tcW w:type="dxa" w:w="884"/>
            <w:tcMar>
              <w:top w:w="50" w:type="dxa"/>
              <w:bottom w:w="50" w:type="dxa"/>
              <w:left w:w="90" w:type="dxa"/>
              <w:right w:w="90" w:type="dxa"/>
            </w:tcMar>
          </w:tcPr>
          <w:p>
            <w:pPr>
              <w:pStyle w:val="BDOITable"/>
            </w:pPr>
            <w:r>
              <w:rPr>
                <w:sz w:val="16"/>
              </w:rPr>
              <w:t>Partly met</w:t>
            </w:r>
          </w:p>
        </w:tc>
        <w:tc>
          <w:tcPr>
            <w:tcW w:type="dxa" w:w="5680"/>
            <w:tcMar>
              <w:top w:w="50" w:type="dxa"/>
              <w:bottom w:w="50" w:type="dxa"/>
              <w:left w:w="90" w:type="dxa"/>
              <w:right w:w="90" w:type="dxa"/>
            </w:tcMar>
          </w:tcPr>
          <w:p>
            <w:pPr>
              <w:pStyle w:val="BDOITable"/>
            </w:pPr>
            <w:r>
              <w:rPr>
                <w:sz w:val="16"/>
              </w:rPr>
              <w:t>Review of the threat model for every change that adds a trust boundary or an integration: add it to the definition of done of the change register. iorta TechNXT, from 31 Oct 2026</w:t>
            </w:r>
          </w:p>
        </w:tc>
        <w:tc>
          <w:tcPr>
            <w:tcW w:type="dxa" w:w="1515"/>
            <w:tcMar>
              <w:top w:w="50" w:type="dxa"/>
              <w:bottom w:w="50" w:type="dxa"/>
              <w:left w:w="90" w:type="dxa"/>
              <w:right w:w="90" w:type="dxa"/>
            </w:tcMar>
          </w:tcPr>
          <w:p>
            <w:pPr>
              <w:pStyle w:val="BDOITable"/>
            </w:pPr>
            <w:r>
              <w:rPr>
                <w:sz w:val="16"/>
              </w:rPr>
              <w:t>iorta TechNXT</w:t>
            </w:r>
          </w:p>
        </w:tc>
        <w:tc>
          <w:tcPr>
            <w:tcW w:type="dxa" w:w="1136"/>
            <w:tcMar>
              <w:top w:w="50" w:type="dxa"/>
              <w:bottom w:w="50" w:type="dxa"/>
              <w:left w:w="90" w:type="dxa"/>
              <w:right w:w="90" w:type="dxa"/>
            </w:tcMar>
          </w:tcPr>
          <w:p>
            <w:pPr>
              <w:pStyle w:val="BDOITable"/>
            </w:pPr>
            <w:r>
              <w:rPr>
                <w:sz w:val="16"/>
              </w:rPr>
              <w:t>31 Oct 2026</w:t>
            </w:r>
          </w:p>
        </w:tc>
      </w:tr>
      <w:tr>
        <w:trPr>
          <w:cantSplit w:val="true"/>
        </w:trPr>
        <w:tc>
          <w:tcPr>
            <w:tcW w:type="dxa" w:w="757"/>
            <w:tcMar>
              <w:top w:w="50" w:type="dxa"/>
              <w:bottom w:w="50" w:type="dxa"/>
              <w:left w:w="90" w:type="dxa"/>
              <w:right w:w="90" w:type="dxa"/>
            </w:tcMar>
            <w:shd w:val="clear" w:color="auto" w:fill="E5F5FF"/>
          </w:tcPr>
          <w:p>
            <w:pPr>
              <w:pStyle w:val="BDOITable"/>
            </w:pPr>
            <w:r>
              <w:rPr>
                <w:sz w:val="16"/>
              </w:rPr>
              <w:t>V1.6.1</w:t>
            </w:r>
          </w:p>
        </w:tc>
        <w:tc>
          <w:tcPr>
            <w:tcW w:type="dxa" w:w="884"/>
            <w:tcMar>
              <w:top w:w="50" w:type="dxa"/>
              <w:bottom w:w="50" w:type="dxa"/>
              <w:left w:w="90" w:type="dxa"/>
              <w:right w:w="90" w:type="dxa"/>
            </w:tcMar>
            <w:shd w:val="clear" w:color="auto" w:fill="E5F5FF"/>
          </w:tcPr>
          <w:p>
            <w:pPr>
              <w:pStyle w:val="BDOITable"/>
            </w:pPr>
            <w:r>
              <w:rPr>
                <w:sz w:val="16"/>
              </w:rPr>
              <w:t>Partly met</w:t>
            </w:r>
          </w:p>
        </w:tc>
        <w:tc>
          <w:tcPr>
            <w:tcW w:type="dxa" w:w="5680"/>
            <w:tcMar>
              <w:top w:w="50" w:type="dxa"/>
              <w:bottom w:w="50" w:type="dxa"/>
              <w:left w:w="90" w:type="dxa"/>
              <w:right w:w="90" w:type="dxa"/>
            </w:tcMar>
            <w:shd w:val="clear" w:color="auto" w:fill="E5F5FF"/>
          </w:tcPr>
          <w:p>
            <w:pPr>
              <w:pStyle w:val="BDOITable"/>
            </w:pPr>
            <w:r>
              <w:rPr>
                <w:sz w:val="16"/>
              </w:rPr>
              <w:t>BDOI to confirm the key management standard and rotation periods (open point SEC-04)</w:t>
            </w:r>
          </w:p>
        </w:tc>
        <w:tc>
          <w:tcPr>
            <w:tcW w:type="dxa" w:w="1515"/>
            <w:tcMar>
              <w:top w:w="50" w:type="dxa"/>
              <w:bottom w:w="50" w:type="dxa"/>
              <w:left w:w="90" w:type="dxa"/>
              <w:right w:w="90" w:type="dxa"/>
            </w:tcMar>
            <w:shd w:val="clear" w:color="auto" w:fill="E5F5FF"/>
          </w:tcPr>
          <w:p>
            <w:pPr>
              <w:pStyle w:val="BDOITable"/>
            </w:pPr>
            <w:r>
              <w:rPr>
                <w:sz w:val="16"/>
              </w:rPr>
              <w:t>BDOI Information Security</w:t>
            </w:r>
          </w:p>
        </w:tc>
        <w:tc>
          <w:tcPr>
            <w:tcW w:type="dxa" w:w="1136"/>
            <w:tcMar>
              <w:top w:w="50" w:type="dxa"/>
              <w:bottom w:w="50" w:type="dxa"/>
              <w:left w:w="90" w:type="dxa"/>
              <w:right w:w="90" w:type="dxa"/>
            </w:tcMar>
            <w:shd w:val="clear" w:color="auto" w:fill="E5F5FF"/>
          </w:tcPr>
          <w:p>
            <w:pPr>
              <w:pStyle w:val="BDOITable"/>
            </w:pPr>
            <w:r>
              <w:rPr>
                <w:sz w:val="16"/>
              </w:rPr>
              <w:t>31 Jan 2027</w:t>
            </w:r>
          </w:p>
        </w:tc>
      </w:tr>
      <w:tr>
        <w:trPr>
          <w:cantSplit w:val="true"/>
        </w:trPr>
        <w:tc>
          <w:tcPr>
            <w:tcW w:type="dxa" w:w="757"/>
            <w:tcMar>
              <w:top w:w="50" w:type="dxa"/>
              <w:bottom w:w="50" w:type="dxa"/>
              <w:left w:w="90" w:type="dxa"/>
              <w:right w:w="90" w:type="dxa"/>
            </w:tcMar>
          </w:tcPr>
          <w:p>
            <w:pPr>
              <w:pStyle w:val="BDOITable"/>
            </w:pPr>
            <w:r>
              <w:rPr>
                <w:sz w:val="16"/>
              </w:rPr>
              <w:t>V1.7.2</w:t>
            </w:r>
          </w:p>
        </w:tc>
        <w:tc>
          <w:tcPr>
            <w:tcW w:type="dxa" w:w="884"/>
            <w:tcMar>
              <w:top w:w="50" w:type="dxa"/>
              <w:bottom w:w="50" w:type="dxa"/>
              <w:left w:w="90" w:type="dxa"/>
              <w:right w:w="90" w:type="dxa"/>
            </w:tcMar>
          </w:tcPr>
          <w:p>
            <w:pPr>
              <w:pStyle w:val="BDOITable"/>
            </w:pPr>
            <w:r>
              <w:rPr>
                <w:sz w:val="16"/>
              </w:rPr>
              <w:t>BDOI</w:t>
            </w:r>
          </w:p>
        </w:tc>
        <w:tc>
          <w:tcPr>
            <w:tcW w:type="dxa" w:w="5680"/>
            <w:tcMar>
              <w:top w:w="50" w:type="dxa"/>
              <w:bottom w:w="50" w:type="dxa"/>
              <w:left w:w="90" w:type="dxa"/>
              <w:right w:w="90" w:type="dxa"/>
            </w:tcMar>
          </w:tcPr>
          <w:p>
            <w:pPr>
              <w:pStyle w:val="BDOITable"/>
            </w:pPr>
            <w:r>
              <w:rPr>
                <w:sz w:val="16"/>
              </w:rPr>
              <w:t>BDOI IT to name the log platform and SIEM and the log forwarder (open point SEC-07)</w:t>
            </w:r>
          </w:p>
        </w:tc>
        <w:tc>
          <w:tcPr>
            <w:tcW w:type="dxa" w:w="1515"/>
            <w:tcMar>
              <w:top w:w="50" w:type="dxa"/>
              <w:bottom w:w="50" w:type="dxa"/>
              <w:left w:w="90" w:type="dxa"/>
              <w:right w:w="90" w:type="dxa"/>
            </w:tcMar>
          </w:tcPr>
          <w:p>
            <w:pPr>
              <w:pStyle w:val="BDOITable"/>
            </w:pPr>
            <w:r>
              <w:rPr>
                <w:sz w:val="16"/>
              </w:rPr>
              <w:t>BDOI IT</w:t>
            </w:r>
          </w:p>
        </w:tc>
        <w:tc>
          <w:tcPr>
            <w:tcW w:type="dxa" w:w="1136"/>
            <w:tcMar>
              <w:top w:w="50" w:type="dxa"/>
              <w:bottom w:w="50" w:type="dxa"/>
              <w:left w:w="90" w:type="dxa"/>
              <w:right w:w="90" w:type="dxa"/>
            </w:tcMar>
          </w:tcPr>
          <w:p>
            <w:pPr>
              <w:pStyle w:val="BDOITable"/>
            </w:pPr>
            <w:r>
              <w:rPr>
                <w:sz w:val="16"/>
              </w:rPr>
              <w:t>31 Mar 2027</w:t>
            </w:r>
          </w:p>
        </w:tc>
      </w:tr>
      <w:tr>
        <w:trPr>
          <w:cantSplit w:val="true"/>
        </w:trPr>
        <w:tc>
          <w:tcPr>
            <w:tcW w:type="dxa" w:w="757"/>
            <w:tcMar>
              <w:top w:w="50" w:type="dxa"/>
              <w:bottom w:w="50" w:type="dxa"/>
              <w:left w:w="90" w:type="dxa"/>
              <w:right w:w="90" w:type="dxa"/>
            </w:tcMar>
            <w:shd w:val="clear" w:color="auto" w:fill="E5F5FF"/>
          </w:tcPr>
          <w:p>
            <w:pPr>
              <w:pStyle w:val="BDOITable"/>
            </w:pPr>
            <w:r>
              <w:rPr>
                <w:sz w:val="16"/>
              </w:rPr>
              <w:t>V1.8.2</w:t>
            </w:r>
          </w:p>
        </w:tc>
        <w:tc>
          <w:tcPr>
            <w:tcW w:type="dxa" w:w="884"/>
            <w:tcMar>
              <w:top w:w="50" w:type="dxa"/>
              <w:bottom w:w="50" w:type="dxa"/>
              <w:left w:w="90" w:type="dxa"/>
              <w:right w:w="90" w:type="dxa"/>
            </w:tcMar>
            <w:shd w:val="clear" w:color="auto" w:fill="E5F5FF"/>
          </w:tcPr>
          <w:p>
            <w:pPr>
              <w:pStyle w:val="BDOITable"/>
            </w:pPr>
            <w:r>
              <w:rPr>
                <w:sz w:val="16"/>
              </w:rPr>
              <w:t>Partly met</w:t>
            </w:r>
          </w:p>
        </w:tc>
        <w:tc>
          <w:tcPr>
            <w:tcW w:type="dxa" w:w="5680"/>
            <w:tcMar>
              <w:top w:w="50" w:type="dxa"/>
              <w:bottom w:w="50" w:type="dxa"/>
              <w:left w:w="90" w:type="dxa"/>
              <w:right w:w="90" w:type="dxa"/>
            </w:tcMar>
            <w:shd w:val="clear" w:color="auto" w:fill="E5F5FF"/>
          </w:tcPr>
          <w:p>
            <w:pPr>
              <w:pStyle w:val="BDOITable"/>
            </w:pPr>
            <w:r>
              <w:rPr>
                <w:sz w:val="16"/>
              </w:rPr>
              <w:t>BDOI Information Security to approve the classification and the controls per level (open point SEC-09)</w:t>
            </w:r>
          </w:p>
        </w:tc>
        <w:tc>
          <w:tcPr>
            <w:tcW w:type="dxa" w:w="1515"/>
            <w:tcMar>
              <w:top w:w="50" w:type="dxa"/>
              <w:bottom w:w="50" w:type="dxa"/>
              <w:left w:w="90" w:type="dxa"/>
              <w:right w:w="90" w:type="dxa"/>
            </w:tcMar>
            <w:shd w:val="clear" w:color="auto" w:fill="E5F5FF"/>
          </w:tcPr>
          <w:p>
            <w:pPr>
              <w:pStyle w:val="BDOITable"/>
            </w:pPr>
            <w:r>
              <w:rPr>
                <w:sz w:val="16"/>
              </w:rPr>
              <w:t>BDOI Information Security</w:t>
            </w:r>
          </w:p>
        </w:tc>
        <w:tc>
          <w:tcPr>
            <w:tcW w:type="dxa" w:w="1136"/>
            <w:tcMar>
              <w:top w:w="50" w:type="dxa"/>
              <w:bottom w:w="50" w:type="dxa"/>
              <w:left w:w="90" w:type="dxa"/>
              <w:right w:w="90" w:type="dxa"/>
            </w:tcMar>
            <w:shd w:val="clear" w:color="auto" w:fill="E5F5FF"/>
          </w:tcPr>
          <w:p>
            <w:pPr>
              <w:pStyle w:val="BDOITable"/>
            </w:pPr>
            <w:r>
              <w:rPr>
                <w:sz w:val="16"/>
              </w:rPr>
              <w:t>31 Jan 2027</w:t>
            </w:r>
          </w:p>
        </w:tc>
      </w:tr>
      <w:tr>
        <w:trPr>
          <w:cantSplit w:val="true"/>
        </w:trPr>
        <w:tc>
          <w:tcPr>
            <w:tcW w:type="dxa" w:w="757"/>
            <w:tcMar>
              <w:top w:w="50" w:type="dxa"/>
              <w:bottom w:w="50" w:type="dxa"/>
              <w:left w:w="90" w:type="dxa"/>
              <w:right w:w="90" w:type="dxa"/>
            </w:tcMar>
          </w:tcPr>
          <w:p>
            <w:pPr>
              <w:pStyle w:val="BDOITable"/>
            </w:pPr>
            <w:r>
              <w:rPr>
                <w:sz w:val="16"/>
              </w:rPr>
              <w:t>V1.14.2</w:t>
            </w:r>
          </w:p>
        </w:tc>
        <w:tc>
          <w:tcPr>
            <w:tcW w:type="dxa" w:w="884"/>
            <w:tcMar>
              <w:top w:w="50" w:type="dxa"/>
              <w:bottom w:w="50" w:type="dxa"/>
              <w:left w:w="90" w:type="dxa"/>
              <w:right w:w="90" w:type="dxa"/>
            </w:tcMar>
          </w:tcPr>
          <w:p>
            <w:pPr>
              <w:pStyle w:val="BDOITable"/>
            </w:pPr>
            <w:r>
              <w:rPr>
                <w:sz w:val="16"/>
              </w:rPr>
              <w:t>Partly met</w:t>
            </w:r>
          </w:p>
        </w:tc>
        <w:tc>
          <w:tcPr>
            <w:tcW w:type="dxa" w:w="5680"/>
            <w:tcMar>
              <w:top w:w="50" w:type="dxa"/>
              <w:bottom w:w="50" w:type="dxa"/>
              <w:left w:w="90" w:type="dxa"/>
              <w:right w:w="90" w:type="dxa"/>
            </w:tcMar>
          </w:tcPr>
          <w:p>
            <w:pPr>
              <w:pStyle w:val="BDOITable"/>
            </w:pPr>
            <w:r>
              <w:rPr>
                <w:sz w:val="16"/>
              </w:rPr>
              <w:t>Sign the images (cosign or AWS Signer) and verify signatures at admission (open point SEC-11)</w:t>
            </w:r>
          </w:p>
        </w:tc>
        <w:tc>
          <w:tcPr>
            <w:tcW w:type="dxa" w:w="1515"/>
            <w:tcMar>
              <w:top w:w="50" w:type="dxa"/>
              <w:bottom w:w="50" w:type="dxa"/>
              <w:left w:w="90" w:type="dxa"/>
              <w:right w:w="90" w:type="dxa"/>
            </w:tcMar>
          </w:tcPr>
          <w:p>
            <w:pPr>
              <w:pStyle w:val="BDOITable"/>
            </w:pPr>
            <w:r>
              <w:rPr>
                <w:sz w:val="16"/>
              </w:rPr>
              <w:t>iorta TechNXT</w:t>
            </w:r>
          </w:p>
        </w:tc>
        <w:tc>
          <w:tcPr>
            <w:tcW w:type="dxa" w:w="1136"/>
            <w:tcMar>
              <w:top w:w="50" w:type="dxa"/>
              <w:bottom w:w="50" w:type="dxa"/>
              <w:left w:w="90" w:type="dxa"/>
              <w:right w:w="90" w:type="dxa"/>
            </w:tcMar>
          </w:tcPr>
          <w:p>
            <w:pPr>
              <w:pStyle w:val="BDOITable"/>
            </w:pPr>
            <w:r>
              <w:rPr>
                <w:sz w:val="16"/>
              </w:rPr>
              <w:t>30 Jun 2027</w:t>
            </w:r>
          </w:p>
        </w:tc>
      </w:tr>
      <w:tr>
        <w:trPr>
          <w:cantSplit w:val="true"/>
        </w:trPr>
        <w:tc>
          <w:tcPr>
            <w:tcW w:type="dxa" w:w="757"/>
            <w:tcMar>
              <w:top w:w="50" w:type="dxa"/>
              <w:bottom w:w="50" w:type="dxa"/>
              <w:left w:w="90" w:type="dxa"/>
              <w:right w:w="90" w:type="dxa"/>
            </w:tcMar>
            <w:shd w:val="clear" w:color="auto" w:fill="E5F5FF"/>
          </w:tcPr>
          <w:p>
            <w:pPr>
              <w:pStyle w:val="BDOITable"/>
            </w:pPr>
            <w:r>
              <w:rPr>
                <w:sz w:val="16"/>
              </w:rPr>
              <w:t>V2.1.1</w:t>
            </w:r>
          </w:p>
        </w:tc>
        <w:tc>
          <w:tcPr>
            <w:tcW w:type="dxa" w:w="884"/>
            <w:tcMar>
              <w:top w:w="50" w:type="dxa"/>
              <w:bottom w:w="50" w:type="dxa"/>
              <w:left w:w="90" w:type="dxa"/>
              <w:right w:w="90" w:type="dxa"/>
            </w:tcMar>
            <w:shd w:val="clear" w:color="auto" w:fill="E5F5FF"/>
          </w:tcPr>
          <w:p>
            <w:pPr>
              <w:pStyle w:val="BDOITable"/>
            </w:pPr>
            <w:r>
              <w:rPr>
                <w:sz w:val="16"/>
              </w:rPr>
              <w:t>Partly met</w:t>
            </w:r>
          </w:p>
        </w:tc>
        <w:tc>
          <w:tcPr>
            <w:tcW w:type="dxa" w:w="5680"/>
            <w:tcMar>
              <w:top w:w="50" w:type="dxa"/>
              <w:bottom w:w="50" w:type="dxa"/>
              <w:left w:w="90" w:type="dxa"/>
              <w:right w:w="90" w:type="dxa"/>
            </w:tcMar>
            <w:shd w:val="clear" w:color="auto" w:fill="E5F5FF"/>
          </w:tcPr>
          <w:p>
            <w:pPr>
              <w:pStyle w:val="BDOITable"/>
            </w:pPr>
            <w:r>
              <w:rPr>
                <w:sz w:val="16"/>
              </w:rPr>
              <w:t>Raise the local minimum to 12 characters (open point SEC-02)</w:t>
            </w:r>
          </w:p>
        </w:tc>
        <w:tc>
          <w:tcPr>
            <w:tcW w:type="dxa" w:w="1515"/>
            <w:tcMar>
              <w:top w:w="50" w:type="dxa"/>
              <w:bottom w:w="50" w:type="dxa"/>
              <w:left w:w="90" w:type="dxa"/>
              <w:right w:w="90" w:type="dxa"/>
            </w:tcMar>
            <w:shd w:val="clear" w:color="auto" w:fill="E5F5FF"/>
          </w:tcPr>
          <w:p>
            <w:pPr>
              <w:pStyle w:val="BDOITable"/>
            </w:pPr>
            <w:r>
              <w:rPr>
                <w:sz w:val="16"/>
              </w:rPr>
              <w:t>iorta TechNXT</w:t>
            </w:r>
          </w:p>
        </w:tc>
        <w:tc>
          <w:tcPr>
            <w:tcW w:type="dxa" w:w="1136"/>
            <w:tcMar>
              <w:top w:w="50" w:type="dxa"/>
              <w:bottom w:w="50" w:type="dxa"/>
              <w:left w:w="90" w:type="dxa"/>
              <w:right w:w="90" w:type="dxa"/>
            </w:tcMar>
            <w:shd w:val="clear" w:color="auto" w:fill="E5F5FF"/>
          </w:tcPr>
          <w:p>
            <w:pPr>
              <w:pStyle w:val="BDOITable"/>
            </w:pPr>
            <w:r>
              <w:rPr>
                <w:sz w:val="16"/>
              </w:rPr>
              <w:t>31 Jan 2027</w:t>
            </w:r>
          </w:p>
        </w:tc>
      </w:tr>
      <w:tr>
        <w:trPr>
          <w:cantSplit w:val="true"/>
        </w:trPr>
        <w:tc>
          <w:tcPr>
            <w:tcW w:type="dxa" w:w="757"/>
            <w:tcMar>
              <w:top w:w="50" w:type="dxa"/>
              <w:bottom w:w="50" w:type="dxa"/>
              <w:left w:w="90" w:type="dxa"/>
              <w:right w:w="90" w:type="dxa"/>
            </w:tcMar>
          </w:tcPr>
          <w:p>
            <w:pPr>
              <w:pStyle w:val="BDOITable"/>
            </w:pPr>
            <w:r>
              <w:rPr>
                <w:sz w:val="16"/>
              </w:rPr>
              <w:t>V2.1.7</w:t>
            </w:r>
          </w:p>
        </w:tc>
        <w:tc>
          <w:tcPr>
            <w:tcW w:type="dxa" w:w="884"/>
            <w:tcMar>
              <w:top w:w="50" w:type="dxa"/>
              <w:bottom w:w="50" w:type="dxa"/>
              <w:left w:w="90" w:type="dxa"/>
              <w:right w:w="90" w:type="dxa"/>
            </w:tcMar>
          </w:tcPr>
          <w:p>
            <w:pPr>
              <w:pStyle w:val="BDOITable"/>
            </w:pPr>
            <w:r>
              <w:rPr>
                <w:sz w:val="16"/>
              </w:rPr>
              <w:t>Planned</w:t>
            </w:r>
          </w:p>
        </w:tc>
        <w:tc>
          <w:tcPr>
            <w:tcW w:type="dxa" w:w="5680"/>
            <w:tcMar>
              <w:top w:w="50" w:type="dxa"/>
              <w:bottom w:w="50" w:type="dxa"/>
              <w:left w:w="90" w:type="dxa"/>
              <w:right w:w="90" w:type="dxa"/>
            </w:tcMar>
          </w:tcPr>
          <w:p>
            <w:pPr>
              <w:pStyle w:val="BDOITable"/>
            </w:pPr>
            <w:r>
              <w:rPr>
                <w:sz w:val="16"/>
              </w:rPr>
              <w:t>Add a breached-password list check for local break-glass passwords (open point SEC-02)</w:t>
            </w:r>
          </w:p>
        </w:tc>
        <w:tc>
          <w:tcPr>
            <w:tcW w:type="dxa" w:w="1515"/>
            <w:tcMar>
              <w:top w:w="50" w:type="dxa"/>
              <w:bottom w:w="50" w:type="dxa"/>
              <w:left w:w="90" w:type="dxa"/>
              <w:right w:w="90" w:type="dxa"/>
            </w:tcMar>
          </w:tcPr>
          <w:p>
            <w:pPr>
              <w:pStyle w:val="BDOITable"/>
            </w:pPr>
            <w:r>
              <w:rPr>
                <w:sz w:val="16"/>
              </w:rPr>
              <w:t>iorta TechNXT</w:t>
            </w:r>
          </w:p>
        </w:tc>
        <w:tc>
          <w:tcPr>
            <w:tcW w:type="dxa" w:w="1136"/>
            <w:tcMar>
              <w:top w:w="50" w:type="dxa"/>
              <w:bottom w:w="50" w:type="dxa"/>
              <w:left w:w="90" w:type="dxa"/>
              <w:right w:w="90" w:type="dxa"/>
            </w:tcMar>
          </w:tcPr>
          <w:p>
            <w:pPr>
              <w:pStyle w:val="BDOITable"/>
            </w:pPr>
            <w:r>
              <w:rPr>
                <w:sz w:val="16"/>
              </w:rPr>
              <w:t>30 Apr 2027</w:t>
            </w:r>
          </w:p>
        </w:tc>
      </w:tr>
      <w:tr>
        <w:trPr>
          <w:cantSplit w:val="true"/>
        </w:trPr>
        <w:tc>
          <w:tcPr>
            <w:tcW w:type="dxa" w:w="757"/>
            <w:tcMar>
              <w:top w:w="50" w:type="dxa"/>
              <w:bottom w:w="50" w:type="dxa"/>
              <w:left w:w="90" w:type="dxa"/>
              <w:right w:w="90" w:type="dxa"/>
            </w:tcMar>
            <w:shd w:val="clear" w:color="auto" w:fill="E5F5FF"/>
          </w:tcPr>
          <w:p>
            <w:pPr>
              <w:pStyle w:val="BDOITable"/>
            </w:pPr>
            <w:r>
              <w:rPr>
                <w:sz w:val="16"/>
              </w:rPr>
              <w:t>V2.1.9</w:t>
            </w:r>
          </w:p>
        </w:tc>
        <w:tc>
          <w:tcPr>
            <w:tcW w:type="dxa" w:w="884"/>
            <w:tcMar>
              <w:top w:w="50" w:type="dxa"/>
              <w:bottom w:w="50" w:type="dxa"/>
              <w:left w:w="90" w:type="dxa"/>
              <w:right w:w="90" w:type="dxa"/>
            </w:tcMar>
            <w:shd w:val="clear" w:color="auto" w:fill="E5F5FF"/>
          </w:tcPr>
          <w:p>
            <w:pPr>
              <w:pStyle w:val="BDOITable"/>
            </w:pPr>
            <w:r>
              <w:rPr>
                <w:sz w:val="16"/>
              </w:rPr>
              <w:t>Partly met</w:t>
            </w:r>
          </w:p>
        </w:tc>
        <w:tc>
          <w:tcPr>
            <w:tcW w:type="dxa" w:w="5680"/>
            <w:tcMar>
              <w:top w:w="50" w:type="dxa"/>
              <w:bottom w:w="50" w:type="dxa"/>
              <w:left w:w="90" w:type="dxa"/>
              <w:right w:w="90" w:type="dxa"/>
            </w:tcMar>
            <w:shd w:val="clear" w:color="auto" w:fill="E5F5FF"/>
          </w:tcPr>
          <w:p>
            <w:pPr>
              <w:pStyle w:val="BDOITable"/>
            </w:pPr>
            <w:r>
              <w:rPr>
                <w:sz w:val="16"/>
              </w:rPr>
              <w:t>Deviation from ASVS accepted by BDOI for BRD-11 (open point SEC-02)</w:t>
            </w:r>
          </w:p>
        </w:tc>
        <w:tc>
          <w:tcPr>
            <w:tcW w:type="dxa" w:w="1515"/>
            <w:tcMar>
              <w:top w:w="50" w:type="dxa"/>
              <w:bottom w:w="50" w:type="dxa"/>
              <w:left w:w="90" w:type="dxa"/>
              <w:right w:w="90" w:type="dxa"/>
            </w:tcMar>
            <w:shd w:val="clear" w:color="auto" w:fill="E5F5FF"/>
          </w:tcPr>
          <w:p>
            <w:pPr>
              <w:pStyle w:val="BDOITable"/>
            </w:pPr>
            <w:r>
              <w:rPr>
                <w:sz w:val="16"/>
              </w:rPr>
              <w:t>BDOI Information Security</w:t>
            </w:r>
          </w:p>
        </w:tc>
        <w:tc>
          <w:tcPr>
            <w:tcW w:type="dxa" w:w="1136"/>
            <w:tcMar>
              <w:top w:w="50" w:type="dxa"/>
              <w:bottom w:w="50" w:type="dxa"/>
              <w:left w:w="90" w:type="dxa"/>
              <w:right w:w="90" w:type="dxa"/>
            </w:tcMar>
            <w:shd w:val="clear" w:color="auto" w:fill="E5F5FF"/>
          </w:tcPr>
          <w:p>
            <w:pPr>
              <w:pStyle w:val="BDOITable"/>
            </w:pPr>
            <w:r>
              <w:rPr>
                <w:sz w:val="16"/>
              </w:rPr>
              <w:t>31 Jan 2027</w:t>
            </w:r>
          </w:p>
        </w:tc>
      </w:tr>
      <w:tr>
        <w:trPr>
          <w:cantSplit w:val="true"/>
        </w:trPr>
        <w:tc>
          <w:tcPr>
            <w:tcW w:type="dxa" w:w="757"/>
            <w:tcMar>
              <w:top w:w="50" w:type="dxa"/>
              <w:bottom w:w="50" w:type="dxa"/>
              <w:left w:w="90" w:type="dxa"/>
              <w:right w:w="90" w:type="dxa"/>
            </w:tcMar>
          </w:tcPr>
          <w:p>
            <w:pPr>
              <w:pStyle w:val="BDOITable"/>
            </w:pPr>
            <w:r>
              <w:rPr>
                <w:sz w:val="16"/>
              </w:rPr>
              <w:t>V2.1.10</w:t>
            </w:r>
          </w:p>
        </w:tc>
        <w:tc>
          <w:tcPr>
            <w:tcW w:type="dxa" w:w="884"/>
            <w:tcMar>
              <w:top w:w="50" w:type="dxa"/>
              <w:bottom w:w="50" w:type="dxa"/>
              <w:left w:w="90" w:type="dxa"/>
              <w:right w:w="90" w:type="dxa"/>
            </w:tcMar>
          </w:tcPr>
          <w:p>
            <w:pPr>
              <w:pStyle w:val="BDOITable"/>
            </w:pPr>
            <w:r>
              <w:rPr>
                <w:sz w:val="16"/>
              </w:rPr>
              <w:t>Partly met</w:t>
            </w:r>
          </w:p>
        </w:tc>
        <w:tc>
          <w:tcPr>
            <w:tcW w:type="dxa" w:w="5680"/>
            <w:tcMar>
              <w:top w:w="50" w:type="dxa"/>
              <w:bottom w:w="50" w:type="dxa"/>
              <w:left w:w="90" w:type="dxa"/>
              <w:right w:w="90" w:type="dxa"/>
            </w:tcMar>
          </w:tcPr>
          <w:p>
            <w:pPr>
              <w:pStyle w:val="BDOITable"/>
            </w:pPr>
            <w:r>
              <w:rPr>
                <w:sz w:val="16"/>
              </w:rPr>
              <w:t>Deviation from ASVS accepted by BDOI for BRD-11 (open point SEC-02)</w:t>
            </w:r>
          </w:p>
        </w:tc>
        <w:tc>
          <w:tcPr>
            <w:tcW w:type="dxa" w:w="1515"/>
            <w:tcMar>
              <w:top w:w="50" w:type="dxa"/>
              <w:bottom w:w="50" w:type="dxa"/>
              <w:left w:w="90" w:type="dxa"/>
              <w:right w:w="90" w:type="dxa"/>
            </w:tcMar>
          </w:tcPr>
          <w:p>
            <w:pPr>
              <w:pStyle w:val="BDOITable"/>
            </w:pPr>
            <w:r>
              <w:rPr>
                <w:sz w:val="16"/>
              </w:rPr>
              <w:t>BDOI Information Security</w:t>
            </w:r>
          </w:p>
        </w:tc>
        <w:tc>
          <w:tcPr>
            <w:tcW w:type="dxa" w:w="1136"/>
            <w:tcMar>
              <w:top w:w="50" w:type="dxa"/>
              <w:bottom w:w="50" w:type="dxa"/>
              <w:left w:w="90" w:type="dxa"/>
              <w:right w:w="90" w:type="dxa"/>
            </w:tcMar>
          </w:tcPr>
          <w:p>
            <w:pPr>
              <w:pStyle w:val="BDOITable"/>
            </w:pPr>
            <w:r>
              <w:rPr>
                <w:sz w:val="16"/>
              </w:rPr>
              <w:t>31 Jan 2027</w:t>
            </w:r>
          </w:p>
        </w:tc>
      </w:tr>
      <w:tr>
        <w:trPr>
          <w:cantSplit w:val="true"/>
        </w:trPr>
        <w:tc>
          <w:tcPr>
            <w:tcW w:type="dxa" w:w="757"/>
            <w:tcMar>
              <w:top w:w="50" w:type="dxa"/>
              <w:bottom w:w="50" w:type="dxa"/>
              <w:left w:w="90" w:type="dxa"/>
              <w:right w:w="90" w:type="dxa"/>
            </w:tcMar>
            <w:shd w:val="clear" w:color="auto" w:fill="E5F5FF"/>
          </w:tcPr>
          <w:p>
            <w:pPr>
              <w:pStyle w:val="BDOITable"/>
            </w:pPr>
            <w:r>
              <w:rPr>
                <w:sz w:val="16"/>
              </w:rPr>
              <w:t>V2.2.3</w:t>
            </w:r>
          </w:p>
        </w:tc>
        <w:tc>
          <w:tcPr>
            <w:tcW w:type="dxa" w:w="884"/>
            <w:tcMar>
              <w:top w:w="50" w:type="dxa"/>
              <w:bottom w:w="50" w:type="dxa"/>
              <w:left w:w="90" w:type="dxa"/>
              <w:right w:w="90" w:type="dxa"/>
            </w:tcMar>
            <w:shd w:val="clear" w:color="auto" w:fill="E5F5FF"/>
          </w:tcPr>
          <w:p>
            <w:pPr>
              <w:pStyle w:val="BDOITable"/>
            </w:pPr>
            <w:r>
              <w:rPr>
                <w:sz w:val="16"/>
              </w:rPr>
              <w:t>Partly met</w:t>
            </w:r>
          </w:p>
        </w:tc>
        <w:tc>
          <w:tcPr>
            <w:tcW w:type="dxa" w:w="5680"/>
            <w:tcMar>
              <w:top w:w="50" w:type="dxa"/>
              <w:bottom w:w="50" w:type="dxa"/>
              <w:left w:w="90" w:type="dxa"/>
              <w:right w:w="90" w:type="dxa"/>
            </w:tcMar>
            <w:shd w:val="clear" w:color="auto" w:fill="E5F5FF"/>
          </w:tcPr>
          <w:p>
            <w:pPr>
              <w:pStyle w:val="BDOITable"/>
            </w:pPr>
            <w:r>
              <w:rPr>
                <w:sz w:val="16"/>
              </w:rPr>
              <w:t>Notify the user by e-mail after a password change or reset and after a sign-in from a new device (open point SEC-03)</w:t>
            </w:r>
          </w:p>
        </w:tc>
        <w:tc>
          <w:tcPr>
            <w:tcW w:type="dxa" w:w="1515"/>
            <w:tcMar>
              <w:top w:w="50" w:type="dxa"/>
              <w:bottom w:w="50" w:type="dxa"/>
              <w:left w:w="90" w:type="dxa"/>
              <w:right w:w="90" w:type="dxa"/>
            </w:tcMar>
            <w:shd w:val="clear" w:color="auto" w:fill="E5F5FF"/>
          </w:tcPr>
          <w:p>
            <w:pPr>
              <w:pStyle w:val="BDOITable"/>
            </w:pPr>
            <w:r>
              <w:rPr>
                <w:sz w:val="16"/>
              </w:rPr>
              <w:t>iorta TechNXT</w:t>
            </w:r>
          </w:p>
        </w:tc>
        <w:tc>
          <w:tcPr>
            <w:tcW w:type="dxa" w:w="1136"/>
            <w:tcMar>
              <w:top w:w="50" w:type="dxa"/>
              <w:bottom w:w="50" w:type="dxa"/>
              <w:left w:w="90" w:type="dxa"/>
              <w:right w:w="90" w:type="dxa"/>
            </w:tcMar>
            <w:shd w:val="clear" w:color="auto" w:fill="E5F5FF"/>
          </w:tcPr>
          <w:p>
            <w:pPr>
              <w:pStyle w:val="BDOITable"/>
            </w:pPr>
            <w:r>
              <w:rPr>
                <w:sz w:val="16"/>
              </w:rPr>
              <w:t>30 Apr 2027</w:t>
            </w:r>
          </w:p>
        </w:tc>
      </w:tr>
      <w:tr>
        <w:trPr>
          <w:cantSplit w:val="true"/>
        </w:trPr>
        <w:tc>
          <w:tcPr>
            <w:tcW w:type="dxa" w:w="757"/>
            <w:tcMar>
              <w:top w:w="50" w:type="dxa"/>
              <w:bottom w:w="50" w:type="dxa"/>
              <w:left w:w="90" w:type="dxa"/>
              <w:right w:w="90" w:type="dxa"/>
            </w:tcMar>
          </w:tcPr>
          <w:p>
            <w:pPr>
              <w:pStyle w:val="BDOITable"/>
            </w:pPr>
            <w:r>
              <w:rPr>
                <w:sz w:val="16"/>
              </w:rPr>
              <w:t>V2.3.2</w:t>
            </w:r>
          </w:p>
        </w:tc>
        <w:tc>
          <w:tcPr>
            <w:tcW w:type="dxa" w:w="884"/>
            <w:tcMar>
              <w:top w:w="50" w:type="dxa"/>
              <w:bottom w:w="50" w:type="dxa"/>
              <w:left w:w="90" w:type="dxa"/>
              <w:right w:w="90" w:type="dxa"/>
            </w:tcMar>
          </w:tcPr>
          <w:p>
            <w:pPr>
              <w:pStyle w:val="BDOITable"/>
            </w:pPr>
            <w:r>
              <w:rPr>
                <w:sz w:val="16"/>
              </w:rPr>
              <w:t>BDOI</w:t>
            </w:r>
          </w:p>
        </w:tc>
        <w:tc>
          <w:tcPr>
            <w:tcW w:type="dxa" w:w="5680"/>
            <w:tcMar>
              <w:top w:w="50" w:type="dxa"/>
              <w:bottom w:w="50" w:type="dxa"/>
              <w:left w:w="90" w:type="dxa"/>
              <w:right w:w="90" w:type="dxa"/>
            </w:tcMar>
          </w:tcPr>
          <w:p>
            <w:pPr>
              <w:pStyle w:val="BDOITable"/>
            </w:pPr>
            <w:r>
              <w:rPr>
                <w:sz w:val="16"/>
              </w:rPr>
              <w:t>BDOI IT to confirm the EIAM authentication methods and conditional access (open point SEC-01)</w:t>
            </w:r>
          </w:p>
        </w:tc>
        <w:tc>
          <w:tcPr>
            <w:tcW w:type="dxa" w:w="1515"/>
            <w:tcMar>
              <w:top w:w="50" w:type="dxa"/>
              <w:bottom w:w="50" w:type="dxa"/>
              <w:left w:w="90" w:type="dxa"/>
              <w:right w:w="90" w:type="dxa"/>
            </w:tcMar>
          </w:tcPr>
          <w:p>
            <w:pPr>
              <w:pStyle w:val="BDOITable"/>
            </w:pPr>
            <w:r>
              <w:rPr>
                <w:sz w:val="16"/>
              </w:rPr>
              <w:t>BDOI IT</w:t>
            </w:r>
          </w:p>
        </w:tc>
        <w:tc>
          <w:tcPr>
            <w:tcW w:type="dxa" w:w="1136"/>
            <w:tcMar>
              <w:top w:w="50" w:type="dxa"/>
              <w:bottom w:w="50" w:type="dxa"/>
              <w:left w:w="90" w:type="dxa"/>
              <w:right w:w="90" w:type="dxa"/>
            </w:tcMar>
          </w:tcPr>
          <w:p>
            <w:pPr>
              <w:pStyle w:val="BDOITable"/>
            </w:pPr>
            <w:r>
              <w:rPr>
                <w:sz w:val="16"/>
              </w:rPr>
              <w:t>30 Nov 2026</w:t>
            </w:r>
          </w:p>
        </w:tc>
      </w:tr>
      <w:tr>
        <w:trPr>
          <w:cantSplit w:val="true"/>
        </w:trPr>
        <w:tc>
          <w:tcPr>
            <w:tcW w:type="dxa" w:w="757"/>
            <w:tcMar>
              <w:top w:w="50" w:type="dxa"/>
              <w:bottom w:w="50" w:type="dxa"/>
              <w:left w:w="90" w:type="dxa"/>
              <w:right w:w="90" w:type="dxa"/>
            </w:tcMar>
            <w:shd w:val="clear" w:color="auto" w:fill="E5F5FF"/>
          </w:tcPr>
          <w:p>
            <w:pPr>
              <w:pStyle w:val="BDOITable"/>
            </w:pPr>
            <w:r>
              <w:rPr>
                <w:sz w:val="16"/>
              </w:rPr>
              <w:t>V2.4.5</w:t>
            </w:r>
          </w:p>
        </w:tc>
        <w:tc>
          <w:tcPr>
            <w:tcW w:type="dxa" w:w="884"/>
            <w:tcMar>
              <w:top w:w="50" w:type="dxa"/>
              <w:bottom w:w="50" w:type="dxa"/>
              <w:left w:w="90" w:type="dxa"/>
              <w:right w:w="90" w:type="dxa"/>
            </w:tcMar>
            <w:shd w:val="clear" w:color="auto" w:fill="E5F5FF"/>
          </w:tcPr>
          <w:p>
            <w:pPr>
              <w:pStyle w:val="BDOITable"/>
            </w:pPr>
            <w:r>
              <w:rPr>
                <w:sz w:val="16"/>
              </w:rPr>
              <w:t>Partly met</w:t>
            </w:r>
          </w:p>
        </w:tc>
        <w:tc>
          <w:tcPr>
            <w:tcW w:type="dxa" w:w="5680"/>
            <w:tcMar>
              <w:top w:w="50" w:type="dxa"/>
              <w:bottom w:w="50" w:type="dxa"/>
              <w:left w:w="90" w:type="dxa"/>
              <w:right w:w="90" w:type="dxa"/>
            </w:tcMar>
            <w:shd w:val="clear" w:color="auto" w:fill="E5F5FF"/>
          </w:tcPr>
          <w:p>
            <w:pPr>
              <w:pStyle w:val="BDOITable"/>
            </w:pPr>
            <w:r>
              <w:rPr>
                <w:sz w:val="16"/>
              </w:rPr>
              <w:t>Add a pepper held in Secrets Manager for the break-glass passwords, or keep the risk accepted given that only break-glass accounts hold local passwords (open point SEC-02)</w:t>
            </w:r>
          </w:p>
        </w:tc>
        <w:tc>
          <w:tcPr>
            <w:tcW w:type="dxa" w:w="1515"/>
            <w:tcMar>
              <w:top w:w="50" w:type="dxa"/>
              <w:bottom w:w="50" w:type="dxa"/>
              <w:left w:w="90" w:type="dxa"/>
              <w:right w:w="90" w:type="dxa"/>
            </w:tcMar>
            <w:shd w:val="clear" w:color="auto" w:fill="E5F5FF"/>
          </w:tcPr>
          <w:p>
            <w:pPr>
              <w:pStyle w:val="BDOITable"/>
            </w:pPr>
            <w:r>
              <w:rPr>
                <w:sz w:val="16"/>
              </w:rPr>
              <w:t>iorta TechNXT</w:t>
            </w:r>
          </w:p>
        </w:tc>
        <w:tc>
          <w:tcPr>
            <w:tcW w:type="dxa" w:w="1136"/>
            <w:tcMar>
              <w:top w:w="50" w:type="dxa"/>
              <w:bottom w:w="50" w:type="dxa"/>
              <w:left w:w="90" w:type="dxa"/>
              <w:right w:w="90" w:type="dxa"/>
            </w:tcMar>
            <w:shd w:val="clear" w:color="auto" w:fill="E5F5FF"/>
          </w:tcPr>
          <w:p>
            <w:pPr>
              <w:pStyle w:val="BDOITable"/>
            </w:pPr>
            <w:r>
              <w:rPr>
                <w:sz w:val="16"/>
              </w:rPr>
              <w:t>30 Apr 2027</w:t>
            </w:r>
          </w:p>
        </w:tc>
      </w:tr>
      <w:tr>
        <w:trPr>
          <w:cantSplit w:val="true"/>
        </w:trPr>
        <w:tc>
          <w:tcPr>
            <w:tcW w:type="dxa" w:w="757"/>
            <w:tcMar>
              <w:top w:w="50" w:type="dxa"/>
              <w:bottom w:w="50" w:type="dxa"/>
              <w:left w:w="90" w:type="dxa"/>
              <w:right w:w="90" w:type="dxa"/>
            </w:tcMar>
          </w:tcPr>
          <w:p>
            <w:pPr>
              <w:pStyle w:val="BDOITable"/>
            </w:pPr>
            <w:r>
              <w:rPr>
                <w:sz w:val="16"/>
              </w:rPr>
              <w:t>V2.5.5</w:t>
            </w:r>
          </w:p>
        </w:tc>
        <w:tc>
          <w:tcPr>
            <w:tcW w:type="dxa" w:w="884"/>
            <w:tcMar>
              <w:top w:w="50" w:type="dxa"/>
              <w:bottom w:w="50" w:type="dxa"/>
              <w:left w:w="90" w:type="dxa"/>
              <w:right w:w="90" w:type="dxa"/>
            </w:tcMar>
          </w:tcPr>
          <w:p>
            <w:pPr>
              <w:pStyle w:val="BDOITable"/>
            </w:pPr>
            <w:r>
              <w:rPr>
                <w:sz w:val="16"/>
              </w:rPr>
              <w:t>Partly met</w:t>
            </w:r>
          </w:p>
        </w:tc>
        <w:tc>
          <w:tcPr>
            <w:tcW w:type="dxa" w:w="5680"/>
            <w:tcMar>
              <w:top w:w="50" w:type="dxa"/>
              <w:bottom w:w="50" w:type="dxa"/>
              <w:left w:w="90" w:type="dxa"/>
              <w:right w:w="90" w:type="dxa"/>
            </w:tcMar>
          </w:tcPr>
          <w:p>
            <w:pPr>
              <w:pStyle w:val="BDOITable"/>
            </w:pPr>
            <w:r>
              <w:rPr>
                <w:sz w:val="16"/>
              </w:rPr>
              <w:t>Notify after own enrolment change and password change (open point SEC-03)</w:t>
            </w:r>
          </w:p>
        </w:tc>
        <w:tc>
          <w:tcPr>
            <w:tcW w:type="dxa" w:w="1515"/>
            <w:tcMar>
              <w:top w:w="50" w:type="dxa"/>
              <w:bottom w:w="50" w:type="dxa"/>
              <w:left w:w="90" w:type="dxa"/>
              <w:right w:w="90" w:type="dxa"/>
            </w:tcMar>
          </w:tcPr>
          <w:p>
            <w:pPr>
              <w:pStyle w:val="BDOITable"/>
            </w:pPr>
            <w:r>
              <w:rPr>
                <w:sz w:val="16"/>
              </w:rPr>
              <w:t>iorta TechNXT</w:t>
            </w:r>
          </w:p>
        </w:tc>
        <w:tc>
          <w:tcPr>
            <w:tcW w:type="dxa" w:w="1136"/>
            <w:tcMar>
              <w:top w:w="50" w:type="dxa"/>
              <w:bottom w:w="50" w:type="dxa"/>
              <w:left w:w="90" w:type="dxa"/>
              <w:right w:w="90" w:type="dxa"/>
            </w:tcMar>
          </w:tcPr>
          <w:p>
            <w:pPr>
              <w:pStyle w:val="BDOITable"/>
            </w:pPr>
            <w:r>
              <w:rPr>
                <w:sz w:val="16"/>
              </w:rPr>
              <w:t>30 Apr 2027</w:t>
            </w:r>
          </w:p>
        </w:tc>
      </w:tr>
      <w:tr>
        <w:trPr>
          <w:cantSplit w:val="true"/>
        </w:trPr>
        <w:tc>
          <w:tcPr>
            <w:tcW w:type="dxa" w:w="757"/>
            <w:tcMar>
              <w:top w:w="50" w:type="dxa"/>
              <w:bottom w:w="50" w:type="dxa"/>
              <w:left w:w="90" w:type="dxa"/>
              <w:right w:w="90" w:type="dxa"/>
            </w:tcMar>
            <w:shd w:val="clear" w:color="auto" w:fill="E5F5FF"/>
          </w:tcPr>
          <w:p>
            <w:pPr>
              <w:pStyle w:val="BDOITable"/>
            </w:pPr>
            <w:r>
              <w:rPr>
                <w:sz w:val="16"/>
              </w:rPr>
              <w:t>V2.8.5</w:t>
            </w:r>
          </w:p>
        </w:tc>
        <w:tc>
          <w:tcPr>
            <w:tcW w:type="dxa" w:w="884"/>
            <w:tcMar>
              <w:top w:w="50" w:type="dxa"/>
              <w:bottom w:w="50" w:type="dxa"/>
              <w:left w:w="90" w:type="dxa"/>
              <w:right w:w="90" w:type="dxa"/>
            </w:tcMar>
            <w:shd w:val="clear" w:color="auto" w:fill="E5F5FF"/>
          </w:tcPr>
          <w:p>
            <w:pPr>
              <w:pStyle w:val="BDOITable"/>
            </w:pPr>
            <w:r>
              <w:rPr>
                <w:sz w:val="16"/>
              </w:rPr>
              <w:t>Partly met</w:t>
            </w:r>
          </w:p>
        </w:tc>
        <w:tc>
          <w:tcPr>
            <w:tcW w:type="dxa" w:w="5680"/>
            <w:tcMar>
              <w:top w:w="50" w:type="dxa"/>
              <w:bottom w:w="50" w:type="dxa"/>
              <w:left w:w="90" w:type="dxa"/>
              <w:right w:w="90" w:type="dxa"/>
            </w:tcMar>
            <w:shd w:val="clear" w:color="auto" w:fill="E5F5FF"/>
          </w:tcPr>
          <w:p>
            <w:pPr>
              <w:pStyle w:val="BDOITable"/>
            </w:pPr>
            <w:r>
              <w:rPr>
                <w:sz w:val="16"/>
              </w:rPr>
              <w:t>Log the reuse as a security event and notify the user (open point SEC-03)</w:t>
            </w:r>
          </w:p>
        </w:tc>
        <w:tc>
          <w:tcPr>
            <w:tcW w:type="dxa" w:w="1515"/>
            <w:tcMar>
              <w:top w:w="50" w:type="dxa"/>
              <w:bottom w:w="50" w:type="dxa"/>
              <w:left w:w="90" w:type="dxa"/>
              <w:right w:w="90" w:type="dxa"/>
            </w:tcMar>
            <w:shd w:val="clear" w:color="auto" w:fill="E5F5FF"/>
          </w:tcPr>
          <w:p>
            <w:pPr>
              <w:pStyle w:val="BDOITable"/>
            </w:pPr>
            <w:r>
              <w:rPr>
                <w:sz w:val="16"/>
              </w:rPr>
              <w:t>iorta TechNXT</w:t>
            </w:r>
          </w:p>
        </w:tc>
        <w:tc>
          <w:tcPr>
            <w:tcW w:type="dxa" w:w="1136"/>
            <w:tcMar>
              <w:top w:w="50" w:type="dxa"/>
              <w:bottom w:w="50" w:type="dxa"/>
              <w:left w:w="90" w:type="dxa"/>
              <w:right w:w="90" w:type="dxa"/>
            </w:tcMar>
            <w:shd w:val="clear" w:color="auto" w:fill="E5F5FF"/>
          </w:tcPr>
          <w:p>
            <w:pPr>
              <w:pStyle w:val="BDOITable"/>
            </w:pPr>
            <w:r>
              <w:rPr>
                <w:sz w:val="16"/>
              </w:rPr>
              <w:t>30 Apr 2027</w:t>
            </w:r>
          </w:p>
        </w:tc>
      </w:tr>
      <w:tr>
        <w:trPr>
          <w:cantSplit w:val="true"/>
        </w:trPr>
        <w:tc>
          <w:tcPr>
            <w:tcW w:type="dxa" w:w="757"/>
            <w:tcMar>
              <w:top w:w="50" w:type="dxa"/>
              <w:bottom w:w="50" w:type="dxa"/>
              <w:left w:w="90" w:type="dxa"/>
              <w:right w:w="90" w:type="dxa"/>
            </w:tcMar>
          </w:tcPr>
          <w:p>
            <w:pPr>
              <w:pStyle w:val="BDOITable"/>
            </w:pPr>
            <w:r>
              <w:rPr>
                <w:sz w:val="16"/>
              </w:rPr>
              <w:t>V3.3.3</w:t>
            </w:r>
          </w:p>
        </w:tc>
        <w:tc>
          <w:tcPr>
            <w:tcW w:type="dxa" w:w="884"/>
            <w:tcMar>
              <w:top w:w="50" w:type="dxa"/>
              <w:bottom w:w="50" w:type="dxa"/>
              <w:left w:w="90" w:type="dxa"/>
              <w:right w:w="90" w:type="dxa"/>
            </w:tcMar>
          </w:tcPr>
          <w:p>
            <w:pPr>
              <w:pStyle w:val="BDOITable"/>
            </w:pPr>
            <w:r>
              <w:rPr>
                <w:sz w:val="16"/>
              </w:rPr>
              <w:t>Partly met</w:t>
            </w:r>
          </w:p>
        </w:tc>
        <w:tc>
          <w:tcPr>
            <w:tcW w:type="dxa" w:w="5680"/>
            <w:tcMar>
              <w:top w:w="50" w:type="dxa"/>
              <w:bottom w:w="50" w:type="dxa"/>
              <w:left w:w="90" w:type="dxa"/>
              <w:right w:w="90" w:type="dxa"/>
            </w:tcMar>
          </w:tcPr>
          <w:p>
            <w:pPr>
              <w:pStyle w:val="BDOITable"/>
            </w:pPr>
            <w:r>
              <w:rPr>
                <w:sz w:val="16"/>
              </w:rPr>
              <w:t>Offer 'sign out my other sessions' after a password change and end them after a reset (open point SEC-03)</w:t>
            </w:r>
          </w:p>
        </w:tc>
        <w:tc>
          <w:tcPr>
            <w:tcW w:type="dxa" w:w="1515"/>
            <w:tcMar>
              <w:top w:w="50" w:type="dxa"/>
              <w:bottom w:w="50" w:type="dxa"/>
              <w:left w:w="90" w:type="dxa"/>
              <w:right w:w="90" w:type="dxa"/>
            </w:tcMar>
          </w:tcPr>
          <w:p>
            <w:pPr>
              <w:pStyle w:val="BDOITable"/>
            </w:pPr>
            <w:r>
              <w:rPr>
                <w:sz w:val="16"/>
              </w:rPr>
              <w:t>iorta TechNXT</w:t>
            </w:r>
          </w:p>
        </w:tc>
        <w:tc>
          <w:tcPr>
            <w:tcW w:type="dxa" w:w="1136"/>
            <w:tcMar>
              <w:top w:w="50" w:type="dxa"/>
              <w:bottom w:w="50" w:type="dxa"/>
              <w:left w:w="90" w:type="dxa"/>
              <w:right w:w="90" w:type="dxa"/>
            </w:tcMar>
          </w:tcPr>
          <w:p>
            <w:pPr>
              <w:pStyle w:val="BDOITable"/>
            </w:pPr>
            <w:r>
              <w:rPr>
                <w:sz w:val="16"/>
              </w:rPr>
              <w:t>30 Apr 2027</w:t>
            </w:r>
          </w:p>
        </w:tc>
      </w:tr>
      <w:tr>
        <w:trPr>
          <w:cantSplit w:val="true"/>
        </w:trPr>
        <w:tc>
          <w:tcPr>
            <w:tcW w:type="dxa" w:w="757"/>
            <w:tcMar>
              <w:top w:w="50" w:type="dxa"/>
              <w:bottom w:w="50" w:type="dxa"/>
              <w:left w:w="90" w:type="dxa"/>
              <w:right w:w="90" w:type="dxa"/>
            </w:tcMar>
            <w:shd w:val="clear" w:color="auto" w:fill="E5F5FF"/>
          </w:tcPr>
          <w:p>
            <w:pPr>
              <w:pStyle w:val="BDOITable"/>
            </w:pPr>
            <w:r>
              <w:rPr>
                <w:sz w:val="16"/>
              </w:rPr>
              <w:t>V3.3.4</w:t>
            </w:r>
          </w:p>
        </w:tc>
        <w:tc>
          <w:tcPr>
            <w:tcW w:type="dxa" w:w="884"/>
            <w:tcMar>
              <w:top w:w="50" w:type="dxa"/>
              <w:bottom w:w="50" w:type="dxa"/>
              <w:left w:w="90" w:type="dxa"/>
              <w:right w:w="90" w:type="dxa"/>
            </w:tcMar>
            <w:shd w:val="clear" w:color="auto" w:fill="E5F5FF"/>
          </w:tcPr>
          <w:p>
            <w:pPr>
              <w:pStyle w:val="BDOITable"/>
            </w:pPr>
            <w:r>
              <w:rPr>
                <w:sz w:val="16"/>
              </w:rPr>
              <w:t>Partly met</w:t>
            </w:r>
          </w:p>
        </w:tc>
        <w:tc>
          <w:tcPr>
            <w:tcW w:type="dxa" w:w="5680"/>
            <w:tcMar>
              <w:top w:w="50" w:type="dxa"/>
              <w:bottom w:w="50" w:type="dxa"/>
              <w:left w:w="90" w:type="dxa"/>
              <w:right w:w="90" w:type="dxa"/>
            </w:tcMar>
            <w:shd w:val="clear" w:color="auto" w:fill="E5F5FF"/>
          </w:tcPr>
          <w:p>
            <w:pPr>
              <w:pStyle w:val="BDOITable"/>
            </w:pPr>
            <w:r>
              <w:rPr>
                <w:sz w:val="16"/>
              </w:rPr>
              <w:t>Show the user's own sessions on My Profile with sign-out per session (open point SEC-03)</w:t>
            </w:r>
          </w:p>
        </w:tc>
        <w:tc>
          <w:tcPr>
            <w:tcW w:type="dxa" w:w="1515"/>
            <w:tcMar>
              <w:top w:w="50" w:type="dxa"/>
              <w:bottom w:w="50" w:type="dxa"/>
              <w:left w:w="90" w:type="dxa"/>
              <w:right w:w="90" w:type="dxa"/>
            </w:tcMar>
            <w:shd w:val="clear" w:color="auto" w:fill="E5F5FF"/>
          </w:tcPr>
          <w:p>
            <w:pPr>
              <w:pStyle w:val="BDOITable"/>
            </w:pPr>
            <w:r>
              <w:rPr>
                <w:sz w:val="16"/>
              </w:rPr>
              <w:t>iorta TechNXT</w:t>
            </w:r>
          </w:p>
        </w:tc>
        <w:tc>
          <w:tcPr>
            <w:tcW w:type="dxa" w:w="1136"/>
            <w:tcMar>
              <w:top w:w="50" w:type="dxa"/>
              <w:bottom w:w="50" w:type="dxa"/>
              <w:left w:w="90" w:type="dxa"/>
              <w:right w:w="90" w:type="dxa"/>
            </w:tcMar>
            <w:shd w:val="clear" w:color="auto" w:fill="E5F5FF"/>
          </w:tcPr>
          <w:p>
            <w:pPr>
              <w:pStyle w:val="BDOITable"/>
            </w:pPr>
            <w:r>
              <w:rPr>
                <w:sz w:val="16"/>
              </w:rPr>
              <w:t>30 Jun 2027</w:t>
            </w:r>
          </w:p>
        </w:tc>
      </w:tr>
      <w:tr>
        <w:trPr>
          <w:cantSplit w:val="true"/>
        </w:trPr>
        <w:tc>
          <w:tcPr>
            <w:tcW w:type="dxa" w:w="757"/>
            <w:tcMar>
              <w:top w:w="50" w:type="dxa"/>
              <w:bottom w:w="50" w:type="dxa"/>
              <w:left w:w="90" w:type="dxa"/>
              <w:right w:w="90" w:type="dxa"/>
            </w:tcMar>
          </w:tcPr>
          <w:p>
            <w:pPr>
              <w:pStyle w:val="BDOITable"/>
            </w:pPr>
            <w:r>
              <w:rPr>
                <w:sz w:val="16"/>
              </w:rPr>
              <w:t>V3.4.4</w:t>
            </w:r>
          </w:p>
        </w:tc>
        <w:tc>
          <w:tcPr>
            <w:tcW w:type="dxa" w:w="884"/>
            <w:tcMar>
              <w:top w:w="50" w:type="dxa"/>
              <w:bottom w:w="50" w:type="dxa"/>
              <w:left w:w="90" w:type="dxa"/>
              <w:right w:w="90" w:type="dxa"/>
            </w:tcMar>
          </w:tcPr>
          <w:p>
            <w:pPr>
              <w:pStyle w:val="BDOITable"/>
            </w:pPr>
            <w:r>
              <w:rPr>
                <w:sz w:val="16"/>
              </w:rPr>
              <w:t>Partly met</w:t>
            </w:r>
          </w:p>
        </w:tc>
        <w:tc>
          <w:tcPr>
            <w:tcW w:type="dxa" w:w="5680"/>
            <w:tcMar>
              <w:top w:w="50" w:type="dxa"/>
              <w:bottom w:w="50" w:type="dxa"/>
              <w:left w:w="90" w:type="dxa"/>
              <w:right w:w="90" w:type="dxa"/>
            </w:tcMar>
          </w:tcPr>
          <w:p>
            <w:pPr>
              <w:pStyle w:val="BDOITable"/>
            </w:pPr>
            <w:r>
              <w:rPr>
                <w:sz w:val="16"/>
              </w:rPr>
              <w:t>Rename the cookie with the __Host- prefix once its path is widened to / or accept the path restriction (open point SEC-03)</w:t>
            </w:r>
          </w:p>
        </w:tc>
        <w:tc>
          <w:tcPr>
            <w:tcW w:type="dxa" w:w="1515"/>
            <w:tcMar>
              <w:top w:w="50" w:type="dxa"/>
              <w:bottom w:w="50" w:type="dxa"/>
              <w:left w:w="90" w:type="dxa"/>
              <w:right w:w="90" w:type="dxa"/>
            </w:tcMar>
          </w:tcPr>
          <w:p>
            <w:pPr>
              <w:pStyle w:val="BDOITable"/>
            </w:pPr>
            <w:r>
              <w:rPr>
                <w:sz w:val="16"/>
              </w:rPr>
              <w:t>iorta TechNXT</w:t>
            </w:r>
          </w:p>
        </w:tc>
        <w:tc>
          <w:tcPr>
            <w:tcW w:type="dxa" w:w="1136"/>
            <w:tcMar>
              <w:top w:w="50" w:type="dxa"/>
              <w:bottom w:w="50" w:type="dxa"/>
              <w:left w:w="90" w:type="dxa"/>
              <w:right w:w="90" w:type="dxa"/>
            </w:tcMar>
          </w:tcPr>
          <w:p>
            <w:pPr>
              <w:pStyle w:val="BDOITable"/>
            </w:pPr>
            <w:r>
              <w:rPr>
                <w:sz w:val="16"/>
              </w:rPr>
              <w:t>30 Apr 2027</w:t>
            </w:r>
          </w:p>
        </w:tc>
      </w:tr>
      <w:tr>
        <w:trPr>
          <w:cantSplit w:val="true"/>
        </w:trPr>
        <w:tc>
          <w:tcPr>
            <w:tcW w:type="dxa" w:w="757"/>
            <w:tcMar>
              <w:top w:w="50" w:type="dxa"/>
              <w:bottom w:w="50" w:type="dxa"/>
              <w:left w:w="90" w:type="dxa"/>
              <w:right w:w="90" w:type="dxa"/>
            </w:tcMar>
            <w:shd w:val="clear" w:color="auto" w:fill="E5F5FF"/>
          </w:tcPr>
          <w:p>
            <w:pPr>
              <w:pStyle w:val="BDOITable"/>
            </w:pPr>
            <w:r>
              <w:rPr>
                <w:sz w:val="16"/>
              </w:rPr>
              <w:t>V4.2.1</w:t>
            </w:r>
          </w:p>
        </w:tc>
        <w:tc>
          <w:tcPr>
            <w:tcW w:type="dxa" w:w="884"/>
            <w:tcMar>
              <w:top w:w="50" w:type="dxa"/>
              <w:bottom w:w="50" w:type="dxa"/>
              <w:left w:w="90" w:type="dxa"/>
              <w:right w:w="90" w:type="dxa"/>
            </w:tcMar>
            <w:shd w:val="clear" w:color="auto" w:fill="E5F5FF"/>
          </w:tcPr>
          <w:p>
            <w:pPr>
              <w:pStyle w:val="BDOITable"/>
            </w:pPr>
            <w:r>
              <w:rPr>
                <w:sz w:val="16"/>
              </w:rPr>
              <w:t>Partly met</w:t>
            </w:r>
          </w:p>
        </w:tc>
        <w:tc>
          <w:tcPr>
            <w:tcW w:type="dxa" w:w="5680"/>
            <w:tcMar>
              <w:top w:w="50" w:type="dxa"/>
              <w:bottom w:w="50" w:type="dxa"/>
              <w:left w:w="90" w:type="dxa"/>
              <w:right w:w="90" w:type="dxa"/>
            </w:tcMar>
            <w:shd w:val="clear" w:color="auto" w:fill="E5F5FF"/>
          </w:tcPr>
          <w:p>
            <w:pPr>
              <w:pStyle w:val="BDOITable"/>
            </w:pPr>
            <w:r>
              <w:rPr>
                <w:sz w:val="16"/>
              </w:rPr>
              <w:t>Add the company check on load for the service interfaces that address a record by id only, module by module (open point SEC-05)</w:t>
            </w:r>
          </w:p>
        </w:tc>
        <w:tc>
          <w:tcPr>
            <w:tcW w:type="dxa" w:w="1515"/>
            <w:tcMar>
              <w:top w:w="50" w:type="dxa"/>
              <w:bottom w:w="50" w:type="dxa"/>
              <w:left w:w="90" w:type="dxa"/>
              <w:right w:w="90" w:type="dxa"/>
            </w:tcMar>
            <w:shd w:val="clear" w:color="auto" w:fill="E5F5FF"/>
          </w:tcPr>
          <w:p>
            <w:pPr>
              <w:pStyle w:val="BDOITable"/>
            </w:pPr>
            <w:r>
              <w:rPr>
                <w:sz w:val="16"/>
              </w:rPr>
              <w:t>iorta TechNXT</w:t>
            </w:r>
          </w:p>
        </w:tc>
        <w:tc>
          <w:tcPr>
            <w:tcW w:type="dxa" w:w="1136"/>
            <w:tcMar>
              <w:top w:w="50" w:type="dxa"/>
              <w:bottom w:w="50" w:type="dxa"/>
              <w:left w:w="90" w:type="dxa"/>
              <w:right w:w="90" w:type="dxa"/>
            </w:tcMar>
            <w:shd w:val="clear" w:color="auto" w:fill="E5F5FF"/>
          </w:tcPr>
          <w:p>
            <w:pPr>
              <w:pStyle w:val="BDOITable"/>
            </w:pPr>
            <w:r>
              <w:rPr>
                <w:sz w:val="16"/>
              </w:rPr>
              <w:t>31 Mar 2027</w:t>
            </w:r>
          </w:p>
        </w:tc>
      </w:tr>
      <w:tr>
        <w:trPr>
          <w:cantSplit w:val="true"/>
        </w:trPr>
        <w:tc>
          <w:tcPr>
            <w:tcW w:type="dxa" w:w="757"/>
            <w:tcMar>
              <w:top w:w="50" w:type="dxa"/>
              <w:bottom w:w="50" w:type="dxa"/>
              <w:left w:w="90" w:type="dxa"/>
              <w:right w:w="90" w:type="dxa"/>
            </w:tcMar>
          </w:tcPr>
          <w:p>
            <w:pPr>
              <w:pStyle w:val="BDOITable"/>
            </w:pPr>
            <w:r>
              <w:rPr>
                <w:sz w:val="16"/>
              </w:rPr>
              <w:t>V4.3.1</w:t>
            </w:r>
          </w:p>
        </w:tc>
        <w:tc>
          <w:tcPr>
            <w:tcW w:type="dxa" w:w="884"/>
            <w:tcMar>
              <w:top w:w="50" w:type="dxa"/>
              <w:bottom w:w="50" w:type="dxa"/>
              <w:left w:w="90" w:type="dxa"/>
              <w:right w:w="90" w:type="dxa"/>
            </w:tcMar>
          </w:tcPr>
          <w:p>
            <w:pPr>
              <w:pStyle w:val="BDOITable"/>
            </w:pPr>
            <w:r>
              <w:rPr>
                <w:sz w:val="16"/>
              </w:rPr>
              <w:t>Partly met</w:t>
            </w:r>
          </w:p>
        </w:tc>
        <w:tc>
          <w:tcPr>
            <w:tcW w:type="dxa" w:w="5680"/>
            <w:tcMar>
              <w:top w:w="50" w:type="dxa"/>
              <w:bottom w:w="50" w:type="dxa"/>
              <w:left w:w="90" w:type="dxa"/>
              <w:right w:w="90" w:type="dxa"/>
            </w:tcMar>
          </w:tcPr>
          <w:p>
            <w:pPr>
              <w:pStyle w:val="BDOITable"/>
            </w:pPr>
            <w:r>
              <w:rPr>
                <w:sz w:val="16"/>
              </w:rPr>
              <w:t>BDOI to decide ALL or PRIVILEGED for production and the EIAM conditional access for BIBS (open point SEC-01)</w:t>
            </w:r>
          </w:p>
        </w:tc>
        <w:tc>
          <w:tcPr>
            <w:tcW w:type="dxa" w:w="1515"/>
            <w:tcMar>
              <w:top w:w="50" w:type="dxa"/>
              <w:bottom w:w="50" w:type="dxa"/>
              <w:left w:w="90" w:type="dxa"/>
              <w:right w:w="90" w:type="dxa"/>
            </w:tcMar>
          </w:tcPr>
          <w:p>
            <w:pPr>
              <w:pStyle w:val="BDOITable"/>
            </w:pPr>
            <w:r>
              <w:rPr>
                <w:sz w:val="16"/>
              </w:rPr>
              <w:t>BDOI Information Security</w:t>
            </w:r>
          </w:p>
        </w:tc>
        <w:tc>
          <w:tcPr>
            <w:tcW w:type="dxa" w:w="1136"/>
            <w:tcMar>
              <w:top w:w="50" w:type="dxa"/>
              <w:bottom w:w="50" w:type="dxa"/>
              <w:left w:w="90" w:type="dxa"/>
              <w:right w:w="90" w:type="dxa"/>
            </w:tcMar>
          </w:tcPr>
          <w:p>
            <w:pPr>
              <w:pStyle w:val="BDOITable"/>
            </w:pPr>
            <w:r>
              <w:rPr>
                <w:sz w:val="16"/>
              </w:rPr>
              <w:t>30 Nov 2026</w:t>
            </w:r>
          </w:p>
        </w:tc>
      </w:tr>
      <w:tr>
        <w:trPr>
          <w:cantSplit w:val="true"/>
        </w:trPr>
        <w:tc>
          <w:tcPr>
            <w:tcW w:type="dxa" w:w="757"/>
            <w:tcMar>
              <w:top w:w="50" w:type="dxa"/>
              <w:bottom w:w="50" w:type="dxa"/>
              <w:left w:w="90" w:type="dxa"/>
              <w:right w:w="90" w:type="dxa"/>
            </w:tcMar>
            <w:shd w:val="clear" w:color="auto" w:fill="E5F5FF"/>
          </w:tcPr>
          <w:p>
            <w:pPr>
              <w:pStyle w:val="BDOITable"/>
            </w:pPr>
            <w:r>
              <w:rPr>
                <w:sz w:val="16"/>
              </w:rPr>
              <w:t>V6.4.2</w:t>
            </w:r>
          </w:p>
        </w:tc>
        <w:tc>
          <w:tcPr>
            <w:tcW w:type="dxa" w:w="884"/>
            <w:tcMar>
              <w:top w:w="50" w:type="dxa"/>
              <w:bottom w:w="50" w:type="dxa"/>
              <w:left w:w="90" w:type="dxa"/>
              <w:right w:w="90" w:type="dxa"/>
            </w:tcMar>
            <w:shd w:val="clear" w:color="auto" w:fill="E5F5FF"/>
          </w:tcPr>
          <w:p>
            <w:pPr>
              <w:pStyle w:val="BDOITable"/>
            </w:pPr>
            <w:r>
              <w:rPr>
                <w:sz w:val="16"/>
              </w:rPr>
              <w:t>Partly met</w:t>
            </w:r>
          </w:p>
        </w:tc>
        <w:tc>
          <w:tcPr>
            <w:tcW w:type="dxa" w:w="5680"/>
            <w:tcMar>
              <w:top w:w="50" w:type="dxa"/>
              <w:bottom w:w="50" w:type="dxa"/>
              <w:left w:w="90" w:type="dxa"/>
              <w:right w:w="90" w:type="dxa"/>
            </w:tcMar>
            <w:shd w:val="clear" w:color="auto" w:fill="E5F5FF"/>
          </w:tcPr>
          <w:p>
            <w:pPr>
              <w:pStyle w:val="BDOITable"/>
            </w:pPr>
            <w:r>
              <w:rPr>
                <w:sz w:val="16"/>
              </w:rPr>
              <w:t>Move token signing to an asymmetric key in KMS (sign by KMS) when BDOI asks for it (open point SEC-04)</w:t>
            </w:r>
          </w:p>
        </w:tc>
        <w:tc>
          <w:tcPr>
            <w:tcW w:type="dxa" w:w="1515"/>
            <w:tcMar>
              <w:top w:w="50" w:type="dxa"/>
              <w:bottom w:w="50" w:type="dxa"/>
              <w:left w:w="90" w:type="dxa"/>
              <w:right w:w="90" w:type="dxa"/>
            </w:tcMar>
            <w:shd w:val="clear" w:color="auto" w:fill="E5F5FF"/>
          </w:tcPr>
          <w:p>
            <w:pPr>
              <w:pStyle w:val="BDOITable"/>
            </w:pPr>
            <w:r>
              <w:rPr>
                <w:sz w:val="16"/>
              </w:rPr>
              <w:t>iorta TechNXT</w:t>
            </w:r>
          </w:p>
        </w:tc>
        <w:tc>
          <w:tcPr>
            <w:tcW w:type="dxa" w:w="1136"/>
            <w:tcMar>
              <w:top w:w="50" w:type="dxa"/>
              <w:bottom w:w="50" w:type="dxa"/>
              <w:left w:w="90" w:type="dxa"/>
              <w:right w:w="90" w:type="dxa"/>
            </w:tcMar>
            <w:shd w:val="clear" w:color="auto" w:fill="E5F5FF"/>
          </w:tcPr>
          <w:p>
            <w:pPr>
              <w:pStyle w:val="BDOITable"/>
            </w:pPr>
            <w:r>
              <w:rPr>
                <w:sz w:val="16"/>
              </w:rPr>
              <w:t>30 Jun 2027</w:t>
            </w:r>
          </w:p>
        </w:tc>
      </w:tr>
      <w:tr>
        <w:trPr>
          <w:cantSplit w:val="true"/>
        </w:trPr>
        <w:tc>
          <w:tcPr>
            <w:tcW w:type="dxa" w:w="757"/>
            <w:tcMar>
              <w:top w:w="50" w:type="dxa"/>
              <w:bottom w:w="50" w:type="dxa"/>
              <w:left w:w="90" w:type="dxa"/>
              <w:right w:w="90" w:type="dxa"/>
            </w:tcMar>
          </w:tcPr>
          <w:p>
            <w:pPr>
              <w:pStyle w:val="BDOITable"/>
            </w:pPr>
            <w:r>
              <w:rPr>
                <w:sz w:val="16"/>
              </w:rPr>
              <w:t>V7.1.3</w:t>
            </w:r>
          </w:p>
        </w:tc>
        <w:tc>
          <w:tcPr>
            <w:tcW w:type="dxa" w:w="884"/>
            <w:tcMar>
              <w:top w:w="50" w:type="dxa"/>
              <w:bottom w:w="50" w:type="dxa"/>
              <w:left w:w="90" w:type="dxa"/>
              <w:right w:w="90" w:type="dxa"/>
            </w:tcMar>
          </w:tcPr>
          <w:p>
            <w:pPr>
              <w:pStyle w:val="BDOITable"/>
            </w:pPr>
            <w:r>
              <w:rPr>
                <w:sz w:val="16"/>
              </w:rPr>
              <w:t>Partly met</w:t>
            </w:r>
          </w:p>
        </w:tc>
        <w:tc>
          <w:tcPr>
            <w:tcW w:type="dxa" w:w="5680"/>
            <w:tcMar>
              <w:top w:w="50" w:type="dxa"/>
              <w:bottom w:w="50" w:type="dxa"/>
              <w:left w:w="90" w:type="dxa"/>
              <w:right w:w="90" w:type="dxa"/>
            </w:tcMar>
          </w:tcPr>
          <w:p>
            <w:pPr>
              <w:pStyle w:val="BDOITable"/>
            </w:pPr>
            <w:r>
              <w:rPr>
                <w:sz w:val="16"/>
              </w:rPr>
              <w:t>Log access-control denials (status 403 and data scope refusals) as security events (open point SEC-06)</w:t>
            </w:r>
          </w:p>
        </w:tc>
        <w:tc>
          <w:tcPr>
            <w:tcW w:type="dxa" w:w="1515"/>
            <w:tcMar>
              <w:top w:w="50" w:type="dxa"/>
              <w:bottom w:w="50" w:type="dxa"/>
              <w:left w:w="90" w:type="dxa"/>
              <w:right w:w="90" w:type="dxa"/>
            </w:tcMar>
          </w:tcPr>
          <w:p>
            <w:pPr>
              <w:pStyle w:val="BDOITable"/>
            </w:pPr>
            <w:r>
              <w:rPr>
                <w:sz w:val="16"/>
              </w:rPr>
              <w:t>iorta TechNXT</w:t>
            </w:r>
          </w:p>
        </w:tc>
        <w:tc>
          <w:tcPr>
            <w:tcW w:type="dxa" w:w="1136"/>
            <w:tcMar>
              <w:top w:w="50" w:type="dxa"/>
              <w:bottom w:w="50" w:type="dxa"/>
              <w:left w:w="90" w:type="dxa"/>
              <w:right w:w="90" w:type="dxa"/>
            </w:tcMar>
          </w:tcPr>
          <w:p>
            <w:pPr>
              <w:pStyle w:val="BDOITable"/>
            </w:pPr>
            <w:r>
              <w:rPr>
                <w:sz w:val="16"/>
              </w:rPr>
              <w:t>31 Mar 2027</w:t>
            </w:r>
          </w:p>
        </w:tc>
      </w:tr>
      <w:tr>
        <w:trPr>
          <w:cantSplit w:val="true"/>
        </w:trPr>
        <w:tc>
          <w:tcPr>
            <w:tcW w:type="dxa" w:w="757"/>
            <w:tcMar>
              <w:top w:w="50" w:type="dxa"/>
              <w:bottom w:w="50" w:type="dxa"/>
              <w:left w:w="90" w:type="dxa"/>
              <w:right w:w="90" w:type="dxa"/>
            </w:tcMar>
            <w:shd w:val="clear" w:color="auto" w:fill="E5F5FF"/>
          </w:tcPr>
          <w:p>
            <w:pPr>
              <w:pStyle w:val="BDOITable"/>
            </w:pPr>
            <w:r>
              <w:rPr>
                <w:sz w:val="16"/>
              </w:rPr>
              <w:t>V7.2.2</w:t>
            </w:r>
          </w:p>
        </w:tc>
        <w:tc>
          <w:tcPr>
            <w:tcW w:type="dxa" w:w="884"/>
            <w:tcMar>
              <w:top w:w="50" w:type="dxa"/>
              <w:bottom w:w="50" w:type="dxa"/>
              <w:left w:w="90" w:type="dxa"/>
              <w:right w:w="90" w:type="dxa"/>
            </w:tcMar>
            <w:shd w:val="clear" w:color="auto" w:fill="E5F5FF"/>
          </w:tcPr>
          <w:p>
            <w:pPr>
              <w:pStyle w:val="BDOITable"/>
            </w:pPr>
            <w:r>
              <w:rPr>
                <w:sz w:val="16"/>
              </w:rPr>
              <w:t>Partly met</w:t>
            </w:r>
          </w:p>
        </w:tc>
        <w:tc>
          <w:tcPr>
            <w:tcW w:type="dxa" w:w="5680"/>
            <w:tcMar>
              <w:top w:w="50" w:type="dxa"/>
              <w:bottom w:w="50" w:type="dxa"/>
              <w:left w:w="90" w:type="dxa"/>
              <w:right w:w="90" w:type="dxa"/>
            </w:tcMar>
            <w:shd w:val="clear" w:color="auto" w:fill="E5F5FF"/>
          </w:tcPr>
          <w:p>
            <w:pPr>
              <w:pStyle w:val="BDOITable"/>
            </w:pPr>
            <w:r>
              <w:rPr>
                <w:sz w:val="16"/>
              </w:rPr>
              <w:t>Log every refusal with user, path and permission or company, and raise an alert on a threshold (open point SEC-06)</w:t>
            </w:r>
          </w:p>
        </w:tc>
        <w:tc>
          <w:tcPr>
            <w:tcW w:type="dxa" w:w="1515"/>
            <w:tcMar>
              <w:top w:w="50" w:type="dxa"/>
              <w:bottom w:w="50" w:type="dxa"/>
              <w:left w:w="90" w:type="dxa"/>
              <w:right w:w="90" w:type="dxa"/>
            </w:tcMar>
            <w:shd w:val="clear" w:color="auto" w:fill="E5F5FF"/>
          </w:tcPr>
          <w:p>
            <w:pPr>
              <w:pStyle w:val="BDOITable"/>
            </w:pPr>
            <w:r>
              <w:rPr>
                <w:sz w:val="16"/>
              </w:rPr>
              <w:t>iorta TechNXT</w:t>
            </w:r>
          </w:p>
        </w:tc>
        <w:tc>
          <w:tcPr>
            <w:tcW w:type="dxa" w:w="1136"/>
            <w:tcMar>
              <w:top w:w="50" w:type="dxa"/>
              <w:bottom w:w="50" w:type="dxa"/>
              <w:left w:w="90" w:type="dxa"/>
              <w:right w:w="90" w:type="dxa"/>
            </w:tcMar>
            <w:shd w:val="clear" w:color="auto" w:fill="E5F5FF"/>
          </w:tcPr>
          <w:p>
            <w:pPr>
              <w:pStyle w:val="BDOITable"/>
            </w:pPr>
            <w:r>
              <w:rPr>
                <w:sz w:val="16"/>
              </w:rPr>
              <w:t>31 Mar 2027</w:t>
            </w:r>
          </w:p>
        </w:tc>
      </w:tr>
      <w:tr>
        <w:trPr>
          <w:cantSplit w:val="true"/>
        </w:trPr>
        <w:tc>
          <w:tcPr>
            <w:tcW w:type="dxa" w:w="757"/>
            <w:tcMar>
              <w:top w:w="50" w:type="dxa"/>
              <w:bottom w:w="50" w:type="dxa"/>
              <w:left w:w="90" w:type="dxa"/>
              <w:right w:w="90" w:type="dxa"/>
            </w:tcMar>
          </w:tcPr>
          <w:p>
            <w:pPr>
              <w:pStyle w:val="BDOITable"/>
            </w:pPr>
            <w:r>
              <w:rPr>
                <w:sz w:val="16"/>
              </w:rPr>
              <w:t>V8.1.4</w:t>
            </w:r>
          </w:p>
        </w:tc>
        <w:tc>
          <w:tcPr>
            <w:tcW w:type="dxa" w:w="884"/>
            <w:tcMar>
              <w:top w:w="50" w:type="dxa"/>
              <w:bottom w:w="50" w:type="dxa"/>
              <w:left w:w="90" w:type="dxa"/>
              <w:right w:w="90" w:type="dxa"/>
            </w:tcMar>
          </w:tcPr>
          <w:p>
            <w:pPr>
              <w:pStyle w:val="BDOITable"/>
            </w:pPr>
            <w:r>
              <w:rPr>
                <w:sz w:val="16"/>
              </w:rPr>
              <w:t>Partly met</w:t>
            </w:r>
          </w:p>
        </w:tc>
        <w:tc>
          <w:tcPr>
            <w:tcW w:type="dxa" w:w="5680"/>
            <w:tcMar>
              <w:top w:w="50" w:type="dxa"/>
              <w:bottom w:w="50" w:type="dxa"/>
              <w:left w:w="90" w:type="dxa"/>
              <w:right w:w="90" w:type="dxa"/>
            </w:tcMar>
          </w:tcPr>
          <w:p>
            <w:pPr>
              <w:pStyle w:val="BDOITable"/>
            </w:pPr>
            <w:r>
              <w:rPr>
                <w:sz w:val="16"/>
              </w:rPr>
              <w:t>Alert on abnormal request rates per user and on mass exports (open point SEC-06)</w:t>
            </w:r>
          </w:p>
        </w:tc>
        <w:tc>
          <w:tcPr>
            <w:tcW w:type="dxa" w:w="1515"/>
            <w:tcMar>
              <w:top w:w="50" w:type="dxa"/>
              <w:bottom w:w="50" w:type="dxa"/>
              <w:left w:w="90" w:type="dxa"/>
              <w:right w:w="90" w:type="dxa"/>
            </w:tcMar>
          </w:tcPr>
          <w:p>
            <w:pPr>
              <w:pStyle w:val="BDOITable"/>
            </w:pPr>
            <w:r>
              <w:rPr>
                <w:sz w:val="16"/>
              </w:rPr>
              <w:t>iorta TechNXT</w:t>
            </w:r>
          </w:p>
        </w:tc>
        <w:tc>
          <w:tcPr>
            <w:tcW w:type="dxa" w:w="1136"/>
            <w:tcMar>
              <w:top w:w="50" w:type="dxa"/>
              <w:bottom w:w="50" w:type="dxa"/>
              <w:left w:w="90" w:type="dxa"/>
              <w:right w:w="90" w:type="dxa"/>
            </w:tcMar>
          </w:tcPr>
          <w:p>
            <w:pPr>
              <w:pStyle w:val="BDOITable"/>
            </w:pPr>
            <w:r>
              <w:rPr>
                <w:sz w:val="16"/>
              </w:rPr>
              <w:t>31 Mar 2027</w:t>
            </w:r>
          </w:p>
        </w:tc>
      </w:tr>
      <w:tr>
        <w:trPr>
          <w:cantSplit w:val="true"/>
        </w:trPr>
        <w:tc>
          <w:tcPr>
            <w:tcW w:type="dxa" w:w="757"/>
            <w:tcMar>
              <w:top w:w="50" w:type="dxa"/>
              <w:bottom w:w="50" w:type="dxa"/>
              <w:left w:w="90" w:type="dxa"/>
              <w:right w:w="90" w:type="dxa"/>
            </w:tcMar>
            <w:shd w:val="clear" w:color="auto" w:fill="E5F5FF"/>
          </w:tcPr>
          <w:p>
            <w:pPr>
              <w:pStyle w:val="BDOITable"/>
            </w:pPr>
            <w:r>
              <w:rPr>
                <w:sz w:val="16"/>
              </w:rPr>
              <w:t>V8.2.2</w:t>
            </w:r>
          </w:p>
        </w:tc>
        <w:tc>
          <w:tcPr>
            <w:tcW w:type="dxa" w:w="884"/>
            <w:tcMar>
              <w:top w:w="50" w:type="dxa"/>
              <w:bottom w:w="50" w:type="dxa"/>
              <w:left w:w="90" w:type="dxa"/>
              <w:right w:w="90" w:type="dxa"/>
            </w:tcMar>
            <w:shd w:val="clear" w:color="auto" w:fill="E5F5FF"/>
          </w:tcPr>
          <w:p>
            <w:pPr>
              <w:pStyle w:val="BDOITable"/>
            </w:pPr>
            <w:r>
              <w:rPr>
                <w:sz w:val="16"/>
              </w:rPr>
              <w:t>Partly met</w:t>
            </w:r>
          </w:p>
        </w:tc>
        <w:tc>
          <w:tcPr>
            <w:tcW w:type="dxa" w:w="5680"/>
            <w:tcMar>
              <w:top w:w="50" w:type="dxa"/>
              <w:bottom w:w="50" w:type="dxa"/>
              <w:left w:w="90" w:type="dxa"/>
              <w:right w:w="90" w:type="dxa"/>
            </w:tcMar>
            <w:shd w:val="clear" w:color="auto" w:fill="E5F5FF"/>
          </w:tcPr>
          <w:p>
            <w:pPr>
              <w:pStyle w:val="BDOITable"/>
            </w:pPr>
            <w:r>
              <w:rPr>
                <w:sz w:val="16"/>
              </w:rPr>
              <w:t>Keep MFA_REMEMBER_DEVICE_DAYS at 0 in production (open point SEC-01)</w:t>
            </w:r>
          </w:p>
        </w:tc>
        <w:tc>
          <w:tcPr>
            <w:tcW w:type="dxa" w:w="1515"/>
            <w:tcMar>
              <w:top w:w="50" w:type="dxa"/>
              <w:bottom w:w="50" w:type="dxa"/>
              <w:left w:w="90" w:type="dxa"/>
              <w:right w:w="90" w:type="dxa"/>
            </w:tcMar>
            <w:shd w:val="clear" w:color="auto" w:fill="E5F5FF"/>
          </w:tcPr>
          <w:p>
            <w:pPr>
              <w:pStyle w:val="BDOITable"/>
            </w:pPr>
            <w:r>
              <w:rPr>
                <w:sz w:val="16"/>
              </w:rPr>
              <w:t>BDOI Information Security</w:t>
            </w:r>
          </w:p>
        </w:tc>
        <w:tc>
          <w:tcPr>
            <w:tcW w:type="dxa" w:w="1136"/>
            <w:tcMar>
              <w:top w:w="50" w:type="dxa"/>
              <w:bottom w:w="50" w:type="dxa"/>
              <w:left w:w="90" w:type="dxa"/>
              <w:right w:w="90" w:type="dxa"/>
            </w:tcMar>
            <w:shd w:val="clear" w:color="auto" w:fill="E5F5FF"/>
          </w:tcPr>
          <w:p>
            <w:pPr>
              <w:pStyle w:val="BDOITable"/>
            </w:pPr>
            <w:r>
              <w:rPr>
                <w:sz w:val="16"/>
              </w:rPr>
              <w:t>30 Nov 2026</w:t>
            </w:r>
          </w:p>
        </w:tc>
      </w:tr>
      <w:tr>
        <w:trPr>
          <w:cantSplit w:val="true"/>
        </w:trPr>
        <w:tc>
          <w:tcPr>
            <w:tcW w:type="dxa" w:w="757"/>
            <w:tcMar>
              <w:top w:w="50" w:type="dxa"/>
              <w:bottom w:w="50" w:type="dxa"/>
              <w:left w:w="90" w:type="dxa"/>
              <w:right w:w="90" w:type="dxa"/>
            </w:tcMar>
          </w:tcPr>
          <w:p>
            <w:pPr>
              <w:pStyle w:val="BDOITable"/>
            </w:pPr>
            <w:r>
              <w:rPr>
                <w:sz w:val="16"/>
              </w:rPr>
              <w:t>V8.3.2</w:t>
            </w:r>
          </w:p>
        </w:tc>
        <w:tc>
          <w:tcPr>
            <w:tcW w:type="dxa" w:w="884"/>
            <w:tcMar>
              <w:top w:w="50" w:type="dxa"/>
              <w:bottom w:w="50" w:type="dxa"/>
              <w:left w:w="90" w:type="dxa"/>
              <w:right w:w="90" w:type="dxa"/>
            </w:tcMar>
          </w:tcPr>
          <w:p>
            <w:pPr>
              <w:pStyle w:val="BDOITable"/>
            </w:pPr>
            <w:r>
              <w:rPr>
                <w:sz w:val="16"/>
              </w:rPr>
              <w:t>Partly met</w:t>
            </w:r>
          </w:p>
        </w:tc>
        <w:tc>
          <w:tcPr>
            <w:tcW w:type="dxa" w:w="5680"/>
            <w:tcMar>
              <w:top w:w="50" w:type="dxa"/>
              <w:bottom w:w="50" w:type="dxa"/>
              <w:left w:w="90" w:type="dxa"/>
              <w:right w:w="90" w:type="dxa"/>
            </w:tcMar>
          </w:tcPr>
          <w:p>
            <w:pPr>
              <w:pStyle w:val="BDOITable"/>
            </w:pPr>
            <w:r>
              <w:rPr>
                <w:sz w:val="16"/>
              </w:rPr>
              <w:t>Agree the data subject request procedure (access, correction, erasure) and its screens (open point PRV-02)</w:t>
            </w:r>
          </w:p>
        </w:tc>
        <w:tc>
          <w:tcPr>
            <w:tcW w:type="dxa" w:w="1515"/>
            <w:tcMar>
              <w:top w:w="50" w:type="dxa"/>
              <w:bottom w:w="50" w:type="dxa"/>
              <w:left w:w="90" w:type="dxa"/>
              <w:right w:w="90" w:type="dxa"/>
            </w:tcMar>
          </w:tcPr>
          <w:p>
            <w:pPr>
              <w:pStyle w:val="BDOITable"/>
            </w:pPr>
            <w:r>
              <w:rPr>
                <w:sz w:val="16"/>
              </w:rPr>
              <w:t>BDOI Information Security</w:t>
            </w:r>
          </w:p>
        </w:tc>
        <w:tc>
          <w:tcPr>
            <w:tcW w:type="dxa" w:w="1136"/>
            <w:tcMar>
              <w:top w:w="50" w:type="dxa"/>
              <w:bottom w:w="50" w:type="dxa"/>
              <w:left w:w="90" w:type="dxa"/>
              <w:right w:w="90" w:type="dxa"/>
            </w:tcMar>
          </w:tcPr>
          <w:p>
            <w:pPr>
              <w:pStyle w:val="BDOITable"/>
            </w:pPr>
            <w:r>
              <w:rPr>
                <w:sz w:val="16"/>
              </w:rPr>
              <w:t>31 Mar 2027</w:t>
            </w:r>
          </w:p>
        </w:tc>
      </w:tr>
      <w:tr>
        <w:trPr>
          <w:cantSplit w:val="true"/>
        </w:trPr>
        <w:tc>
          <w:tcPr>
            <w:tcW w:type="dxa" w:w="757"/>
            <w:tcMar>
              <w:top w:w="50" w:type="dxa"/>
              <w:bottom w:w="50" w:type="dxa"/>
              <w:left w:w="90" w:type="dxa"/>
              <w:right w:w="90" w:type="dxa"/>
            </w:tcMar>
            <w:shd w:val="clear" w:color="auto" w:fill="E5F5FF"/>
          </w:tcPr>
          <w:p>
            <w:pPr>
              <w:pStyle w:val="BDOITable"/>
            </w:pPr>
            <w:r>
              <w:rPr>
                <w:sz w:val="16"/>
              </w:rPr>
              <w:t>V8.3.3</w:t>
            </w:r>
          </w:p>
        </w:tc>
        <w:tc>
          <w:tcPr>
            <w:tcW w:type="dxa" w:w="884"/>
            <w:tcMar>
              <w:top w:w="50" w:type="dxa"/>
              <w:bottom w:w="50" w:type="dxa"/>
              <w:left w:w="90" w:type="dxa"/>
              <w:right w:w="90" w:type="dxa"/>
            </w:tcMar>
            <w:shd w:val="clear" w:color="auto" w:fill="E5F5FF"/>
          </w:tcPr>
          <w:p>
            <w:pPr>
              <w:pStyle w:val="BDOITable"/>
            </w:pPr>
            <w:r>
              <w:rPr>
                <w:sz w:val="16"/>
              </w:rPr>
              <w:t>BDOI</w:t>
            </w:r>
          </w:p>
        </w:tc>
        <w:tc>
          <w:tcPr>
            <w:tcW w:type="dxa" w:w="5680"/>
            <w:tcMar>
              <w:top w:w="50" w:type="dxa"/>
              <w:bottom w:w="50" w:type="dxa"/>
              <w:left w:w="90" w:type="dxa"/>
              <w:right w:w="90" w:type="dxa"/>
            </w:tcMar>
            <w:shd w:val="clear" w:color="auto" w:fill="E5F5FF"/>
          </w:tcPr>
          <w:p>
            <w:pPr>
              <w:pStyle w:val="BDOITable"/>
            </w:pPr>
            <w:r>
              <w:rPr>
                <w:sz w:val="16"/>
              </w:rPr>
              <w:t>BDOI to confirm where consent is captured and whether BIBS stores it (open point PRV-01)</w:t>
            </w:r>
          </w:p>
        </w:tc>
        <w:tc>
          <w:tcPr>
            <w:tcW w:type="dxa" w:w="1515"/>
            <w:tcMar>
              <w:top w:w="50" w:type="dxa"/>
              <w:bottom w:w="50" w:type="dxa"/>
              <w:left w:w="90" w:type="dxa"/>
              <w:right w:w="90" w:type="dxa"/>
            </w:tcMar>
            <w:shd w:val="clear" w:color="auto" w:fill="E5F5FF"/>
          </w:tcPr>
          <w:p>
            <w:pPr>
              <w:pStyle w:val="BDOITable"/>
            </w:pPr>
            <w:r>
              <w:rPr>
                <w:sz w:val="16"/>
              </w:rPr>
              <w:t>BDOI Data Protection Officer</w:t>
            </w:r>
          </w:p>
        </w:tc>
        <w:tc>
          <w:tcPr>
            <w:tcW w:type="dxa" w:w="1136"/>
            <w:tcMar>
              <w:top w:w="50" w:type="dxa"/>
              <w:bottom w:w="50" w:type="dxa"/>
              <w:left w:w="90" w:type="dxa"/>
              <w:right w:w="90" w:type="dxa"/>
            </w:tcMar>
            <w:shd w:val="clear" w:color="auto" w:fill="E5F5FF"/>
          </w:tcPr>
          <w:p>
            <w:pPr>
              <w:pStyle w:val="BDOITable"/>
            </w:pPr>
            <w:r>
              <w:rPr>
                <w:sz w:val="16"/>
              </w:rPr>
              <w:t>31 Jan 2027</w:t>
            </w:r>
          </w:p>
        </w:tc>
      </w:tr>
      <w:tr>
        <w:trPr>
          <w:cantSplit w:val="true"/>
        </w:trPr>
        <w:tc>
          <w:tcPr>
            <w:tcW w:type="dxa" w:w="757"/>
            <w:tcMar>
              <w:top w:w="50" w:type="dxa"/>
              <w:bottom w:w="50" w:type="dxa"/>
              <w:left w:w="90" w:type="dxa"/>
              <w:right w:w="90" w:type="dxa"/>
            </w:tcMar>
          </w:tcPr>
          <w:p>
            <w:pPr>
              <w:pStyle w:val="BDOITable"/>
            </w:pPr>
            <w:r>
              <w:rPr>
                <w:sz w:val="16"/>
              </w:rPr>
              <w:t>V8.3.5</w:t>
            </w:r>
          </w:p>
        </w:tc>
        <w:tc>
          <w:tcPr>
            <w:tcW w:type="dxa" w:w="884"/>
            <w:tcMar>
              <w:top w:w="50" w:type="dxa"/>
              <w:bottom w:w="50" w:type="dxa"/>
              <w:left w:w="90" w:type="dxa"/>
              <w:right w:w="90" w:type="dxa"/>
            </w:tcMar>
          </w:tcPr>
          <w:p>
            <w:pPr>
              <w:pStyle w:val="BDOITable"/>
            </w:pPr>
            <w:r>
              <w:rPr>
                <w:sz w:val="16"/>
              </w:rPr>
              <w:t>Partly met</w:t>
            </w:r>
          </w:p>
        </w:tc>
        <w:tc>
          <w:tcPr>
            <w:tcW w:type="dxa" w:w="5680"/>
            <w:tcMar>
              <w:top w:w="50" w:type="dxa"/>
              <w:bottom w:w="50" w:type="dxa"/>
              <w:left w:w="90" w:type="dxa"/>
              <w:right w:w="90" w:type="dxa"/>
            </w:tcMar>
          </w:tcPr>
          <w:p>
            <w:pPr>
              <w:pStyle w:val="BDOITable"/>
            </w:pPr>
            <w:r>
              <w:rPr>
                <w:sz w:val="16"/>
              </w:rPr>
              <w:t>Audit the opening of KYC documents and employee benefits member lists on screen (open point SEC-06)</w:t>
            </w:r>
          </w:p>
        </w:tc>
        <w:tc>
          <w:tcPr>
            <w:tcW w:type="dxa" w:w="1515"/>
            <w:tcMar>
              <w:top w:w="50" w:type="dxa"/>
              <w:bottom w:w="50" w:type="dxa"/>
              <w:left w:w="90" w:type="dxa"/>
              <w:right w:w="90" w:type="dxa"/>
            </w:tcMar>
          </w:tcPr>
          <w:p>
            <w:pPr>
              <w:pStyle w:val="BDOITable"/>
            </w:pPr>
            <w:r>
              <w:rPr>
                <w:sz w:val="16"/>
              </w:rPr>
              <w:t>iorta TechNXT</w:t>
            </w:r>
          </w:p>
        </w:tc>
        <w:tc>
          <w:tcPr>
            <w:tcW w:type="dxa" w:w="1136"/>
            <w:tcMar>
              <w:top w:w="50" w:type="dxa"/>
              <w:bottom w:w="50" w:type="dxa"/>
              <w:left w:w="90" w:type="dxa"/>
              <w:right w:w="90" w:type="dxa"/>
            </w:tcMar>
          </w:tcPr>
          <w:p>
            <w:pPr>
              <w:pStyle w:val="BDOITable"/>
            </w:pPr>
            <w:r>
              <w:rPr>
                <w:sz w:val="16"/>
              </w:rPr>
              <w:t>31 Mar 2027</w:t>
            </w:r>
          </w:p>
        </w:tc>
      </w:tr>
      <w:tr>
        <w:trPr>
          <w:cantSplit w:val="true"/>
        </w:trPr>
        <w:tc>
          <w:tcPr>
            <w:tcW w:type="dxa" w:w="757"/>
            <w:tcMar>
              <w:top w:w="50" w:type="dxa"/>
              <w:bottom w:w="50" w:type="dxa"/>
              <w:left w:w="90" w:type="dxa"/>
              <w:right w:w="90" w:type="dxa"/>
            </w:tcMar>
            <w:shd w:val="clear" w:color="auto" w:fill="E5F5FF"/>
          </w:tcPr>
          <w:p>
            <w:pPr>
              <w:pStyle w:val="BDOITable"/>
            </w:pPr>
            <w:r>
              <w:rPr>
                <w:sz w:val="16"/>
              </w:rPr>
              <w:t>V8.3.8</w:t>
            </w:r>
          </w:p>
        </w:tc>
        <w:tc>
          <w:tcPr>
            <w:tcW w:type="dxa" w:w="884"/>
            <w:tcMar>
              <w:top w:w="50" w:type="dxa"/>
              <w:bottom w:w="50" w:type="dxa"/>
              <w:left w:w="90" w:type="dxa"/>
              <w:right w:w="90" w:type="dxa"/>
            </w:tcMar>
            <w:shd w:val="clear" w:color="auto" w:fill="E5F5FF"/>
          </w:tcPr>
          <w:p>
            <w:pPr>
              <w:pStyle w:val="BDOITable"/>
            </w:pPr>
            <w:r>
              <w:rPr>
                <w:sz w:val="16"/>
              </w:rPr>
              <w:t>Partly met</w:t>
            </w:r>
          </w:p>
        </w:tc>
        <w:tc>
          <w:tcPr>
            <w:tcW w:type="dxa" w:w="5680"/>
            <w:tcMar>
              <w:top w:w="50" w:type="dxa"/>
              <w:bottom w:w="50" w:type="dxa"/>
              <w:left w:w="90" w:type="dxa"/>
              <w:right w:w="90" w:type="dxa"/>
            </w:tcMar>
            <w:shd w:val="clear" w:color="auto" w:fill="E5F5FF"/>
          </w:tcPr>
          <w:p>
            <w:pPr>
              <w:pStyle w:val="BDOITable"/>
            </w:pPr>
            <w:r>
              <w:rPr>
                <w:sz w:val="16"/>
              </w:rPr>
              <w:t>BDOI to confirm the retention periods and the archive or purge action per record type (open points RET-01 to RET-04 of the Data Architecture)</w:t>
            </w:r>
          </w:p>
        </w:tc>
        <w:tc>
          <w:tcPr>
            <w:tcW w:type="dxa" w:w="1515"/>
            <w:tcMar>
              <w:top w:w="50" w:type="dxa"/>
              <w:bottom w:w="50" w:type="dxa"/>
              <w:left w:w="90" w:type="dxa"/>
              <w:right w:w="90" w:type="dxa"/>
            </w:tcMar>
            <w:shd w:val="clear" w:color="auto" w:fill="E5F5FF"/>
          </w:tcPr>
          <w:p>
            <w:pPr>
              <w:pStyle w:val="BDOITable"/>
            </w:pPr>
            <w:r>
              <w:rPr>
                <w:sz w:val="16"/>
              </w:rPr>
              <w:t>BDOI Compliance Officer</w:t>
            </w:r>
          </w:p>
        </w:tc>
        <w:tc>
          <w:tcPr>
            <w:tcW w:type="dxa" w:w="1136"/>
            <w:tcMar>
              <w:top w:w="50" w:type="dxa"/>
              <w:bottom w:w="50" w:type="dxa"/>
              <w:left w:w="90" w:type="dxa"/>
              <w:right w:w="90" w:type="dxa"/>
            </w:tcMar>
            <w:shd w:val="clear" w:color="auto" w:fill="E5F5FF"/>
          </w:tcPr>
          <w:p>
            <w:pPr>
              <w:pStyle w:val="BDOITable"/>
            </w:pPr>
            <w:r>
              <w:rPr>
                <w:sz w:val="16"/>
              </w:rPr>
              <w:t>31 Mar 2027</w:t>
            </w:r>
          </w:p>
        </w:tc>
      </w:tr>
      <w:tr>
        <w:trPr>
          <w:cantSplit w:val="true"/>
        </w:trPr>
        <w:tc>
          <w:tcPr>
            <w:tcW w:type="dxa" w:w="757"/>
            <w:tcMar>
              <w:top w:w="50" w:type="dxa"/>
              <w:bottom w:w="50" w:type="dxa"/>
              <w:left w:w="90" w:type="dxa"/>
              <w:right w:w="90" w:type="dxa"/>
            </w:tcMar>
          </w:tcPr>
          <w:p>
            <w:pPr>
              <w:pStyle w:val="BDOITable"/>
            </w:pPr>
            <w:r>
              <w:rPr>
                <w:sz w:val="16"/>
              </w:rPr>
              <w:t>V9.2.4</w:t>
            </w:r>
          </w:p>
        </w:tc>
        <w:tc>
          <w:tcPr>
            <w:tcW w:type="dxa" w:w="884"/>
            <w:tcMar>
              <w:top w:w="50" w:type="dxa"/>
              <w:bottom w:w="50" w:type="dxa"/>
              <w:left w:w="90" w:type="dxa"/>
              <w:right w:w="90" w:type="dxa"/>
            </w:tcMar>
          </w:tcPr>
          <w:p>
            <w:pPr>
              <w:pStyle w:val="BDOITable"/>
            </w:pPr>
            <w:r>
              <w:rPr>
                <w:sz w:val="16"/>
              </w:rPr>
              <w:t>BDOI</w:t>
            </w:r>
          </w:p>
        </w:tc>
        <w:tc>
          <w:tcPr>
            <w:tcW w:type="dxa" w:w="5680"/>
            <w:tcMar>
              <w:top w:w="50" w:type="dxa"/>
              <w:bottom w:w="50" w:type="dxa"/>
              <w:left w:w="90" w:type="dxa"/>
              <w:right w:w="90" w:type="dxa"/>
            </w:tcMar>
          </w:tcPr>
          <w:p>
            <w:pPr>
              <w:pStyle w:val="BDOITable"/>
            </w:pPr>
            <w:r>
              <w:rPr>
                <w:sz w:val="16"/>
              </w:rPr>
              <w:t>BDOI IT to confirm OCSP stapling on the load balancer and Apigee (open point SEC-08)</w:t>
            </w:r>
          </w:p>
        </w:tc>
        <w:tc>
          <w:tcPr>
            <w:tcW w:type="dxa" w:w="1515"/>
            <w:tcMar>
              <w:top w:w="50" w:type="dxa"/>
              <w:bottom w:w="50" w:type="dxa"/>
              <w:left w:w="90" w:type="dxa"/>
              <w:right w:w="90" w:type="dxa"/>
            </w:tcMar>
          </w:tcPr>
          <w:p>
            <w:pPr>
              <w:pStyle w:val="BDOITable"/>
            </w:pPr>
            <w:r>
              <w:rPr>
                <w:sz w:val="16"/>
              </w:rPr>
              <w:t>BDOI IT</w:t>
            </w:r>
          </w:p>
        </w:tc>
        <w:tc>
          <w:tcPr>
            <w:tcW w:type="dxa" w:w="1136"/>
            <w:tcMar>
              <w:top w:w="50" w:type="dxa"/>
              <w:bottom w:w="50" w:type="dxa"/>
              <w:left w:w="90" w:type="dxa"/>
              <w:right w:w="90" w:type="dxa"/>
            </w:tcMar>
          </w:tcPr>
          <w:p>
            <w:pPr>
              <w:pStyle w:val="BDOITable"/>
            </w:pPr>
            <w:r>
              <w:rPr>
                <w:sz w:val="16"/>
              </w:rPr>
              <w:t>31 Mar 2027</w:t>
            </w:r>
          </w:p>
        </w:tc>
      </w:tr>
      <w:tr>
        <w:trPr>
          <w:cantSplit w:val="true"/>
        </w:trPr>
        <w:tc>
          <w:tcPr>
            <w:tcW w:type="dxa" w:w="757"/>
            <w:tcMar>
              <w:top w:w="50" w:type="dxa"/>
              <w:bottom w:w="50" w:type="dxa"/>
              <w:left w:w="90" w:type="dxa"/>
              <w:right w:w="90" w:type="dxa"/>
            </w:tcMar>
            <w:shd w:val="clear" w:color="auto" w:fill="E5F5FF"/>
          </w:tcPr>
          <w:p>
            <w:pPr>
              <w:pStyle w:val="BDOITable"/>
            </w:pPr>
            <w:r>
              <w:rPr>
                <w:sz w:val="16"/>
              </w:rPr>
              <w:t>V10.3.3</w:t>
            </w:r>
          </w:p>
        </w:tc>
        <w:tc>
          <w:tcPr>
            <w:tcW w:type="dxa" w:w="884"/>
            <w:tcMar>
              <w:top w:w="50" w:type="dxa"/>
              <w:bottom w:w="50" w:type="dxa"/>
              <w:left w:w="90" w:type="dxa"/>
              <w:right w:w="90" w:type="dxa"/>
            </w:tcMar>
            <w:shd w:val="clear" w:color="auto" w:fill="E5F5FF"/>
          </w:tcPr>
          <w:p>
            <w:pPr>
              <w:pStyle w:val="BDOITable"/>
            </w:pPr>
            <w:r>
              <w:rPr>
                <w:sz w:val="16"/>
              </w:rPr>
              <w:t>BDOI</w:t>
            </w:r>
          </w:p>
        </w:tc>
        <w:tc>
          <w:tcPr>
            <w:tcW w:type="dxa" w:w="5680"/>
            <w:tcMar>
              <w:top w:w="50" w:type="dxa"/>
              <w:bottom w:w="50" w:type="dxa"/>
              <w:left w:w="90" w:type="dxa"/>
              <w:right w:w="90" w:type="dxa"/>
            </w:tcMar>
            <w:shd w:val="clear" w:color="auto" w:fill="E5F5FF"/>
          </w:tcPr>
          <w:p>
            <w:pPr>
              <w:pStyle w:val="BDOITable"/>
            </w:pPr>
            <w:r>
              <w:rPr>
                <w:sz w:val="16"/>
              </w:rPr>
              <w:t>BDOI IT to own the DNS records (open point SEC-08)</w:t>
            </w:r>
          </w:p>
        </w:tc>
        <w:tc>
          <w:tcPr>
            <w:tcW w:type="dxa" w:w="1515"/>
            <w:tcMar>
              <w:top w:w="50" w:type="dxa"/>
              <w:bottom w:w="50" w:type="dxa"/>
              <w:left w:w="90" w:type="dxa"/>
              <w:right w:w="90" w:type="dxa"/>
            </w:tcMar>
            <w:shd w:val="clear" w:color="auto" w:fill="E5F5FF"/>
          </w:tcPr>
          <w:p>
            <w:pPr>
              <w:pStyle w:val="BDOITable"/>
            </w:pPr>
            <w:r>
              <w:rPr>
                <w:sz w:val="16"/>
              </w:rPr>
              <w:t>BDOI IT</w:t>
            </w:r>
          </w:p>
        </w:tc>
        <w:tc>
          <w:tcPr>
            <w:tcW w:type="dxa" w:w="1136"/>
            <w:tcMar>
              <w:top w:w="50" w:type="dxa"/>
              <w:bottom w:w="50" w:type="dxa"/>
              <w:left w:w="90" w:type="dxa"/>
              <w:right w:w="90" w:type="dxa"/>
            </w:tcMar>
            <w:shd w:val="clear" w:color="auto" w:fill="E5F5FF"/>
          </w:tcPr>
          <w:p>
            <w:pPr>
              <w:pStyle w:val="BDOITable"/>
            </w:pPr>
            <w:r>
              <w:rPr>
                <w:sz w:val="16"/>
              </w:rPr>
              <w:t>31 Mar 2027</w:t>
            </w:r>
          </w:p>
        </w:tc>
      </w:tr>
      <w:tr>
        <w:trPr>
          <w:cantSplit w:val="true"/>
        </w:trPr>
        <w:tc>
          <w:tcPr>
            <w:tcW w:type="dxa" w:w="757"/>
            <w:tcMar>
              <w:top w:w="50" w:type="dxa"/>
              <w:bottom w:w="50" w:type="dxa"/>
              <w:left w:w="90" w:type="dxa"/>
              <w:right w:w="90" w:type="dxa"/>
            </w:tcMar>
          </w:tcPr>
          <w:p>
            <w:pPr>
              <w:pStyle w:val="BDOITable"/>
            </w:pPr>
            <w:r>
              <w:rPr>
                <w:sz w:val="16"/>
              </w:rPr>
              <w:t>V11.1.2</w:t>
            </w:r>
          </w:p>
        </w:tc>
        <w:tc>
          <w:tcPr>
            <w:tcW w:type="dxa" w:w="884"/>
            <w:tcMar>
              <w:top w:w="50" w:type="dxa"/>
              <w:bottom w:w="50" w:type="dxa"/>
              <w:left w:w="90" w:type="dxa"/>
              <w:right w:w="90" w:type="dxa"/>
            </w:tcMar>
          </w:tcPr>
          <w:p>
            <w:pPr>
              <w:pStyle w:val="BDOITable"/>
            </w:pPr>
            <w:r>
              <w:rPr>
                <w:sz w:val="16"/>
              </w:rPr>
              <w:t>Partly met</w:t>
            </w:r>
          </w:p>
        </w:tc>
        <w:tc>
          <w:tcPr>
            <w:tcW w:type="dxa" w:w="5680"/>
            <w:tcMar>
              <w:top w:w="50" w:type="dxa"/>
              <w:bottom w:w="50" w:type="dxa"/>
              <w:left w:w="90" w:type="dxa"/>
              <w:right w:w="90" w:type="dxa"/>
            </w:tcMar>
          </w:tcPr>
          <w:p>
            <w:pPr>
              <w:pStyle w:val="BDOITable"/>
            </w:pPr>
            <w:r>
              <w:rPr>
                <w:sz w:val="16"/>
              </w:rPr>
              <w:t>Rate limits on bulk submission and export actions per user (open point SEC-06)</w:t>
            </w:r>
          </w:p>
        </w:tc>
        <w:tc>
          <w:tcPr>
            <w:tcW w:type="dxa" w:w="1515"/>
            <w:tcMar>
              <w:top w:w="50" w:type="dxa"/>
              <w:bottom w:w="50" w:type="dxa"/>
              <w:left w:w="90" w:type="dxa"/>
              <w:right w:w="90" w:type="dxa"/>
            </w:tcMar>
          </w:tcPr>
          <w:p>
            <w:pPr>
              <w:pStyle w:val="BDOITable"/>
            </w:pPr>
            <w:r>
              <w:rPr>
                <w:sz w:val="16"/>
              </w:rPr>
              <w:t>iorta TechNXT</w:t>
            </w:r>
          </w:p>
        </w:tc>
        <w:tc>
          <w:tcPr>
            <w:tcW w:type="dxa" w:w="1136"/>
            <w:tcMar>
              <w:top w:w="50" w:type="dxa"/>
              <w:bottom w:w="50" w:type="dxa"/>
              <w:left w:w="90" w:type="dxa"/>
              <w:right w:w="90" w:type="dxa"/>
            </w:tcMar>
          </w:tcPr>
          <w:p>
            <w:pPr>
              <w:pStyle w:val="BDOITable"/>
            </w:pPr>
            <w:r>
              <w:rPr>
                <w:sz w:val="16"/>
              </w:rPr>
              <w:t>31 Mar 2027</w:t>
            </w:r>
          </w:p>
        </w:tc>
      </w:tr>
      <w:tr>
        <w:trPr>
          <w:cantSplit w:val="true"/>
        </w:trPr>
        <w:tc>
          <w:tcPr>
            <w:tcW w:type="dxa" w:w="757"/>
            <w:tcMar>
              <w:top w:w="50" w:type="dxa"/>
              <w:bottom w:w="50" w:type="dxa"/>
              <w:left w:w="90" w:type="dxa"/>
              <w:right w:w="90" w:type="dxa"/>
            </w:tcMar>
            <w:shd w:val="clear" w:color="auto" w:fill="E5F5FF"/>
          </w:tcPr>
          <w:p>
            <w:pPr>
              <w:pStyle w:val="BDOITable"/>
            </w:pPr>
            <w:r>
              <w:rPr>
                <w:sz w:val="16"/>
              </w:rPr>
              <w:t>V11.1.4</w:t>
            </w:r>
          </w:p>
        </w:tc>
        <w:tc>
          <w:tcPr>
            <w:tcW w:type="dxa" w:w="884"/>
            <w:tcMar>
              <w:top w:w="50" w:type="dxa"/>
              <w:bottom w:w="50" w:type="dxa"/>
              <w:left w:w="90" w:type="dxa"/>
              <w:right w:w="90" w:type="dxa"/>
            </w:tcMar>
            <w:shd w:val="clear" w:color="auto" w:fill="E5F5FF"/>
          </w:tcPr>
          <w:p>
            <w:pPr>
              <w:pStyle w:val="BDOITable"/>
            </w:pPr>
            <w:r>
              <w:rPr>
                <w:sz w:val="16"/>
              </w:rPr>
              <w:t>Partly met</w:t>
            </w:r>
          </w:p>
        </w:tc>
        <w:tc>
          <w:tcPr>
            <w:tcW w:type="dxa" w:w="5680"/>
            <w:tcMar>
              <w:top w:w="50" w:type="dxa"/>
              <w:bottom w:w="50" w:type="dxa"/>
              <w:left w:w="90" w:type="dxa"/>
              <w:right w:w="90" w:type="dxa"/>
            </w:tcMar>
            <w:shd w:val="clear" w:color="auto" w:fill="E5F5FF"/>
          </w:tcPr>
          <w:p>
            <w:pPr>
              <w:pStyle w:val="BDOITable"/>
            </w:pPr>
            <w:r>
              <w:rPr>
                <w:sz w:val="16"/>
              </w:rPr>
              <w:t>Per-user quotas on exports and report runs (open point SEC-06)</w:t>
            </w:r>
          </w:p>
        </w:tc>
        <w:tc>
          <w:tcPr>
            <w:tcW w:type="dxa" w:w="1515"/>
            <w:tcMar>
              <w:top w:w="50" w:type="dxa"/>
              <w:bottom w:w="50" w:type="dxa"/>
              <w:left w:w="90" w:type="dxa"/>
              <w:right w:w="90" w:type="dxa"/>
            </w:tcMar>
            <w:shd w:val="clear" w:color="auto" w:fill="E5F5FF"/>
          </w:tcPr>
          <w:p>
            <w:pPr>
              <w:pStyle w:val="BDOITable"/>
            </w:pPr>
            <w:r>
              <w:rPr>
                <w:sz w:val="16"/>
              </w:rPr>
              <w:t>iorta TechNXT</w:t>
            </w:r>
          </w:p>
        </w:tc>
        <w:tc>
          <w:tcPr>
            <w:tcW w:type="dxa" w:w="1136"/>
            <w:tcMar>
              <w:top w:w="50" w:type="dxa"/>
              <w:bottom w:w="50" w:type="dxa"/>
              <w:left w:w="90" w:type="dxa"/>
              <w:right w:w="90" w:type="dxa"/>
            </w:tcMar>
            <w:shd w:val="clear" w:color="auto" w:fill="E5F5FF"/>
          </w:tcPr>
          <w:p>
            <w:pPr>
              <w:pStyle w:val="BDOITable"/>
            </w:pPr>
            <w:r>
              <w:rPr>
                <w:sz w:val="16"/>
              </w:rPr>
              <w:t>31 Mar 2027</w:t>
            </w:r>
          </w:p>
        </w:tc>
      </w:tr>
      <w:tr>
        <w:trPr>
          <w:cantSplit w:val="true"/>
        </w:trPr>
        <w:tc>
          <w:tcPr>
            <w:tcW w:type="dxa" w:w="757"/>
            <w:tcMar>
              <w:top w:w="50" w:type="dxa"/>
              <w:bottom w:w="50" w:type="dxa"/>
              <w:left w:w="90" w:type="dxa"/>
              <w:right w:w="90" w:type="dxa"/>
            </w:tcMar>
          </w:tcPr>
          <w:p>
            <w:pPr>
              <w:pStyle w:val="BDOITable"/>
            </w:pPr>
            <w:r>
              <w:rPr>
                <w:sz w:val="16"/>
              </w:rPr>
              <w:t>V11.1.7</w:t>
            </w:r>
          </w:p>
        </w:tc>
        <w:tc>
          <w:tcPr>
            <w:tcW w:type="dxa" w:w="884"/>
            <w:tcMar>
              <w:top w:w="50" w:type="dxa"/>
              <w:bottom w:w="50" w:type="dxa"/>
              <w:left w:w="90" w:type="dxa"/>
              <w:right w:w="90" w:type="dxa"/>
            </w:tcMar>
          </w:tcPr>
          <w:p>
            <w:pPr>
              <w:pStyle w:val="BDOITable"/>
            </w:pPr>
            <w:r>
              <w:rPr>
                <w:sz w:val="16"/>
              </w:rPr>
              <w:t>Partly met</w:t>
            </w:r>
          </w:p>
        </w:tc>
        <w:tc>
          <w:tcPr>
            <w:tcW w:type="dxa" w:w="5680"/>
            <w:tcMar>
              <w:top w:w="50" w:type="dxa"/>
              <w:bottom w:w="50" w:type="dxa"/>
              <w:left w:w="90" w:type="dxa"/>
              <w:right w:w="90" w:type="dxa"/>
            </w:tcMar>
          </w:tcPr>
          <w:p>
            <w:pPr>
              <w:pStyle w:val="BDOITable"/>
            </w:pPr>
            <w:r>
              <w:rPr>
                <w:sz w:val="16"/>
              </w:rPr>
              <w:t>Business-logic anomaly alerts to the SIEM (open point SEC-07)</w:t>
            </w:r>
          </w:p>
        </w:tc>
        <w:tc>
          <w:tcPr>
            <w:tcW w:type="dxa" w:w="1515"/>
            <w:tcMar>
              <w:top w:w="50" w:type="dxa"/>
              <w:bottom w:w="50" w:type="dxa"/>
              <w:left w:w="90" w:type="dxa"/>
              <w:right w:w="90" w:type="dxa"/>
            </w:tcMar>
          </w:tcPr>
          <w:p>
            <w:pPr>
              <w:pStyle w:val="BDOITable"/>
            </w:pPr>
            <w:r>
              <w:rPr>
                <w:sz w:val="16"/>
              </w:rPr>
              <w:t>iorta TechNXT</w:t>
            </w:r>
          </w:p>
        </w:tc>
        <w:tc>
          <w:tcPr>
            <w:tcW w:type="dxa" w:w="1136"/>
            <w:tcMar>
              <w:top w:w="50" w:type="dxa"/>
              <w:bottom w:w="50" w:type="dxa"/>
              <w:left w:w="90" w:type="dxa"/>
              <w:right w:w="90" w:type="dxa"/>
            </w:tcMar>
          </w:tcPr>
          <w:p>
            <w:pPr>
              <w:pStyle w:val="BDOITable"/>
            </w:pPr>
            <w:r>
              <w:rPr>
                <w:sz w:val="16"/>
              </w:rPr>
              <w:t>30 Jun 2027</w:t>
            </w:r>
          </w:p>
        </w:tc>
      </w:tr>
      <w:tr>
        <w:trPr>
          <w:cantSplit w:val="true"/>
        </w:trPr>
        <w:tc>
          <w:tcPr>
            <w:tcW w:type="dxa" w:w="757"/>
            <w:tcMar>
              <w:top w:w="50" w:type="dxa"/>
              <w:bottom w:w="50" w:type="dxa"/>
              <w:left w:w="90" w:type="dxa"/>
              <w:right w:w="90" w:type="dxa"/>
            </w:tcMar>
            <w:shd w:val="clear" w:color="auto" w:fill="E5F5FF"/>
          </w:tcPr>
          <w:p>
            <w:pPr>
              <w:pStyle w:val="BDOITable"/>
            </w:pPr>
            <w:r>
              <w:rPr>
                <w:sz w:val="16"/>
              </w:rPr>
              <w:t>V11.1.8</w:t>
            </w:r>
          </w:p>
        </w:tc>
        <w:tc>
          <w:tcPr>
            <w:tcW w:type="dxa" w:w="884"/>
            <w:tcMar>
              <w:top w:w="50" w:type="dxa"/>
              <w:bottom w:w="50" w:type="dxa"/>
              <w:left w:w="90" w:type="dxa"/>
              <w:right w:w="90" w:type="dxa"/>
            </w:tcMar>
            <w:shd w:val="clear" w:color="auto" w:fill="E5F5FF"/>
          </w:tcPr>
          <w:p>
            <w:pPr>
              <w:pStyle w:val="BDOITable"/>
            </w:pPr>
            <w:r>
              <w:rPr>
                <w:sz w:val="16"/>
              </w:rPr>
              <w:t>Partly met</w:t>
            </w:r>
          </w:p>
        </w:tc>
        <w:tc>
          <w:tcPr>
            <w:tcW w:type="dxa" w:w="5680"/>
            <w:tcMar>
              <w:top w:w="50" w:type="dxa"/>
              <w:bottom w:w="50" w:type="dxa"/>
              <w:left w:w="90" w:type="dxa"/>
              <w:right w:w="90" w:type="dxa"/>
            </w:tcMar>
            <w:shd w:val="clear" w:color="auto" w:fill="E5F5FF"/>
          </w:tcPr>
          <w:p>
            <w:pPr>
              <w:pStyle w:val="BDOITable"/>
            </w:pPr>
            <w:r>
              <w:rPr>
                <w:sz w:val="16"/>
              </w:rPr>
              <w:t>Configure SIEM use cases with BDOI Information Security (open point SEC-07)</w:t>
            </w:r>
          </w:p>
        </w:tc>
        <w:tc>
          <w:tcPr>
            <w:tcW w:type="dxa" w:w="1515"/>
            <w:tcMar>
              <w:top w:w="50" w:type="dxa"/>
              <w:bottom w:w="50" w:type="dxa"/>
              <w:left w:w="90" w:type="dxa"/>
              <w:right w:w="90" w:type="dxa"/>
            </w:tcMar>
            <w:shd w:val="clear" w:color="auto" w:fill="E5F5FF"/>
          </w:tcPr>
          <w:p>
            <w:pPr>
              <w:pStyle w:val="BDOITable"/>
            </w:pPr>
            <w:r>
              <w:rPr>
                <w:sz w:val="16"/>
              </w:rPr>
              <w:t>BDOI Information Security</w:t>
            </w:r>
          </w:p>
        </w:tc>
        <w:tc>
          <w:tcPr>
            <w:tcW w:type="dxa" w:w="1136"/>
            <w:tcMar>
              <w:top w:w="50" w:type="dxa"/>
              <w:bottom w:w="50" w:type="dxa"/>
              <w:left w:w="90" w:type="dxa"/>
              <w:right w:w="90" w:type="dxa"/>
            </w:tcMar>
            <w:shd w:val="clear" w:color="auto" w:fill="E5F5FF"/>
          </w:tcPr>
          <w:p>
            <w:pPr>
              <w:pStyle w:val="BDOITable"/>
            </w:pPr>
            <w:r>
              <w:rPr>
                <w:sz w:val="16"/>
              </w:rPr>
              <w:t>30 Jun 2027</w:t>
            </w:r>
          </w:p>
        </w:tc>
      </w:tr>
      <w:tr>
        <w:trPr>
          <w:cantSplit w:val="true"/>
        </w:trPr>
        <w:tc>
          <w:tcPr>
            <w:tcW w:type="dxa" w:w="757"/>
            <w:tcMar>
              <w:top w:w="50" w:type="dxa"/>
              <w:bottom w:w="50" w:type="dxa"/>
              <w:left w:w="90" w:type="dxa"/>
              <w:right w:w="90" w:type="dxa"/>
            </w:tcMar>
          </w:tcPr>
          <w:p>
            <w:pPr>
              <w:pStyle w:val="BDOITable"/>
            </w:pPr>
            <w:r>
              <w:rPr>
                <w:sz w:val="16"/>
              </w:rPr>
              <w:t>V12.1.3</w:t>
            </w:r>
          </w:p>
        </w:tc>
        <w:tc>
          <w:tcPr>
            <w:tcW w:type="dxa" w:w="884"/>
            <w:tcMar>
              <w:top w:w="50" w:type="dxa"/>
              <w:bottom w:w="50" w:type="dxa"/>
              <w:left w:w="90" w:type="dxa"/>
              <w:right w:w="90" w:type="dxa"/>
            </w:tcMar>
          </w:tcPr>
          <w:p>
            <w:pPr>
              <w:pStyle w:val="BDOITable"/>
            </w:pPr>
            <w:r>
              <w:rPr>
                <w:sz w:val="16"/>
              </w:rPr>
              <w:t>Partly met</w:t>
            </w:r>
          </w:p>
        </w:tc>
        <w:tc>
          <w:tcPr>
            <w:tcW w:type="dxa" w:w="5680"/>
            <w:tcMar>
              <w:top w:w="50" w:type="dxa"/>
              <w:bottom w:w="50" w:type="dxa"/>
              <w:left w:w="90" w:type="dxa"/>
              <w:right w:w="90" w:type="dxa"/>
            </w:tcMar>
          </w:tcPr>
          <w:p>
            <w:pPr>
              <w:pStyle w:val="BDOITable"/>
            </w:pPr>
            <w:r>
              <w:rPr>
                <w:sz w:val="16"/>
              </w:rPr>
              <w:t>Per-user storage quota (open point SEC-06)</w:t>
            </w:r>
          </w:p>
        </w:tc>
        <w:tc>
          <w:tcPr>
            <w:tcW w:type="dxa" w:w="1515"/>
            <w:tcMar>
              <w:top w:w="50" w:type="dxa"/>
              <w:bottom w:w="50" w:type="dxa"/>
              <w:left w:w="90" w:type="dxa"/>
              <w:right w:w="90" w:type="dxa"/>
            </w:tcMar>
          </w:tcPr>
          <w:p>
            <w:pPr>
              <w:pStyle w:val="BDOITable"/>
            </w:pPr>
            <w:r>
              <w:rPr>
                <w:sz w:val="16"/>
              </w:rPr>
              <w:t>iorta TechNXT</w:t>
            </w:r>
          </w:p>
        </w:tc>
        <w:tc>
          <w:tcPr>
            <w:tcW w:type="dxa" w:w="1136"/>
            <w:tcMar>
              <w:top w:w="50" w:type="dxa"/>
              <w:bottom w:w="50" w:type="dxa"/>
              <w:left w:w="90" w:type="dxa"/>
              <w:right w:w="90" w:type="dxa"/>
            </w:tcMar>
          </w:tcPr>
          <w:p>
            <w:pPr>
              <w:pStyle w:val="BDOITable"/>
            </w:pPr>
            <w:r>
              <w:rPr>
                <w:sz w:val="16"/>
              </w:rPr>
              <w:t>30 Jun 2027</w:t>
            </w:r>
          </w:p>
        </w:tc>
      </w:tr>
      <w:tr>
        <w:trPr>
          <w:cantSplit w:val="true"/>
        </w:trPr>
        <w:tc>
          <w:tcPr>
            <w:tcW w:type="dxa" w:w="757"/>
            <w:tcMar>
              <w:top w:w="50" w:type="dxa"/>
              <w:bottom w:w="50" w:type="dxa"/>
              <w:left w:w="90" w:type="dxa"/>
              <w:right w:w="90" w:type="dxa"/>
            </w:tcMar>
            <w:shd w:val="clear" w:color="auto" w:fill="E5F5FF"/>
          </w:tcPr>
          <w:p>
            <w:pPr>
              <w:pStyle w:val="BDOITable"/>
            </w:pPr>
            <w:r>
              <w:rPr>
                <w:sz w:val="16"/>
              </w:rPr>
              <w:t>V14.4.2</w:t>
            </w:r>
          </w:p>
        </w:tc>
        <w:tc>
          <w:tcPr>
            <w:tcW w:type="dxa" w:w="884"/>
            <w:tcMar>
              <w:top w:w="50" w:type="dxa"/>
              <w:bottom w:w="50" w:type="dxa"/>
              <w:left w:w="90" w:type="dxa"/>
              <w:right w:w="90" w:type="dxa"/>
            </w:tcMar>
            <w:shd w:val="clear" w:color="auto" w:fill="E5F5FF"/>
          </w:tcPr>
          <w:p>
            <w:pPr>
              <w:pStyle w:val="BDOITable"/>
            </w:pPr>
            <w:r>
              <w:rPr>
                <w:sz w:val="16"/>
              </w:rPr>
              <w:t>Partly met</w:t>
            </w:r>
          </w:p>
        </w:tc>
        <w:tc>
          <w:tcPr>
            <w:tcW w:type="dxa" w:w="5680"/>
            <w:tcMar>
              <w:top w:w="50" w:type="dxa"/>
              <w:bottom w:w="50" w:type="dxa"/>
              <w:left w:w="90" w:type="dxa"/>
              <w:right w:w="90" w:type="dxa"/>
            </w:tcMar>
            <w:shd w:val="clear" w:color="auto" w:fill="E5F5FF"/>
          </w:tcPr>
          <w:p>
            <w:pPr>
              <w:pStyle w:val="BDOITable"/>
            </w:pPr>
            <w:r>
              <w:rPr>
                <w:sz w:val="16"/>
              </w:rPr>
              <w:t>JSON API answers carry no Content-Disposition; accepted because answers are read by the BIBS client only (open point SEC-10)</w:t>
            </w:r>
          </w:p>
        </w:tc>
        <w:tc>
          <w:tcPr>
            <w:tcW w:type="dxa" w:w="1515"/>
            <w:tcMar>
              <w:top w:w="50" w:type="dxa"/>
              <w:bottom w:w="50" w:type="dxa"/>
              <w:left w:w="90" w:type="dxa"/>
              <w:right w:w="90" w:type="dxa"/>
            </w:tcMar>
            <w:shd w:val="clear" w:color="auto" w:fill="E5F5FF"/>
          </w:tcPr>
          <w:p>
            <w:pPr>
              <w:pStyle w:val="BDOITable"/>
            </w:pPr>
            <w:r>
              <w:rPr>
                <w:sz w:val="16"/>
              </w:rPr>
              <w:t>iorta TechNXT</w:t>
            </w:r>
          </w:p>
        </w:tc>
        <w:tc>
          <w:tcPr>
            <w:tcW w:type="dxa" w:w="1136"/>
            <w:tcMar>
              <w:top w:w="50" w:type="dxa"/>
              <w:bottom w:w="50" w:type="dxa"/>
              <w:left w:w="90" w:type="dxa"/>
              <w:right w:w="90" w:type="dxa"/>
            </w:tcMar>
            <w:shd w:val="clear" w:color="auto" w:fill="E5F5FF"/>
          </w:tcPr>
          <w:p>
            <w:pPr>
              <w:pStyle w:val="BDOITable"/>
            </w:pPr>
            <w:r>
              <w:rPr>
                <w:sz w:val="16"/>
              </w:rPr>
              <w:t>31 Jan 2027</w:t>
            </w:r>
          </w:p>
        </w:tc>
      </w:tr>
      <w:tr>
        <w:trPr>
          <w:cantSplit w:val="true"/>
        </w:trPr>
        <w:tc>
          <w:tcPr>
            <w:tcW w:type="dxa" w:w="757"/>
            <w:tcMar>
              <w:top w:w="50" w:type="dxa"/>
              <w:bottom w:w="50" w:type="dxa"/>
              <w:left w:w="90" w:type="dxa"/>
              <w:right w:w="90" w:type="dxa"/>
            </w:tcMar>
          </w:tcPr>
          <w:p>
            <w:pPr>
              <w:pStyle w:val="BDOITable"/>
            </w:pPr>
            <w:r>
              <w:rPr>
                <w:sz w:val="16"/>
              </w:rPr>
              <w:t>V14.5.1</w:t>
            </w:r>
          </w:p>
        </w:tc>
        <w:tc>
          <w:tcPr>
            <w:tcW w:type="dxa" w:w="884"/>
            <w:tcMar>
              <w:top w:w="50" w:type="dxa"/>
              <w:bottom w:w="50" w:type="dxa"/>
              <w:left w:w="90" w:type="dxa"/>
              <w:right w:w="90" w:type="dxa"/>
            </w:tcMar>
          </w:tcPr>
          <w:p>
            <w:pPr>
              <w:pStyle w:val="BDOITable"/>
            </w:pPr>
            <w:r>
              <w:rPr>
                <w:sz w:val="16"/>
              </w:rPr>
              <w:t>Partly met</w:t>
            </w:r>
          </w:p>
        </w:tc>
        <w:tc>
          <w:tcPr>
            <w:tcW w:type="dxa" w:w="5680"/>
            <w:tcMar>
              <w:top w:w="50" w:type="dxa"/>
              <w:bottom w:w="50" w:type="dxa"/>
              <w:left w:w="90" w:type="dxa"/>
              <w:right w:w="90" w:type="dxa"/>
            </w:tcMar>
          </w:tcPr>
          <w:p>
            <w:pPr>
              <w:pStyle w:val="BDOITable"/>
            </w:pPr>
            <w:r>
              <w:rPr>
                <w:sz w:val="16"/>
              </w:rPr>
              <w:t>Log refused methods as security events (open point SEC-06)</w:t>
            </w:r>
          </w:p>
        </w:tc>
        <w:tc>
          <w:tcPr>
            <w:tcW w:type="dxa" w:w="1515"/>
            <w:tcMar>
              <w:top w:w="50" w:type="dxa"/>
              <w:bottom w:w="50" w:type="dxa"/>
              <w:left w:w="90" w:type="dxa"/>
              <w:right w:w="90" w:type="dxa"/>
            </w:tcMar>
          </w:tcPr>
          <w:p>
            <w:pPr>
              <w:pStyle w:val="BDOITable"/>
            </w:pPr>
            <w:r>
              <w:rPr>
                <w:sz w:val="16"/>
              </w:rPr>
              <w:t>iorta TechNXT</w:t>
            </w:r>
          </w:p>
        </w:tc>
        <w:tc>
          <w:tcPr>
            <w:tcW w:type="dxa" w:w="1136"/>
            <w:tcMar>
              <w:top w:w="50" w:type="dxa"/>
              <w:bottom w:w="50" w:type="dxa"/>
              <w:left w:w="90" w:type="dxa"/>
              <w:right w:w="90" w:type="dxa"/>
            </w:tcMar>
          </w:tcPr>
          <w:p>
            <w:pPr>
              <w:pStyle w:val="BDOITable"/>
            </w:pPr>
            <w:r>
              <w:rPr>
                <w:sz w:val="16"/>
              </w:rPr>
              <w:t>31 Mar 2027</w:t>
            </w:r>
          </w:p>
        </w:tc>
      </w:tr>
    </w:tbl>
    <w:p>
      <w:pPr>
        <w:pStyle w:val="BDOISpacer"/>
      </w:pPr>
    </w:p>
    <w:p>
      <w:pPr>
        <w:pStyle w:val="Heading1"/>
        <w:pageBreakBefore/>
        <w:pBdr>
          <w:bottom w:val="single" w:sz="4" w:space="4" w:color="99C1E7"/>
        </w:pBdr>
      </w:pPr>
      <w:bookmarkStart w:id="130" w:name="_Toc000130"/>
      <w:r>
        <w:rPr/>
        <w:t>9 Threat model</w:t>
      </w:r>
      <w:bookmarkEnd w:id="130"/>
    </w:p>
    <w:p>
      <w:pPr>
        <w:pStyle w:val="Heading2"/>
      </w:pPr>
      <w:bookmarkStart w:id="131" w:name="_Toc000131"/>
      <w:r>
        <w:rPr/>
        <w:t>9.1 Method</w:t>
      </w:r>
      <w:bookmarkEnd w:id="131"/>
    </w:p>
    <w:p>
      <w:r>
        <w:rPr/>
        <w:t>STRIDE per trust boundary (chapter 2) and per main data flow. Each threat is rated by likelihood and impact (High, Medium, Low) after the mitigations in place; residual High risks are not accepted. The model is reviewed at each drop and whenever an integration or a trust boundary is added.</w:t>
      </w:r>
    </w:p>
    <w:p>
      <w:pPr>
        <w:pStyle w:val="Heading2"/>
      </w:pPr>
      <w:bookmarkStart w:id="132" w:name="_Toc000132"/>
      <w:r>
        <w:rPr/>
        <w:t>9.2 Data flows</w:t>
      </w:r>
      <w:bookmarkEnd w:id="132"/>
    </w:p>
    <w:p>
      <w:pPr>
        <w:pStyle w:val="Caption"/>
        <w:keepNext/>
        <w:spacing w:after="60"/>
      </w:pPr>
      <w:r>
        <w:rPr>
          <w:b/>
          <w:i w:val="0"/>
        </w:rPr>
        <w:t xml:space="preserve">Table 17: </w:t>
      </w:r>
      <w:r>
        <w:rPr/>
        <w:t>Main data flows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831"/>
        <w:gridCol w:w="3324"/>
        <w:gridCol w:w="3324"/>
        <w:gridCol w:w="2493"/>
      </w:tblGrid>
      <w:tr>
        <w:trPr>
          <w:tblHeader w:val="true"/>
          <w:cantSplit w:val="true"/>
        </w:trPr>
        <w:tc>
          <w:tcPr>
            <w:tcW w:type="dxa" w:w="831"/>
            <w:shd w:val="clear" w:color="auto" w:fill="004EA8"/>
            <w:tcMar>
              <w:top w:w="50" w:type="dxa"/>
              <w:bottom w:w="50" w:type="dxa"/>
              <w:left w:w="90" w:type="dxa"/>
              <w:right w:w="90" w:type="dxa"/>
            </w:tcMar>
            <w:vAlign w:val="center"/>
          </w:tcPr>
          <w:p>
            <w:pPr>
              <w:pStyle w:val="BDOITableHeader"/>
            </w:pPr>
            <w:r>
              <w:rPr>
                <w:b/>
                <w:color w:val="FFFFFF"/>
                <w:sz w:val="18"/>
              </w:rPr>
              <w:t>ID</w:t>
            </w:r>
          </w:p>
        </w:tc>
        <w:tc>
          <w:tcPr>
            <w:tcW w:type="dxa" w:w="3324"/>
            <w:shd w:val="clear" w:color="auto" w:fill="004EA8"/>
            <w:tcMar>
              <w:top w:w="50" w:type="dxa"/>
              <w:bottom w:w="50" w:type="dxa"/>
              <w:left w:w="90" w:type="dxa"/>
              <w:right w:w="90" w:type="dxa"/>
            </w:tcMar>
            <w:vAlign w:val="center"/>
          </w:tcPr>
          <w:p>
            <w:pPr>
              <w:pStyle w:val="BDOITableHeader"/>
            </w:pPr>
            <w:r>
              <w:rPr>
                <w:b/>
                <w:color w:val="FFFFFF"/>
                <w:sz w:val="18"/>
              </w:rPr>
              <w:t>Flow</w:t>
            </w:r>
          </w:p>
        </w:tc>
        <w:tc>
          <w:tcPr>
            <w:tcW w:type="dxa" w:w="3324"/>
            <w:shd w:val="clear" w:color="auto" w:fill="004EA8"/>
            <w:tcMar>
              <w:top w:w="50" w:type="dxa"/>
              <w:bottom w:w="50" w:type="dxa"/>
              <w:left w:w="90" w:type="dxa"/>
              <w:right w:w="90" w:type="dxa"/>
            </w:tcMar>
            <w:vAlign w:val="center"/>
          </w:tcPr>
          <w:p>
            <w:pPr>
              <w:pStyle w:val="BDOITableHeader"/>
            </w:pPr>
            <w:r>
              <w:rPr>
                <w:b/>
                <w:color w:val="FFFFFF"/>
                <w:sz w:val="18"/>
              </w:rPr>
              <w:t>Data</w:t>
            </w:r>
          </w:p>
        </w:tc>
        <w:tc>
          <w:tcPr>
            <w:tcW w:type="dxa" w:w="2493"/>
            <w:shd w:val="clear" w:color="auto" w:fill="004EA8"/>
            <w:tcMar>
              <w:top w:w="50" w:type="dxa"/>
              <w:bottom w:w="50" w:type="dxa"/>
              <w:left w:w="90" w:type="dxa"/>
              <w:right w:w="90" w:type="dxa"/>
            </w:tcMar>
            <w:vAlign w:val="center"/>
          </w:tcPr>
          <w:p>
            <w:pPr>
              <w:pStyle w:val="BDOITableHeader"/>
            </w:pPr>
            <w:r>
              <w:rPr>
                <w:b/>
                <w:color w:val="FFFFFF"/>
                <w:sz w:val="18"/>
              </w:rPr>
              <w:t>Boundaries</w:t>
            </w:r>
          </w:p>
        </w:tc>
      </w:tr>
      <w:tr>
        <w:trPr>
          <w:cantSplit w:val="true"/>
        </w:trPr>
        <w:tc>
          <w:tcPr>
            <w:tcW w:type="dxa" w:w="831"/>
            <w:tcMar>
              <w:top w:w="50" w:type="dxa"/>
              <w:bottom w:w="50" w:type="dxa"/>
              <w:left w:w="90" w:type="dxa"/>
              <w:right w:w="90" w:type="dxa"/>
            </w:tcMar>
          </w:tcPr>
          <w:p>
            <w:pPr>
              <w:pStyle w:val="BDOITable"/>
            </w:pPr>
            <w:r>
              <w:rPr>
                <w:b/>
                <w:sz w:val="18"/>
              </w:rPr>
              <w:t>DF1</w:t>
            </w:r>
          </w:p>
        </w:tc>
        <w:tc>
          <w:tcPr>
            <w:tcW w:type="dxa" w:w="3324"/>
            <w:tcMar>
              <w:top w:w="50" w:type="dxa"/>
              <w:bottom w:w="50" w:type="dxa"/>
              <w:left w:w="90" w:type="dxa"/>
              <w:right w:w="90" w:type="dxa"/>
            </w:tcMar>
          </w:tcPr>
          <w:p>
            <w:pPr>
              <w:pStyle w:val="BDOITable"/>
            </w:pPr>
            <w:r>
              <w:rPr>
                <w:sz w:val="18"/>
              </w:rPr>
              <w:t>Sign-in and session</w:t>
            </w:r>
          </w:p>
        </w:tc>
        <w:tc>
          <w:tcPr>
            <w:tcW w:type="dxa" w:w="3324"/>
            <w:tcMar>
              <w:top w:w="50" w:type="dxa"/>
              <w:bottom w:w="50" w:type="dxa"/>
              <w:left w:w="90" w:type="dxa"/>
              <w:right w:w="90" w:type="dxa"/>
            </w:tcMar>
          </w:tcPr>
          <w:p>
            <w:pPr>
              <w:pStyle w:val="BDOITable"/>
            </w:pPr>
            <w:r>
              <w:rPr>
                <w:sz w:val="18"/>
              </w:rPr>
              <w:t>Identity, tokens</w:t>
            </w:r>
          </w:p>
        </w:tc>
        <w:tc>
          <w:tcPr>
            <w:tcW w:type="dxa" w:w="2493"/>
            <w:tcMar>
              <w:top w:w="50" w:type="dxa"/>
              <w:bottom w:w="50" w:type="dxa"/>
              <w:left w:w="90" w:type="dxa"/>
              <w:right w:w="90" w:type="dxa"/>
            </w:tcMar>
          </w:tcPr>
          <w:p>
            <w:pPr>
              <w:pStyle w:val="BDOITable"/>
            </w:pPr>
            <w:r>
              <w:rPr>
                <w:sz w:val="18"/>
              </w:rPr>
              <w:t>TB1, TB2, TB4, TB5</w:t>
            </w:r>
          </w:p>
        </w:tc>
      </w:tr>
      <w:tr>
        <w:trPr>
          <w:cantSplit w:val="true"/>
        </w:trPr>
        <w:tc>
          <w:tcPr>
            <w:tcW w:type="dxa" w:w="831"/>
            <w:tcMar>
              <w:top w:w="50" w:type="dxa"/>
              <w:bottom w:w="50" w:type="dxa"/>
              <w:left w:w="90" w:type="dxa"/>
              <w:right w:w="90" w:type="dxa"/>
            </w:tcMar>
            <w:shd w:val="clear" w:color="auto" w:fill="E5F5FF"/>
          </w:tcPr>
          <w:p>
            <w:pPr>
              <w:pStyle w:val="BDOITable"/>
            </w:pPr>
            <w:r>
              <w:rPr>
                <w:b/>
                <w:sz w:val="18"/>
              </w:rPr>
              <w:t>DF2</w:t>
            </w:r>
          </w:p>
        </w:tc>
        <w:tc>
          <w:tcPr>
            <w:tcW w:type="dxa" w:w="3324"/>
            <w:tcMar>
              <w:top w:w="50" w:type="dxa"/>
              <w:bottom w:w="50" w:type="dxa"/>
              <w:left w:w="90" w:type="dxa"/>
              <w:right w:w="90" w:type="dxa"/>
            </w:tcMar>
            <w:shd w:val="clear" w:color="auto" w:fill="E5F5FF"/>
          </w:tcPr>
          <w:p>
            <w:pPr>
              <w:pStyle w:val="BDOITable"/>
            </w:pPr>
            <w:r>
              <w:rPr>
                <w:sz w:val="18"/>
              </w:rPr>
              <w:t>Business transaction (quotation to booking, receipt, voucher)</w:t>
            </w:r>
          </w:p>
        </w:tc>
        <w:tc>
          <w:tcPr>
            <w:tcW w:type="dxa" w:w="3324"/>
            <w:tcMar>
              <w:top w:w="50" w:type="dxa"/>
              <w:bottom w:w="50" w:type="dxa"/>
              <w:left w:w="90" w:type="dxa"/>
              <w:right w:w="90" w:type="dxa"/>
            </w:tcMar>
            <w:shd w:val="clear" w:color="auto" w:fill="E5F5FF"/>
          </w:tcPr>
          <w:p>
            <w:pPr>
              <w:pStyle w:val="BDOITable"/>
            </w:pPr>
            <w:r>
              <w:rPr>
                <w:sz w:val="18"/>
              </w:rPr>
              <w:t>Client personal data, premiums, bank accounts</w:t>
            </w:r>
          </w:p>
        </w:tc>
        <w:tc>
          <w:tcPr>
            <w:tcW w:type="dxa" w:w="2493"/>
            <w:tcMar>
              <w:top w:w="50" w:type="dxa"/>
              <w:bottom w:w="50" w:type="dxa"/>
              <w:left w:w="90" w:type="dxa"/>
              <w:right w:w="90" w:type="dxa"/>
            </w:tcMar>
            <w:shd w:val="clear" w:color="auto" w:fill="E5F5FF"/>
          </w:tcPr>
          <w:p>
            <w:pPr>
              <w:pStyle w:val="BDOITable"/>
            </w:pPr>
            <w:r>
              <w:rPr>
                <w:sz w:val="18"/>
              </w:rPr>
              <w:t>TB2, TB4, TB5</w:t>
            </w:r>
          </w:p>
        </w:tc>
      </w:tr>
      <w:tr>
        <w:trPr>
          <w:cantSplit w:val="true"/>
        </w:trPr>
        <w:tc>
          <w:tcPr>
            <w:tcW w:type="dxa" w:w="831"/>
            <w:tcMar>
              <w:top w:w="50" w:type="dxa"/>
              <w:bottom w:w="50" w:type="dxa"/>
              <w:left w:w="90" w:type="dxa"/>
              <w:right w:w="90" w:type="dxa"/>
            </w:tcMar>
          </w:tcPr>
          <w:p>
            <w:pPr>
              <w:pStyle w:val="BDOITable"/>
            </w:pPr>
            <w:r>
              <w:rPr>
                <w:b/>
                <w:sz w:val="18"/>
              </w:rPr>
              <w:t>DF3</w:t>
            </w:r>
          </w:p>
        </w:tc>
        <w:tc>
          <w:tcPr>
            <w:tcW w:type="dxa" w:w="3324"/>
            <w:tcMar>
              <w:top w:w="50" w:type="dxa"/>
              <w:bottom w:w="50" w:type="dxa"/>
              <w:left w:w="90" w:type="dxa"/>
              <w:right w:w="90" w:type="dxa"/>
            </w:tcMar>
          </w:tcPr>
          <w:p>
            <w:pPr>
              <w:pStyle w:val="BDOITable"/>
            </w:pPr>
            <w:r>
              <w:rPr>
                <w:sz w:val="18"/>
              </w:rPr>
              <w:t>Document upload and download</w:t>
            </w:r>
          </w:p>
        </w:tc>
        <w:tc>
          <w:tcPr>
            <w:tcW w:type="dxa" w:w="3324"/>
            <w:tcMar>
              <w:top w:w="50" w:type="dxa"/>
              <w:bottom w:w="50" w:type="dxa"/>
              <w:left w:w="90" w:type="dxa"/>
              <w:right w:w="90" w:type="dxa"/>
            </w:tcMar>
          </w:tcPr>
          <w:p>
            <w:pPr>
              <w:pStyle w:val="BDOITable"/>
            </w:pPr>
            <w:r>
              <w:rPr>
                <w:sz w:val="18"/>
              </w:rPr>
              <w:t>KYC documents, policies, receipts, STRs</w:t>
            </w:r>
          </w:p>
        </w:tc>
        <w:tc>
          <w:tcPr>
            <w:tcW w:type="dxa" w:w="2493"/>
            <w:tcMar>
              <w:top w:w="50" w:type="dxa"/>
              <w:bottom w:w="50" w:type="dxa"/>
              <w:left w:w="90" w:type="dxa"/>
              <w:right w:w="90" w:type="dxa"/>
            </w:tcMar>
          </w:tcPr>
          <w:p>
            <w:pPr>
              <w:pStyle w:val="BDOITable"/>
            </w:pPr>
            <w:r>
              <w:rPr>
                <w:sz w:val="18"/>
              </w:rPr>
              <w:t>TB2, TB4, TB6</w:t>
            </w:r>
          </w:p>
        </w:tc>
      </w:tr>
      <w:tr>
        <w:trPr>
          <w:cantSplit w:val="true"/>
        </w:trPr>
        <w:tc>
          <w:tcPr>
            <w:tcW w:type="dxa" w:w="831"/>
            <w:tcMar>
              <w:top w:w="50" w:type="dxa"/>
              <w:bottom w:w="50" w:type="dxa"/>
              <w:left w:w="90" w:type="dxa"/>
              <w:right w:w="90" w:type="dxa"/>
            </w:tcMar>
            <w:shd w:val="clear" w:color="auto" w:fill="E5F5FF"/>
          </w:tcPr>
          <w:p>
            <w:pPr>
              <w:pStyle w:val="BDOITable"/>
            </w:pPr>
            <w:r>
              <w:rPr>
                <w:b/>
                <w:sz w:val="18"/>
              </w:rPr>
              <w:t>DF4</w:t>
            </w:r>
          </w:p>
        </w:tc>
        <w:tc>
          <w:tcPr>
            <w:tcW w:type="dxa" w:w="3324"/>
            <w:tcMar>
              <w:top w:w="50" w:type="dxa"/>
              <w:bottom w:w="50" w:type="dxa"/>
              <w:left w:w="90" w:type="dxa"/>
              <w:right w:w="90" w:type="dxa"/>
            </w:tcMar>
            <w:shd w:val="clear" w:color="auto" w:fill="E5F5FF"/>
          </w:tcPr>
          <w:p>
            <w:pPr>
              <w:pStyle w:val="BDOITable"/>
            </w:pPr>
            <w:r>
              <w:rPr>
                <w:sz w:val="18"/>
              </w:rPr>
              <w:t>Outbound payment and accounting files (CMS / New BOB, EGL)</w:t>
            </w:r>
          </w:p>
        </w:tc>
        <w:tc>
          <w:tcPr>
            <w:tcW w:type="dxa" w:w="3324"/>
            <w:tcMar>
              <w:top w:w="50" w:type="dxa"/>
              <w:bottom w:w="50" w:type="dxa"/>
              <w:left w:w="90" w:type="dxa"/>
              <w:right w:w="90" w:type="dxa"/>
            </w:tcMar>
            <w:shd w:val="clear" w:color="auto" w:fill="E5F5FF"/>
          </w:tcPr>
          <w:p>
            <w:pPr>
              <w:pStyle w:val="BDOITable"/>
            </w:pPr>
            <w:r>
              <w:rPr>
                <w:sz w:val="18"/>
              </w:rPr>
              <w:t>Payee bank accounts, amounts, journals</w:t>
            </w:r>
          </w:p>
        </w:tc>
        <w:tc>
          <w:tcPr>
            <w:tcW w:type="dxa" w:w="2493"/>
            <w:tcMar>
              <w:top w:w="50" w:type="dxa"/>
              <w:bottom w:w="50" w:type="dxa"/>
              <w:left w:w="90" w:type="dxa"/>
              <w:right w:w="90" w:type="dxa"/>
            </w:tcMar>
            <w:shd w:val="clear" w:color="auto" w:fill="E5F5FF"/>
          </w:tcPr>
          <w:p>
            <w:pPr>
              <w:pStyle w:val="BDOITable"/>
            </w:pPr>
            <w:r>
              <w:rPr>
                <w:sz w:val="18"/>
              </w:rPr>
              <w:t>TB3, TB5</w:t>
            </w:r>
          </w:p>
        </w:tc>
      </w:tr>
      <w:tr>
        <w:trPr>
          <w:cantSplit w:val="true"/>
        </w:trPr>
        <w:tc>
          <w:tcPr>
            <w:tcW w:type="dxa" w:w="831"/>
            <w:tcMar>
              <w:top w:w="50" w:type="dxa"/>
              <w:bottom w:w="50" w:type="dxa"/>
              <w:left w:w="90" w:type="dxa"/>
              <w:right w:w="90" w:type="dxa"/>
            </w:tcMar>
          </w:tcPr>
          <w:p>
            <w:pPr>
              <w:pStyle w:val="BDOITable"/>
            </w:pPr>
            <w:r>
              <w:rPr>
                <w:b/>
                <w:sz w:val="18"/>
              </w:rPr>
              <w:t>DF5</w:t>
            </w:r>
          </w:p>
        </w:tc>
        <w:tc>
          <w:tcPr>
            <w:tcW w:type="dxa" w:w="3324"/>
            <w:tcMar>
              <w:top w:w="50" w:type="dxa"/>
              <w:bottom w:w="50" w:type="dxa"/>
              <w:left w:w="90" w:type="dxa"/>
              <w:right w:w="90" w:type="dxa"/>
            </w:tcMar>
          </w:tcPr>
          <w:p>
            <w:pPr>
              <w:pStyle w:val="BDOITable"/>
            </w:pPr>
            <w:r>
              <w:rPr>
                <w:sz w:val="18"/>
              </w:rPr>
              <w:t>Inbound files (bank, insurer, watchlist, submitted policies)</w:t>
            </w:r>
          </w:p>
        </w:tc>
        <w:tc>
          <w:tcPr>
            <w:tcW w:type="dxa" w:w="3324"/>
            <w:tcMar>
              <w:top w:w="50" w:type="dxa"/>
              <w:bottom w:w="50" w:type="dxa"/>
              <w:left w:w="90" w:type="dxa"/>
              <w:right w:w="90" w:type="dxa"/>
            </w:tcMar>
          </w:tcPr>
          <w:p>
            <w:pPr>
              <w:pStyle w:val="BDOITable"/>
            </w:pPr>
            <w:r>
              <w:rPr>
                <w:sz w:val="18"/>
              </w:rPr>
              <w:t>Payments, policies, sanctions lists</w:t>
            </w:r>
          </w:p>
        </w:tc>
        <w:tc>
          <w:tcPr>
            <w:tcW w:type="dxa" w:w="2493"/>
            <w:tcMar>
              <w:top w:w="50" w:type="dxa"/>
              <w:bottom w:w="50" w:type="dxa"/>
              <w:left w:w="90" w:type="dxa"/>
              <w:right w:w="90" w:type="dxa"/>
            </w:tcMar>
          </w:tcPr>
          <w:p>
            <w:pPr>
              <w:pStyle w:val="BDOITable"/>
            </w:pPr>
            <w:r>
              <w:rPr>
                <w:sz w:val="18"/>
              </w:rPr>
              <w:t>TB3, TB6</w:t>
            </w:r>
          </w:p>
        </w:tc>
      </w:tr>
      <w:tr>
        <w:trPr>
          <w:cantSplit w:val="true"/>
        </w:trPr>
        <w:tc>
          <w:tcPr>
            <w:tcW w:type="dxa" w:w="831"/>
            <w:tcMar>
              <w:top w:w="50" w:type="dxa"/>
              <w:bottom w:w="50" w:type="dxa"/>
              <w:left w:w="90" w:type="dxa"/>
              <w:right w:w="90" w:type="dxa"/>
            </w:tcMar>
            <w:shd w:val="clear" w:color="auto" w:fill="E5F5FF"/>
          </w:tcPr>
          <w:p>
            <w:pPr>
              <w:pStyle w:val="BDOITable"/>
            </w:pPr>
            <w:r>
              <w:rPr>
                <w:b/>
                <w:sz w:val="18"/>
              </w:rPr>
              <w:t>DF6</w:t>
            </w:r>
          </w:p>
        </w:tc>
        <w:tc>
          <w:tcPr>
            <w:tcW w:type="dxa" w:w="3324"/>
            <w:tcMar>
              <w:top w:w="50" w:type="dxa"/>
              <w:bottom w:w="50" w:type="dxa"/>
              <w:left w:w="90" w:type="dxa"/>
              <w:right w:w="90" w:type="dxa"/>
            </w:tcMar>
            <w:shd w:val="clear" w:color="auto" w:fill="E5F5FF"/>
          </w:tcPr>
          <w:p>
            <w:pPr>
              <w:pStyle w:val="BDOITable"/>
            </w:pPr>
            <w:r>
              <w:rPr>
                <w:sz w:val="18"/>
              </w:rPr>
              <w:t>Integration events (Kafka outbox) and extracts (EDP)</w:t>
            </w:r>
          </w:p>
        </w:tc>
        <w:tc>
          <w:tcPr>
            <w:tcW w:type="dxa" w:w="3324"/>
            <w:tcMar>
              <w:top w:w="50" w:type="dxa"/>
              <w:bottom w:w="50" w:type="dxa"/>
              <w:left w:w="90" w:type="dxa"/>
              <w:right w:w="90" w:type="dxa"/>
            </w:tcMar>
            <w:shd w:val="clear" w:color="auto" w:fill="E5F5FF"/>
          </w:tcPr>
          <w:p>
            <w:pPr>
              <w:pStyle w:val="BDOITable"/>
            </w:pPr>
            <w:r>
              <w:rPr>
                <w:sz w:val="18"/>
              </w:rPr>
              <w:t>Business events, reporting data</w:t>
            </w:r>
          </w:p>
        </w:tc>
        <w:tc>
          <w:tcPr>
            <w:tcW w:type="dxa" w:w="2493"/>
            <w:tcMar>
              <w:top w:w="50" w:type="dxa"/>
              <w:bottom w:w="50" w:type="dxa"/>
              <w:left w:w="90" w:type="dxa"/>
              <w:right w:w="90" w:type="dxa"/>
            </w:tcMar>
            <w:shd w:val="clear" w:color="auto" w:fill="E5F5FF"/>
          </w:tcPr>
          <w:p>
            <w:pPr>
              <w:pStyle w:val="BDOITable"/>
            </w:pPr>
            <w:r>
              <w:rPr>
                <w:sz w:val="18"/>
              </w:rPr>
              <w:t>TB3, TB5</w:t>
            </w:r>
          </w:p>
        </w:tc>
      </w:tr>
      <w:tr>
        <w:trPr>
          <w:cantSplit w:val="true"/>
        </w:trPr>
        <w:tc>
          <w:tcPr>
            <w:tcW w:type="dxa" w:w="831"/>
            <w:tcMar>
              <w:top w:w="50" w:type="dxa"/>
              <w:bottom w:w="50" w:type="dxa"/>
              <w:left w:w="90" w:type="dxa"/>
              <w:right w:w="90" w:type="dxa"/>
            </w:tcMar>
          </w:tcPr>
          <w:p>
            <w:pPr>
              <w:pStyle w:val="BDOITable"/>
            </w:pPr>
            <w:r>
              <w:rPr>
                <w:b/>
                <w:sz w:val="18"/>
              </w:rPr>
              <w:t>DF7</w:t>
            </w:r>
          </w:p>
        </w:tc>
        <w:tc>
          <w:tcPr>
            <w:tcW w:type="dxa" w:w="3324"/>
            <w:tcMar>
              <w:top w:w="50" w:type="dxa"/>
              <w:bottom w:w="50" w:type="dxa"/>
              <w:left w:w="90" w:type="dxa"/>
              <w:right w:w="90" w:type="dxa"/>
            </w:tcMar>
          </w:tcPr>
          <w:p>
            <w:pPr>
              <w:pStyle w:val="BDOITable"/>
            </w:pPr>
            <w:r>
              <w:rPr>
                <w:sz w:val="18"/>
              </w:rPr>
              <w:t>Release and configuration</w:t>
            </w:r>
          </w:p>
        </w:tc>
        <w:tc>
          <w:tcPr>
            <w:tcW w:type="dxa" w:w="3324"/>
            <w:tcMar>
              <w:top w:w="50" w:type="dxa"/>
              <w:bottom w:w="50" w:type="dxa"/>
              <w:left w:w="90" w:type="dxa"/>
              <w:right w:w="90" w:type="dxa"/>
            </w:tcMar>
          </w:tcPr>
          <w:p>
            <w:pPr>
              <w:pStyle w:val="BDOITable"/>
            </w:pPr>
            <w:r>
              <w:rPr>
                <w:sz w:val="18"/>
              </w:rPr>
              <w:t>Images, manifests, secrets</w:t>
            </w:r>
          </w:p>
        </w:tc>
        <w:tc>
          <w:tcPr>
            <w:tcW w:type="dxa" w:w="2493"/>
            <w:tcMar>
              <w:top w:w="50" w:type="dxa"/>
              <w:bottom w:w="50" w:type="dxa"/>
              <w:left w:w="90" w:type="dxa"/>
              <w:right w:w="90" w:type="dxa"/>
            </w:tcMar>
          </w:tcPr>
          <w:p>
            <w:pPr>
              <w:pStyle w:val="BDOITable"/>
            </w:pPr>
            <w:r>
              <w:rPr>
                <w:sz w:val="18"/>
              </w:rPr>
              <w:t>TB7, TB6</w:t>
            </w:r>
          </w:p>
        </w:tc>
      </w:tr>
      <w:tr>
        <w:trPr>
          <w:cantSplit w:val="true"/>
        </w:trPr>
        <w:tc>
          <w:tcPr>
            <w:tcW w:type="dxa" w:w="831"/>
            <w:tcMar>
              <w:top w:w="50" w:type="dxa"/>
              <w:bottom w:w="50" w:type="dxa"/>
              <w:left w:w="90" w:type="dxa"/>
              <w:right w:w="90" w:type="dxa"/>
            </w:tcMar>
            <w:shd w:val="clear" w:color="auto" w:fill="E5F5FF"/>
          </w:tcPr>
          <w:p>
            <w:pPr>
              <w:pStyle w:val="BDOITable"/>
            </w:pPr>
            <w:r>
              <w:rPr>
                <w:b/>
                <w:sz w:val="18"/>
              </w:rPr>
              <w:t>DF8</w:t>
            </w:r>
          </w:p>
        </w:tc>
        <w:tc>
          <w:tcPr>
            <w:tcW w:type="dxa" w:w="3324"/>
            <w:tcMar>
              <w:top w:w="50" w:type="dxa"/>
              <w:bottom w:w="50" w:type="dxa"/>
              <w:left w:w="90" w:type="dxa"/>
              <w:right w:w="90" w:type="dxa"/>
            </w:tcMar>
            <w:shd w:val="clear" w:color="auto" w:fill="E5F5FF"/>
          </w:tcPr>
          <w:p>
            <w:pPr>
              <w:pStyle w:val="BDOITable"/>
            </w:pPr>
            <w:r>
              <w:rPr>
                <w:sz w:val="18"/>
              </w:rPr>
              <w:t>Data migration loads</w:t>
            </w:r>
          </w:p>
        </w:tc>
        <w:tc>
          <w:tcPr>
            <w:tcW w:type="dxa" w:w="3324"/>
            <w:tcMar>
              <w:top w:w="50" w:type="dxa"/>
              <w:bottom w:w="50" w:type="dxa"/>
              <w:left w:w="90" w:type="dxa"/>
              <w:right w:w="90" w:type="dxa"/>
            </w:tcMar>
            <w:shd w:val="clear" w:color="auto" w:fill="E5F5FF"/>
          </w:tcPr>
          <w:p>
            <w:pPr>
              <w:pStyle w:val="BDOITable"/>
            </w:pPr>
            <w:r>
              <w:rPr>
                <w:sz w:val="18"/>
              </w:rPr>
              <w:t>Legacy records, masked outside production</w:t>
            </w:r>
          </w:p>
        </w:tc>
        <w:tc>
          <w:tcPr>
            <w:tcW w:type="dxa" w:w="2493"/>
            <w:tcMar>
              <w:top w:w="50" w:type="dxa"/>
              <w:bottom w:w="50" w:type="dxa"/>
              <w:left w:w="90" w:type="dxa"/>
              <w:right w:w="90" w:type="dxa"/>
            </w:tcMar>
            <w:shd w:val="clear" w:color="auto" w:fill="E5F5FF"/>
          </w:tcPr>
          <w:p>
            <w:pPr>
              <w:pStyle w:val="BDOITable"/>
            </w:pPr>
            <w:r>
              <w:rPr>
                <w:sz w:val="18"/>
              </w:rPr>
              <w:t>TB3, TB6, TB5</w:t>
            </w:r>
          </w:p>
        </w:tc>
      </w:tr>
    </w:tbl>
    <w:p>
      <w:pPr>
        <w:pStyle w:val="BDOISpacer"/>
      </w:pPr>
    </w:p>
    <w:p>
      <w:pPr>
        <w:pStyle w:val="Heading2"/>
      </w:pPr>
      <w:bookmarkStart w:id="133" w:name="_Toc000133"/>
      <w:r>
        <w:rPr/>
        <w:t>9.3 STRIDE analysis</w:t>
      </w:r>
      <w:bookmarkEnd w:id="133"/>
    </w:p>
    <w:p>
      <w:pPr>
        <w:pStyle w:val="Caption"/>
        <w:keepNext/>
        <w:spacing w:after="60"/>
      </w:pPr>
      <w:r>
        <w:rPr>
          <w:b/>
          <w:i w:val="0"/>
        </w:rPr>
        <w:t xml:space="preserve">Table 18: </w:t>
      </w:r>
      <w:r>
        <w:rPr/>
        <w:t>STRIDE threats and mitigations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894"/>
        <w:gridCol w:w="962"/>
        <w:gridCol w:w="3026"/>
        <w:gridCol w:w="3989"/>
        <w:gridCol w:w="1100"/>
      </w:tblGrid>
      <w:tr>
        <w:trPr>
          <w:tblHeader w:val="true"/>
          <w:cantSplit w:val="true"/>
        </w:trPr>
        <w:tc>
          <w:tcPr>
            <w:tcW w:type="dxa" w:w="894"/>
            <w:shd w:val="clear" w:color="auto" w:fill="004EA8"/>
            <w:tcMar>
              <w:top w:w="50" w:type="dxa"/>
              <w:bottom w:w="50" w:type="dxa"/>
              <w:left w:w="90" w:type="dxa"/>
              <w:right w:w="90" w:type="dxa"/>
            </w:tcMar>
            <w:vAlign w:val="center"/>
          </w:tcPr>
          <w:p>
            <w:pPr>
              <w:pStyle w:val="BDOITableHeader"/>
            </w:pPr>
            <w:r>
              <w:rPr>
                <w:b/>
                <w:color w:val="FFFFFF"/>
                <w:sz w:val="17"/>
              </w:rPr>
              <w:t>TB</w:t>
            </w:r>
          </w:p>
        </w:tc>
        <w:tc>
          <w:tcPr>
            <w:tcW w:type="dxa" w:w="963"/>
            <w:shd w:val="clear" w:color="auto" w:fill="004EA8"/>
            <w:tcMar>
              <w:top w:w="50" w:type="dxa"/>
              <w:bottom w:w="50" w:type="dxa"/>
              <w:left w:w="90" w:type="dxa"/>
              <w:right w:w="90" w:type="dxa"/>
            </w:tcMar>
            <w:vAlign w:val="center"/>
          </w:tcPr>
          <w:p>
            <w:pPr>
              <w:pStyle w:val="BDOITableHeader"/>
            </w:pPr>
            <w:r>
              <w:rPr>
                <w:b/>
                <w:color w:val="FFFFFF"/>
                <w:sz w:val="17"/>
              </w:rPr>
              <w:t>STRIDE</w:t>
            </w:r>
          </w:p>
        </w:tc>
        <w:tc>
          <w:tcPr>
            <w:tcW w:type="dxa" w:w="3026"/>
            <w:shd w:val="clear" w:color="auto" w:fill="004EA8"/>
            <w:tcMar>
              <w:top w:w="50" w:type="dxa"/>
              <w:bottom w:w="50" w:type="dxa"/>
              <w:left w:w="90" w:type="dxa"/>
              <w:right w:w="90" w:type="dxa"/>
            </w:tcMar>
            <w:vAlign w:val="center"/>
          </w:tcPr>
          <w:p>
            <w:pPr>
              <w:pStyle w:val="BDOITableHeader"/>
            </w:pPr>
            <w:r>
              <w:rPr>
                <w:b/>
                <w:color w:val="FFFFFF"/>
                <w:sz w:val="17"/>
              </w:rPr>
              <w:t>Threat</w:t>
            </w:r>
          </w:p>
        </w:tc>
        <w:tc>
          <w:tcPr>
            <w:tcW w:type="dxa" w:w="3989"/>
            <w:shd w:val="clear" w:color="auto" w:fill="004EA8"/>
            <w:tcMar>
              <w:top w:w="50" w:type="dxa"/>
              <w:bottom w:w="50" w:type="dxa"/>
              <w:left w:w="90" w:type="dxa"/>
              <w:right w:w="90" w:type="dxa"/>
            </w:tcMar>
            <w:vAlign w:val="center"/>
          </w:tcPr>
          <w:p>
            <w:pPr>
              <w:pStyle w:val="BDOITableHeader"/>
            </w:pPr>
            <w:r>
              <w:rPr>
                <w:b/>
                <w:color w:val="FFFFFF"/>
                <w:sz w:val="17"/>
              </w:rPr>
              <w:t>Mitigations</w:t>
            </w:r>
          </w:p>
        </w:tc>
        <w:tc>
          <w:tcPr>
            <w:tcW w:type="dxa" w:w="1100"/>
            <w:shd w:val="clear" w:color="auto" w:fill="004EA8"/>
            <w:tcMar>
              <w:top w:w="50" w:type="dxa"/>
              <w:bottom w:w="50" w:type="dxa"/>
              <w:left w:w="90" w:type="dxa"/>
              <w:right w:w="90" w:type="dxa"/>
            </w:tcMar>
            <w:vAlign w:val="center"/>
          </w:tcPr>
          <w:p>
            <w:pPr>
              <w:pStyle w:val="BDOITableHeader"/>
            </w:pPr>
            <w:r>
              <w:rPr>
                <w:b/>
                <w:color w:val="FFFFFF"/>
                <w:sz w:val="17"/>
              </w:rPr>
              <w:t>Residual risk</w:t>
            </w:r>
          </w:p>
        </w:tc>
      </w:tr>
      <w:tr>
        <w:trPr>
          <w:cantSplit w:val="true"/>
        </w:trPr>
        <w:tc>
          <w:tcPr>
            <w:tcW w:type="dxa" w:w="894"/>
            <w:tcMar>
              <w:top w:w="50" w:type="dxa"/>
              <w:bottom w:w="50" w:type="dxa"/>
              <w:left w:w="90" w:type="dxa"/>
              <w:right w:w="90" w:type="dxa"/>
            </w:tcMar>
          </w:tcPr>
          <w:p>
            <w:pPr>
              <w:pStyle w:val="BDOITable"/>
            </w:pPr>
            <w:r>
              <w:rPr>
                <w:b/>
                <w:sz w:val="17"/>
              </w:rPr>
              <w:t>TB1</w:t>
            </w:r>
          </w:p>
        </w:tc>
        <w:tc>
          <w:tcPr>
            <w:tcW w:type="dxa" w:w="963"/>
            <w:tcMar>
              <w:top w:w="50" w:type="dxa"/>
              <w:bottom w:w="50" w:type="dxa"/>
              <w:left w:w="90" w:type="dxa"/>
              <w:right w:w="90" w:type="dxa"/>
            </w:tcMar>
          </w:tcPr>
          <w:p>
            <w:pPr>
              <w:pStyle w:val="BDOITable"/>
            </w:pPr>
            <w:r>
              <w:rPr>
                <w:sz w:val="17"/>
              </w:rPr>
              <w:t>S</w:t>
            </w:r>
          </w:p>
        </w:tc>
        <w:tc>
          <w:tcPr>
            <w:tcW w:type="dxa" w:w="3026"/>
            <w:tcMar>
              <w:top w:w="50" w:type="dxa"/>
              <w:bottom w:w="50" w:type="dxa"/>
              <w:left w:w="90" w:type="dxa"/>
              <w:right w:w="90" w:type="dxa"/>
            </w:tcMar>
          </w:tcPr>
          <w:p>
            <w:pPr>
              <w:pStyle w:val="BDOITable"/>
            </w:pPr>
            <w:r>
              <w:rPr>
                <w:sz w:val="17"/>
              </w:rPr>
              <w:t>Credential theft or phishing of a BDO user</w:t>
            </w:r>
          </w:p>
        </w:tc>
        <w:tc>
          <w:tcPr>
            <w:tcW w:type="dxa" w:w="3989"/>
            <w:tcMar>
              <w:top w:w="50" w:type="dxa"/>
              <w:bottom w:w="50" w:type="dxa"/>
              <w:left w:w="90" w:type="dxa"/>
              <w:right w:w="90" w:type="dxa"/>
            </w:tcMar>
          </w:tcPr>
          <w:p>
            <w:pPr>
              <w:pStyle w:val="BDOITable"/>
            </w:pPr>
            <w:r>
              <w:rPr>
                <w:sz w:val="17"/>
              </w:rPr>
              <w:t>EIAM MFA and conditional access; BIBS links only active users; lockout and rate limits for break-glass accounts</w:t>
            </w:r>
          </w:p>
        </w:tc>
        <w:tc>
          <w:tcPr>
            <w:tcW w:type="dxa" w:w="1100"/>
            <w:tcMar>
              <w:top w:w="50" w:type="dxa"/>
              <w:bottom w:w="50" w:type="dxa"/>
              <w:left w:w="90" w:type="dxa"/>
              <w:right w:w="90" w:type="dxa"/>
            </w:tcMar>
          </w:tcPr>
          <w:p>
            <w:pPr>
              <w:pStyle w:val="BDOITable"/>
            </w:pPr>
            <w:r>
              <w:rPr>
                <w:sz w:val="17"/>
              </w:rPr>
              <w:t>Medium</w:t>
            </w:r>
          </w:p>
        </w:tc>
      </w:tr>
      <w:tr>
        <w:trPr>
          <w:cantSplit w:val="true"/>
        </w:trPr>
        <w:tc>
          <w:tcPr>
            <w:tcW w:type="dxa" w:w="894"/>
            <w:tcMar>
              <w:top w:w="50" w:type="dxa"/>
              <w:bottom w:w="50" w:type="dxa"/>
              <w:left w:w="90" w:type="dxa"/>
              <w:right w:w="90" w:type="dxa"/>
            </w:tcMar>
            <w:shd w:val="clear" w:color="auto" w:fill="E5F5FF"/>
          </w:tcPr>
          <w:p>
            <w:pPr>
              <w:pStyle w:val="BDOITable"/>
            </w:pPr>
            <w:r>
              <w:rPr>
                <w:b/>
                <w:sz w:val="17"/>
              </w:rPr>
              <w:t>TB1</w:t>
            </w:r>
          </w:p>
        </w:tc>
        <w:tc>
          <w:tcPr>
            <w:tcW w:type="dxa" w:w="963"/>
            <w:tcMar>
              <w:top w:w="50" w:type="dxa"/>
              <w:bottom w:w="50" w:type="dxa"/>
              <w:left w:w="90" w:type="dxa"/>
              <w:right w:w="90" w:type="dxa"/>
            </w:tcMar>
            <w:shd w:val="clear" w:color="auto" w:fill="E5F5FF"/>
          </w:tcPr>
          <w:p>
            <w:pPr>
              <w:pStyle w:val="BDOITable"/>
            </w:pPr>
            <w:r>
              <w:rPr>
                <w:sz w:val="17"/>
              </w:rPr>
              <w:t>T</w:t>
            </w:r>
          </w:p>
        </w:tc>
        <w:tc>
          <w:tcPr>
            <w:tcW w:type="dxa" w:w="3026"/>
            <w:tcMar>
              <w:top w:w="50" w:type="dxa"/>
              <w:bottom w:w="50" w:type="dxa"/>
              <w:left w:w="90" w:type="dxa"/>
              <w:right w:w="90" w:type="dxa"/>
            </w:tcMar>
            <w:shd w:val="clear" w:color="auto" w:fill="E5F5FF"/>
          </w:tcPr>
          <w:p>
            <w:pPr>
              <w:pStyle w:val="BDOITable"/>
            </w:pPr>
            <w:r>
              <w:rPr>
                <w:sz w:val="17"/>
              </w:rPr>
              <w:t>Forged or replayed ID token or SAML assertion</w:t>
            </w:r>
          </w:p>
        </w:tc>
        <w:tc>
          <w:tcPr>
            <w:tcW w:type="dxa" w:w="3989"/>
            <w:tcMar>
              <w:top w:w="50" w:type="dxa"/>
              <w:bottom w:w="50" w:type="dxa"/>
              <w:left w:w="90" w:type="dxa"/>
              <w:right w:w="90" w:type="dxa"/>
            </w:tcMar>
            <w:shd w:val="clear" w:color="auto" w:fill="E5F5FF"/>
          </w:tcPr>
          <w:p>
            <w:pPr>
              <w:pStyle w:val="BDOITable"/>
            </w:pPr>
            <w:r>
              <w:rPr>
                <w:sz w:val="17"/>
              </w:rPr>
              <w:t>Signature with the provider key only, nonce, PKCE, audience, issuer, expiry, In-Response-To, signature-wrapping checks; one-time ticket of 2 minutes</w:t>
            </w:r>
          </w:p>
        </w:tc>
        <w:tc>
          <w:tcPr>
            <w:tcW w:type="dxa" w:w="1100"/>
            <w:tcMar>
              <w:top w:w="50" w:type="dxa"/>
              <w:bottom w:w="50" w:type="dxa"/>
              <w:left w:w="90" w:type="dxa"/>
              <w:right w:w="90" w:type="dxa"/>
            </w:tcMar>
            <w:shd w:val="clear" w:color="auto" w:fill="E5F5FF"/>
          </w:tcPr>
          <w:p>
            <w:pPr>
              <w:pStyle w:val="BDOITable"/>
            </w:pPr>
            <w:r>
              <w:rPr>
                <w:sz w:val="17"/>
              </w:rPr>
              <w:t>Low</w:t>
            </w:r>
          </w:p>
        </w:tc>
      </w:tr>
      <w:tr>
        <w:trPr>
          <w:cantSplit w:val="true"/>
        </w:trPr>
        <w:tc>
          <w:tcPr>
            <w:tcW w:type="dxa" w:w="894"/>
            <w:tcMar>
              <w:top w:w="50" w:type="dxa"/>
              <w:bottom w:w="50" w:type="dxa"/>
              <w:left w:w="90" w:type="dxa"/>
              <w:right w:w="90" w:type="dxa"/>
            </w:tcMar>
          </w:tcPr>
          <w:p>
            <w:pPr>
              <w:pStyle w:val="BDOITable"/>
            </w:pPr>
            <w:r>
              <w:rPr>
                <w:b/>
                <w:sz w:val="17"/>
              </w:rPr>
              <w:t>TB2</w:t>
            </w:r>
          </w:p>
        </w:tc>
        <w:tc>
          <w:tcPr>
            <w:tcW w:type="dxa" w:w="963"/>
            <w:tcMar>
              <w:top w:w="50" w:type="dxa"/>
              <w:bottom w:w="50" w:type="dxa"/>
              <w:left w:w="90" w:type="dxa"/>
              <w:right w:w="90" w:type="dxa"/>
            </w:tcMar>
          </w:tcPr>
          <w:p>
            <w:pPr>
              <w:pStyle w:val="BDOITable"/>
            </w:pPr>
            <w:r>
              <w:rPr>
                <w:sz w:val="17"/>
              </w:rPr>
              <w:t>S</w:t>
            </w:r>
          </w:p>
        </w:tc>
        <w:tc>
          <w:tcPr>
            <w:tcW w:type="dxa" w:w="3026"/>
            <w:tcMar>
              <w:top w:w="50" w:type="dxa"/>
              <w:bottom w:w="50" w:type="dxa"/>
              <w:left w:w="90" w:type="dxa"/>
              <w:right w:w="90" w:type="dxa"/>
            </w:tcMar>
          </w:tcPr>
          <w:p>
            <w:pPr>
              <w:pStyle w:val="BDOITable"/>
            </w:pPr>
            <w:r>
              <w:rPr>
                <w:sz w:val="17"/>
              </w:rPr>
              <w:t>Stolen access token reused</w:t>
            </w:r>
          </w:p>
        </w:tc>
        <w:tc>
          <w:tcPr>
            <w:tcW w:type="dxa" w:w="3989"/>
            <w:tcMar>
              <w:top w:w="50" w:type="dxa"/>
              <w:bottom w:w="50" w:type="dxa"/>
              <w:left w:w="90" w:type="dxa"/>
              <w:right w:w="90" w:type="dxa"/>
            </w:tcMar>
          </w:tcPr>
          <w:p>
            <w:pPr>
              <w:pStyle w:val="BDOITable"/>
            </w:pPr>
            <w:r>
              <w:rPr>
                <w:sz w:val="17"/>
              </w:rPr>
              <w:t>15-minute life; session checked on each request; sign-out and deactivation end it at once; token in session storage only</w:t>
            </w:r>
          </w:p>
        </w:tc>
        <w:tc>
          <w:tcPr>
            <w:tcW w:type="dxa" w:w="1100"/>
            <w:tcMar>
              <w:top w:w="50" w:type="dxa"/>
              <w:bottom w:w="50" w:type="dxa"/>
              <w:left w:w="90" w:type="dxa"/>
              <w:right w:w="90" w:type="dxa"/>
            </w:tcMar>
          </w:tcPr>
          <w:p>
            <w:pPr>
              <w:pStyle w:val="BDOITable"/>
            </w:pPr>
            <w:r>
              <w:rPr>
                <w:sz w:val="17"/>
              </w:rPr>
              <w:t>Low</w:t>
            </w:r>
          </w:p>
        </w:tc>
      </w:tr>
      <w:tr>
        <w:trPr>
          <w:cantSplit w:val="true"/>
        </w:trPr>
        <w:tc>
          <w:tcPr>
            <w:tcW w:type="dxa" w:w="894"/>
            <w:tcMar>
              <w:top w:w="50" w:type="dxa"/>
              <w:bottom w:w="50" w:type="dxa"/>
              <w:left w:w="90" w:type="dxa"/>
              <w:right w:w="90" w:type="dxa"/>
            </w:tcMar>
            <w:shd w:val="clear" w:color="auto" w:fill="E5F5FF"/>
          </w:tcPr>
          <w:p>
            <w:pPr>
              <w:pStyle w:val="BDOITable"/>
            </w:pPr>
            <w:r>
              <w:rPr>
                <w:b/>
                <w:sz w:val="17"/>
              </w:rPr>
              <w:t>TB2</w:t>
            </w:r>
          </w:p>
        </w:tc>
        <w:tc>
          <w:tcPr>
            <w:tcW w:type="dxa" w:w="963"/>
            <w:tcMar>
              <w:top w:w="50" w:type="dxa"/>
              <w:bottom w:w="50" w:type="dxa"/>
              <w:left w:w="90" w:type="dxa"/>
              <w:right w:w="90" w:type="dxa"/>
            </w:tcMar>
            <w:shd w:val="clear" w:color="auto" w:fill="E5F5FF"/>
          </w:tcPr>
          <w:p>
            <w:pPr>
              <w:pStyle w:val="BDOITable"/>
            </w:pPr>
            <w:r>
              <w:rPr>
                <w:sz w:val="17"/>
              </w:rPr>
              <w:t>T</w:t>
            </w:r>
          </w:p>
        </w:tc>
        <w:tc>
          <w:tcPr>
            <w:tcW w:type="dxa" w:w="3026"/>
            <w:tcMar>
              <w:top w:w="50" w:type="dxa"/>
              <w:bottom w:w="50" w:type="dxa"/>
              <w:left w:w="90" w:type="dxa"/>
              <w:right w:w="90" w:type="dxa"/>
            </w:tcMar>
            <w:shd w:val="clear" w:color="auto" w:fill="E5F5FF"/>
          </w:tcPr>
          <w:p>
            <w:pPr>
              <w:pStyle w:val="BDOITable"/>
            </w:pPr>
            <w:r>
              <w:rPr>
                <w:sz w:val="17"/>
              </w:rPr>
              <w:t>Request tampering (other company, other record)</w:t>
            </w:r>
          </w:p>
        </w:tc>
        <w:tc>
          <w:tcPr>
            <w:tcW w:type="dxa" w:w="3989"/>
            <w:tcMar>
              <w:top w:w="50" w:type="dxa"/>
              <w:bottom w:w="50" w:type="dxa"/>
              <w:left w:w="90" w:type="dxa"/>
              <w:right w:w="90" w:type="dxa"/>
            </w:tcMar>
            <w:shd w:val="clear" w:color="auto" w:fill="E5F5FF"/>
          </w:tcPr>
          <w:p>
            <w:pPr>
              <w:pStyle w:val="BDOITable"/>
            </w:pPr>
            <w:r>
              <w:rPr>
                <w:sz w:val="17"/>
              </w:rPr>
              <w:t>Server-side permission and data scope checks; request objects; optimistic locking</w:t>
            </w:r>
          </w:p>
        </w:tc>
        <w:tc>
          <w:tcPr>
            <w:tcW w:type="dxa" w:w="1100"/>
            <w:tcMar>
              <w:top w:w="50" w:type="dxa"/>
              <w:bottom w:w="50" w:type="dxa"/>
              <w:left w:w="90" w:type="dxa"/>
              <w:right w:w="90" w:type="dxa"/>
            </w:tcMar>
            <w:shd w:val="clear" w:color="auto" w:fill="E5F5FF"/>
          </w:tcPr>
          <w:p>
            <w:pPr>
              <w:pStyle w:val="BDOITable"/>
            </w:pPr>
            <w:r>
              <w:rPr>
                <w:sz w:val="17"/>
              </w:rPr>
              <w:t>Medium (SEC-05)</w:t>
            </w:r>
          </w:p>
        </w:tc>
      </w:tr>
      <w:tr>
        <w:trPr>
          <w:cantSplit w:val="true"/>
        </w:trPr>
        <w:tc>
          <w:tcPr>
            <w:tcW w:type="dxa" w:w="894"/>
            <w:tcMar>
              <w:top w:w="50" w:type="dxa"/>
              <w:bottom w:w="50" w:type="dxa"/>
              <w:left w:w="90" w:type="dxa"/>
              <w:right w:w="90" w:type="dxa"/>
            </w:tcMar>
          </w:tcPr>
          <w:p>
            <w:pPr>
              <w:pStyle w:val="BDOITable"/>
            </w:pPr>
            <w:r>
              <w:rPr>
                <w:b/>
                <w:sz w:val="17"/>
              </w:rPr>
              <w:t>TB2</w:t>
            </w:r>
          </w:p>
        </w:tc>
        <w:tc>
          <w:tcPr>
            <w:tcW w:type="dxa" w:w="963"/>
            <w:tcMar>
              <w:top w:w="50" w:type="dxa"/>
              <w:bottom w:w="50" w:type="dxa"/>
              <w:left w:w="90" w:type="dxa"/>
              <w:right w:w="90" w:type="dxa"/>
            </w:tcMar>
          </w:tcPr>
          <w:p>
            <w:pPr>
              <w:pStyle w:val="BDOITable"/>
            </w:pPr>
            <w:r>
              <w:rPr>
                <w:sz w:val="17"/>
              </w:rPr>
              <w:t>R</w:t>
            </w:r>
          </w:p>
        </w:tc>
        <w:tc>
          <w:tcPr>
            <w:tcW w:type="dxa" w:w="3026"/>
            <w:tcMar>
              <w:top w:w="50" w:type="dxa"/>
              <w:bottom w:w="50" w:type="dxa"/>
              <w:left w:w="90" w:type="dxa"/>
              <w:right w:w="90" w:type="dxa"/>
            </w:tcMar>
          </w:tcPr>
          <w:p>
            <w:pPr>
              <w:pStyle w:val="BDOITable"/>
            </w:pPr>
            <w:r>
              <w:rPr>
                <w:sz w:val="17"/>
              </w:rPr>
              <w:t>User denies an approval or a change</w:t>
            </w:r>
          </w:p>
        </w:tc>
        <w:tc>
          <w:tcPr>
            <w:tcW w:type="dxa" w:w="3989"/>
            <w:tcMar>
              <w:top w:w="50" w:type="dxa"/>
              <w:bottom w:w="50" w:type="dxa"/>
              <w:left w:w="90" w:type="dxa"/>
              <w:right w:w="90" w:type="dxa"/>
            </w:tcMar>
          </w:tcPr>
          <w:p>
            <w:pPr>
              <w:pStyle w:val="BDOITable"/>
            </w:pPr>
            <w:r>
              <w:rPr>
                <w:sz w:val="17"/>
              </w:rPr>
              <w:t>Audit trail in the same transaction, insert-only with triggers; access change log; maker and checker named on every record</w:t>
            </w:r>
          </w:p>
        </w:tc>
        <w:tc>
          <w:tcPr>
            <w:tcW w:type="dxa" w:w="1100"/>
            <w:tcMar>
              <w:top w:w="50" w:type="dxa"/>
              <w:bottom w:w="50" w:type="dxa"/>
              <w:left w:w="90" w:type="dxa"/>
              <w:right w:w="90" w:type="dxa"/>
            </w:tcMar>
          </w:tcPr>
          <w:p>
            <w:pPr>
              <w:pStyle w:val="BDOITable"/>
            </w:pPr>
            <w:r>
              <w:rPr>
                <w:sz w:val="17"/>
              </w:rPr>
              <w:t>Low</w:t>
            </w:r>
          </w:p>
        </w:tc>
      </w:tr>
      <w:tr>
        <w:trPr>
          <w:cantSplit w:val="true"/>
        </w:trPr>
        <w:tc>
          <w:tcPr>
            <w:tcW w:type="dxa" w:w="894"/>
            <w:tcMar>
              <w:top w:w="50" w:type="dxa"/>
              <w:bottom w:w="50" w:type="dxa"/>
              <w:left w:w="90" w:type="dxa"/>
              <w:right w:w="90" w:type="dxa"/>
            </w:tcMar>
            <w:shd w:val="clear" w:color="auto" w:fill="E5F5FF"/>
          </w:tcPr>
          <w:p>
            <w:pPr>
              <w:pStyle w:val="BDOITable"/>
            </w:pPr>
            <w:r>
              <w:rPr>
                <w:b/>
                <w:sz w:val="17"/>
              </w:rPr>
              <w:t>TB2</w:t>
            </w:r>
          </w:p>
        </w:tc>
        <w:tc>
          <w:tcPr>
            <w:tcW w:type="dxa" w:w="963"/>
            <w:tcMar>
              <w:top w:w="50" w:type="dxa"/>
              <w:bottom w:w="50" w:type="dxa"/>
              <w:left w:w="90" w:type="dxa"/>
              <w:right w:w="90" w:type="dxa"/>
            </w:tcMar>
            <w:shd w:val="clear" w:color="auto" w:fill="E5F5FF"/>
          </w:tcPr>
          <w:p>
            <w:pPr>
              <w:pStyle w:val="BDOITable"/>
            </w:pPr>
            <w:r>
              <w:rPr>
                <w:sz w:val="17"/>
              </w:rPr>
              <w:t>I</w:t>
            </w:r>
          </w:p>
        </w:tc>
        <w:tc>
          <w:tcPr>
            <w:tcW w:type="dxa" w:w="3026"/>
            <w:tcMar>
              <w:top w:w="50" w:type="dxa"/>
              <w:bottom w:w="50" w:type="dxa"/>
              <w:left w:w="90" w:type="dxa"/>
              <w:right w:w="90" w:type="dxa"/>
            </w:tcMar>
            <w:shd w:val="clear" w:color="auto" w:fill="E5F5FF"/>
          </w:tcPr>
          <w:p>
            <w:pPr>
              <w:pStyle w:val="BDOITable"/>
            </w:pPr>
            <w:r>
              <w:rPr>
                <w:sz w:val="17"/>
              </w:rPr>
              <w:t>Cross-site scripting or data exposure in the browser</w:t>
            </w:r>
          </w:p>
        </w:tc>
        <w:tc>
          <w:tcPr>
            <w:tcW w:type="dxa" w:w="3989"/>
            <w:tcMar>
              <w:top w:w="50" w:type="dxa"/>
              <w:bottom w:w="50" w:type="dxa"/>
              <w:left w:w="90" w:type="dxa"/>
              <w:right w:w="90" w:type="dxa"/>
            </w:tcMar>
            <w:shd w:val="clear" w:color="auto" w:fill="E5F5FF"/>
          </w:tcPr>
          <w:p>
            <w:pPr>
              <w:pStyle w:val="BDOITable"/>
            </w:pPr>
            <w:r>
              <w:rPr>
                <w:sz w:val="17"/>
              </w:rPr>
              <w:t>React escaping, strict CSP, no raw HTML, no-store downloads, no personal data in URLs</w:t>
            </w:r>
          </w:p>
        </w:tc>
        <w:tc>
          <w:tcPr>
            <w:tcW w:type="dxa" w:w="1100"/>
            <w:tcMar>
              <w:top w:w="50" w:type="dxa"/>
              <w:bottom w:w="50" w:type="dxa"/>
              <w:left w:w="90" w:type="dxa"/>
              <w:right w:w="90" w:type="dxa"/>
            </w:tcMar>
            <w:shd w:val="clear" w:color="auto" w:fill="E5F5FF"/>
          </w:tcPr>
          <w:p>
            <w:pPr>
              <w:pStyle w:val="BDOITable"/>
            </w:pPr>
            <w:r>
              <w:rPr>
                <w:sz w:val="17"/>
              </w:rPr>
              <w:t>Low</w:t>
            </w:r>
          </w:p>
        </w:tc>
      </w:tr>
      <w:tr>
        <w:trPr>
          <w:cantSplit w:val="true"/>
        </w:trPr>
        <w:tc>
          <w:tcPr>
            <w:tcW w:type="dxa" w:w="894"/>
            <w:tcMar>
              <w:top w:w="50" w:type="dxa"/>
              <w:bottom w:w="50" w:type="dxa"/>
              <w:left w:w="90" w:type="dxa"/>
              <w:right w:w="90" w:type="dxa"/>
            </w:tcMar>
          </w:tcPr>
          <w:p>
            <w:pPr>
              <w:pStyle w:val="BDOITable"/>
            </w:pPr>
            <w:r>
              <w:rPr>
                <w:b/>
                <w:sz w:val="17"/>
              </w:rPr>
              <w:t>TB2</w:t>
            </w:r>
          </w:p>
        </w:tc>
        <w:tc>
          <w:tcPr>
            <w:tcW w:type="dxa" w:w="963"/>
            <w:tcMar>
              <w:top w:w="50" w:type="dxa"/>
              <w:bottom w:w="50" w:type="dxa"/>
              <w:left w:w="90" w:type="dxa"/>
              <w:right w:w="90" w:type="dxa"/>
            </w:tcMar>
          </w:tcPr>
          <w:p>
            <w:pPr>
              <w:pStyle w:val="BDOITable"/>
            </w:pPr>
            <w:r>
              <w:rPr>
                <w:sz w:val="17"/>
              </w:rPr>
              <w:t>D</w:t>
            </w:r>
          </w:p>
        </w:tc>
        <w:tc>
          <w:tcPr>
            <w:tcW w:type="dxa" w:w="3026"/>
            <w:tcMar>
              <w:top w:w="50" w:type="dxa"/>
              <w:bottom w:w="50" w:type="dxa"/>
              <w:left w:w="90" w:type="dxa"/>
              <w:right w:w="90" w:type="dxa"/>
            </w:tcMar>
          </w:tcPr>
          <w:p>
            <w:pPr>
              <w:pStyle w:val="BDOITable"/>
            </w:pPr>
            <w:r>
              <w:rPr>
                <w:sz w:val="17"/>
              </w:rPr>
              <w:t>Flooding of sign-in or exports</w:t>
            </w:r>
          </w:p>
        </w:tc>
        <w:tc>
          <w:tcPr>
            <w:tcW w:type="dxa" w:w="3989"/>
            <w:tcMar>
              <w:top w:w="50" w:type="dxa"/>
              <w:bottom w:w="50" w:type="dxa"/>
              <w:left w:w="90" w:type="dxa"/>
              <w:right w:w="90" w:type="dxa"/>
            </w:tcMar>
          </w:tcPr>
          <w:p>
            <w:pPr>
              <w:pStyle w:val="BDOITable"/>
            </w:pPr>
            <w:r>
              <w:rPr>
                <w:sz w:val="17"/>
              </w:rPr>
              <w:t>WAF rate rules; sign-in rate limits; background report jobs; size limits</w:t>
            </w:r>
          </w:p>
        </w:tc>
        <w:tc>
          <w:tcPr>
            <w:tcW w:type="dxa" w:w="1100"/>
            <w:tcMar>
              <w:top w:w="50" w:type="dxa"/>
              <w:bottom w:w="50" w:type="dxa"/>
              <w:left w:w="90" w:type="dxa"/>
              <w:right w:w="90" w:type="dxa"/>
            </w:tcMar>
          </w:tcPr>
          <w:p>
            <w:pPr>
              <w:pStyle w:val="BDOITable"/>
            </w:pPr>
            <w:r>
              <w:rPr>
                <w:sz w:val="17"/>
              </w:rPr>
              <w:t>Medium (SEC-06)</w:t>
            </w:r>
          </w:p>
        </w:tc>
      </w:tr>
      <w:tr>
        <w:trPr>
          <w:cantSplit w:val="true"/>
        </w:trPr>
        <w:tc>
          <w:tcPr>
            <w:tcW w:type="dxa" w:w="894"/>
            <w:tcMar>
              <w:top w:w="50" w:type="dxa"/>
              <w:bottom w:w="50" w:type="dxa"/>
              <w:left w:w="90" w:type="dxa"/>
              <w:right w:w="90" w:type="dxa"/>
            </w:tcMar>
            <w:shd w:val="clear" w:color="auto" w:fill="E5F5FF"/>
          </w:tcPr>
          <w:p>
            <w:pPr>
              <w:pStyle w:val="BDOITable"/>
            </w:pPr>
            <w:r>
              <w:rPr>
                <w:b/>
                <w:sz w:val="17"/>
              </w:rPr>
              <w:t>TB2</w:t>
            </w:r>
          </w:p>
        </w:tc>
        <w:tc>
          <w:tcPr>
            <w:tcW w:type="dxa" w:w="963"/>
            <w:tcMar>
              <w:top w:w="50" w:type="dxa"/>
              <w:bottom w:w="50" w:type="dxa"/>
              <w:left w:w="90" w:type="dxa"/>
              <w:right w:w="90" w:type="dxa"/>
            </w:tcMar>
            <w:shd w:val="clear" w:color="auto" w:fill="E5F5FF"/>
          </w:tcPr>
          <w:p>
            <w:pPr>
              <w:pStyle w:val="BDOITable"/>
            </w:pPr>
            <w:r>
              <w:rPr>
                <w:sz w:val="17"/>
              </w:rPr>
              <w:t>E</w:t>
            </w:r>
          </w:p>
        </w:tc>
        <w:tc>
          <w:tcPr>
            <w:tcW w:type="dxa" w:w="3026"/>
            <w:tcMar>
              <w:top w:w="50" w:type="dxa"/>
              <w:bottom w:w="50" w:type="dxa"/>
              <w:left w:w="90" w:type="dxa"/>
              <w:right w:w="90" w:type="dxa"/>
            </w:tcMar>
            <w:shd w:val="clear" w:color="auto" w:fill="E5F5FF"/>
          </w:tcPr>
          <w:p>
            <w:pPr>
              <w:pStyle w:val="BDOITable"/>
            </w:pPr>
            <w:r>
              <w:rPr>
                <w:sz w:val="17"/>
              </w:rPr>
              <w:t>Privilege escalation through access requests</w:t>
            </w:r>
          </w:p>
        </w:tc>
        <w:tc>
          <w:tcPr>
            <w:tcW w:type="dxa" w:w="3989"/>
            <w:tcMar>
              <w:top w:w="50" w:type="dxa"/>
              <w:bottom w:w="50" w:type="dxa"/>
              <w:left w:w="90" w:type="dxa"/>
              <w:right w:w="90" w:type="dxa"/>
            </w:tcMar>
            <w:shd w:val="clear" w:color="auto" w:fill="E5F5FF"/>
          </w:tcPr>
          <w:p>
            <w:pPr>
              <w:pStyle w:val="BDOITable"/>
            </w:pPr>
            <w:r>
              <w:rPr>
                <w:sz w:val="17"/>
              </w:rPr>
              <w:t>Four eyes, second approval for high-privilege changes, nobody changes his own scope, SoD rules</w:t>
            </w:r>
          </w:p>
        </w:tc>
        <w:tc>
          <w:tcPr>
            <w:tcW w:type="dxa" w:w="1100"/>
            <w:tcMar>
              <w:top w:w="50" w:type="dxa"/>
              <w:bottom w:w="50" w:type="dxa"/>
              <w:left w:w="90" w:type="dxa"/>
              <w:right w:w="90" w:type="dxa"/>
            </w:tcMar>
            <w:shd w:val="clear" w:color="auto" w:fill="E5F5FF"/>
          </w:tcPr>
          <w:p>
            <w:pPr>
              <w:pStyle w:val="BDOITable"/>
            </w:pPr>
            <w:r>
              <w:rPr>
                <w:sz w:val="17"/>
              </w:rPr>
              <w:t>Low</w:t>
            </w:r>
          </w:p>
        </w:tc>
      </w:tr>
      <w:tr>
        <w:trPr>
          <w:cantSplit w:val="true"/>
        </w:trPr>
        <w:tc>
          <w:tcPr>
            <w:tcW w:type="dxa" w:w="894"/>
            <w:tcMar>
              <w:top w:w="50" w:type="dxa"/>
              <w:bottom w:w="50" w:type="dxa"/>
              <w:left w:w="90" w:type="dxa"/>
              <w:right w:w="90" w:type="dxa"/>
            </w:tcMar>
          </w:tcPr>
          <w:p>
            <w:pPr>
              <w:pStyle w:val="BDOITable"/>
            </w:pPr>
            <w:r>
              <w:rPr>
                <w:b/>
                <w:sz w:val="17"/>
              </w:rPr>
              <w:t>TB3</w:t>
            </w:r>
          </w:p>
        </w:tc>
        <w:tc>
          <w:tcPr>
            <w:tcW w:type="dxa" w:w="963"/>
            <w:tcMar>
              <w:top w:w="50" w:type="dxa"/>
              <w:bottom w:w="50" w:type="dxa"/>
              <w:left w:w="90" w:type="dxa"/>
              <w:right w:w="90" w:type="dxa"/>
            </w:tcMar>
          </w:tcPr>
          <w:p>
            <w:pPr>
              <w:pStyle w:val="BDOITable"/>
            </w:pPr>
            <w:r>
              <w:rPr>
                <w:sz w:val="17"/>
              </w:rPr>
              <w:t>S</w:t>
            </w:r>
          </w:p>
        </w:tc>
        <w:tc>
          <w:tcPr>
            <w:tcW w:type="dxa" w:w="3026"/>
            <w:tcMar>
              <w:top w:w="50" w:type="dxa"/>
              <w:bottom w:w="50" w:type="dxa"/>
              <w:left w:w="90" w:type="dxa"/>
              <w:right w:w="90" w:type="dxa"/>
            </w:tcMar>
          </w:tcPr>
          <w:p>
            <w:pPr>
              <w:pStyle w:val="BDOITable"/>
            </w:pPr>
            <w:r>
              <w:rPr>
                <w:sz w:val="17"/>
              </w:rPr>
              <w:t>A system impersonates another</w:t>
            </w:r>
          </w:p>
        </w:tc>
        <w:tc>
          <w:tcPr>
            <w:tcW w:type="dxa" w:w="3989"/>
            <w:tcMar>
              <w:top w:w="50" w:type="dxa"/>
              <w:bottom w:w="50" w:type="dxa"/>
              <w:left w:w="90" w:type="dxa"/>
              <w:right w:w="90" w:type="dxa"/>
            </w:tcMar>
          </w:tcPr>
          <w:p>
            <w:pPr>
              <w:pStyle w:val="BDOITable"/>
            </w:pPr>
            <w:r>
              <w:rPr>
                <w:sz w:val="17"/>
              </w:rPr>
              <w:t>Apigee OAuth tokens with scopes per API; user tokens refused; WAF admits Apigee ranges only</w:t>
            </w:r>
          </w:p>
        </w:tc>
        <w:tc>
          <w:tcPr>
            <w:tcW w:type="dxa" w:w="1100"/>
            <w:tcMar>
              <w:top w:w="50" w:type="dxa"/>
              <w:bottom w:w="50" w:type="dxa"/>
              <w:left w:w="90" w:type="dxa"/>
              <w:right w:w="90" w:type="dxa"/>
            </w:tcMar>
          </w:tcPr>
          <w:p>
            <w:pPr>
              <w:pStyle w:val="BDOITable"/>
            </w:pPr>
            <w:r>
              <w:rPr>
                <w:sz w:val="17"/>
              </w:rPr>
              <w:t>Low</w:t>
            </w:r>
          </w:p>
        </w:tc>
      </w:tr>
      <w:tr>
        <w:trPr>
          <w:cantSplit w:val="true"/>
        </w:trPr>
        <w:tc>
          <w:tcPr>
            <w:tcW w:type="dxa" w:w="894"/>
            <w:tcMar>
              <w:top w:w="50" w:type="dxa"/>
              <w:bottom w:w="50" w:type="dxa"/>
              <w:left w:w="90" w:type="dxa"/>
              <w:right w:w="90" w:type="dxa"/>
            </w:tcMar>
            <w:shd w:val="clear" w:color="auto" w:fill="E5F5FF"/>
          </w:tcPr>
          <w:p>
            <w:pPr>
              <w:pStyle w:val="BDOITable"/>
            </w:pPr>
            <w:r>
              <w:rPr>
                <w:b/>
                <w:sz w:val="17"/>
              </w:rPr>
              <w:t>TB3</w:t>
            </w:r>
          </w:p>
        </w:tc>
        <w:tc>
          <w:tcPr>
            <w:tcW w:type="dxa" w:w="963"/>
            <w:tcMar>
              <w:top w:w="50" w:type="dxa"/>
              <w:bottom w:w="50" w:type="dxa"/>
              <w:left w:w="90" w:type="dxa"/>
              <w:right w:w="90" w:type="dxa"/>
            </w:tcMar>
            <w:shd w:val="clear" w:color="auto" w:fill="E5F5FF"/>
          </w:tcPr>
          <w:p>
            <w:pPr>
              <w:pStyle w:val="BDOITable"/>
            </w:pPr>
            <w:r>
              <w:rPr>
                <w:sz w:val="17"/>
              </w:rPr>
              <w:t>T</w:t>
            </w:r>
          </w:p>
        </w:tc>
        <w:tc>
          <w:tcPr>
            <w:tcW w:type="dxa" w:w="3026"/>
            <w:tcMar>
              <w:top w:w="50" w:type="dxa"/>
              <w:bottom w:w="50" w:type="dxa"/>
              <w:left w:w="90" w:type="dxa"/>
              <w:right w:w="90" w:type="dxa"/>
            </w:tcMar>
            <w:shd w:val="clear" w:color="auto" w:fill="E5F5FF"/>
          </w:tcPr>
          <w:p>
            <w:pPr>
              <w:pStyle w:val="BDOITable"/>
            </w:pPr>
            <w:r>
              <w:rPr>
                <w:sz w:val="17"/>
              </w:rPr>
              <w:t>Altered payment file to CMS / New BOB</w:t>
            </w:r>
          </w:p>
        </w:tc>
        <w:tc>
          <w:tcPr>
            <w:tcW w:type="dxa" w:w="3989"/>
            <w:tcMar>
              <w:top w:w="50" w:type="dxa"/>
              <w:bottom w:w="50" w:type="dxa"/>
              <w:left w:w="90" w:type="dxa"/>
              <w:right w:w="90" w:type="dxa"/>
            </w:tcMar>
            <w:shd w:val="clear" w:color="auto" w:fill="E5F5FF"/>
          </w:tcPr>
          <w:p>
            <w:pPr>
              <w:pStyle w:val="BDOITable"/>
            </w:pPr>
            <w:r>
              <w:rPr>
                <w:sz w:val="17"/>
              </w:rPr>
              <w:t>TLS through Apigee; voucher approved under four eyes before the file; file totals and control records; reconciliation of bank confirmations</w:t>
            </w:r>
          </w:p>
        </w:tc>
        <w:tc>
          <w:tcPr>
            <w:tcW w:type="dxa" w:w="1100"/>
            <w:tcMar>
              <w:top w:w="50" w:type="dxa"/>
              <w:bottom w:w="50" w:type="dxa"/>
              <w:left w:w="90" w:type="dxa"/>
              <w:right w:w="90" w:type="dxa"/>
            </w:tcMar>
            <w:shd w:val="clear" w:color="auto" w:fill="E5F5FF"/>
          </w:tcPr>
          <w:p>
            <w:pPr>
              <w:pStyle w:val="BDOITable"/>
            </w:pPr>
            <w:r>
              <w:rPr>
                <w:sz w:val="17"/>
              </w:rPr>
              <w:t>Medium</w:t>
            </w:r>
          </w:p>
        </w:tc>
      </w:tr>
      <w:tr>
        <w:trPr>
          <w:cantSplit w:val="true"/>
        </w:trPr>
        <w:tc>
          <w:tcPr>
            <w:tcW w:type="dxa" w:w="894"/>
            <w:tcMar>
              <w:top w:w="50" w:type="dxa"/>
              <w:bottom w:w="50" w:type="dxa"/>
              <w:left w:w="90" w:type="dxa"/>
              <w:right w:w="90" w:type="dxa"/>
            </w:tcMar>
          </w:tcPr>
          <w:p>
            <w:pPr>
              <w:pStyle w:val="BDOITable"/>
            </w:pPr>
            <w:r>
              <w:rPr>
                <w:b/>
                <w:sz w:val="17"/>
              </w:rPr>
              <w:t>TB3</w:t>
            </w:r>
          </w:p>
        </w:tc>
        <w:tc>
          <w:tcPr>
            <w:tcW w:type="dxa" w:w="963"/>
            <w:tcMar>
              <w:top w:w="50" w:type="dxa"/>
              <w:bottom w:w="50" w:type="dxa"/>
              <w:left w:w="90" w:type="dxa"/>
              <w:right w:w="90" w:type="dxa"/>
            </w:tcMar>
          </w:tcPr>
          <w:p>
            <w:pPr>
              <w:pStyle w:val="BDOITable"/>
            </w:pPr>
            <w:r>
              <w:rPr>
                <w:sz w:val="17"/>
              </w:rPr>
              <w:t>I</w:t>
            </w:r>
          </w:p>
        </w:tc>
        <w:tc>
          <w:tcPr>
            <w:tcW w:type="dxa" w:w="3026"/>
            <w:tcMar>
              <w:top w:w="50" w:type="dxa"/>
              <w:bottom w:w="50" w:type="dxa"/>
              <w:left w:w="90" w:type="dxa"/>
              <w:right w:w="90" w:type="dxa"/>
            </w:tcMar>
          </w:tcPr>
          <w:p>
            <w:pPr>
              <w:pStyle w:val="BDOITable"/>
            </w:pPr>
            <w:r>
              <w:rPr>
                <w:sz w:val="17"/>
              </w:rPr>
              <w:t>Interception of data in transit</w:t>
            </w:r>
          </w:p>
        </w:tc>
        <w:tc>
          <w:tcPr>
            <w:tcW w:type="dxa" w:w="3989"/>
            <w:tcMar>
              <w:top w:w="50" w:type="dxa"/>
              <w:bottom w:w="50" w:type="dxa"/>
              <w:left w:w="90" w:type="dxa"/>
              <w:right w:w="90" w:type="dxa"/>
            </w:tcMar>
          </w:tcPr>
          <w:p>
            <w:pPr>
              <w:pStyle w:val="BDOITable"/>
            </w:pPr>
            <w:r>
              <w:rPr>
                <w:sz w:val="17"/>
              </w:rPr>
              <w:t>TLS on every hop; private route between Apigee and the load balancer</w:t>
            </w:r>
          </w:p>
        </w:tc>
        <w:tc>
          <w:tcPr>
            <w:tcW w:type="dxa" w:w="1100"/>
            <w:tcMar>
              <w:top w:w="50" w:type="dxa"/>
              <w:bottom w:w="50" w:type="dxa"/>
              <w:left w:w="90" w:type="dxa"/>
              <w:right w:w="90" w:type="dxa"/>
            </w:tcMar>
          </w:tcPr>
          <w:p>
            <w:pPr>
              <w:pStyle w:val="BDOITable"/>
            </w:pPr>
            <w:r>
              <w:rPr>
                <w:sz w:val="17"/>
              </w:rPr>
              <w:t>Low</w:t>
            </w:r>
          </w:p>
        </w:tc>
      </w:tr>
      <w:tr>
        <w:trPr>
          <w:cantSplit w:val="true"/>
        </w:trPr>
        <w:tc>
          <w:tcPr>
            <w:tcW w:type="dxa" w:w="894"/>
            <w:tcMar>
              <w:top w:w="50" w:type="dxa"/>
              <w:bottom w:w="50" w:type="dxa"/>
              <w:left w:w="90" w:type="dxa"/>
              <w:right w:w="90" w:type="dxa"/>
            </w:tcMar>
            <w:shd w:val="clear" w:color="auto" w:fill="E5F5FF"/>
          </w:tcPr>
          <w:p>
            <w:pPr>
              <w:pStyle w:val="BDOITable"/>
            </w:pPr>
            <w:r>
              <w:rPr>
                <w:b/>
                <w:sz w:val="17"/>
              </w:rPr>
              <w:t>TB4</w:t>
            </w:r>
          </w:p>
        </w:tc>
        <w:tc>
          <w:tcPr>
            <w:tcW w:type="dxa" w:w="963"/>
            <w:tcMar>
              <w:top w:w="50" w:type="dxa"/>
              <w:bottom w:w="50" w:type="dxa"/>
              <w:left w:w="90" w:type="dxa"/>
              <w:right w:w="90" w:type="dxa"/>
            </w:tcMar>
            <w:shd w:val="clear" w:color="auto" w:fill="E5F5FF"/>
          </w:tcPr>
          <w:p>
            <w:pPr>
              <w:pStyle w:val="BDOITable"/>
            </w:pPr>
            <w:r>
              <w:rPr>
                <w:sz w:val="17"/>
              </w:rPr>
              <w:t>E</w:t>
            </w:r>
          </w:p>
        </w:tc>
        <w:tc>
          <w:tcPr>
            <w:tcW w:type="dxa" w:w="3026"/>
            <w:tcMar>
              <w:top w:w="50" w:type="dxa"/>
              <w:bottom w:w="50" w:type="dxa"/>
              <w:left w:w="90" w:type="dxa"/>
              <w:right w:w="90" w:type="dxa"/>
            </w:tcMar>
            <w:shd w:val="clear" w:color="auto" w:fill="E5F5FF"/>
          </w:tcPr>
          <w:p>
            <w:pPr>
              <w:pStyle w:val="BDOITable"/>
            </w:pPr>
            <w:r>
              <w:rPr>
                <w:sz w:val="17"/>
              </w:rPr>
              <w:t>Compromised pod reaches other services</w:t>
            </w:r>
          </w:p>
        </w:tc>
        <w:tc>
          <w:tcPr>
            <w:tcW w:type="dxa" w:w="3989"/>
            <w:tcMar>
              <w:top w:w="50" w:type="dxa"/>
              <w:bottom w:w="50" w:type="dxa"/>
              <w:left w:w="90" w:type="dxa"/>
              <w:right w:w="90" w:type="dxa"/>
            </w:tcMar>
            <w:shd w:val="clear" w:color="auto" w:fill="E5F5FF"/>
          </w:tcPr>
          <w:p>
            <w:pPr>
              <w:pStyle w:val="BDOITable"/>
            </w:pPr>
            <w:r>
              <w:rPr>
                <w:sz w:val="17"/>
              </w:rPr>
              <w:t>NetworkPolicies deny by default; pods never call each other; non-root, read-only, no capabilities; IAM role per workload</w:t>
            </w:r>
          </w:p>
        </w:tc>
        <w:tc>
          <w:tcPr>
            <w:tcW w:type="dxa" w:w="1100"/>
            <w:tcMar>
              <w:top w:w="50" w:type="dxa"/>
              <w:bottom w:w="50" w:type="dxa"/>
              <w:left w:w="90" w:type="dxa"/>
              <w:right w:w="90" w:type="dxa"/>
            </w:tcMar>
            <w:shd w:val="clear" w:color="auto" w:fill="E5F5FF"/>
          </w:tcPr>
          <w:p>
            <w:pPr>
              <w:pStyle w:val="BDOITable"/>
            </w:pPr>
            <w:r>
              <w:rPr>
                <w:sz w:val="17"/>
              </w:rPr>
              <w:t>Low</w:t>
            </w:r>
          </w:p>
        </w:tc>
      </w:tr>
      <w:tr>
        <w:trPr>
          <w:cantSplit w:val="true"/>
        </w:trPr>
        <w:tc>
          <w:tcPr>
            <w:tcW w:type="dxa" w:w="894"/>
            <w:tcMar>
              <w:top w:w="50" w:type="dxa"/>
              <w:bottom w:w="50" w:type="dxa"/>
              <w:left w:w="90" w:type="dxa"/>
              <w:right w:w="90" w:type="dxa"/>
            </w:tcMar>
          </w:tcPr>
          <w:p>
            <w:pPr>
              <w:pStyle w:val="BDOITable"/>
            </w:pPr>
            <w:r>
              <w:rPr>
                <w:b/>
                <w:sz w:val="17"/>
              </w:rPr>
              <w:t>TB5</w:t>
            </w:r>
          </w:p>
        </w:tc>
        <w:tc>
          <w:tcPr>
            <w:tcW w:type="dxa" w:w="963"/>
            <w:tcMar>
              <w:top w:w="50" w:type="dxa"/>
              <w:bottom w:w="50" w:type="dxa"/>
              <w:left w:w="90" w:type="dxa"/>
              <w:right w:w="90" w:type="dxa"/>
            </w:tcMar>
          </w:tcPr>
          <w:p>
            <w:pPr>
              <w:pStyle w:val="BDOITable"/>
            </w:pPr>
            <w:r>
              <w:rPr>
                <w:sz w:val="17"/>
              </w:rPr>
              <w:t>T</w:t>
            </w:r>
          </w:p>
        </w:tc>
        <w:tc>
          <w:tcPr>
            <w:tcW w:type="dxa" w:w="3026"/>
            <w:tcMar>
              <w:top w:w="50" w:type="dxa"/>
              <w:bottom w:w="50" w:type="dxa"/>
              <w:left w:w="90" w:type="dxa"/>
              <w:right w:w="90" w:type="dxa"/>
            </w:tcMar>
          </w:tcPr>
          <w:p>
            <w:pPr>
              <w:pStyle w:val="BDOITable"/>
            </w:pPr>
            <w:r>
              <w:rPr>
                <w:sz w:val="17"/>
              </w:rPr>
              <w:t>Tampering with the audit trail or the ledger</w:t>
            </w:r>
          </w:p>
        </w:tc>
        <w:tc>
          <w:tcPr>
            <w:tcW w:type="dxa" w:w="3989"/>
            <w:tcMar>
              <w:top w:w="50" w:type="dxa"/>
              <w:bottom w:w="50" w:type="dxa"/>
              <w:left w:w="90" w:type="dxa"/>
              <w:right w:w="90" w:type="dxa"/>
            </w:tcMar>
          </w:tcPr>
          <w:p>
            <w:pPr>
              <w:pStyle w:val="BDOITable"/>
            </w:pPr>
            <w:r>
              <w:rPr>
                <w:sz w:val="17"/>
              </w:rPr>
              <w:t>Triggers refuse UPDATE, DELETE and TRUNCATE; runtime login cannot disable triggers or change the schema</w:t>
            </w:r>
          </w:p>
        </w:tc>
        <w:tc>
          <w:tcPr>
            <w:tcW w:type="dxa" w:w="1100"/>
            <w:tcMar>
              <w:top w:w="50" w:type="dxa"/>
              <w:bottom w:w="50" w:type="dxa"/>
              <w:left w:w="90" w:type="dxa"/>
              <w:right w:w="90" w:type="dxa"/>
            </w:tcMar>
          </w:tcPr>
          <w:p>
            <w:pPr>
              <w:pStyle w:val="BDOITable"/>
            </w:pPr>
            <w:r>
              <w:rPr>
                <w:sz w:val="17"/>
              </w:rPr>
              <w:t>Low</w:t>
            </w:r>
          </w:p>
        </w:tc>
      </w:tr>
      <w:tr>
        <w:trPr>
          <w:cantSplit w:val="true"/>
        </w:trPr>
        <w:tc>
          <w:tcPr>
            <w:tcW w:type="dxa" w:w="894"/>
            <w:tcMar>
              <w:top w:w="50" w:type="dxa"/>
              <w:bottom w:w="50" w:type="dxa"/>
              <w:left w:w="90" w:type="dxa"/>
              <w:right w:w="90" w:type="dxa"/>
            </w:tcMar>
            <w:shd w:val="clear" w:color="auto" w:fill="E5F5FF"/>
          </w:tcPr>
          <w:p>
            <w:pPr>
              <w:pStyle w:val="BDOITable"/>
            </w:pPr>
            <w:r>
              <w:rPr>
                <w:b/>
                <w:sz w:val="17"/>
              </w:rPr>
              <w:t>TB5</w:t>
            </w:r>
          </w:p>
        </w:tc>
        <w:tc>
          <w:tcPr>
            <w:tcW w:type="dxa" w:w="963"/>
            <w:tcMar>
              <w:top w:w="50" w:type="dxa"/>
              <w:bottom w:w="50" w:type="dxa"/>
              <w:left w:w="90" w:type="dxa"/>
              <w:right w:w="90" w:type="dxa"/>
            </w:tcMar>
            <w:shd w:val="clear" w:color="auto" w:fill="E5F5FF"/>
          </w:tcPr>
          <w:p>
            <w:pPr>
              <w:pStyle w:val="BDOITable"/>
            </w:pPr>
            <w:r>
              <w:rPr>
                <w:sz w:val="17"/>
              </w:rPr>
              <w:t>I</w:t>
            </w:r>
          </w:p>
        </w:tc>
        <w:tc>
          <w:tcPr>
            <w:tcW w:type="dxa" w:w="3026"/>
            <w:tcMar>
              <w:top w:w="50" w:type="dxa"/>
              <w:bottom w:w="50" w:type="dxa"/>
              <w:left w:w="90" w:type="dxa"/>
              <w:right w:w="90" w:type="dxa"/>
            </w:tcMar>
            <w:shd w:val="clear" w:color="auto" w:fill="E5F5FF"/>
          </w:tcPr>
          <w:p>
            <w:pPr>
              <w:pStyle w:val="BDOITable"/>
            </w:pPr>
            <w:r>
              <w:rPr>
                <w:sz w:val="17"/>
              </w:rPr>
              <w:t>SQL injection</w:t>
            </w:r>
          </w:p>
        </w:tc>
        <w:tc>
          <w:tcPr>
            <w:tcW w:type="dxa" w:w="3989"/>
            <w:tcMar>
              <w:top w:w="50" w:type="dxa"/>
              <w:bottom w:w="50" w:type="dxa"/>
              <w:left w:w="90" w:type="dxa"/>
              <w:right w:w="90" w:type="dxa"/>
            </w:tcMar>
            <w:shd w:val="clear" w:color="auto" w:fill="E5F5FF"/>
          </w:tcPr>
          <w:p>
            <w:pPr>
              <w:pStyle w:val="BDOITable"/>
            </w:pPr>
            <w:r>
              <w:rPr>
                <w:sz w:val="17"/>
              </w:rPr>
              <w:t>Bound parameters only (section 7.2); WAF SQL injection rules</w:t>
            </w:r>
          </w:p>
        </w:tc>
        <w:tc>
          <w:tcPr>
            <w:tcW w:type="dxa" w:w="1100"/>
            <w:tcMar>
              <w:top w:w="50" w:type="dxa"/>
              <w:bottom w:w="50" w:type="dxa"/>
              <w:left w:w="90" w:type="dxa"/>
              <w:right w:w="90" w:type="dxa"/>
            </w:tcMar>
            <w:shd w:val="clear" w:color="auto" w:fill="E5F5FF"/>
          </w:tcPr>
          <w:p>
            <w:pPr>
              <w:pStyle w:val="BDOITable"/>
            </w:pPr>
            <w:r>
              <w:rPr>
                <w:sz w:val="17"/>
              </w:rPr>
              <w:t>Low</w:t>
            </w:r>
          </w:p>
        </w:tc>
      </w:tr>
      <w:tr>
        <w:trPr>
          <w:cantSplit w:val="true"/>
        </w:trPr>
        <w:tc>
          <w:tcPr>
            <w:tcW w:type="dxa" w:w="894"/>
            <w:tcMar>
              <w:top w:w="50" w:type="dxa"/>
              <w:bottom w:w="50" w:type="dxa"/>
              <w:left w:w="90" w:type="dxa"/>
              <w:right w:w="90" w:type="dxa"/>
            </w:tcMar>
          </w:tcPr>
          <w:p>
            <w:pPr>
              <w:pStyle w:val="BDOITable"/>
            </w:pPr>
            <w:r>
              <w:rPr>
                <w:b/>
                <w:sz w:val="17"/>
              </w:rPr>
              <w:t>TB5</w:t>
            </w:r>
          </w:p>
        </w:tc>
        <w:tc>
          <w:tcPr>
            <w:tcW w:type="dxa" w:w="963"/>
            <w:tcMar>
              <w:top w:w="50" w:type="dxa"/>
              <w:bottom w:w="50" w:type="dxa"/>
              <w:left w:w="90" w:type="dxa"/>
              <w:right w:w="90" w:type="dxa"/>
            </w:tcMar>
          </w:tcPr>
          <w:p>
            <w:pPr>
              <w:pStyle w:val="BDOITable"/>
            </w:pPr>
            <w:r>
              <w:rPr>
                <w:sz w:val="17"/>
              </w:rPr>
              <w:t>I</w:t>
            </w:r>
          </w:p>
        </w:tc>
        <w:tc>
          <w:tcPr>
            <w:tcW w:type="dxa" w:w="3026"/>
            <w:tcMar>
              <w:top w:w="50" w:type="dxa"/>
              <w:bottom w:w="50" w:type="dxa"/>
              <w:left w:w="90" w:type="dxa"/>
              <w:right w:w="90" w:type="dxa"/>
            </w:tcMar>
          </w:tcPr>
          <w:p>
            <w:pPr>
              <w:pStyle w:val="BDOITable"/>
            </w:pPr>
            <w:r>
              <w:rPr>
                <w:sz w:val="17"/>
              </w:rPr>
              <w:t>Database snapshot or backup leak</w:t>
            </w:r>
          </w:p>
        </w:tc>
        <w:tc>
          <w:tcPr>
            <w:tcW w:type="dxa" w:w="3989"/>
            <w:tcMar>
              <w:top w:w="50" w:type="dxa"/>
              <w:bottom w:w="50" w:type="dxa"/>
              <w:left w:w="90" w:type="dxa"/>
              <w:right w:w="90" w:type="dxa"/>
            </w:tcMar>
          </w:tcPr>
          <w:p>
            <w:pPr>
              <w:pStyle w:val="BDOITable"/>
            </w:pPr>
            <w:r>
              <w:rPr>
                <w:sz w:val="17"/>
              </w:rPr>
              <w:t>KMS encryption with BDOI keys; snapshot sharing restricted by IAM</w:t>
            </w:r>
          </w:p>
        </w:tc>
        <w:tc>
          <w:tcPr>
            <w:tcW w:type="dxa" w:w="1100"/>
            <w:tcMar>
              <w:top w:w="50" w:type="dxa"/>
              <w:bottom w:w="50" w:type="dxa"/>
              <w:left w:w="90" w:type="dxa"/>
              <w:right w:w="90" w:type="dxa"/>
            </w:tcMar>
          </w:tcPr>
          <w:p>
            <w:pPr>
              <w:pStyle w:val="BDOITable"/>
            </w:pPr>
            <w:r>
              <w:rPr>
                <w:sz w:val="17"/>
              </w:rPr>
              <w:t>Low</w:t>
            </w:r>
          </w:p>
        </w:tc>
      </w:tr>
      <w:tr>
        <w:trPr>
          <w:cantSplit w:val="true"/>
        </w:trPr>
        <w:tc>
          <w:tcPr>
            <w:tcW w:type="dxa" w:w="894"/>
            <w:tcMar>
              <w:top w:w="50" w:type="dxa"/>
              <w:bottom w:w="50" w:type="dxa"/>
              <w:left w:w="90" w:type="dxa"/>
              <w:right w:w="90" w:type="dxa"/>
            </w:tcMar>
            <w:shd w:val="clear" w:color="auto" w:fill="E5F5FF"/>
          </w:tcPr>
          <w:p>
            <w:pPr>
              <w:pStyle w:val="BDOITable"/>
            </w:pPr>
            <w:r>
              <w:rPr>
                <w:b/>
                <w:sz w:val="17"/>
              </w:rPr>
              <w:t>TB6</w:t>
            </w:r>
          </w:p>
        </w:tc>
        <w:tc>
          <w:tcPr>
            <w:tcW w:type="dxa" w:w="963"/>
            <w:tcMar>
              <w:top w:w="50" w:type="dxa"/>
              <w:bottom w:w="50" w:type="dxa"/>
              <w:left w:w="90" w:type="dxa"/>
              <w:right w:w="90" w:type="dxa"/>
            </w:tcMar>
            <w:shd w:val="clear" w:color="auto" w:fill="E5F5FF"/>
          </w:tcPr>
          <w:p>
            <w:pPr>
              <w:pStyle w:val="BDOITable"/>
            </w:pPr>
            <w:r>
              <w:rPr>
                <w:sz w:val="17"/>
              </w:rPr>
              <w:t>T</w:t>
            </w:r>
          </w:p>
        </w:tc>
        <w:tc>
          <w:tcPr>
            <w:tcW w:type="dxa" w:w="3026"/>
            <w:tcMar>
              <w:top w:w="50" w:type="dxa"/>
              <w:bottom w:w="50" w:type="dxa"/>
              <w:left w:w="90" w:type="dxa"/>
              <w:right w:w="90" w:type="dxa"/>
            </w:tcMar>
            <w:shd w:val="clear" w:color="auto" w:fill="E5F5FF"/>
          </w:tcPr>
          <w:p>
            <w:pPr>
              <w:pStyle w:val="BDOITable"/>
            </w:pPr>
            <w:r>
              <w:rPr>
                <w:sz w:val="17"/>
              </w:rPr>
              <w:t>Malicious file uploaded</w:t>
            </w:r>
          </w:p>
        </w:tc>
        <w:tc>
          <w:tcPr>
            <w:tcW w:type="dxa" w:w="3989"/>
            <w:tcMar>
              <w:top w:w="50" w:type="dxa"/>
              <w:bottom w:w="50" w:type="dxa"/>
              <w:left w:w="90" w:type="dxa"/>
              <w:right w:w="90" w:type="dxa"/>
            </w:tcMar>
            <w:shd w:val="clear" w:color="auto" w:fill="E5F5FF"/>
          </w:tcPr>
          <w:p>
            <w:pPr>
              <w:pStyle w:val="BDOITable"/>
            </w:pPr>
            <w:r>
              <w:rPr>
                <w:sz w:val="17"/>
              </w:rPr>
              <w:t>GuardDuty Malware Protection; no download before a clean result; quarantine and alert; type and size checks</w:t>
            </w:r>
          </w:p>
        </w:tc>
        <w:tc>
          <w:tcPr>
            <w:tcW w:type="dxa" w:w="1100"/>
            <w:tcMar>
              <w:top w:w="50" w:type="dxa"/>
              <w:bottom w:w="50" w:type="dxa"/>
              <w:left w:w="90" w:type="dxa"/>
              <w:right w:w="90" w:type="dxa"/>
            </w:tcMar>
            <w:shd w:val="clear" w:color="auto" w:fill="E5F5FF"/>
          </w:tcPr>
          <w:p>
            <w:pPr>
              <w:pStyle w:val="BDOITable"/>
            </w:pPr>
            <w:r>
              <w:rPr>
                <w:sz w:val="17"/>
              </w:rPr>
              <w:t>Low</w:t>
            </w:r>
          </w:p>
        </w:tc>
      </w:tr>
      <w:tr>
        <w:trPr>
          <w:cantSplit w:val="true"/>
        </w:trPr>
        <w:tc>
          <w:tcPr>
            <w:tcW w:type="dxa" w:w="894"/>
            <w:tcMar>
              <w:top w:w="50" w:type="dxa"/>
              <w:bottom w:w="50" w:type="dxa"/>
              <w:left w:w="90" w:type="dxa"/>
              <w:right w:w="90" w:type="dxa"/>
            </w:tcMar>
          </w:tcPr>
          <w:p>
            <w:pPr>
              <w:pStyle w:val="BDOITable"/>
            </w:pPr>
            <w:r>
              <w:rPr>
                <w:b/>
                <w:sz w:val="17"/>
              </w:rPr>
              <w:t>TB6</w:t>
            </w:r>
          </w:p>
        </w:tc>
        <w:tc>
          <w:tcPr>
            <w:tcW w:type="dxa" w:w="963"/>
            <w:tcMar>
              <w:top w:w="50" w:type="dxa"/>
              <w:bottom w:w="50" w:type="dxa"/>
              <w:left w:w="90" w:type="dxa"/>
              <w:right w:w="90" w:type="dxa"/>
            </w:tcMar>
          </w:tcPr>
          <w:p>
            <w:pPr>
              <w:pStyle w:val="BDOITable"/>
            </w:pPr>
            <w:r>
              <w:rPr>
                <w:sz w:val="17"/>
              </w:rPr>
              <w:t>I</w:t>
            </w:r>
          </w:p>
        </w:tc>
        <w:tc>
          <w:tcPr>
            <w:tcW w:type="dxa" w:w="3026"/>
            <w:tcMar>
              <w:top w:w="50" w:type="dxa"/>
              <w:bottom w:w="50" w:type="dxa"/>
              <w:left w:w="90" w:type="dxa"/>
              <w:right w:w="90" w:type="dxa"/>
            </w:tcMar>
          </w:tcPr>
          <w:p>
            <w:pPr>
              <w:pStyle w:val="BDOITable"/>
            </w:pPr>
            <w:r>
              <w:rPr>
                <w:sz w:val="17"/>
              </w:rPr>
              <w:t>Document link shared or guessed</w:t>
            </w:r>
          </w:p>
        </w:tc>
        <w:tc>
          <w:tcPr>
            <w:tcW w:type="dxa" w:w="3989"/>
            <w:tcMar>
              <w:top w:w="50" w:type="dxa"/>
              <w:bottom w:w="50" w:type="dxa"/>
              <w:left w:w="90" w:type="dxa"/>
              <w:right w:w="90" w:type="dxa"/>
            </w:tcMar>
          </w:tcPr>
          <w:p>
            <w:pPr>
              <w:pStyle w:val="BDOITable"/>
            </w:pPr>
            <w:r>
              <w:rPr>
                <w:sz w:val="17"/>
              </w:rPr>
              <w:t>Random object keys; presigned links of 5 minutes after a permission check, audited; buckets block public access</w:t>
            </w:r>
          </w:p>
        </w:tc>
        <w:tc>
          <w:tcPr>
            <w:tcW w:type="dxa" w:w="1100"/>
            <w:tcMar>
              <w:top w:w="50" w:type="dxa"/>
              <w:bottom w:w="50" w:type="dxa"/>
              <w:left w:w="90" w:type="dxa"/>
              <w:right w:w="90" w:type="dxa"/>
            </w:tcMar>
          </w:tcPr>
          <w:p>
            <w:pPr>
              <w:pStyle w:val="BDOITable"/>
            </w:pPr>
            <w:r>
              <w:rPr>
                <w:sz w:val="17"/>
              </w:rPr>
              <w:t>Low</w:t>
            </w:r>
          </w:p>
        </w:tc>
      </w:tr>
      <w:tr>
        <w:trPr>
          <w:cantSplit w:val="true"/>
        </w:trPr>
        <w:tc>
          <w:tcPr>
            <w:tcW w:type="dxa" w:w="894"/>
            <w:tcMar>
              <w:top w:w="50" w:type="dxa"/>
              <w:bottom w:w="50" w:type="dxa"/>
              <w:left w:w="90" w:type="dxa"/>
              <w:right w:w="90" w:type="dxa"/>
            </w:tcMar>
            <w:shd w:val="clear" w:color="auto" w:fill="E5F5FF"/>
          </w:tcPr>
          <w:p>
            <w:pPr>
              <w:pStyle w:val="BDOITable"/>
            </w:pPr>
            <w:r>
              <w:rPr>
                <w:b/>
                <w:sz w:val="17"/>
              </w:rPr>
              <w:t>TB6</w:t>
            </w:r>
          </w:p>
        </w:tc>
        <w:tc>
          <w:tcPr>
            <w:tcW w:type="dxa" w:w="963"/>
            <w:tcMar>
              <w:top w:w="50" w:type="dxa"/>
              <w:bottom w:w="50" w:type="dxa"/>
              <w:left w:w="90" w:type="dxa"/>
              <w:right w:w="90" w:type="dxa"/>
            </w:tcMar>
            <w:shd w:val="clear" w:color="auto" w:fill="E5F5FF"/>
          </w:tcPr>
          <w:p>
            <w:pPr>
              <w:pStyle w:val="BDOITable"/>
            </w:pPr>
            <w:r>
              <w:rPr>
                <w:sz w:val="17"/>
              </w:rPr>
              <w:t>D</w:t>
            </w:r>
          </w:p>
        </w:tc>
        <w:tc>
          <w:tcPr>
            <w:tcW w:type="dxa" w:w="3026"/>
            <w:tcMar>
              <w:top w:w="50" w:type="dxa"/>
              <w:bottom w:w="50" w:type="dxa"/>
              <w:left w:w="90" w:type="dxa"/>
              <w:right w:w="90" w:type="dxa"/>
            </w:tcMar>
            <w:shd w:val="clear" w:color="auto" w:fill="E5F5FF"/>
          </w:tcPr>
          <w:p>
            <w:pPr>
              <w:pStyle w:val="BDOITable"/>
            </w:pPr>
            <w:r>
              <w:rPr>
                <w:sz w:val="17"/>
              </w:rPr>
              <w:t>Deletion of documents</w:t>
            </w:r>
          </w:p>
        </w:tc>
        <w:tc>
          <w:tcPr>
            <w:tcW w:type="dxa" w:w="3989"/>
            <w:tcMar>
              <w:top w:w="50" w:type="dxa"/>
              <w:bottom w:w="50" w:type="dxa"/>
              <w:left w:w="90" w:type="dxa"/>
              <w:right w:w="90" w:type="dxa"/>
            </w:tcMar>
            <w:shd w:val="clear" w:color="auto" w:fill="E5F5FF"/>
          </w:tcPr>
          <w:p>
            <w:pPr>
              <w:pStyle w:val="BDOITable"/>
            </w:pPr>
            <w:r>
              <w:rPr>
                <w:sz w:val="17"/>
              </w:rPr>
              <w:t>Versioning, Object Lock (governance), legal hold, cross-region replication</w:t>
            </w:r>
          </w:p>
        </w:tc>
        <w:tc>
          <w:tcPr>
            <w:tcW w:type="dxa" w:w="1100"/>
            <w:tcMar>
              <w:top w:w="50" w:type="dxa"/>
              <w:bottom w:w="50" w:type="dxa"/>
              <w:left w:w="90" w:type="dxa"/>
              <w:right w:w="90" w:type="dxa"/>
            </w:tcMar>
            <w:shd w:val="clear" w:color="auto" w:fill="E5F5FF"/>
          </w:tcPr>
          <w:p>
            <w:pPr>
              <w:pStyle w:val="BDOITable"/>
            </w:pPr>
            <w:r>
              <w:rPr>
                <w:sz w:val="17"/>
              </w:rPr>
              <w:t>Low</w:t>
            </w:r>
          </w:p>
        </w:tc>
      </w:tr>
      <w:tr>
        <w:trPr>
          <w:cantSplit w:val="true"/>
        </w:trPr>
        <w:tc>
          <w:tcPr>
            <w:tcW w:type="dxa" w:w="894"/>
            <w:tcMar>
              <w:top w:w="50" w:type="dxa"/>
              <w:bottom w:w="50" w:type="dxa"/>
              <w:left w:w="90" w:type="dxa"/>
              <w:right w:w="90" w:type="dxa"/>
            </w:tcMar>
          </w:tcPr>
          <w:p>
            <w:pPr>
              <w:pStyle w:val="BDOITable"/>
            </w:pPr>
            <w:r>
              <w:rPr>
                <w:b/>
                <w:sz w:val="17"/>
              </w:rPr>
              <w:t>TB7</w:t>
            </w:r>
          </w:p>
        </w:tc>
        <w:tc>
          <w:tcPr>
            <w:tcW w:type="dxa" w:w="963"/>
            <w:tcMar>
              <w:top w:w="50" w:type="dxa"/>
              <w:bottom w:w="50" w:type="dxa"/>
              <w:left w:w="90" w:type="dxa"/>
              <w:right w:w="90" w:type="dxa"/>
            </w:tcMar>
          </w:tcPr>
          <w:p>
            <w:pPr>
              <w:pStyle w:val="BDOITable"/>
            </w:pPr>
            <w:r>
              <w:rPr>
                <w:sz w:val="17"/>
              </w:rPr>
              <w:t>T</w:t>
            </w:r>
          </w:p>
        </w:tc>
        <w:tc>
          <w:tcPr>
            <w:tcW w:type="dxa" w:w="3026"/>
            <w:tcMar>
              <w:top w:w="50" w:type="dxa"/>
              <w:bottom w:w="50" w:type="dxa"/>
              <w:left w:w="90" w:type="dxa"/>
              <w:right w:w="90" w:type="dxa"/>
            </w:tcMar>
          </w:tcPr>
          <w:p>
            <w:pPr>
              <w:pStyle w:val="BDOITable"/>
            </w:pPr>
            <w:r>
              <w:rPr>
                <w:sz w:val="17"/>
              </w:rPr>
              <w:t>Compromised dependency or base image</w:t>
            </w:r>
          </w:p>
        </w:tc>
        <w:tc>
          <w:tcPr>
            <w:tcW w:type="dxa" w:w="3989"/>
            <w:tcMar>
              <w:top w:w="50" w:type="dxa"/>
              <w:bottom w:w="50" w:type="dxa"/>
              <w:left w:w="90" w:type="dxa"/>
              <w:right w:w="90" w:type="dxa"/>
            </w:tcMar>
          </w:tcPr>
          <w:p>
            <w:pPr>
              <w:pStyle w:val="BDOITable"/>
            </w:pPr>
            <w:r>
              <w:rPr>
                <w:sz w:val="17"/>
              </w:rPr>
              <w:t>SCA and Trivy gates, digest-pinned images, pinned pipeline actions, SBOM; image signing (SEC-11)</w:t>
            </w:r>
          </w:p>
        </w:tc>
        <w:tc>
          <w:tcPr>
            <w:tcW w:type="dxa" w:w="1100"/>
            <w:tcMar>
              <w:top w:w="50" w:type="dxa"/>
              <w:bottom w:w="50" w:type="dxa"/>
              <w:left w:w="90" w:type="dxa"/>
              <w:right w:w="90" w:type="dxa"/>
            </w:tcMar>
          </w:tcPr>
          <w:p>
            <w:pPr>
              <w:pStyle w:val="BDOITable"/>
            </w:pPr>
            <w:r>
              <w:rPr>
                <w:sz w:val="17"/>
              </w:rPr>
              <w:t>Medium</w:t>
            </w:r>
          </w:p>
        </w:tc>
      </w:tr>
      <w:tr>
        <w:trPr>
          <w:cantSplit w:val="true"/>
        </w:trPr>
        <w:tc>
          <w:tcPr>
            <w:tcW w:type="dxa" w:w="894"/>
            <w:tcMar>
              <w:top w:w="50" w:type="dxa"/>
              <w:bottom w:w="50" w:type="dxa"/>
              <w:left w:w="90" w:type="dxa"/>
              <w:right w:w="90" w:type="dxa"/>
            </w:tcMar>
            <w:shd w:val="clear" w:color="auto" w:fill="E5F5FF"/>
          </w:tcPr>
          <w:p>
            <w:pPr>
              <w:pStyle w:val="BDOITable"/>
            </w:pPr>
            <w:r>
              <w:rPr>
                <w:b/>
                <w:sz w:val="17"/>
              </w:rPr>
              <w:t>TB7</w:t>
            </w:r>
          </w:p>
        </w:tc>
        <w:tc>
          <w:tcPr>
            <w:tcW w:type="dxa" w:w="963"/>
            <w:tcMar>
              <w:top w:w="50" w:type="dxa"/>
              <w:bottom w:w="50" w:type="dxa"/>
              <w:left w:w="90" w:type="dxa"/>
              <w:right w:w="90" w:type="dxa"/>
            </w:tcMar>
            <w:shd w:val="clear" w:color="auto" w:fill="E5F5FF"/>
          </w:tcPr>
          <w:p>
            <w:pPr>
              <w:pStyle w:val="BDOITable"/>
            </w:pPr>
            <w:r>
              <w:rPr>
                <w:sz w:val="17"/>
              </w:rPr>
              <w:t>I</w:t>
            </w:r>
          </w:p>
        </w:tc>
        <w:tc>
          <w:tcPr>
            <w:tcW w:type="dxa" w:w="3026"/>
            <w:tcMar>
              <w:top w:w="50" w:type="dxa"/>
              <w:bottom w:w="50" w:type="dxa"/>
              <w:left w:w="90" w:type="dxa"/>
              <w:right w:w="90" w:type="dxa"/>
            </w:tcMar>
            <w:shd w:val="clear" w:color="auto" w:fill="E5F5FF"/>
          </w:tcPr>
          <w:p>
            <w:pPr>
              <w:pStyle w:val="BDOITable"/>
            </w:pPr>
            <w:r>
              <w:rPr>
                <w:sz w:val="17"/>
              </w:rPr>
              <w:t>Secret written into version control</w:t>
            </w:r>
          </w:p>
        </w:tc>
        <w:tc>
          <w:tcPr>
            <w:tcW w:type="dxa" w:w="3989"/>
            <w:tcMar>
              <w:top w:w="50" w:type="dxa"/>
              <w:bottom w:w="50" w:type="dxa"/>
              <w:left w:w="90" w:type="dxa"/>
              <w:right w:w="90" w:type="dxa"/>
            </w:tcMar>
            <w:shd w:val="clear" w:color="auto" w:fill="E5F5FF"/>
          </w:tcPr>
          <w:p>
            <w:pPr>
              <w:pStyle w:val="BDOITable"/>
            </w:pPr>
            <w:r>
              <w:rPr>
                <w:sz w:val="17"/>
              </w:rPr>
              <w:t>gitleaks over the full history on every pipeline; secrets only in Secrets Manager</w:t>
            </w:r>
          </w:p>
        </w:tc>
        <w:tc>
          <w:tcPr>
            <w:tcW w:type="dxa" w:w="1100"/>
            <w:tcMar>
              <w:top w:w="50" w:type="dxa"/>
              <w:bottom w:w="50" w:type="dxa"/>
              <w:left w:w="90" w:type="dxa"/>
              <w:right w:w="90" w:type="dxa"/>
            </w:tcMar>
            <w:shd w:val="clear" w:color="auto" w:fill="E5F5FF"/>
          </w:tcPr>
          <w:p>
            <w:pPr>
              <w:pStyle w:val="BDOITable"/>
            </w:pPr>
            <w:r>
              <w:rPr>
                <w:sz w:val="17"/>
              </w:rPr>
              <w:t>Low</w:t>
            </w:r>
          </w:p>
        </w:tc>
      </w:tr>
      <w:tr>
        <w:trPr>
          <w:cantSplit w:val="true"/>
        </w:trPr>
        <w:tc>
          <w:tcPr>
            <w:tcW w:type="dxa" w:w="894"/>
            <w:tcMar>
              <w:top w:w="50" w:type="dxa"/>
              <w:bottom w:w="50" w:type="dxa"/>
              <w:left w:w="90" w:type="dxa"/>
              <w:right w:w="90" w:type="dxa"/>
            </w:tcMar>
          </w:tcPr>
          <w:p>
            <w:pPr>
              <w:pStyle w:val="BDOITable"/>
            </w:pPr>
            <w:r>
              <w:rPr>
                <w:b/>
                <w:sz w:val="17"/>
              </w:rPr>
              <w:t>DF8</w:t>
            </w:r>
          </w:p>
        </w:tc>
        <w:tc>
          <w:tcPr>
            <w:tcW w:type="dxa" w:w="963"/>
            <w:tcMar>
              <w:top w:w="50" w:type="dxa"/>
              <w:bottom w:w="50" w:type="dxa"/>
              <w:left w:w="90" w:type="dxa"/>
              <w:right w:w="90" w:type="dxa"/>
            </w:tcMar>
          </w:tcPr>
          <w:p>
            <w:pPr>
              <w:pStyle w:val="BDOITable"/>
            </w:pPr>
            <w:r>
              <w:rPr>
                <w:sz w:val="17"/>
              </w:rPr>
              <w:t>I</w:t>
            </w:r>
          </w:p>
        </w:tc>
        <w:tc>
          <w:tcPr>
            <w:tcW w:type="dxa" w:w="3026"/>
            <w:tcMar>
              <w:top w:w="50" w:type="dxa"/>
              <w:bottom w:w="50" w:type="dxa"/>
              <w:left w:w="90" w:type="dxa"/>
              <w:right w:w="90" w:type="dxa"/>
            </w:tcMar>
          </w:tcPr>
          <w:p>
            <w:pPr>
              <w:pStyle w:val="BDOITable"/>
            </w:pPr>
            <w:r>
              <w:rPr>
                <w:sz w:val="17"/>
              </w:rPr>
              <w:t>Personal data exposed in non-production migration</w:t>
            </w:r>
          </w:p>
        </w:tc>
        <w:tc>
          <w:tcPr>
            <w:tcW w:type="dxa" w:w="3989"/>
            <w:tcMar>
              <w:top w:w="50" w:type="dxa"/>
              <w:bottom w:w="50" w:type="dxa"/>
              <w:left w:w="90" w:type="dxa"/>
              <w:right w:w="90" w:type="dxa"/>
            </w:tcMar>
          </w:tcPr>
          <w:p>
            <w:pPr>
              <w:pStyle w:val="BDOITable"/>
            </w:pPr>
            <w:r>
              <w:rPr>
                <w:sz w:val="17"/>
              </w:rPr>
              <w:t>Keyed masking before staging outside production; staging purged within 5 days of sign-off; migration bucket restricted to the migration role</w:t>
            </w:r>
          </w:p>
        </w:tc>
        <w:tc>
          <w:tcPr>
            <w:tcW w:type="dxa" w:w="1100"/>
            <w:tcMar>
              <w:top w:w="50" w:type="dxa"/>
              <w:bottom w:w="50" w:type="dxa"/>
              <w:left w:w="90" w:type="dxa"/>
              <w:right w:w="90" w:type="dxa"/>
            </w:tcMar>
          </w:tcPr>
          <w:p>
            <w:pPr>
              <w:pStyle w:val="BDOITable"/>
            </w:pPr>
            <w:r>
              <w:rPr>
                <w:sz w:val="17"/>
              </w:rPr>
              <w:t>Low</w:t>
            </w:r>
          </w:p>
        </w:tc>
      </w:tr>
    </w:tbl>
    <w:p>
      <w:pPr>
        <w:pStyle w:val="BDOISpacer"/>
      </w:pPr>
    </w:p>
    <w:p>
      <w:pPr>
        <w:pStyle w:val="Heading1"/>
        <w:pageBreakBefore/>
        <w:pBdr>
          <w:bottom w:val="single" w:sz="4" w:space="4" w:color="99C1E7"/>
        </w:pBdr>
      </w:pPr>
      <w:bookmarkStart w:id="134" w:name="_Toc000134"/>
      <w:r>
        <w:rPr/>
        <w:t>10 Security testing in the pipeline</w:t>
      </w:r>
      <w:bookmarkEnd w:id="134"/>
    </w:p>
    <w:p>
      <w:pPr>
        <w:keepNext/>
        <w:spacing w:before="80" w:after="0"/>
        <w:jc w:val="center"/>
      </w:pPr>
      <w:r>
        <w:drawing>
          <wp:inline xmlns:a="http://schemas.openxmlformats.org/drawingml/2006/main" xmlns:pic="http://schemas.openxmlformats.org/drawingml/2006/picture">
            <wp:extent cx="4320000" cy="3039601"/>
            <wp:docPr id="6" name="Picture 6"/>
            <wp:cNvGraphicFramePr>
              <a:graphicFrameLocks noChangeAspect="1"/>
            </wp:cNvGraphicFramePr>
            <a:graphic>
              <a:graphicData uri="http://schemas.openxmlformats.org/drawingml/2006/picture">
                <pic:pic>
                  <pic:nvPicPr>
                    <pic:cNvPr id="0" name="sa_pipeline_803.jpg"/>
                    <pic:cNvPicPr/>
                  </pic:nvPicPr>
                  <pic:blipFill>
                    <a:blip r:embed="rId26"/>
                    <a:stretch>
                      <a:fillRect/>
                    </a:stretch>
                  </pic:blipFill>
                  <pic:spPr>
                    <a:xfrm>
                      <a:off x="0" y="0"/>
                      <a:ext cx="4320000" cy="3039601"/>
                    </a:xfrm>
                    <a:prstGeom prst="rect"/>
                  </pic:spPr>
                </pic:pic>
              </a:graphicData>
            </a:graphic>
          </wp:inline>
        </w:drawing>
      </w:r>
    </w:p>
    <w:p>
      <w:pPr>
        <w:pStyle w:val="Caption"/>
        <w:jc w:val="center"/>
      </w:pPr>
      <w:r>
        <w:rPr>
          <w:b/>
          <w:i w:val="0"/>
        </w:rPr>
        <w:t xml:space="preserve">Figure 4: </w:t>
      </w:r>
      <w:r>
        <w:rPr/>
        <w:t>Security gates of the CI pipeline</w:t>
      </w:r>
    </w:p>
    <w:p>
      <w:pPr>
        <w:pStyle w:val="Caption"/>
        <w:keepNext/>
        <w:spacing w:after="60"/>
      </w:pPr>
      <w:r>
        <w:rPr>
          <w:b/>
          <w:i w:val="0"/>
        </w:rPr>
        <w:t xml:space="preserve">Table 19: </w:t>
      </w:r>
      <w:r>
        <w:rPr/>
        <w:t>Security testing</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41"/>
        <w:gridCol w:w="2915"/>
        <w:gridCol w:w="2761"/>
        <w:gridCol w:w="2454"/>
      </w:tblGrid>
      <w:tr>
        <w:trPr>
          <w:tblHeader w:val="true"/>
          <w:cantSplit w:val="true"/>
        </w:trPr>
        <w:tc>
          <w:tcPr>
            <w:tcW w:type="dxa" w:w="1841"/>
            <w:shd w:val="clear" w:color="auto" w:fill="004EA8"/>
            <w:tcMar>
              <w:top w:w="50" w:type="dxa"/>
              <w:bottom w:w="50" w:type="dxa"/>
              <w:left w:w="90" w:type="dxa"/>
              <w:right w:w="90" w:type="dxa"/>
            </w:tcMar>
            <w:vAlign w:val="center"/>
          </w:tcPr>
          <w:p>
            <w:pPr>
              <w:pStyle w:val="BDOITableHeader"/>
            </w:pPr>
            <w:r>
              <w:rPr>
                <w:b/>
                <w:color w:val="FFFFFF"/>
                <w:sz w:val="18"/>
              </w:rPr>
              <w:t>Test</w:t>
            </w:r>
          </w:p>
        </w:tc>
        <w:tc>
          <w:tcPr>
            <w:tcW w:type="dxa" w:w="2915"/>
            <w:shd w:val="clear" w:color="auto" w:fill="004EA8"/>
            <w:tcMar>
              <w:top w:w="50" w:type="dxa"/>
              <w:bottom w:w="50" w:type="dxa"/>
              <w:left w:w="90" w:type="dxa"/>
              <w:right w:w="90" w:type="dxa"/>
            </w:tcMar>
            <w:vAlign w:val="center"/>
          </w:tcPr>
          <w:p>
            <w:pPr>
              <w:pStyle w:val="BDOITableHeader"/>
            </w:pPr>
            <w:r>
              <w:rPr>
                <w:b/>
                <w:color w:val="FFFFFF"/>
                <w:sz w:val="18"/>
              </w:rPr>
              <w:t>Tool and scope</w:t>
            </w:r>
          </w:p>
        </w:tc>
        <w:tc>
          <w:tcPr>
            <w:tcW w:type="dxa" w:w="2761"/>
            <w:shd w:val="clear" w:color="auto" w:fill="004EA8"/>
            <w:tcMar>
              <w:top w:w="50" w:type="dxa"/>
              <w:bottom w:w="50" w:type="dxa"/>
              <w:left w:w="90" w:type="dxa"/>
              <w:right w:w="90" w:type="dxa"/>
            </w:tcMar>
            <w:vAlign w:val="center"/>
          </w:tcPr>
          <w:p>
            <w:pPr>
              <w:pStyle w:val="BDOITableHeader"/>
            </w:pPr>
            <w:r>
              <w:rPr>
                <w:b/>
                <w:color w:val="FFFFFF"/>
                <w:sz w:val="18"/>
              </w:rPr>
              <w:t>Fails the pipeline on</w:t>
            </w:r>
          </w:p>
        </w:tc>
        <w:tc>
          <w:tcPr>
            <w:tcW w:type="dxa" w:w="2455"/>
            <w:shd w:val="clear" w:color="auto" w:fill="004EA8"/>
            <w:tcMar>
              <w:top w:w="50" w:type="dxa"/>
              <w:bottom w:w="50" w:type="dxa"/>
              <w:left w:w="90" w:type="dxa"/>
              <w:right w:w="90" w:type="dxa"/>
            </w:tcMar>
            <w:vAlign w:val="center"/>
          </w:tcPr>
          <w:p>
            <w:pPr>
              <w:pStyle w:val="BDOITableHeader"/>
            </w:pPr>
            <w:r>
              <w:rPr>
                <w:b/>
                <w:color w:val="FFFFFF"/>
                <w:sz w:val="18"/>
              </w:rPr>
              <w:t>Exceptions</w:t>
            </w:r>
          </w:p>
        </w:tc>
      </w:tr>
      <w:tr>
        <w:trPr>
          <w:cantSplit w:val="true"/>
        </w:trPr>
        <w:tc>
          <w:tcPr>
            <w:tcW w:type="dxa" w:w="1841"/>
            <w:tcMar>
              <w:top w:w="50" w:type="dxa"/>
              <w:bottom w:w="50" w:type="dxa"/>
              <w:left w:w="90" w:type="dxa"/>
              <w:right w:w="90" w:type="dxa"/>
            </w:tcMar>
          </w:tcPr>
          <w:p>
            <w:pPr>
              <w:pStyle w:val="BDOITable"/>
            </w:pPr>
            <w:r>
              <w:rPr>
                <w:b/>
                <w:sz w:val="18"/>
              </w:rPr>
              <w:t>SAST</w:t>
            </w:r>
          </w:p>
        </w:tc>
        <w:tc>
          <w:tcPr>
            <w:tcW w:type="dxa" w:w="2915"/>
            <w:tcMar>
              <w:top w:w="50" w:type="dxa"/>
              <w:bottom w:w="50" w:type="dxa"/>
              <w:left w:w="90" w:type="dxa"/>
              <w:right w:w="90" w:type="dxa"/>
            </w:tcMar>
          </w:tcPr>
          <w:p>
            <w:pPr>
              <w:pStyle w:val="BDOITable"/>
            </w:pPr>
            <w:r>
              <w:rPr>
                <w:sz w:val="18"/>
              </w:rPr>
              <w:t>CodeQL (Java and TypeScript) on every push and merge request and weekly; SpotBugs security plug-in, PMD, SonarJS in every compile</w:t>
            </w:r>
          </w:p>
        </w:tc>
        <w:tc>
          <w:tcPr>
            <w:tcW w:type="dxa" w:w="2761"/>
            <w:tcMar>
              <w:top w:w="50" w:type="dxa"/>
              <w:bottom w:w="50" w:type="dxa"/>
              <w:left w:w="90" w:type="dxa"/>
              <w:right w:w="90" w:type="dxa"/>
            </w:tcMar>
          </w:tcPr>
          <w:p>
            <w:pPr>
              <w:pStyle w:val="BDOITable"/>
            </w:pPr>
            <w:r>
              <w:rPr>
                <w:sz w:val="18"/>
              </w:rPr>
              <w:t>Findings of the configured rule sets</w:t>
            </w:r>
          </w:p>
        </w:tc>
        <w:tc>
          <w:tcPr>
            <w:tcW w:type="dxa" w:w="2455"/>
            <w:tcMar>
              <w:top w:w="50" w:type="dxa"/>
              <w:bottom w:w="50" w:type="dxa"/>
              <w:left w:w="90" w:type="dxa"/>
              <w:right w:w="90" w:type="dxa"/>
            </w:tcMar>
          </w:tcPr>
          <w:p>
            <w:pPr>
              <w:pStyle w:val="BDOITable"/>
            </w:pPr>
            <w:r>
              <w:rPr>
                <w:sz w:val="18"/>
              </w:rPr>
              <w:t>Written justification next to the rule exclusion</w:t>
            </w:r>
          </w:p>
        </w:tc>
      </w:tr>
      <w:tr>
        <w:trPr>
          <w:cantSplit w:val="true"/>
        </w:trPr>
        <w:tc>
          <w:tcPr>
            <w:tcW w:type="dxa" w:w="1841"/>
            <w:tcMar>
              <w:top w:w="50" w:type="dxa"/>
              <w:bottom w:w="50" w:type="dxa"/>
              <w:left w:w="90" w:type="dxa"/>
              <w:right w:w="90" w:type="dxa"/>
            </w:tcMar>
            <w:shd w:val="clear" w:color="auto" w:fill="E5F5FF"/>
          </w:tcPr>
          <w:p>
            <w:pPr>
              <w:pStyle w:val="BDOITable"/>
            </w:pPr>
            <w:r>
              <w:rPr>
                <w:b/>
                <w:sz w:val="18"/>
              </w:rPr>
              <w:t>SCA</w:t>
            </w:r>
          </w:p>
        </w:tc>
        <w:tc>
          <w:tcPr>
            <w:tcW w:type="dxa" w:w="2915"/>
            <w:tcMar>
              <w:top w:w="50" w:type="dxa"/>
              <w:bottom w:w="50" w:type="dxa"/>
              <w:left w:w="90" w:type="dxa"/>
              <w:right w:w="90" w:type="dxa"/>
            </w:tcMar>
            <w:shd w:val="clear" w:color="auto" w:fill="E5F5FF"/>
          </w:tcPr>
          <w:p>
            <w:pPr>
              <w:pStyle w:val="BDOITable"/>
            </w:pPr>
            <w:r>
              <w:rPr>
                <w:sz w:val="18"/>
              </w:rPr>
              <w:t>OWASP dependency-check (NVD data) for Java; npm audit for the web client; weekly update proposals</w:t>
            </w:r>
          </w:p>
        </w:tc>
        <w:tc>
          <w:tcPr>
            <w:tcW w:type="dxa" w:w="2761"/>
            <w:tcMar>
              <w:top w:w="50" w:type="dxa"/>
              <w:bottom w:w="50" w:type="dxa"/>
              <w:left w:w="90" w:type="dxa"/>
              <w:right w:w="90" w:type="dxa"/>
            </w:tcMar>
            <w:shd w:val="clear" w:color="auto" w:fill="E5F5FF"/>
          </w:tcPr>
          <w:p>
            <w:pPr>
              <w:pStyle w:val="BDOITable"/>
            </w:pPr>
            <w:r>
              <w:rPr>
                <w:sz w:val="18"/>
              </w:rPr>
              <w:t>CVSS 7.0 or higher; high or critical advisory</w:t>
            </w:r>
          </w:p>
        </w:tc>
        <w:tc>
          <w:tcPr>
            <w:tcW w:type="dxa" w:w="2455"/>
            <w:tcMar>
              <w:top w:w="50" w:type="dxa"/>
              <w:bottom w:w="50" w:type="dxa"/>
              <w:left w:w="90" w:type="dxa"/>
              <w:right w:w="90" w:type="dxa"/>
            </w:tcMar>
            <w:shd w:val="clear" w:color="auto" w:fill="E5F5FF"/>
          </w:tcPr>
          <w:p>
            <w:pPr>
              <w:pStyle w:val="BDOITable"/>
            </w:pPr>
            <w:r>
              <w:rPr>
                <w:sz w:val="18"/>
              </w:rPr>
              <w:t>Suppression file entries with reason and an expiry (at most 6 months)</w:t>
            </w:r>
          </w:p>
        </w:tc>
      </w:tr>
      <w:tr>
        <w:trPr>
          <w:cantSplit w:val="true"/>
        </w:trPr>
        <w:tc>
          <w:tcPr>
            <w:tcW w:type="dxa" w:w="1841"/>
            <w:tcMar>
              <w:top w:w="50" w:type="dxa"/>
              <w:bottom w:w="50" w:type="dxa"/>
              <w:left w:w="90" w:type="dxa"/>
              <w:right w:w="90" w:type="dxa"/>
            </w:tcMar>
          </w:tcPr>
          <w:p>
            <w:pPr>
              <w:pStyle w:val="BDOITable"/>
            </w:pPr>
            <w:r>
              <w:rPr>
                <w:b/>
                <w:sz w:val="18"/>
              </w:rPr>
              <w:t>Secrets</w:t>
            </w:r>
          </w:p>
        </w:tc>
        <w:tc>
          <w:tcPr>
            <w:tcW w:type="dxa" w:w="2915"/>
            <w:tcMar>
              <w:top w:w="50" w:type="dxa"/>
              <w:bottom w:w="50" w:type="dxa"/>
              <w:left w:w="90" w:type="dxa"/>
              <w:right w:w="90" w:type="dxa"/>
            </w:tcMar>
          </w:tcPr>
          <w:p>
            <w:pPr>
              <w:pStyle w:val="BDOITable"/>
            </w:pPr>
            <w:r>
              <w:rPr>
                <w:sz w:val="18"/>
              </w:rPr>
              <w:t>gitleaks over the full history, release archive checked against its SHA-256</w:t>
            </w:r>
          </w:p>
        </w:tc>
        <w:tc>
          <w:tcPr>
            <w:tcW w:type="dxa" w:w="2761"/>
            <w:tcMar>
              <w:top w:w="50" w:type="dxa"/>
              <w:bottom w:w="50" w:type="dxa"/>
              <w:left w:w="90" w:type="dxa"/>
              <w:right w:w="90" w:type="dxa"/>
            </w:tcMar>
          </w:tcPr>
          <w:p>
            <w:pPr>
              <w:pStyle w:val="BDOITable"/>
            </w:pPr>
            <w:r>
              <w:rPr>
                <w:sz w:val="18"/>
              </w:rPr>
              <w:t>Any finding</w:t>
            </w:r>
          </w:p>
        </w:tc>
        <w:tc>
          <w:tcPr>
            <w:tcW w:type="dxa" w:w="2455"/>
            <w:tcMar>
              <w:top w:w="50" w:type="dxa"/>
              <w:bottom w:w="50" w:type="dxa"/>
              <w:left w:w="90" w:type="dxa"/>
              <w:right w:w="90" w:type="dxa"/>
            </w:tcMar>
          </w:tcPr>
          <w:p>
            <w:pPr>
              <w:pStyle w:val="BDOITable"/>
            </w:pPr>
            <w:r>
              <w:rPr>
                <w:sz w:val="18"/>
              </w:rPr>
              <w:t>Reviewed fingerprints with reason, reviewer and review date</w:t>
            </w:r>
          </w:p>
        </w:tc>
      </w:tr>
      <w:tr>
        <w:trPr>
          <w:cantSplit w:val="true"/>
        </w:trPr>
        <w:tc>
          <w:tcPr>
            <w:tcW w:type="dxa" w:w="1841"/>
            <w:tcMar>
              <w:top w:w="50" w:type="dxa"/>
              <w:bottom w:w="50" w:type="dxa"/>
              <w:left w:w="90" w:type="dxa"/>
              <w:right w:w="90" w:type="dxa"/>
            </w:tcMar>
            <w:shd w:val="clear" w:color="auto" w:fill="E5F5FF"/>
          </w:tcPr>
          <w:p>
            <w:pPr>
              <w:pStyle w:val="BDOITable"/>
            </w:pPr>
            <w:r>
              <w:rPr>
                <w:b/>
                <w:sz w:val="18"/>
              </w:rPr>
              <w:t>Container</w:t>
            </w:r>
          </w:p>
        </w:tc>
        <w:tc>
          <w:tcPr>
            <w:tcW w:type="dxa" w:w="2915"/>
            <w:tcMar>
              <w:top w:w="50" w:type="dxa"/>
              <w:bottom w:w="50" w:type="dxa"/>
              <w:left w:w="90" w:type="dxa"/>
              <w:right w:w="90" w:type="dxa"/>
            </w:tcMar>
            <w:shd w:val="clear" w:color="auto" w:fill="E5F5FF"/>
          </w:tcPr>
          <w:p>
            <w:pPr>
              <w:pStyle w:val="BDOITable"/>
            </w:pPr>
            <w:r>
              <w:rPr>
                <w:sz w:val="18"/>
              </w:rPr>
              <w:t>Trivy on both images (OS packages, application libraries, secrets)</w:t>
            </w:r>
          </w:p>
        </w:tc>
        <w:tc>
          <w:tcPr>
            <w:tcW w:type="dxa" w:w="2761"/>
            <w:tcMar>
              <w:top w:w="50" w:type="dxa"/>
              <w:bottom w:w="50" w:type="dxa"/>
              <w:left w:w="90" w:type="dxa"/>
              <w:right w:w="90" w:type="dxa"/>
            </w:tcMar>
            <w:shd w:val="clear" w:color="auto" w:fill="E5F5FF"/>
          </w:tcPr>
          <w:p>
            <w:pPr>
              <w:pStyle w:val="BDOITable"/>
            </w:pPr>
            <w:r>
              <w:rPr>
                <w:sz w:val="18"/>
              </w:rPr>
              <w:t>High or critical vulnerability with a fix available</w:t>
            </w:r>
          </w:p>
        </w:tc>
        <w:tc>
          <w:tcPr>
            <w:tcW w:type="dxa" w:w="2455"/>
            <w:tcMar>
              <w:top w:w="50" w:type="dxa"/>
              <w:bottom w:w="50" w:type="dxa"/>
              <w:left w:w="90" w:type="dxa"/>
              <w:right w:w="90" w:type="dxa"/>
            </w:tcMar>
            <w:shd w:val="clear" w:color="auto" w:fill="E5F5FF"/>
          </w:tcPr>
          <w:p>
            <w:pPr>
              <w:pStyle w:val="BDOITable"/>
            </w:pPr>
            <w:r>
              <w:rPr>
                <w:sz w:val="18"/>
              </w:rPr>
              <w:t>Trivy ignore file (YAML) entries with statement and expiry date</w:t>
            </w:r>
          </w:p>
        </w:tc>
      </w:tr>
      <w:tr>
        <w:trPr>
          <w:cantSplit w:val="true"/>
        </w:trPr>
        <w:tc>
          <w:tcPr>
            <w:tcW w:type="dxa" w:w="1841"/>
            <w:tcMar>
              <w:top w:w="50" w:type="dxa"/>
              <w:bottom w:w="50" w:type="dxa"/>
              <w:left w:w="90" w:type="dxa"/>
              <w:right w:w="90" w:type="dxa"/>
            </w:tcMar>
          </w:tcPr>
          <w:p>
            <w:pPr>
              <w:pStyle w:val="BDOITable"/>
            </w:pPr>
            <w:r>
              <w:rPr>
                <w:b/>
                <w:sz w:val="18"/>
              </w:rPr>
              <w:t>SBOM</w:t>
            </w:r>
          </w:p>
        </w:tc>
        <w:tc>
          <w:tcPr>
            <w:tcW w:type="dxa" w:w="2915"/>
            <w:tcMar>
              <w:top w:w="50" w:type="dxa"/>
              <w:bottom w:w="50" w:type="dxa"/>
              <w:left w:w="90" w:type="dxa"/>
              <w:right w:w="90" w:type="dxa"/>
            </w:tcMar>
          </w:tcPr>
          <w:p>
            <w:pPr>
              <w:pStyle w:val="BDOITable"/>
            </w:pPr>
            <w:r>
              <w:rPr>
                <w:sz w:val="18"/>
              </w:rPr>
              <w:t>CycloneDX for the backend and the web client runtime dependencies</w:t>
            </w:r>
          </w:p>
        </w:tc>
        <w:tc>
          <w:tcPr>
            <w:tcW w:type="dxa" w:w="2761"/>
            <w:tcMar>
              <w:top w:w="50" w:type="dxa"/>
              <w:bottom w:w="50" w:type="dxa"/>
              <w:left w:w="90" w:type="dxa"/>
              <w:right w:w="90" w:type="dxa"/>
            </w:tcMar>
          </w:tcPr>
          <w:p>
            <w:pPr>
              <w:pStyle w:val="BDOITable"/>
            </w:pPr>
            <w:r>
              <w:rPr>
                <w:sz w:val="18"/>
              </w:rPr>
              <w:t>Missing SBOM</w:t>
            </w:r>
          </w:p>
        </w:tc>
        <w:tc>
          <w:tcPr>
            <w:tcW w:type="dxa" w:w="2455"/>
            <w:tcMar>
              <w:top w:w="50" w:type="dxa"/>
              <w:bottom w:w="50" w:type="dxa"/>
              <w:left w:w="90" w:type="dxa"/>
              <w:right w:w="90" w:type="dxa"/>
            </w:tcMar>
          </w:tcPr>
          <w:p>
            <w:pPr>
              <w:pStyle w:val="BDOITable"/>
            </w:pPr>
            <w:r>
              <w:rPr>
                <w:sz w:val="18"/>
              </w:rPr>
              <w:t>-</w:t>
            </w:r>
          </w:p>
        </w:tc>
      </w:tr>
      <w:tr>
        <w:trPr>
          <w:cantSplit w:val="true"/>
        </w:trPr>
        <w:tc>
          <w:tcPr>
            <w:tcW w:type="dxa" w:w="1841"/>
            <w:tcMar>
              <w:top w:w="50" w:type="dxa"/>
              <w:bottom w:w="50" w:type="dxa"/>
              <w:left w:w="90" w:type="dxa"/>
              <w:right w:w="90" w:type="dxa"/>
            </w:tcMar>
            <w:shd w:val="clear" w:color="auto" w:fill="E5F5FF"/>
          </w:tcPr>
          <w:p>
            <w:pPr>
              <w:pStyle w:val="BDOITable"/>
            </w:pPr>
            <w:r>
              <w:rPr>
                <w:b/>
                <w:sz w:val="18"/>
              </w:rPr>
              <w:t>DAST (plan)</w:t>
            </w:r>
          </w:p>
        </w:tc>
        <w:tc>
          <w:tcPr>
            <w:tcW w:type="dxa" w:w="2915"/>
            <w:tcMar>
              <w:top w:w="50" w:type="dxa"/>
              <w:bottom w:w="50" w:type="dxa"/>
              <w:left w:w="90" w:type="dxa"/>
              <w:right w:w="90" w:type="dxa"/>
            </w:tcMar>
            <w:shd w:val="clear" w:color="auto" w:fill="E5F5FF"/>
          </w:tcPr>
          <w:p>
            <w:pPr>
              <w:pStyle w:val="BDOITable"/>
            </w:pPr>
            <w:r>
              <w:rPr>
                <w:sz w:val="18"/>
              </w:rPr>
              <w:t>OWASP ZAP baseline scan nightly against SIT from June 2027; authenticated full scan with the persona users against each UAT release from August 2027</w:t>
            </w:r>
          </w:p>
        </w:tc>
        <w:tc>
          <w:tcPr>
            <w:tcW w:type="dxa" w:w="2761"/>
            <w:tcMar>
              <w:top w:w="50" w:type="dxa"/>
              <w:bottom w:w="50" w:type="dxa"/>
              <w:left w:w="90" w:type="dxa"/>
              <w:right w:w="90" w:type="dxa"/>
            </w:tcMar>
            <w:shd w:val="clear" w:color="auto" w:fill="E5F5FF"/>
          </w:tcPr>
          <w:p>
            <w:pPr>
              <w:pStyle w:val="BDOITable"/>
            </w:pPr>
            <w:r>
              <w:rPr>
                <w:sz w:val="18"/>
              </w:rPr>
              <w:t>High findings block the UAT release</w:t>
            </w:r>
          </w:p>
        </w:tc>
        <w:tc>
          <w:tcPr>
            <w:tcW w:type="dxa" w:w="2455"/>
            <w:tcMar>
              <w:top w:w="50" w:type="dxa"/>
              <w:bottom w:w="50" w:type="dxa"/>
              <w:left w:w="90" w:type="dxa"/>
              <w:right w:w="90" w:type="dxa"/>
            </w:tcMar>
            <w:shd w:val="clear" w:color="auto" w:fill="E5F5FF"/>
          </w:tcPr>
          <w:p>
            <w:pPr>
              <w:pStyle w:val="BDOITable"/>
            </w:pPr>
            <w:r>
              <w:rPr>
                <w:sz w:val="18"/>
              </w:rPr>
              <w:t>Register as for SCA</w:t>
            </w:r>
          </w:p>
        </w:tc>
      </w:tr>
      <w:tr>
        <w:trPr>
          <w:cantSplit w:val="true"/>
        </w:trPr>
        <w:tc>
          <w:tcPr>
            <w:tcW w:type="dxa" w:w="1841"/>
            <w:tcMar>
              <w:top w:w="50" w:type="dxa"/>
              <w:bottom w:w="50" w:type="dxa"/>
              <w:left w:w="90" w:type="dxa"/>
              <w:right w:w="90" w:type="dxa"/>
            </w:tcMar>
          </w:tcPr>
          <w:p>
            <w:pPr>
              <w:pStyle w:val="BDOITable"/>
            </w:pPr>
            <w:r>
              <w:rPr>
                <w:b/>
                <w:sz w:val="18"/>
              </w:rPr>
              <w:t>Penetration test</w:t>
            </w:r>
          </w:p>
        </w:tc>
        <w:tc>
          <w:tcPr>
            <w:tcW w:type="dxa" w:w="2915"/>
            <w:tcMar>
              <w:top w:w="50" w:type="dxa"/>
              <w:bottom w:w="50" w:type="dxa"/>
              <w:left w:w="90" w:type="dxa"/>
              <w:right w:w="90" w:type="dxa"/>
            </w:tcMar>
          </w:tcPr>
          <w:p>
            <w:pPr>
              <w:pStyle w:val="BDOITable"/>
            </w:pPr>
            <w:r>
              <w:rPr>
                <w:sz w:val="18"/>
              </w:rPr>
              <w:t>Independent test of Pre-Prod, November to December 2027, scope agreed with BDOI Information Security</w:t>
            </w:r>
          </w:p>
        </w:tc>
        <w:tc>
          <w:tcPr>
            <w:tcW w:type="dxa" w:w="2761"/>
            <w:tcMar>
              <w:top w:w="50" w:type="dxa"/>
              <w:bottom w:w="50" w:type="dxa"/>
              <w:left w:w="90" w:type="dxa"/>
              <w:right w:w="90" w:type="dxa"/>
            </w:tcMar>
          </w:tcPr>
          <w:p>
            <w:pPr>
              <w:pStyle w:val="BDOITable"/>
            </w:pPr>
            <w:r>
              <w:rPr>
                <w:sz w:val="18"/>
              </w:rPr>
              <w:t>Critical or high findings block go-live</w:t>
            </w:r>
          </w:p>
        </w:tc>
        <w:tc>
          <w:tcPr>
            <w:tcW w:type="dxa" w:w="2455"/>
            <w:tcMar>
              <w:top w:w="50" w:type="dxa"/>
              <w:bottom w:w="50" w:type="dxa"/>
              <w:left w:w="90" w:type="dxa"/>
              <w:right w:w="90" w:type="dxa"/>
            </w:tcMar>
          </w:tcPr>
          <w:p>
            <w:pPr>
              <w:pStyle w:val="BDOITable"/>
            </w:pPr>
            <w:r>
              <w:rPr>
                <w:sz w:val="18"/>
              </w:rPr>
              <w:t>Risk acceptance by BDOI Information Security only</w:t>
            </w:r>
          </w:p>
        </w:tc>
      </w:tr>
    </w:tbl>
    <w:p>
      <w:pPr>
        <w:pStyle w:val="BDOISpacer"/>
      </w:pPr>
    </w:p>
    <w:p>
      <w:r>
        <w:rPr/>
        <w:t>The dependency-check job needs the NVD access key in the pipeline secrets of each pipeline that runs it; without it the job reports that it was skipped. BDOI IT holds the key for its own pipeline (open point SEC-13).</w:t>
      </w:r>
    </w:p>
    <w:p>
      <w:pPr>
        <w:pStyle w:val="Heading2"/>
      </w:pPr>
      <w:bookmarkStart w:id="135" w:name="_Toc000135"/>
      <w:r>
        <w:rPr/>
        <w:t>10.1 Penetration-test readiness checklist</w:t>
      </w:r>
      <w:bookmarkEnd w:id="135"/>
    </w:p>
    <w:p>
      <w:pPr>
        <w:pStyle w:val="Caption"/>
        <w:keepNext/>
        <w:spacing w:after="60"/>
      </w:pPr>
      <w:r>
        <w:rPr>
          <w:b/>
          <w:i w:val="0"/>
        </w:rPr>
        <w:t xml:space="preserve">Table 20: </w:t>
      </w:r>
      <w:r>
        <w:rPr/>
        <w:t>Penetration-test readiness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43"/>
        <w:gridCol w:w="5630"/>
        <w:gridCol w:w="2091"/>
        <w:gridCol w:w="1608"/>
      </w:tblGrid>
      <w:tr>
        <w:trPr>
          <w:tblHeader w:val="true"/>
          <w:cantSplit w:val="true"/>
        </w:trPr>
        <w:tc>
          <w:tcPr>
            <w:tcW w:type="dxa" w:w="643"/>
            <w:shd w:val="clear" w:color="auto" w:fill="004EA8"/>
            <w:tcMar>
              <w:top w:w="50" w:type="dxa"/>
              <w:bottom w:w="50" w:type="dxa"/>
              <w:left w:w="90" w:type="dxa"/>
              <w:right w:w="90" w:type="dxa"/>
            </w:tcMar>
            <w:vAlign w:val="center"/>
          </w:tcPr>
          <w:p>
            <w:pPr>
              <w:pStyle w:val="BDOITableHeader"/>
            </w:pPr>
            <w:r>
              <w:rPr>
                <w:b/>
                <w:color w:val="FFFFFF"/>
                <w:sz w:val="18"/>
              </w:rPr>
              <w:t>#</w:t>
            </w:r>
          </w:p>
        </w:tc>
        <w:tc>
          <w:tcPr>
            <w:tcW w:type="dxa" w:w="5629"/>
            <w:shd w:val="clear" w:color="auto" w:fill="004EA8"/>
            <w:tcMar>
              <w:top w:w="50" w:type="dxa"/>
              <w:bottom w:w="50" w:type="dxa"/>
              <w:left w:w="90" w:type="dxa"/>
              <w:right w:w="90" w:type="dxa"/>
            </w:tcMar>
            <w:vAlign w:val="center"/>
          </w:tcPr>
          <w:p>
            <w:pPr>
              <w:pStyle w:val="BDOITableHeader"/>
            </w:pPr>
            <w:r>
              <w:rPr>
                <w:b/>
                <w:color w:val="FFFFFF"/>
                <w:sz w:val="18"/>
              </w:rPr>
              <w:t>Item</w:t>
            </w:r>
          </w:p>
        </w:tc>
        <w:tc>
          <w:tcPr>
            <w:tcW w:type="dxa" w:w="2091"/>
            <w:shd w:val="clear" w:color="auto" w:fill="004EA8"/>
            <w:tcMar>
              <w:top w:w="50" w:type="dxa"/>
              <w:bottom w:w="50" w:type="dxa"/>
              <w:left w:w="90" w:type="dxa"/>
              <w:right w:w="90" w:type="dxa"/>
            </w:tcMar>
            <w:vAlign w:val="center"/>
          </w:tcPr>
          <w:p>
            <w:pPr>
              <w:pStyle w:val="BDOITableHeader"/>
            </w:pPr>
            <w:r>
              <w:rPr>
                <w:b/>
                <w:color w:val="FFFFFF"/>
                <w:sz w:val="18"/>
              </w:rPr>
              <w:t>Owner</w:t>
            </w:r>
          </w:p>
        </w:tc>
        <w:tc>
          <w:tcPr>
            <w:tcW w:type="dxa" w:w="1608"/>
            <w:shd w:val="clear" w:color="auto" w:fill="004EA8"/>
            <w:tcMar>
              <w:top w:w="50" w:type="dxa"/>
              <w:bottom w:w="50" w:type="dxa"/>
              <w:left w:w="90" w:type="dxa"/>
              <w:right w:w="90" w:type="dxa"/>
            </w:tcMar>
            <w:vAlign w:val="center"/>
          </w:tcPr>
          <w:p>
            <w:pPr>
              <w:pStyle w:val="BDOITableHeader"/>
            </w:pPr>
            <w:r>
              <w:rPr>
                <w:b/>
                <w:color w:val="FFFFFF"/>
                <w:sz w:val="18"/>
              </w:rPr>
              <w:t>Status</w:t>
            </w:r>
          </w:p>
        </w:tc>
      </w:tr>
      <w:tr>
        <w:trPr>
          <w:cantSplit w:val="true"/>
        </w:trPr>
        <w:tc>
          <w:tcPr>
            <w:tcW w:type="dxa" w:w="643"/>
            <w:tcMar>
              <w:top w:w="50" w:type="dxa"/>
              <w:bottom w:w="50" w:type="dxa"/>
              <w:left w:w="90" w:type="dxa"/>
              <w:right w:w="90" w:type="dxa"/>
            </w:tcMar>
          </w:tcPr>
          <w:p>
            <w:pPr>
              <w:pStyle w:val="BDOITable"/>
            </w:pPr>
            <w:r>
              <w:rPr>
                <w:b/>
                <w:sz w:val="18"/>
              </w:rPr>
              <w:t>1</w:t>
            </w:r>
          </w:p>
        </w:tc>
        <w:tc>
          <w:tcPr>
            <w:tcW w:type="dxa" w:w="5629"/>
            <w:tcMar>
              <w:top w:w="50" w:type="dxa"/>
              <w:bottom w:w="50" w:type="dxa"/>
              <w:left w:w="90" w:type="dxa"/>
              <w:right w:w="90" w:type="dxa"/>
            </w:tcMar>
          </w:tcPr>
          <w:p>
            <w:pPr>
              <w:pStyle w:val="BDOITable"/>
            </w:pPr>
            <w:r>
              <w:rPr>
                <w:sz w:val="18"/>
              </w:rPr>
              <w:t>Scope, rules of engagement, test window (November - December 2027) and contacts agreed with BDOI Information Security</w:t>
            </w:r>
          </w:p>
        </w:tc>
        <w:tc>
          <w:tcPr>
            <w:tcW w:type="dxa" w:w="2091"/>
            <w:tcMar>
              <w:top w:w="50" w:type="dxa"/>
              <w:bottom w:w="50" w:type="dxa"/>
              <w:left w:w="90" w:type="dxa"/>
              <w:right w:w="90" w:type="dxa"/>
            </w:tcMar>
          </w:tcPr>
          <w:p>
            <w:pPr>
              <w:pStyle w:val="BDOITable"/>
            </w:pPr>
            <w:r>
              <w:rPr>
                <w:sz w:val="18"/>
              </w:rPr>
              <w:t>BDOI Information Security</w:t>
            </w:r>
          </w:p>
        </w:tc>
        <w:tc>
          <w:tcPr>
            <w:tcW w:type="dxa" w:w="1608"/>
            <w:tcMar>
              <w:top w:w="50" w:type="dxa"/>
              <w:bottom w:w="50" w:type="dxa"/>
              <w:left w:w="90" w:type="dxa"/>
              <w:right w:w="90" w:type="dxa"/>
            </w:tcMar>
            <w:shd w:val="clear" w:color="auto" w:fill="FFF4D6"/>
          </w:tcPr>
          <w:p>
            <w:pPr>
              <w:pStyle w:val="BDOITable"/>
            </w:pPr>
            <w:r>
              <w:rPr>
                <w:b/>
                <w:color w:val="8A5A00"/>
                <w:sz w:val="18"/>
              </w:rPr>
              <w:t>Open</w:t>
            </w:r>
          </w:p>
        </w:tc>
      </w:tr>
      <w:tr>
        <w:trPr>
          <w:cantSplit w:val="true"/>
        </w:trPr>
        <w:tc>
          <w:tcPr>
            <w:tcW w:type="dxa" w:w="643"/>
            <w:tcMar>
              <w:top w:w="50" w:type="dxa"/>
              <w:bottom w:w="50" w:type="dxa"/>
              <w:left w:w="90" w:type="dxa"/>
              <w:right w:w="90" w:type="dxa"/>
            </w:tcMar>
            <w:shd w:val="clear" w:color="auto" w:fill="E5F5FF"/>
          </w:tcPr>
          <w:p>
            <w:pPr>
              <w:pStyle w:val="BDOITable"/>
            </w:pPr>
            <w:r>
              <w:rPr>
                <w:b/>
                <w:sz w:val="18"/>
              </w:rPr>
              <w:t>2</w:t>
            </w:r>
          </w:p>
        </w:tc>
        <w:tc>
          <w:tcPr>
            <w:tcW w:type="dxa" w:w="5629"/>
            <w:tcMar>
              <w:top w:w="50" w:type="dxa"/>
              <w:bottom w:w="50" w:type="dxa"/>
              <w:left w:w="90" w:type="dxa"/>
              <w:right w:w="90" w:type="dxa"/>
            </w:tcMar>
            <w:shd w:val="clear" w:color="auto" w:fill="E5F5FF"/>
          </w:tcPr>
          <w:p>
            <w:pPr>
              <w:pStyle w:val="BDOITable"/>
            </w:pPr>
            <w:r>
              <w:rPr>
                <w:sz w:val="18"/>
              </w:rPr>
              <w:t>Pre-Prod ready by 1 October 2027 with production-like configuration (TLS, WAF, Gateway, NetworkPolicies, single sign-on)</w:t>
            </w:r>
          </w:p>
        </w:tc>
        <w:tc>
          <w:tcPr>
            <w:tcW w:type="dxa" w:w="2091"/>
            <w:tcMar>
              <w:top w:w="50" w:type="dxa"/>
              <w:bottom w:w="50" w:type="dxa"/>
              <w:left w:w="90" w:type="dxa"/>
              <w:right w:w="90" w:type="dxa"/>
            </w:tcMar>
            <w:shd w:val="clear" w:color="auto" w:fill="E5F5FF"/>
          </w:tcPr>
          <w:p>
            <w:pPr>
              <w:pStyle w:val="BDOITable"/>
            </w:pPr>
            <w:r>
              <w:rPr>
                <w:sz w:val="18"/>
              </w:rPr>
              <w:t>BDOI IT, iorta TechNXT</w:t>
            </w:r>
          </w:p>
        </w:tc>
        <w:tc>
          <w:tcPr>
            <w:tcW w:type="dxa" w:w="1608"/>
            <w:tcMar>
              <w:top w:w="50" w:type="dxa"/>
              <w:bottom w:w="50" w:type="dxa"/>
              <w:left w:w="90" w:type="dxa"/>
              <w:right w:w="90" w:type="dxa"/>
            </w:tcMar>
            <w:shd w:val="clear" w:color="auto" w:fill="FFF4D6"/>
          </w:tcPr>
          <w:p>
            <w:pPr>
              <w:pStyle w:val="BDOITable"/>
            </w:pPr>
            <w:r>
              <w:rPr>
                <w:b/>
                <w:color w:val="8A5A00"/>
                <w:sz w:val="18"/>
              </w:rPr>
              <w:t>Open</w:t>
            </w:r>
          </w:p>
        </w:tc>
      </w:tr>
      <w:tr>
        <w:trPr>
          <w:cantSplit w:val="true"/>
        </w:trPr>
        <w:tc>
          <w:tcPr>
            <w:tcW w:type="dxa" w:w="643"/>
            <w:tcMar>
              <w:top w:w="50" w:type="dxa"/>
              <w:bottom w:w="50" w:type="dxa"/>
              <w:left w:w="90" w:type="dxa"/>
              <w:right w:w="90" w:type="dxa"/>
            </w:tcMar>
          </w:tcPr>
          <w:p>
            <w:pPr>
              <w:pStyle w:val="BDOITable"/>
            </w:pPr>
            <w:r>
              <w:rPr>
                <w:b/>
                <w:sz w:val="18"/>
              </w:rPr>
              <w:t>3</w:t>
            </w:r>
          </w:p>
        </w:tc>
        <w:tc>
          <w:tcPr>
            <w:tcW w:type="dxa" w:w="5629"/>
            <w:tcMar>
              <w:top w:w="50" w:type="dxa"/>
              <w:bottom w:w="50" w:type="dxa"/>
              <w:left w:w="90" w:type="dxa"/>
              <w:right w:w="90" w:type="dxa"/>
            </w:tcMar>
          </w:tcPr>
          <w:p>
            <w:pPr>
              <w:pStyle w:val="BDOITable"/>
            </w:pPr>
            <w:r>
              <w:rPr>
                <w:sz w:val="18"/>
              </w:rPr>
              <w:t>Test users per persona (including break-glass and a user with a narrowed data scope) and test Apigee clients with scopes</w:t>
            </w:r>
          </w:p>
        </w:tc>
        <w:tc>
          <w:tcPr>
            <w:tcW w:type="dxa" w:w="2091"/>
            <w:tcMar>
              <w:top w:w="50" w:type="dxa"/>
              <w:bottom w:w="50" w:type="dxa"/>
              <w:left w:w="90" w:type="dxa"/>
              <w:right w:w="90" w:type="dxa"/>
            </w:tcMar>
          </w:tcPr>
          <w:p>
            <w:pPr>
              <w:pStyle w:val="BDOITable"/>
            </w:pPr>
            <w:r>
              <w:rPr>
                <w:sz w:val="18"/>
              </w:rPr>
              <w:t>iorta TechNXT</w:t>
            </w:r>
          </w:p>
        </w:tc>
        <w:tc>
          <w:tcPr>
            <w:tcW w:type="dxa" w:w="1608"/>
            <w:tcMar>
              <w:top w:w="50" w:type="dxa"/>
              <w:bottom w:w="50" w:type="dxa"/>
              <w:left w:w="90" w:type="dxa"/>
              <w:right w:w="90" w:type="dxa"/>
            </w:tcMar>
            <w:shd w:val="clear" w:color="auto" w:fill="FFF4D6"/>
          </w:tcPr>
          <w:p>
            <w:pPr>
              <w:pStyle w:val="BDOITable"/>
            </w:pPr>
            <w:r>
              <w:rPr>
                <w:b/>
                <w:color w:val="8A5A00"/>
                <w:sz w:val="18"/>
              </w:rPr>
              <w:t>Open</w:t>
            </w:r>
          </w:p>
        </w:tc>
      </w:tr>
      <w:tr>
        <w:trPr>
          <w:cantSplit w:val="true"/>
        </w:trPr>
        <w:tc>
          <w:tcPr>
            <w:tcW w:type="dxa" w:w="643"/>
            <w:tcMar>
              <w:top w:w="50" w:type="dxa"/>
              <w:bottom w:w="50" w:type="dxa"/>
              <w:left w:w="90" w:type="dxa"/>
              <w:right w:w="90" w:type="dxa"/>
            </w:tcMar>
            <w:shd w:val="clear" w:color="auto" w:fill="E5F5FF"/>
          </w:tcPr>
          <w:p>
            <w:pPr>
              <w:pStyle w:val="BDOITable"/>
            </w:pPr>
            <w:r>
              <w:rPr>
                <w:b/>
                <w:sz w:val="18"/>
              </w:rPr>
              <w:t>4</w:t>
            </w:r>
          </w:p>
        </w:tc>
        <w:tc>
          <w:tcPr>
            <w:tcW w:type="dxa" w:w="5629"/>
            <w:tcMar>
              <w:top w:w="50" w:type="dxa"/>
              <w:bottom w:w="50" w:type="dxa"/>
              <w:left w:w="90" w:type="dxa"/>
              <w:right w:w="90" w:type="dxa"/>
            </w:tcMar>
            <w:shd w:val="clear" w:color="auto" w:fill="E5F5FF"/>
          </w:tcPr>
          <w:p>
            <w:pPr>
              <w:pStyle w:val="BDOITable"/>
            </w:pPr>
            <w:r>
              <w:rPr>
                <w:sz w:val="18"/>
              </w:rPr>
              <w:t>Masked data set loaded (migration Mock 4)</w:t>
            </w:r>
          </w:p>
        </w:tc>
        <w:tc>
          <w:tcPr>
            <w:tcW w:type="dxa" w:w="2091"/>
            <w:tcMar>
              <w:top w:w="50" w:type="dxa"/>
              <w:bottom w:w="50" w:type="dxa"/>
              <w:left w:w="90" w:type="dxa"/>
              <w:right w:w="90" w:type="dxa"/>
            </w:tcMar>
            <w:shd w:val="clear" w:color="auto" w:fill="E5F5FF"/>
          </w:tcPr>
          <w:p>
            <w:pPr>
              <w:pStyle w:val="BDOITable"/>
            </w:pPr>
            <w:r>
              <w:rPr>
                <w:sz w:val="18"/>
              </w:rPr>
              <w:t>Data Migration Lead</w:t>
            </w:r>
          </w:p>
        </w:tc>
        <w:tc>
          <w:tcPr>
            <w:tcW w:type="dxa" w:w="1608"/>
            <w:tcMar>
              <w:top w:w="50" w:type="dxa"/>
              <w:bottom w:w="50" w:type="dxa"/>
              <w:left w:w="90" w:type="dxa"/>
              <w:right w:w="90" w:type="dxa"/>
            </w:tcMar>
            <w:shd w:val="clear" w:color="auto" w:fill="FFF4D6"/>
          </w:tcPr>
          <w:p>
            <w:pPr>
              <w:pStyle w:val="BDOITable"/>
            </w:pPr>
            <w:r>
              <w:rPr>
                <w:b/>
                <w:color w:val="8A5A00"/>
                <w:sz w:val="18"/>
              </w:rPr>
              <w:t>Open</w:t>
            </w:r>
          </w:p>
        </w:tc>
      </w:tr>
      <w:tr>
        <w:trPr>
          <w:cantSplit w:val="true"/>
        </w:trPr>
        <w:tc>
          <w:tcPr>
            <w:tcW w:type="dxa" w:w="643"/>
            <w:tcMar>
              <w:top w:w="50" w:type="dxa"/>
              <w:bottom w:w="50" w:type="dxa"/>
              <w:left w:w="90" w:type="dxa"/>
              <w:right w:w="90" w:type="dxa"/>
            </w:tcMar>
          </w:tcPr>
          <w:p>
            <w:pPr>
              <w:pStyle w:val="BDOITable"/>
            </w:pPr>
            <w:r>
              <w:rPr>
                <w:b/>
                <w:sz w:val="18"/>
              </w:rPr>
              <w:t>5</w:t>
            </w:r>
          </w:p>
        </w:tc>
        <w:tc>
          <w:tcPr>
            <w:tcW w:type="dxa" w:w="5629"/>
            <w:tcMar>
              <w:top w:w="50" w:type="dxa"/>
              <w:bottom w:w="50" w:type="dxa"/>
              <w:left w:w="90" w:type="dxa"/>
              <w:right w:w="90" w:type="dxa"/>
            </w:tcMar>
          </w:tcPr>
          <w:p>
            <w:pPr>
              <w:pStyle w:val="BDOITable"/>
            </w:pPr>
            <w:r>
              <w:rPr>
                <w:sz w:val="18"/>
              </w:rPr>
              <w:t>All Partly met ASVS rows due before October 2027 closed or accepted</w:t>
            </w:r>
          </w:p>
        </w:tc>
        <w:tc>
          <w:tcPr>
            <w:tcW w:type="dxa" w:w="2091"/>
            <w:tcMar>
              <w:top w:w="50" w:type="dxa"/>
              <w:bottom w:w="50" w:type="dxa"/>
              <w:left w:w="90" w:type="dxa"/>
              <w:right w:w="90" w:type="dxa"/>
            </w:tcMar>
          </w:tcPr>
          <w:p>
            <w:pPr>
              <w:pStyle w:val="BDOITable"/>
            </w:pPr>
            <w:r>
              <w:rPr>
                <w:sz w:val="18"/>
              </w:rPr>
              <w:t>iorta TechNXT</w:t>
            </w:r>
          </w:p>
        </w:tc>
        <w:tc>
          <w:tcPr>
            <w:tcW w:type="dxa" w:w="1608"/>
            <w:tcMar>
              <w:top w:w="50" w:type="dxa"/>
              <w:bottom w:w="50" w:type="dxa"/>
              <w:left w:w="90" w:type="dxa"/>
              <w:right w:w="90" w:type="dxa"/>
            </w:tcMar>
            <w:shd w:val="clear" w:color="auto" w:fill="FFF4D6"/>
          </w:tcPr>
          <w:p>
            <w:pPr>
              <w:pStyle w:val="BDOITable"/>
            </w:pPr>
            <w:r>
              <w:rPr>
                <w:b/>
                <w:color w:val="8A5A00"/>
                <w:sz w:val="18"/>
              </w:rPr>
              <w:t>Open</w:t>
            </w:r>
          </w:p>
        </w:tc>
      </w:tr>
      <w:tr>
        <w:trPr>
          <w:cantSplit w:val="true"/>
        </w:trPr>
        <w:tc>
          <w:tcPr>
            <w:tcW w:type="dxa" w:w="643"/>
            <w:tcMar>
              <w:top w:w="50" w:type="dxa"/>
              <w:bottom w:w="50" w:type="dxa"/>
              <w:left w:w="90" w:type="dxa"/>
              <w:right w:w="90" w:type="dxa"/>
            </w:tcMar>
            <w:shd w:val="clear" w:color="auto" w:fill="E5F5FF"/>
          </w:tcPr>
          <w:p>
            <w:pPr>
              <w:pStyle w:val="BDOITable"/>
            </w:pPr>
            <w:r>
              <w:rPr>
                <w:b/>
                <w:sz w:val="18"/>
              </w:rPr>
              <w:t>6</w:t>
            </w:r>
          </w:p>
        </w:tc>
        <w:tc>
          <w:tcPr>
            <w:tcW w:type="dxa" w:w="5629"/>
            <w:tcMar>
              <w:top w:w="50" w:type="dxa"/>
              <w:bottom w:w="50" w:type="dxa"/>
              <w:left w:w="90" w:type="dxa"/>
              <w:right w:w="90" w:type="dxa"/>
            </w:tcMar>
            <w:shd w:val="clear" w:color="auto" w:fill="E5F5FF"/>
          </w:tcPr>
          <w:p>
            <w:pPr>
              <w:pStyle w:val="BDOITable"/>
            </w:pPr>
            <w:r>
              <w:rPr>
                <w:sz w:val="18"/>
              </w:rPr>
              <w:t>No open high or critical finding of SAST, SCA, Trivy or DAST; exception register reviewed</w:t>
            </w:r>
          </w:p>
        </w:tc>
        <w:tc>
          <w:tcPr>
            <w:tcW w:type="dxa" w:w="2091"/>
            <w:tcMar>
              <w:top w:w="50" w:type="dxa"/>
              <w:bottom w:w="50" w:type="dxa"/>
              <w:left w:w="90" w:type="dxa"/>
              <w:right w:w="90" w:type="dxa"/>
            </w:tcMar>
            <w:shd w:val="clear" w:color="auto" w:fill="E5F5FF"/>
          </w:tcPr>
          <w:p>
            <w:pPr>
              <w:pStyle w:val="BDOITable"/>
            </w:pPr>
            <w:r>
              <w:rPr>
                <w:sz w:val="18"/>
              </w:rPr>
              <w:t>iorta TechNXT</w:t>
            </w:r>
          </w:p>
        </w:tc>
        <w:tc>
          <w:tcPr>
            <w:tcW w:type="dxa" w:w="1608"/>
            <w:tcMar>
              <w:top w:w="50" w:type="dxa"/>
              <w:bottom w:w="50" w:type="dxa"/>
              <w:left w:w="90" w:type="dxa"/>
              <w:right w:w="90" w:type="dxa"/>
            </w:tcMar>
            <w:shd w:val="clear" w:color="auto" w:fill="FFF4D6"/>
          </w:tcPr>
          <w:p>
            <w:pPr>
              <w:pStyle w:val="BDOITable"/>
            </w:pPr>
            <w:r>
              <w:rPr>
                <w:b/>
                <w:color w:val="8A5A00"/>
                <w:sz w:val="18"/>
              </w:rPr>
              <w:t>Open</w:t>
            </w:r>
          </w:p>
        </w:tc>
      </w:tr>
      <w:tr>
        <w:trPr>
          <w:cantSplit w:val="true"/>
        </w:trPr>
        <w:tc>
          <w:tcPr>
            <w:tcW w:type="dxa" w:w="643"/>
            <w:tcMar>
              <w:top w:w="50" w:type="dxa"/>
              <w:bottom w:w="50" w:type="dxa"/>
              <w:left w:w="90" w:type="dxa"/>
              <w:right w:w="90" w:type="dxa"/>
            </w:tcMar>
          </w:tcPr>
          <w:p>
            <w:pPr>
              <w:pStyle w:val="BDOITable"/>
            </w:pPr>
            <w:r>
              <w:rPr>
                <w:b/>
                <w:sz w:val="18"/>
              </w:rPr>
              <w:t>7</w:t>
            </w:r>
          </w:p>
        </w:tc>
        <w:tc>
          <w:tcPr>
            <w:tcW w:type="dxa" w:w="5629"/>
            <w:tcMar>
              <w:top w:w="50" w:type="dxa"/>
              <w:bottom w:w="50" w:type="dxa"/>
              <w:left w:w="90" w:type="dxa"/>
              <w:right w:w="90" w:type="dxa"/>
            </w:tcMar>
          </w:tcPr>
          <w:p>
            <w:pPr>
              <w:pStyle w:val="BDOITable"/>
            </w:pPr>
            <w:r>
              <w:rPr>
                <w:sz w:val="18"/>
              </w:rPr>
              <w:t>API list and the interface catalogue given to the testers</w:t>
            </w:r>
          </w:p>
        </w:tc>
        <w:tc>
          <w:tcPr>
            <w:tcW w:type="dxa" w:w="2091"/>
            <w:tcMar>
              <w:top w:w="50" w:type="dxa"/>
              <w:bottom w:w="50" w:type="dxa"/>
              <w:left w:w="90" w:type="dxa"/>
              <w:right w:w="90" w:type="dxa"/>
            </w:tcMar>
          </w:tcPr>
          <w:p>
            <w:pPr>
              <w:pStyle w:val="BDOITable"/>
            </w:pPr>
            <w:r>
              <w:rPr>
                <w:sz w:val="18"/>
              </w:rPr>
              <w:t>iorta TechNXT</w:t>
            </w:r>
          </w:p>
        </w:tc>
        <w:tc>
          <w:tcPr>
            <w:tcW w:type="dxa" w:w="1608"/>
            <w:tcMar>
              <w:top w:w="50" w:type="dxa"/>
              <w:bottom w:w="50" w:type="dxa"/>
              <w:left w:w="90" w:type="dxa"/>
              <w:right w:w="90" w:type="dxa"/>
            </w:tcMar>
            <w:shd w:val="clear" w:color="auto" w:fill="FFF4D6"/>
          </w:tcPr>
          <w:p>
            <w:pPr>
              <w:pStyle w:val="BDOITable"/>
            </w:pPr>
            <w:r>
              <w:rPr>
                <w:b/>
                <w:color w:val="8A5A00"/>
                <w:sz w:val="18"/>
              </w:rPr>
              <w:t>Open</w:t>
            </w:r>
          </w:p>
        </w:tc>
      </w:tr>
      <w:tr>
        <w:trPr>
          <w:cantSplit w:val="true"/>
        </w:trPr>
        <w:tc>
          <w:tcPr>
            <w:tcW w:type="dxa" w:w="643"/>
            <w:tcMar>
              <w:top w:w="50" w:type="dxa"/>
              <w:bottom w:w="50" w:type="dxa"/>
              <w:left w:w="90" w:type="dxa"/>
              <w:right w:w="90" w:type="dxa"/>
            </w:tcMar>
            <w:shd w:val="clear" w:color="auto" w:fill="E5F5FF"/>
          </w:tcPr>
          <w:p>
            <w:pPr>
              <w:pStyle w:val="BDOITable"/>
            </w:pPr>
            <w:r>
              <w:rPr>
                <w:b/>
                <w:sz w:val="18"/>
              </w:rPr>
              <w:t>8</w:t>
            </w:r>
          </w:p>
        </w:tc>
        <w:tc>
          <w:tcPr>
            <w:tcW w:type="dxa" w:w="5629"/>
            <w:tcMar>
              <w:top w:w="50" w:type="dxa"/>
              <w:bottom w:w="50" w:type="dxa"/>
              <w:left w:w="90" w:type="dxa"/>
              <w:right w:w="90" w:type="dxa"/>
            </w:tcMar>
            <w:shd w:val="clear" w:color="auto" w:fill="E5F5FF"/>
          </w:tcPr>
          <w:p>
            <w:pPr>
              <w:pStyle w:val="BDOITable"/>
            </w:pPr>
            <w:r>
              <w:rPr>
                <w:sz w:val="18"/>
              </w:rPr>
              <w:t>Monitoring and SIEM alerts active so the test also checks detection</w:t>
            </w:r>
          </w:p>
        </w:tc>
        <w:tc>
          <w:tcPr>
            <w:tcW w:type="dxa" w:w="2091"/>
            <w:tcMar>
              <w:top w:w="50" w:type="dxa"/>
              <w:bottom w:w="50" w:type="dxa"/>
              <w:left w:w="90" w:type="dxa"/>
              <w:right w:w="90" w:type="dxa"/>
            </w:tcMar>
            <w:shd w:val="clear" w:color="auto" w:fill="E5F5FF"/>
          </w:tcPr>
          <w:p>
            <w:pPr>
              <w:pStyle w:val="BDOITable"/>
            </w:pPr>
            <w:r>
              <w:rPr>
                <w:sz w:val="18"/>
              </w:rPr>
              <w:t>BDOI IT</w:t>
            </w:r>
          </w:p>
        </w:tc>
        <w:tc>
          <w:tcPr>
            <w:tcW w:type="dxa" w:w="1608"/>
            <w:tcMar>
              <w:top w:w="50" w:type="dxa"/>
              <w:bottom w:w="50" w:type="dxa"/>
              <w:left w:w="90" w:type="dxa"/>
              <w:right w:w="90" w:type="dxa"/>
            </w:tcMar>
            <w:shd w:val="clear" w:color="auto" w:fill="FFF4D6"/>
          </w:tcPr>
          <w:p>
            <w:pPr>
              <w:pStyle w:val="BDOITable"/>
            </w:pPr>
            <w:r>
              <w:rPr>
                <w:b/>
                <w:color w:val="8A5A00"/>
                <w:sz w:val="18"/>
              </w:rPr>
              <w:t>Open</w:t>
            </w:r>
          </w:p>
        </w:tc>
      </w:tr>
      <w:tr>
        <w:trPr>
          <w:cantSplit w:val="true"/>
        </w:trPr>
        <w:tc>
          <w:tcPr>
            <w:tcW w:type="dxa" w:w="643"/>
            <w:tcMar>
              <w:top w:w="50" w:type="dxa"/>
              <w:bottom w:w="50" w:type="dxa"/>
              <w:left w:w="90" w:type="dxa"/>
              <w:right w:w="90" w:type="dxa"/>
            </w:tcMar>
          </w:tcPr>
          <w:p>
            <w:pPr>
              <w:pStyle w:val="BDOITable"/>
            </w:pPr>
            <w:r>
              <w:rPr>
                <w:b/>
                <w:sz w:val="18"/>
              </w:rPr>
              <w:t>9</w:t>
            </w:r>
          </w:p>
        </w:tc>
        <w:tc>
          <w:tcPr>
            <w:tcW w:type="dxa" w:w="5629"/>
            <w:tcMar>
              <w:top w:w="50" w:type="dxa"/>
              <w:bottom w:w="50" w:type="dxa"/>
              <w:left w:w="90" w:type="dxa"/>
              <w:right w:w="90" w:type="dxa"/>
            </w:tcMar>
          </w:tcPr>
          <w:p>
            <w:pPr>
              <w:pStyle w:val="BDOITable"/>
            </w:pPr>
            <w:r>
              <w:rPr>
                <w:sz w:val="18"/>
              </w:rPr>
              <w:t>Rollback and data restore plan for the test window</w:t>
            </w:r>
          </w:p>
        </w:tc>
        <w:tc>
          <w:tcPr>
            <w:tcW w:type="dxa" w:w="2091"/>
            <w:tcMar>
              <w:top w:w="50" w:type="dxa"/>
              <w:bottom w:w="50" w:type="dxa"/>
              <w:left w:w="90" w:type="dxa"/>
              <w:right w:w="90" w:type="dxa"/>
            </w:tcMar>
          </w:tcPr>
          <w:p>
            <w:pPr>
              <w:pStyle w:val="BDOITable"/>
            </w:pPr>
            <w:r>
              <w:rPr>
                <w:sz w:val="18"/>
              </w:rPr>
              <w:t>BDOI IT</w:t>
            </w:r>
          </w:p>
        </w:tc>
        <w:tc>
          <w:tcPr>
            <w:tcW w:type="dxa" w:w="1608"/>
            <w:tcMar>
              <w:top w:w="50" w:type="dxa"/>
              <w:bottom w:w="50" w:type="dxa"/>
              <w:left w:w="90" w:type="dxa"/>
              <w:right w:w="90" w:type="dxa"/>
            </w:tcMar>
            <w:shd w:val="clear" w:color="auto" w:fill="FFF4D6"/>
          </w:tcPr>
          <w:p>
            <w:pPr>
              <w:pStyle w:val="BDOITable"/>
            </w:pPr>
            <w:r>
              <w:rPr>
                <w:b/>
                <w:color w:val="8A5A00"/>
                <w:sz w:val="18"/>
              </w:rPr>
              <w:t>Open</w:t>
            </w:r>
          </w:p>
        </w:tc>
      </w:tr>
      <w:tr>
        <w:trPr>
          <w:cantSplit w:val="true"/>
        </w:trPr>
        <w:tc>
          <w:tcPr>
            <w:tcW w:type="dxa" w:w="643"/>
            <w:tcMar>
              <w:top w:w="50" w:type="dxa"/>
              <w:bottom w:w="50" w:type="dxa"/>
              <w:left w:w="90" w:type="dxa"/>
              <w:right w:w="90" w:type="dxa"/>
            </w:tcMar>
            <w:shd w:val="clear" w:color="auto" w:fill="E5F5FF"/>
          </w:tcPr>
          <w:p>
            <w:pPr>
              <w:pStyle w:val="BDOITable"/>
            </w:pPr>
            <w:r>
              <w:rPr>
                <w:b/>
                <w:sz w:val="18"/>
              </w:rPr>
              <w:t>10</w:t>
            </w:r>
          </w:p>
        </w:tc>
        <w:tc>
          <w:tcPr>
            <w:tcW w:type="dxa" w:w="5629"/>
            <w:tcMar>
              <w:top w:w="50" w:type="dxa"/>
              <w:bottom w:w="50" w:type="dxa"/>
              <w:left w:w="90" w:type="dxa"/>
              <w:right w:w="90" w:type="dxa"/>
            </w:tcMar>
            <w:shd w:val="clear" w:color="auto" w:fill="E5F5FF"/>
          </w:tcPr>
          <w:p>
            <w:pPr>
              <w:pStyle w:val="BDOITable"/>
            </w:pPr>
            <w:r>
              <w:rPr>
                <w:sz w:val="18"/>
              </w:rPr>
              <w:t>Retest window of two weeks booked before the go-live readiness review</w:t>
            </w:r>
          </w:p>
        </w:tc>
        <w:tc>
          <w:tcPr>
            <w:tcW w:type="dxa" w:w="2091"/>
            <w:tcMar>
              <w:top w:w="50" w:type="dxa"/>
              <w:bottom w:w="50" w:type="dxa"/>
              <w:left w:w="90" w:type="dxa"/>
              <w:right w:w="90" w:type="dxa"/>
            </w:tcMar>
            <w:shd w:val="clear" w:color="auto" w:fill="E5F5FF"/>
          </w:tcPr>
          <w:p>
            <w:pPr>
              <w:pStyle w:val="BDOITable"/>
            </w:pPr>
            <w:r>
              <w:rPr>
                <w:sz w:val="18"/>
              </w:rPr>
              <w:t>BDOI Information Security</w:t>
            </w:r>
          </w:p>
        </w:tc>
        <w:tc>
          <w:tcPr>
            <w:tcW w:type="dxa" w:w="1608"/>
            <w:tcMar>
              <w:top w:w="50" w:type="dxa"/>
              <w:bottom w:w="50" w:type="dxa"/>
              <w:left w:w="90" w:type="dxa"/>
              <w:right w:w="90" w:type="dxa"/>
            </w:tcMar>
            <w:shd w:val="clear" w:color="auto" w:fill="FFF4D6"/>
          </w:tcPr>
          <w:p>
            <w:pPr>
              <w:pStyle w:val="BDOITable"/>
            </w:pPr>
            <w:r>
              <w:rPr>
                <w:b/>
                <w:color w:val="8A5A00"/>
                <w:sz w:val="18"/>
              </w:rPr>
              <w:t>Open</w:t>
            </w:r>
          </w:p>
        </w:tc>
      </w:tr>
    </w:tbl>
    <w:p>
      <w:pPr>
        <w:pStyle w:val="BDOISpacer"/>
      </w:pPr>
    </w:p>
    <w:p>
      <w:pPr>
        <w:pStyle w:val="Heading1"/>
        <w:pageBreakBefore/>
        <w:pBdr>
          <w:bottom w:val="single" w:sz="4" w:space="4" w:color="99C1E7"/>
        </w:pBdr>
      </w:pPr>
      <w:bookmarkStart w:id="136" w:name="_Toc000136"/>
      <w:r>
        <w:rPr/>
        <w:t>11 Vulnerability management and exceptions</w:t>
      </w:r>
      <w:bookmarkEnd w:id="136"/>
    </w:p>
    <w:p>
      <w:pPr>
        <w:pStyle w:val="Caption"/>
        <w:keepNext/>
        <w:spacing w:after="60"/>
      </w:pPr>
      <w:r>
        <w:rPr>
          <w:b/>
          <w:i w:val="0"/>
        </w:rPr>
        <w:t xml:space="preserve">Table 21: </w:t>
      </w:r>
      <w:r>
        <w:rPr/>
        <w:t>Remediation targets (proposal)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099"/>
        <w:gridCol w:w="2624"/>
        <w:gridCol w:w="2624"/>
        <w:gridCol w:w="2624"/>
      </w:tblGrid>
      <w:tr>
        <w:trPr>
          <w:tblHeader w:val="true"/>
          <w:cantSplit w:val="true"/>
        </w:trPr>
        <w:tc>
          <w:tcPr>
            <w:tcW w:type="dxa" w:w="2099"/>
            <w:shd w:val="clear" w:color="auto" w:fill="004EA8"/>
            <w:tcMar>
              <w:top w:w="50" w:type="dxa"/>
              <w:bottom w:w="50" w:type="dxa"/>
              <w:left w:w="90" w:type="dxa"/>
              <w:right w:w="90" w:type="dxa"/>
            </w:tcMar>
            <w:vAlign w:val="center"/>
          </w:tcPr>
          <w:p>
            <w:pPr>
              <w:pStyle w:val="BDOITableHeader"/>
            </w:pPr>
            <w:r>
              <w:rPr>
                <w:b/>
                <w:color w:val="FFFFFF"/>
                <w:sz w:val="18"/>
              </w:rPr>
              <w:t>Severity (CVSS 3.1)</w:t>
            </w:r>
          </w:p>
        </w:tc>
        <w:tc>
          <w:tcPr>
            <w:tcW w:type="dxa" w:w="2624"/>
            <w:shd w:val="clear" w:color="auto" w:fill="004EA8"/>
            <w:tcMar>
              <w:top w:w="50" w:type="dxa"/>
              <w:bottom w:w="50" w:type="dxa"/>
              <w:left w:w="90" w:type="dxa"/>
              <w:right w:w="90" w:type="dxa"/>
            </w:tcMar>
            <w:vAlign w:val="center"/>
          </w:tcPr>
          <w:p>
            <w:pPr>
              <w:pStyle w:val="BDOITableHeader"/>
            </w:pPr>
            <w:r>
              <w:rPr>
                <w:b/>
                <w:color w:val="FFFFFF"/>
                <w:sz w:val="18"/>
              </w:rPr>
              <w:t>Production</w:t>
            </w:r>
          </w:p>
        </w:tc>
        <w:tc>
          <w:tcPr>
            <w:tcW w:type="dxa" w:w="2624"/>
            <w:shd w:val="clear" w:color="auto" w:fill="004EA8"/>
            <w:tcMar>
              <w:top w:w="50" w:type="dxa"/>
              <w:bottom w:w="50" w:type="dxa"/>
              <w:left w:w="90" w:type="dxa"/>
              <w:right w:w="90" w:type="dxa"/>
            </w:tcMar>
            <w:vAlign w:val="center"/>
          </w:tcPr>
          <w:p>
            <w:pPr>
              <w:pStyle w:val="BDOITableHeader"/>
            </w:pPr>
            <w:r>
              <w:rPr>
                <w:b/>
                <w:color w:val="FFFFFF"/>
                <w:sz w:val="18"/>
              </w:rPr>
              <w:t>Before release</w:t>
            </w:r>
          </w:p>
        </w:tc>
        <w:tc>
          <w:tcPr>
            <w:tcW w:type="dxa" w:w="2624"/>
            <w:shd w:val="clear" w:color="auto" w:fill="004EA8"/>
            <w:tcMar>
              <w:top w:w="50" w:type="dxa"/>
              <w:bottom w:w="50" w:type="dxa"/>
              <w:left w:w="90" w:type="dxa"/>
              <w:right w:w="90" w:type="dxa"/>
            </w:tcMar>
            <w:vAlign w:val="center"/>
          </w:tcPr>
          <w:p>
            <w:pPr>
              <w:pStyle w:val="BDOITableHeader"/>
            </w:pPr>
            <w:r>
              <w:rPr>
                <w:b/>
                <w:color w:val="FFFFFF"/>
                <w:sz w:val="18"/>
              </w:rPr>
              <w:t>Source</w:t>
            </w:r>
          </w:p>
        </w:tc>
      </w:tr>
      <w:tr>
        <w:trPr>
          <w:cantSplit w:val="true"/>
        </w:trPr>
        <w:tc>
          <w:tcPr>
            <w:tcW w:type="dxa" w:w="2099"/>
            <w:tcMar>
              <w:top w:w="50" w:type="dxa"/>
              <w:bottom w:w="50" w:type="dxa"/>
              <w:left w:w="90" w:type="dxa"/>
              <w:right w:w="90" w:type="dxa"/>
            </w:tcMar>
          </w:tcPr>
          <w:p>
            <w:pPr>
              <w:pStyle w:val="BDOITable"/>
            </w:pPr>
            <w:r>
              <w:rPr>
                <w:b/>
                <w:sz w:val="18"/>
              </w:rPr>
              <w:t>Critical (9.0 - 10)</w:t>
            </w:r>
          </w:p>
        </w:tc>
        <w:tc>
          <w:tcPr>
            <w:tcW w:type="dxa" w:w="2624"/>
            <w:tcMar>
              <w:top w:w="50" w:type="dxa"/>
              <w:bottom w:w="50" w:type="dxa"/>
              <w:left w:w="90" w:type="dxa"/>
              <w:right w:w="90" w:type="dxa"/>
            </w:tcMar>
          </w:tcPr>
          <w:p>
            <w:pPr>
              <w:pStyle w:val="BDOITable"/>
            </w:pPr>
            <w:r>
              <w:rPr>
                <w:sz w:val="18"/>
              </w:rPr>
              <w:t>Fix or mitigate within 7 days</w:t>
            </w:r>
          </w:p>
        </w:tc>
        <w:tc>
          <w:tcPr>
            <w:tcW w:type="dxa" w:w="2624"/>
            <w:tcMar>
              <w:top w:w="50" w:type="dxa"/>
              <w:bottom w:w="50" w:type="dxa"/>
              <w:left w:w="90" w:type="dxa"/>
              <w:right w:w="90" w:type="dxa"/>
            </w:tcMar>
          </w:tcPr>
          <w:p>
            <w:pPr>
              <w:pStyle w:val="BDOITable"/>
            </w:pPr>
            <w:r>
              <w:rPr>
                <w:sz w:val="18"/>
              </w:rPr>
              <w:t>Blocks the release</w:t>
            </w:r>
          </w:p>
        </w:tc>
        <w:tc>
          <w:tcPr>
            <w:tcW w:type="dxa" w:w="2624"/>
            <w:tcMar>
              <w:top w:w="50" w:type="dxa"/>
              <w:bottom w:w="50" w:type="dxa"/>
              <w:left w:w="90" w:type="dxa"/>
              <w:right w:w="90" w:type="dxa"/>
            </w:tcMar>
          </w:tcPr>
          <w:p>
            <w:pPr>
              <w:pStyle w:val="BDOITable"/>
            </w:pPr>
            <w:r>
              <w:rPr>
                <w:sz w:val="18"/>
              </w:rPr>
              <w:t>Pipeline, DAST, pen test, BDO advisories</w:t>
            </w:r>
          </w:p>
        </w:tc>
      </w:tr>
      <w:tr>
        <w:trPr>
          <w:cantSplit w:val="true"/>
        </w:trPr>
        <w:tc>
          <w:tcPr>
            <w:tcW w:type="dxa" w:w="2099"/>
            <w:tcMar>
              <w:top w:w="50" w:type="dxa"/>
              <w:bottom w:w="50" w:type="dxa"/>
              <w:left w:w="90" w:type="dxa"/>
              <w:right w:w="90" w:type="dxa"/>
            </w:tcMar>
            <w:shd w:val="clear" w:color="auto" w:fill="E5F5FF"/>
          </w:tcPr>
          <w:p>
            <w:pPr>
              <w:pStyle w:val="BDOITable"/>
            </w:pPr>
            <w:r>
              <w:rPr>
                <w:b/>
                <w:sz w:val="18"/>
              </w:rPr>
              <w:t>High (7.0 - 8.9)</w:t>
            </w:r>
          </w:p>
        </w:tc>
        <w:tc>
          <w:tcPr>
            <w:tcW w:type="dxa" w:w="2624"/>
            <w:tcMar>
              <w:top w:w="50" w:type="dxa"/>
              <w:bottom w:w="50" w:type="dxa"/>
              <w:left w:w="90" w:type="dxa"/>
              <w:right w:w="90" w:type="dxa"/>
            </w:tcMar>
            <w:shd w:val="clear" w:color="auto" w:fill="E5F5FF"/>
          </w:tcPr>
          <w:p>
            <w:pPr>
              <w:pStyle w:val="BDOITable"/>
            </w:pPr>
            <w:r>
              <w:rPr>
                <w:sz w:val="18"/>
              </w:rPr>
              <w:t>30 days</w:t>
            </w:r>
          </w:p>
        </w:tc>
        <w:tc>
          <w:tcPr>
            <w:tcW w:type="dxa" w:w="2624"/>
            <w:tcMar>
              <w:top w:w="50" w:type="dxa"/>
              <w:bottom w:w="50" w:type="dxa"/>
              <w:left w:w="90" w:type="dxa"/>
              <w:right w:w="90" w:type="dxa"/>
            </w:tcMar>
            <w:shd w:val="clear" w:color="auto" w:fill="E5F5FF"/>
          </w:tcPr>
          <w:p>
            <w:pPr>
              <w:pStyle w:val="BDOITable"/>
            </w:pPr>
            <w:r>
              <w:rPr>
                <w:sz w:val="18"/>
              </w:rPr>
              <w:t>Blocks the release</w:t>
            </w:r>
          </w:p>
        </w:tc>
        <w:tc>
          <w:tcPr>
            <w:tcW w:type="dxa" w:w="2624"/>
            <w:tcMar>
              <w:top w:w="50" w:type="dxa"/>
              <w:bottom w:w="50" w:type="dxa"/>
              <w:left w:w="90" w:type="dxa"/>
              <w:right w:w="90" w:type="dxa"/>
            </w:tcMar>
            <w:shd w:val="clear" w:color="auto" w:fill="E5F5FF"/>
          </w:tcPr>
          <w:p>
            <w:pPr>
              <w:pStyle w:val="BDOITable"/>
            </w:pPr>
            <w:r>
              <w:rPr>
                <w:sz w:val="18"/>
              </w:rPr>
              <w:t>As above</w:t>
            </w:r>
          </w:p>
        </w:tc>
      </w:tr>
      <w:tr>
        <w:trPr>
          <w:cantSplit w:val="true"/>
        </w:trPr>
        <w:tc>
          <w:tcPr>
            <w:tcW w:type="dxa" w:w="2099"/>
            <w:tcMar>
              <w:top w:w="50" w:type="dxa"/>
              <w:bottom w:w="50" w:type="dxa"/>
              <w:left w:w="90" w:type="dxa"/>
              <w:right w:w="90" w:type="dxa"/>
            </w:tcMar>
          </w:tcPr>
          <w:p>
            <w:pPr>
              <w:pStyle w:val="BDOITable"/>
            </w:pPr>
            <w:r>
              <w:rPr>
                <w:b/>
                <w:sz w:val="18"/>
              </w:rPr>
              <w:t>Medium (4.0 - 6.9)</w:t>
            </w:r>
          </w:p>
        </w:tc>
        <w:tc>
          <w:tcPr>
            <w:tcW w:type="dxa" w:w="2624"/>
            <w:tcMar>
              <w:top w:w="50" w:type="dxa"/>
              <w:bottom w:w="50" w:type="dxa"/>
              <w:left w:w="90" w:type="dxa"/>
              <w:right w:w="90" w:type="dxa"/>
            </w:tcMar>
          </w:tcPr>
          <w:p>
            <w:pPr>
              <w:pStyle w:val="BDOITable"/>
            </w:pPr>
            <w:r>
              <w:rPr>
                <w:sz w:val="18"/>
              </w:rPr>
              <w:t>90 days</w:t>
            </w:r>
          </w:p>
        </w:tc>
        <w:tc>
          <w:tcPr>
            <w:tcW w:type="dxa" w:w="2624"/>
            <w:tcMar>
              <w:top w:w="50" w:type="dxa"/>
              <w:bottom w:w="50" w:type="dxa"/>
              <w:left w:w="90" w:type="dxa"/>
              <w:right w:w="90" w:type="dxa"/>
            </w:tcMar>
          </w:tcPr>
          <w:p>
            <w:pPr>
              <w:pStyle w:val="BDOITable"/>
            </w:pPr>
            <w:r>
              <w:rPr>
                <w:sz w:val="18"/>
              </w:rPr>
              <w:t>Release allowed, ticket raised</w:t>
            </w:r>
          </w:p>
        </w:tc>
        <w:tc>
          <w:tcPr>
            <w:tcW w:type="dxa" w:w="2624"/>
            <w:tcMar>
              <w:top w:w="50" w:type="dxa"/>
              <w:bottom w:w="50" w:type="dxa"/>
              <w:left w:w="90" w:type="dxa"/>
              <w:right w:w="90" w:type="dxa"/>
            </w:tcMar>
          </w:tcPr>
          <w:p>
            <w:pPr>
              <w:pStyle w:val="BDOITable"/>
            </w:pPr>
            <w:r>
              <w:rPr>
                <w:sz w:val="18"/>
              </w:rPr>
              <w:t>As above</w:t>
            </w:r>
          </w:p>
        </w:tc>
      </w:tr>
      <w:tr>
        <w:trPr>
          <w:cantSplit w:val="true"/>
        </w:trPr>
        <w:tc>
          <w:tcPr>
            <w:tcW w:type="dxa" w:w="2099"/>
            <w:tcMar>
              <w:top w:w="50" w:type="dxa"/>
              <w:bottom w:w="50" w:type="dxa"/>
              <w:left w:w="90" w:type="dxa"/>
              <w:right w:w="90" w:type="dxa"/>
            </w:tcMar>
            <w:shd w:val="clear" w:color="auto" w:fill="E5F5FF"/>
          </w:tcPr>
          <w:p>
            <w:pPr>
              <w:pStyle w:val="BDOITable"/>
            </w:pPr>
            <w:r>
              <w:rPr>
                <w:b/>
                <w:sz w:val="18"/>
              </w:rPr>
              <w:t>Low (0.1 - 3.9)</w:t>
            </w:r>
          </w:p>
        </w:tc>
        <w:tc>
          <w:tcPr>
            <w:tcW w:type="dxa" w:w="2624"/>
            <w:tcMar>
              <w:top w:w="50" w:type="dxa"/>
              <w:bottom w:w="50" w:type="dxa"/>
              <w:left w:w="90" w:type="dxa"/>
              <w:right w:w="90" w:type="dxa"/>
            </w:tcMar>
            <w:shd w:val="clear" w:color="auto" w:fill="E5F5FF"/>
          </w:tcPr>
          <w:p>
            <w:pPr>
              <w:pStyle w:val="BDOITable"/>
            </w:pPr>
            <w:r>
              <w:rPr>
                <w:sz w:val="18"/>
              </w:rPr>
              <w:t>Next planned upgrade</w:t>
            </w:r>
          </w:p>
        </w:tc>
        <w:tc>
          <w:tcPr>
            <w:tcW w:type="dxa" w:w="2624"/>
            <w:tcMar>
              <w:top w:w="50" w:type="dxa"/>
              <w:bottom w:w="50" w:type="dxa"/>
              <w:left w:w="90" w:type="dxa"/>
              <w:right w:w="90" w:type="dxa"/>
            </w:tcMar>
            <w:shd w:val="clear" w:color="auto" w:fill="E5F5FF"/>
          </w:tcPr>
          <w:p>
            <w:pPr>
              <w:pStyle w:val="BDOITable"/>
            </w:pPr>
            <w:r>
              <w:rPr>
                <w:sz w:val="18"/>
              </w:rPr>
              <w:t>Release allowed</w:t>
            </w:r>
          </w:p>
        </w:tc>
        <w:tc>
          <w:tcPr>
            <w:tcW w:type="dxa" w:w="2624"/>
            <w:tcMar>
              <w:top w:w="50" w:type="dxa"/>
              <w:bottom w:w="50" w:type="dxa"/>
              <w:left w:w="90" w:type="dxa"/>
              <w:right w:w="90" w:type="dxa"/>
            </w:tcMar>
            <w:shd w:val="clear" w:color="auto" w:fill="E5F5FF"/>
          </w:tcPr>
          <w:p>
            <w:pPr>
              <w:pStyle w:val="BDOITable"/>
            </w:pPr>
            <w:r>
              <w:rPr>
                <w:sz w:val="18"/>
              </w:rPr>
              <w:t>As above</w:t>
            </w:r>
          </w:p>
        </w:tc>
      </w:tr>
    </w:tbl>
    <w:p>
      <w:pPr>
        <w:pStyle w:val="BDOISpacer"/>
      </w:pPr>
    </w:p>
    <w:p>
      <w:r>
        <w:rPr>
          <w:b/>
        </w:rPr>
        <w:t>Exception policy.</w:t>
      </w:r>
      <w:r>
        <w:rPr/>
        <w:t xml:space="preserve"> A finding is fixed by upgrading the library, the base image or the package. An exception is allowed only when the vulnerable code path is not reachable or a mitigation is in place, and only with:</w:t>
      </w:r>
    </w:p>
    <w:p>
      <w:pPr>
        <w:tabs>
          <w:tab w:pos="312" w:val="left"/>
        </w:tabs>
        <w:spacing w:after="40"/>
        <w:ind w:left="312" w:hanging="283"/>
      </w:pPr>
      <w:r>
        <w:rPr>
          <w:color w:val="004EA8"/>
        </w:rPr>
        <w:t>1.</w:t>
        <w:tab/>
      </w:r>
      <w:r>
        <w:rPr/>
        <w:t>the reason why it does not apply to BIBS, in the exception file of the scanner (Trivy ignore file, dependency-check suppression file or gitleaks fingerprint list);</w:t>
      </w:r>
    </w:p>
    <w:p>
      <w:pPr>
        <w:tabs>
          <w:tab w:pos="312" w:val="left"/>
        </w:tabs>
        <w:spacing w:after="40"/>
        <w:ind w:left="312" w:hanging="283"/>
      </w:pPr>
      <w:r>
        <w:rPr>
          <w:color w:val="004EA8"/>
        </w:rPr>
        <w:t>2.</w:t>
        <w:tab/>
      </w:r>
      <w:r>
        <w:rPr/>
        <w:t>the reviewer (Tech Lead or above) and the review date;</w:t>
      </w:r>
    </w:p>
    <w:p>
      <w:pPr>
        <w:tabs>
          <w:tab w:pos="312" w:val="left"/>
        </w:tabs>
        <w:spacing w:after="40"/>
        <w:ind w:left="312" w:hanging="283"/>
      </w:pPr>
      <w:r>
        <w:rPr>
          <w:color w:val="004EA8"/>
        </w:rPr>
        <w:t>3.</w:t>
        <w:tab/>
      </w:r>
      <w:r>
        <w:rPr/>
        <w:t>an expiry of at most 6 months (the expiry date field of Trivy, the until date of dependency-check), after which the gate fails again;</w:t>
      </w:r>
    </w:p>
    <w:p>
      <w:pPr>
        <w:tabs>
          <w:tab w:pos="312" w:val="left"/>
        </w:tabs>
        <w:spacing w:after="120"/>
        <w:ind w:left="312" w:hanging="283"/>
      </w:pPr>
      <w:r>
        <w:rPr>
          <w:color w:val="004EA8"/>
        </w:rPr>
        <w:t>4.</w:t>
        <w:tab/>
      </w:r>
      <w:r>
        <w:rPr/>
        <w:t>for High and Critical in production, the approval of BDOI Information Security within 5 working days.</w:t>
      </w:r>
    </w:p>
    <w:p>
      <w:r>
        <w:rPr/>
        <w:t>On 8 October 2026 the Trivy file holds two exceptions (Spring web MVC findings whose code paths BIBS does not use, no fixed 6.2 release yet; reviewed by the Tech Lead on 8 October 2026, expiry 30 November 2026), the dependency-check file holds two suppressions and the gitleaks list holds test values of the history. The exception register is reviewed monthly by the Tech Lead and quarterly with BDOI Information Security.</w:t>
      </w:r>
    </w:p>
    <w:p>
      <w:r>
        <w:rPr/>
        <w:t>The 8 October 2026 baseline (Valkey 8 in place of Redis, Kafka 3.9, Kubernetes Gateway API in place of ingress-nginx) removes components that reach end of support or change licence; each component is kept within its vendor support window, and the SBOM of each release shows the versions.</w:t>
      </w:r>
    </w:p>
    <w:p>
      <w:pPr>
        <w:pStyle w:val="Heading1"/>
        <w:pageBreakBefore/>
        <w:pBdr>
          <w:bottom w:val="single" w:sz="4" w:space="4" w:color="99C1E7"/>
        </w:pBdr>
      </w:pPr>
      <w:bookmarkStart w:id="137" w:name="_Toc000137"/>
      <w:r>
        <w:rPr/>
        <w:t>12 Privacy by design (Data Privacy Act 2012)</w:t>
      </w:r>
      <w:bookmarkEnd w:id="137"/>
    </w:p>
    <w:p>
      <w:r>
        <w:rPr/>
        <w:t>BIBS processes personal information and sensitive personal information of clients, insured persons, employee-benefit members, payees and BDOI staff. BDOI is the personal information controller; iorta TechNXT acts as personal information processor during delivery and support.</w:t>
      </w:r>
    </w:p>
    <w:p>
      <w:pPr>
        <w:pStyle w:val="Caption"/>
        <w:keepNext/>
        <w:spacing w:after="60"/>
      </w:pPr>
      <w:r>
        <w:rPr>
          <w:b/>
          <w:i w:val="0"/>
        </w:rPr>
        <w:t xml:space="preserve">Table 22: </w:t>
      </w:r>
      <w:r>
        <w:rPr/>
        <w:t>Data Privacy Act 2012 principles in BIBS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493"/>
        <w:gridCol w:w="7479"/>
      </w:tblGrid>
      <w:tr>
        <w:trPr>
          <w:tblHeader w:val="true"/>
          <w:cantSplit w:val="true"/>
        </w:trPr>
        <w:tc>
          <w:tcPr>
            <w:tcW w:type="dxa" w:w="2493"/>
            <w:shd w:val="clear" w:color="auto" w:fill="004EA8"/>
            <w:tcMar>
              <w:top w:w="50" w:type="dxa"/>
              <w:bottom w:w="50" w:type="dxa"/>
              <w:left w:w="90" w:type="dxa"/>
              <w:right w:w="90" w:type="dxa"/>
            </w:tcMar>
            <w:vAlign w:val="center"/>
          </w:tcPr>
          <w:p>
            <w:pPr>
              <w:pStyle w:val="BDOITableHeader"/>
            </w:pPr>
            <w:r>
              <w:rPr>
                <w:b/>
                <w:color w:val="FFFFFF"/>
                <w:sz w:val="18"/>
              </w:rPr>
              <w:t>Principle (RA 10173, IRR, NPC circulars)</w:t>
            </w:r>
          </w:p>
        </w:tc>
        <w:tc>
          <w:tcPr>
            <w:tcW w:type="dxa" w:w="7479"/>
            <w:shd w:val="clear" w:color="auto" w:fill="004EA8"/>
            <w:tcMar>
              <w:top w:w="50" w:type="dxa"/>
              <w:bottom w:w="50" w:type="dxa"/>
              <w:left w:w="90" w:type="dxa"/>
              <w:right w:w="90" w:type="dxa"/>
            </w:tcMar>
            <w:vAlign w:val="center"/>
          </w:tcPr>
          <w:p>
            <w:pPr>
              <w:pStyle w:val="BDOITableHeader"/>
            </w:pPr>
            <w:r>
              <w:rPr>
                <w:b/>
                <w:color w:val="FFFFFF"/>
                <w:sz w:val="18"/>
              </w:rPr>
              <w:t>How BIBS supports it</w:t>
            </w:r>
          </w:p>
        </w:tc>
      </w:tr>
      <w:tr>
        <w:trPr>
          <w:cantSplit w:val="true"/>
        </w:trPr>
        <w:tc>
          <w:tcPr>
            <w:tcW w:type="dxa" w:w="2493"/>
            <w:tcMar>
              <w:top w:w="50" w:type="dxa"/>
              <w:bottom w:w="50" w:type="dxa"/>
              <w:left w:w="90" w:type="dxa"/>
              <w:right w:w="90" w:type="dxa"/>
            </w:tcMar>
          </w:tcPr>
          <w:p>
            <w:pPr>
              <w:pStyle w:val="BDOITable"/>
            </w:pPr>
            <w:r>
              <w:rPr>
                <w:b/>
                <w:sz w:val="18"/>
              </w:rPr>
              <w:t>Transparency</w:t>
            </w:r>
          </w:p>
        </w:tc>
        <w:tc>
          <w:tcPr>
            <w:tcW w:type="dxa" w:w="7479"/>
            <w:tcMar>
              <w:top w:w="50" w:type="dxa"/>
              <w:bottom w:w="50" w:type="dxa"/>
              <w:left w:w="90" w:type="dxa"/>
              <w:right w:w="90" w:type="dxa"/>
            </w:tcMar>
          </w:tcPr>
          <w:p>
            <w:pPr>
              <w:pStyle w:val="BDOITable"/>
            </w:pPr>
            <w:r>
              <w:rPr>
                <w:sz w:val="18"/>
              </w:rPr>
              <w:t>Consent and privacy notices are captured in BDOI's channels (KYC forms, portal); where BIBS must record the consent, a field and its date are kept on the client (open point PRV-01)</w:t>
            </w:r>
          </w:p>
        </w:tc>
      </w:tr>
      <w:tr>
        <w:trPr>
          <w:cantSplit w:val="true"/>
        </w:trPr>
        <w:tc>
          <w:tcPr>
            <w:tcW w:type="dxa" w:w="2493"/>
            <w:tcMar>
              <w:top w:w="50" w:type="dxa"/>
              <w:bottom w:w="50" w:type="dxa"/>
              <w:left w:w="90" w:type="dxa"/>
              <w:right w:w="90" w:type="dxa"/>
            </w:tcMar>
            <w:shd w:val="clear" w:color="auto" w:fill="E5F5FF"/>
          </w:tcPr>
          <w:p>
            <w:pPr>
              <w:pStyle w:val="BDOITable"/>
            </w:pPr>
            <w:r>
              <w:rPr>
                <w:b/>
                <w:sz w:val="18"/>
              </w:rPr>
              <w:t>Legitimate purpose</w:t>
            </w:r>
          </w:p>
        </w:tc>
        <w:tc>
          <w:tcPr>
            <w:tcW w:type="dxa" w:w="7479"/>
            <w:tcMar>
              <w:top w:w="50" w:type="dxa"/>
              <w:bottom w:w="50" w:type="dxa"/>
              <w:left w:w="90" w:type="dxa"/>
              <w:right w:w="90" w:type="dxa"/>
            </w:tcMar>
            <w:shd w:val="clear" w:color="auto" w:fill="E5F5FF"/>
          </w:tcPr>
          <w:p>
            <w:pPr>
              <w:pStyle w:val="BDOITable"/>
            </w:pPr>
            <w:r>
              <w:rPr>
                <w:sz w:val="18"/>
              </w:rPr>
              <w:t>Data collected per BRD function only; screens and uploads ask only for the fields the FRS defines</w:t>
            </w:r>
          </w:p>
        </w:tc>
      </w:tr>
      <w:tr>
        <w:trPr>
          <w:cantSplit w:val="true"/>
        </w:trPr>
        <w:tc>
          <w:tcPr>
            <w:tcW w:type="dxa" w:w="2493"/>
            <w:tcMar>
              <w:top w:w="50" w:type="dxa"/>
              <w:bottom w:w="50" w:type="dxa"/>
              <w:left w:w="90" w:type="dxa"/>
              <w:right w:w="90" w:type="dxa"/>
            </w:tcMar>
          </w:tcPr>
          <w:p>
            <w:pPr>
              <w:pStyle w:val="BDOITable"/>
            </w:pPr>
            <w:r>
              <w:rPr>
                <w:b/>
                <w:sz w:val="18"/>
              </w:rPr>
              <w:t>Proportionality and data minimisation</w:t>
            </w:r>
          </w:p>
        </w:tc>
        <w:tc>
          <w:tcPr>
            <w:tcW w:type="dxa" w:w="7479"/>
            <w:tcMar>
              <w:top w:w="50" w:type="dxa"/>
              <w:bottom w:w="50" w:type="dxa"/>
              <w:left w:w="90" w:type="dxa"/>
              <w:right w:w="90" w:type="dxa"/>
            </w:tcMar>
          </w:tcPr>
          <w:p>
            <w:pPr>
              <w:pStyle w:val="BDOITable"/>
            </w:pPr>
            <w:r>
              <w:rPr>
                <w:sz w:val="18"/>
              </w:rPr>
              <w:t>No health data in the employee-benefits roster; masked data outside production; reports and exports limited by permission and data scope; object keys carry no personal data</w:t>
            </w:r>
          </w:p>
        </w:tc>
      </w:tr>
      <w:tr>
        <w:trPr>
          <w:cantSplit w:val="true"/>
        </w:trPr>
        <w:tc>
          <w:tcPr>
            <w:tcW w:type="dxa" w:w="2493"/>
            <w:tcMar>
              <w:top w:w="50" w:type="dxa"/>
              <w:bottom w:w="50" w:type="dxa"/>
              <w:left w:w="90" w:type="dxa"/>
              <w:right w:w="90" w:type="dxa"/>
            </w:tcMar>
            <w:shd w:val="clear" w:color="auto" w:fill="E5F5FF"/>
          </w:tcPr>
          <w:p>
            <w:pPr>
              <w:pStyle w:val="BDOITable"/>
            </w:pPr>
            <w:r>
              <w:rPr>
                <w:b/>
                <w:sz w:val="18"/>
              </w:rPr>
              <w:t>Security of personal data (NPC Circular 16-01)</w:t>
            </w:r>
          </w:p>
        </w:tc>
        <w:tc>
          <w:tcPr>
            <w:tcW w:type="dxa" w:w="7479"/>
            <w:tcMar>
              <w:top w:w="50" w:type="dxa"/>
              <w:bottom w:w="50" w:type="dxa"/>
              <w:left w:w="90" w:type="dxa"/>
              <w:right w:w="90" w:type="dxa"/>
            </w:tcMar>
            <w:shd w:val="clear" w:color="auto" w:fill="E5F5FF"/>
          </w:tcPr>
          <w:p>
            <w:pPr>
              <w:pStyle w:val="BDOITable"/>
            </w:pPr>
            <w:r>
              <w:rPr>
                <w:sz w:val="18"/>
              </w:rPr>
              <w:t>Encryption in transit and at rest, access control, audit, malware scan, backup and DR (RPO 15 minutes, RTO 4 hours)</w:t>
            </w:r>
          </w:p>
        </w:tc>
      </w:tr>
      <w:tr>
        <w:trPr>
          <w:cantSplit w:val="true"/>
        </w:trPr>
        <w:tc>
          <w:tcPr>
            <w:tcW w:type="dxa" w:w="2493"/>
            <w:tcMar>
              <w:top w:w="50" w:type="dxa"/>
              <w:bottom w:w="50" w:type="dxa"/>
              <w:left w:w="90" w:type="dxa"/>
              <w:right w:w="90" w:type="dxa"/>
            </w:tcMar>
          </w:tcPr>
          <w:p>
            <w:pPr>
              <w:pStyle w:val="BDOITable"/>
            </w:pPr>
            <w:r>
              <w:rPr>
                <w:b/>
                <w:sz w:val="18"/>
              </w:rPr>
              <w:t>Retention and disposal</w:t>
            </w:r>
          </w:p>
        </w:tc>
        <w:tc>
          <w:tcPr>
            <w:tcW w:type="dxa" w:w="7479"/>
            <w:tcMar>
              <w:top w:w="50" w:type="dxa"/>
              <w:bottom w:w="50" w:type="dxa"/>
              <w:left w:w="90" w:type="dxa"/>
              <w:right w:w="90" w:type="dxa"/>
            </w:tcMar>
          </w:tcPr>
          <w:p>
            <w:pPr>
              <w:pStyle w:val="BDOITable"/>
            </w:pPr>
            <w:r>
              <w:rPr>
                <w:sz w:val="18"/>
              </w:rPr>
              <w:t>Retention rules per record type and record class with review, archive or purge; legal hold for audit and AMLA records (Data Architecture, chapter 7)</w:t>
            </w:r>
          </w:p>
        </w:tc>
      </w:tr>
      <w:tr>
        <w:trPr>
          <w:cantSplit w:val="true"/>
        </w:trPr>
        <w:tc>
          <w:tcPr>
            <w:tcW w:type="dxa" w:w="2493"/>
            <w:tcMar>
              <w:top w:w="50" w:type="dxa"/>
              <w:bottom w:w="50" w:type="dxa"/>
              <w:left w:w="90" w:type="dxa"/>
              <w:right w:w="90" w:type="dxa"/>
            </w:tcMar>
            <w:shd w:val="clear" w:color="auto" w:fill="E5F5FF"/>
          </w:tcPr>
          <w:p>
            <w:pPr>
              <w:pStyle w:val="BDOITable"/>
            </w:pPr>
            <w:r>
              <w:rPr>
                <w:b/>
                <w:sz w:val="18"/>
              </w:rPr>
              <w:t>Rights of the data subject</w:t>
            </w:r>
          </w:p>
        </w:tc>
        <w:tc>
          <w:tcPr>
            <w:tcW w:type="dxa" w:w="7479"/>
            <w:tcMar>
              <w:top w:w="50" w:type="dxa"/>
              <w:bottom w:w="50" w:type="dxa"/>
              <w:left w:w="90" w:type="dxa"/>
              <w:right w:w="90" w:type="dxa"/>
            </w:tcMar>
            <w:shd w:val="clear" w:color="auto" w:fill="E5F5FF"/>
          </w:tcPr>
          <w:p>
            <w:pPr>
              <w:pStyle w:val="BDOITable"/>
            </w:pPr>
            <w:r>
              <w:rPr>
                <w:sz w:val="18"/>
              </w:rPr>
              <w:t>Access and correction through the client record by authorised staff; erasure or blocking through the retention process with a reason; requests logged by the Compliance Officer (open point PRV-02)</w:t>
            </w:r>
          </w:p>
        </w:tc>
      </w:tr>
      <w:tr>
        <w:trPr>
          <w:cantSplit w:val="true"/>
        </w:trPr>
        <w:tc>
          <w:tcPr>
            <w:tcW w:type="dxa" w:w="2493"/>
            <w:tcMar>
              <w:top w:w="50" w:type="dxa"/>
              <w:bottom w:w="50" w:type="dxa"/>
              <w:left w:w="90" w:type="dxa"/>
              <w:right w:w="90" w:type="dxa"/>
            </w:tcMar>
          </w:tcPr>
          <w:p>
            <w:pPr>
              <w:pStyle w:val="BDOITable"/>
            </w:pPr>
            <w:r>
              <w:rPr>
                <w:b/>
                <w:sz w:val="18"/>
              </w:rPr>
              <w:t>Breach management (NPC Circular 16-03)</w:t>
            </w:r>
          </w:p>
        </w:tc>
        <w:tc>
          <w:tcPr>
            <w:tcW w:type="dxa" w:w="7479"/>
            <w:tcMar>
              <w:top w:w="50" w:type="dxa"/>
              <w:bottom w:w="50" w:type="dxa"/>
              <w:left w:w="90" w:type="dxa"/>
              <w:right w:w="90" w:type="dxa"/>
            </w:tcMar>
          </w:tcPr>
          <w:p>
            <w:pPr>
              <w:pStyle w:val="BDOITable"/>
            </w:pPr>
            <w:r>
              <w:rPr>
                <w:sz w:val="18"/>
              </w:rPr>
              <w:t>Security monitoring and alerts; incident runbook; notification to the NPC and data subjects within 72 hours by BDOI's Data Protection Officer, with BIBS logs and audit as evidence</w:t>
            </w:r>
          </w:p>
        </w:tc>
      </w:tr>
      <w:tr>
        <w:trPr>
          <w:cantSplit w:val="true"/>
        </w:trPr>
        <w:tc>
          <w:tcPr>
            <w:tcW w:type="dxa" w:w="2493"/>
            <w:tcMar>
              <w:top w:w="50" w:type="dxa"/>
              <w:bottom w:w="50" w:type="dxa"/>
              <w:left w:w="90" w:type="dxa"/>
              <w:right w:w="90" w:type="dxa"/>
            </w:tcMar>
            <w:shd w:val="clear" w:color="auto" w:fill="E5F5FF"/>
          </w:tcPr>
          <w:p>
            <w:pPr>
              <w:pStyle w:val="BDOITable"/>
            </w:pPr>
            <w:r>
              <w:rPr>
                <w:b/>
                <w:sz w:val="18"/>
              </w:rPr>
              <w:t>Cross-border transfer</w:t>
            </w:r>
          </w:p>
        </w:tc>
        <w:tc>
          <w:tcPr>
            <w:tcW w:type="dxa" w:w="7479"/>
            <w:tcMar>
              <w:top w:w="50" w:type="dxa"/>
              <w:bottom w:w="50" w:type="dxa"/>
              <w:left w:w="90" w:type="dxa"/>
              <w:right w:w="90" w:type="dxa"/>
            </w:tcMar>
            <w:shd w:val="clear" w:color="auto" w:fill="E5F5FF"/>
          </w:tcPr>
          <w:p>
            <w:pPr>
              <w:pStyle w:val="BDOITable"/>
            </w:pPr>
            <w:r>
              <w:rPr>
                <w:sz w:val="18"/>
              </w:rPr>
              <w:t>Data hosted in the approved AWS region ap-southeast-1 (Singapore) under BDO's cross-border basis; DR region to be approved (DSQ01)</w:t>
            </w:r>
          </w:p>
        </w:tc>
      </w:tr>
      <w:tr>
        <w:trPr>
          <w:cantSplit w:val="true"/>
        </w:trPr>
        <w:tc>
          <w:tcPr>
            <w:tcW w:type="dxa" w:w="2493"/>
            <w:tcMar>
              <w:top w:w="50" w:type="dxa"/>
              <w:bottom w:w="50" w:type="dxa"/>
              <w:left w:w="90" w:type="dxa"/>
              <w:right w:w="90" w:type="dxa"/>
            </w:tcMar>
          </w:tcPr>
          <w:p>
            <w:pPr>
              <w:pStyle w:val="BDOITable"/>
            </w:pPr>
            <w:r>
              <w:rPr>
                <w:b/>
                <w:sz w:val="18"/>
              </w:rPr>
              <w:t>Privacy impact assessment</w:t>
            </w:r>
          </w:p>
        </w:tc>
        <w:tc>
          <w:tcPr>
            <w:tcW w:type="dxa" w:w="7479"/>
            <w:tcMar>
              <w:top w:w="50" w:type="dxa"/>
              <w:bottom w:w="50" w:type="dxa"/>
              <w:left w:w="90" w:type="dxa"/>
              <w:right w:w="90" w:type="dxa"/>
            </w:tcMar>
          </w:tcPr>
          <w:p>
            <w:pPr>
              <w:pStyle w:val="BDOITable"/>
            </w:pPr>
            <w:r>
              <w:rPr>
                <w:sz w:val="18"/>
              </w:rPr>
              <w:t>iorta TechNXT provides the data flows, the classification and the controls of this document for BDOI's PIA (open point PRV-03)</w:t>
            </w:r>
          </w:p>
        </w:tc>
      </w:tr>
    </w:tbl>
    <w:p>
      <w:pPr>
        <w:pStyle w:val="BDOISpacer"/>
      </w:pPr>
    </w:p>
    <w:p>
      <w:pPr>
        <w:pStyle w:val="Caption"/>
        <w:keepNext/>
        <w:spacing w:after="60"/>
      </w:pPr>
      <w:r>
        <w:rPr>
          <w:b/>
          <w:i w:val="0"/>
        </w:rPr>
        <w:t xml:space="preserve">Table 23: </w:t>
      </w:r>
      <w:r>
        <w:rPr/>
        <w:t>Data classification and controls (proposal)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94"/>
        <w:gridCol w:w="3656"/>
        <w:gridCol w:w="4321"/>
      </w:tblGrid>
      <w:tr>
        <w:trPr>
          <w:tblHeader w:val="true"/>
          <w:cantSplit w:val="true"/>
        </w:trPr>
        <w:tc>
          <w:tcPr>
            <w:tcW w:type="dxa" w:w="1994"/>
            <w:shd w:val="clear" w:color="auto" w:fill="004EA8"/>
            <w:tcMar>
              <w:top w:w="50" w:type="dxa"/>
              <w:bottom w:w="50" w:type="dxa"/>
              <w:left w:w="90" w:type="dxa"/>
              <w:right w:w="90" w:type="dxa"/>
            </w:tcMar>
            <w:vAlign w:val="center"/>
          </w:tcPr>
          <w:p>
            <w:pPr>
              <w:pStyle w:val="BDOITableHeader"/>
            </w:pPr>
            <w:r>
              <w:rPr>
                <w:b/>
                <w:color w:val="FFFFFF"/>
                <w:sz w:val="18"/>
              </w:rPr>
              <w:t>Class</w:t>
            </w:r>
          </w:p>
        </w:tc>
        <w:tc>
          <w:tcPr>
            <w:tcW w:type="dxa" w:w="3656"/>
            <w:shd w:val="clear" w:color="auto" w:fill="004EA8"/>
            <w:tcMar>
              <w:top w:w="50" w:type="dxa"/>
              <w:bottom w:w="50" w:type="dxa"/>
              <w:left w:w="90" w:type="dxa"/>
              <w:right w:w="90" w:type="dxa"/>
            </w:tcMar>
            <w:vAlign w:val="center"/>
          </w:tcPr>
          <w:p>
            <w:pPr>
              <w:pStyle w:val="BDOITableHeader"/>
            </w:pPr>
            <w:r>
              <w:rPr>
                <w:b/>
                <w:color w:val="FFFFFF"/>
                <w:sz w:val="18"/>
              </w:rPr>
              <w:t>Examples</w:t>
            </w:r>
          </w:p>
        </w:tc>
        <w:tc>
          <w:tcPr>
            <w:tcW w:type="dxa" w:w="4321"/>
            <w:shd w:val="clear" w:color="auto" w:fill="004EA8"/>
            <w:tcMar>
              <w:top w:w="50" w:type="dxa"/>
              <w:bottom w:w="50" w:type="dxa"/>
              <w:left w:w="90" w:type="dxa"/>
              <w:right w:w="90" w:type="dxa"/>
            </w:tcMar>
            <w:vAlign w:val="center"/>
          </w:tcPr>
          <w:p>
            <w:pPr>
              <w:pStyle w:val="BDOITableHeader"/>
            </w:pPr>
            <w:r>
              <w:rPr>
                <w:b/>
                <w:color w:val="FFFFFF"/>
                <w:sz w:val="18"/>
              </w:rPr>
              <w:t>Controls</w:t>
            </w:r>
          </w:p>
        </w:tc>
      </w:tr>
      <w:tr>
        <w:trPr>
          <w:cantSplit w:val="true"/>
        </w:trPr>
        <w:tc>
          <w:tcPr>
            <w:tcW w:type="dxa" w:w="1994"/>
            <w:tcMar>
              <w:top w:w="50" w:type="dxa"/>
              <w:bottom w:w="50" w:type="dxa"/>
              <w:left w:w="90" w:type="dxa"/>
              <w:right w:w="90" w:type="dxa"/>
            </w:tcMar>
          </w:tcPr>
          <w:p>
            <w:pPr>
              <w:pStyle w:val="BDOITable"/>
            </w:pPr>
            <w:r>
              <w:rPr>
                <w:b/>
                <w:sz w:val="18"/>
              </w:rPr>
              <w:t>Restricted</w:t>
            </w:r>
          </w:p>
        </w:tc>
        <w:tc>
          <w:tcPr>
            <w:tcW w:type="dxa" w:w="3656"/>
            <w:tcMar>
              <w:top w:w="50" w:type="dxa"/>
              <w:bottom w:w="50" w:type="dxa"/>
              <w:left w:w="90" w:type="dxa"/>
              <w:right w:w="90" w:type="dxa"/>
            </w:tcMar>
          </w:tcPr>
          <w:p>
            <w:pPr>
              <w:pStyle w:val="BDOITable"/>
            </w:pPr>
            <w:r>
              <w:rPr>
                <w:sz w:val="18"/>
              </w:rPr>
              <w:t>Sensitive personal information (government IDs, health-related EB reports), STRs, payee bank accounts, credentials</w:t>
            </w:r>
          </w:p>
        </w:tc>
        <w:tc>
          <w:tcPr>
            <w:tcW w:type="dxa" w:w="4321"/>
            <w:tcMar>
              <w:top w:w="50" w:type="dxa"/>
              <w:bottom w:w="50" w:type="dxa"/>
              <w:left w:w="90" w:type="dxa"/>
              <w:right w:w="90" w:type="dxa"/>
            </w:tcMar>
          </w:tcPr>
          <w:p>
            <w:pPr>
              <w:pStyle w:val="BDOITable"/>
            </w:pPr>
            <w:r>
              <w:rPr>
                <w:sz w:val="18"/>
              </w:rPr>
              <w:t>Need-to-know permissions, data scope, encryption, download audit, legal hold for STRs, masked outside production</w:t>
            </w:r>
          </w:p>
        </w:tc>
      </w:tr>
      <w:tr>
        <w:trPr>
          <w:cantSplit w:val="true"/>
        </w:trPr>
        <w:tc>
          <w:tcPr>
            <w:tcW w:type="dxa" w:w="1994"/>
            <w:tcMar>
              <w:top w:w="50" w:type="dxa"/>
              <w:bottom w:w="50" w:type="dxa"/>
              <w:left w:w="90" w:type="dxa"/>
              <w:right w:w="90" w:type="dxa"/>
            </w:tcMar>
            <w:shd w:val="clear" w:color="auto" w:fill="E5F5FF"/>
          </w:tcPr>
          <w:p>
            <w:pPr>
              <w:pStyle w:val="BDOITable"/>
            </w:pPr>
            <w:r>
              <w:rPr>
                <w:b/>
                <w:sz w:val="18"/>
              </w:rPr>
              <w:t>Confidential</w:t>
            </w:r>
          </w:p>
        </w:tc>
        <w:tc>
          <w:tcPr>
            <w:tcW w:type="dxa" w:w="3656"/>
            <w:tcMar>
              <w:top w:w="50" w:type="dxa"/>
              <w:bottom w:w="50" w:type="dxa"/>
              <w:left w:w="90" w:type="dxa"/>
              <w:right w:w="90" w:type="dxa"/>
            </w:tcMar>
            <w:shd w:val="clear" w:color="auto" w:fill="E5F5FF"/>
          </w:tcPr>
          <w:p>
            <w:pPr>
              <w:pStyle w:val="BDOITable"/>
            </w:pPr>
            <w:r>
              <w:rPr>
                <w:sz w:val="18"/>
              </w:rPr>
              <w:t>Client names and contacts, policies, premiums, commissions, journals</w:t>
            </w:r>
          </w:p>
        </w:tc>
        <w:tc>
          <w:tcPr>
            <w:tcW w:type="dxa" w:w="4321"/>
            <w:tcMar>
              <w:top w:w="50" w:type="dxa"/>
              <w:bottom w:w="50" w:type="dxa"/>
              <w:left w:w="90" w:type="dxa"/>
              <w:right w:w="90" w:type="dxa"/>
            </w:tcMar>
            <w:shd w:val="clear" w:color="auto" w:fill="E5F5FF"/>
          </w:tcPr>
          <w:p>
            <w:pPr>
              <w:pStyle w:val="BDOITable"/>
            </w:pPr>
            <w:r>
              <w:rPr>
                <w:sz w:val="18"/>
              </w:rPr>
              <w:t>Permissions and data scope, encryption, audit</w:t>
            </w:r>
          </w:p>
        </w:tc>
      </w:tr>
      <w:tr>
        <w:trPr>
          <w:cantSplit w:val="true"/>
        </w:trPr>
        <w:tc>
          <w:tcPr>
            <w:tcW w:type="dxa" w:w="1994"/>
            <w:tcMar>
              <w:top w:w="50" w:type="dxa"/>
              <w:bottom w:w="50" w:type="dxa"/>
              <w:left w:w="90" w:type="dxa"/>
              <w:right w:w="90" w:type="dxa"/>
            </w:tcMar>
          </w:tcPr>
          <w:p>
            <w:pPr>
              <w:pStyle w:val="BDOITable"/>
            </w:pPr>
            <w:r>
              <w:rPr>
                <w:b/>
                <w:sz w:val="18"/>
              </w:rPr>
              <w:t>Internal</w:t>
            </w:r>
          </w:p>
        </w:tc>
        <w:tc>
          <w:tcPr>
            <w:tcW w:type="dxa" w:w="3656"/>
            <w:tcMar>
              <w:top w:w="50" w:type="dxa"/>
              <w:bottom w:w="50" w:type="dxa"/>
              <w:left w:w="90" w:type="dxa"/>
              <w:right w:w="90" w:type="dxa"/>
            </w:tcMar>
          </w:tcPr>
          <w:p>
            <w:pPr>
              <w:pStyle w:val="BDOITable"/>
            </w:pPr>
            <w:r>
              <w:rPr>
                <w:sz w:val="18"/>
              </w:rPr>
              <w:t>Reference data, products, insurers, branches</w:t>
            </w:r>
          </w:p>
        </w:tc>
        <w:tc>
          <w:tcPr>
            <w:tcW w:type="dxa" w:w="4321"/>
            <w:tcMar>
              <w:top w:w="50" w:type="dxa"/>
              <w:bottom w:w="50" w:type="dxa"/>
              <w:left w:w="90" w:type="dxa"/>
              <w:right w:w="90" w:type="dxa"/>
            </w:tcMar>
          </w:tcPr>
          <w:p>
            <w:pPr>
              <w:pStyle w:val="BDOITable"/>
            </w:pPr>
            <w:r>
              <w:rPr>
                <w:sz w:val="18"/>
              </w:rPr>
              <w:t>Permissions for change; read by staff</w:t>
            </w:r>
          </w:p>
        </w:tc>
      </w:tr>
      <w:tr>
        <w:trPr>
          <w:cantSplit w:val="true"/>
        </w:trPr>
        <w:tc>
          <w:tcPr>
            <w:tcW w:type="dxa" w:w="1994"/>
            <w:tcMar>
              <w:top w:w="50" w:type="dxa"/>
              <w:bottom w:w="50" w:type="dxa"/>
              <w:left w:w="90" w:type="dxa"/>
              <w:right w:w="90" w:type="dxa"/>
            </w:tcMar>
            <w:shd w:val="clear" w:color="auto" w:fill="E5F5FF"/>
          </w:tcPr>
          <w:p>
            <w:pPr>
              <w:pStyle w:val="BDOITable"/>
            </w:pPr>
            <w:r>
              <w:rPr>
                <w:b/>
                <w:sz w:val="18"/>
              </w:rPr>
              <w:t>Public</w:t>
            </w:r>
          </w:p>
        </w:tc>
        <w:tc>
          <w:tcPr>
            <w:tcW w:type="dxa" w:w="3656"/>
            <w:tcMar>
              <w:top w:w="50" w:type="dxa"/>
              <w:bottom w:w="50" w:type="dxa"/>
              <w:left w:w="90" w:type="dxa"/>
              <w:right w:w="90" w:type="dxa"/>
            </w:tcMar>
            <w:shd w:val="clear" w:color="auto" w:fill="E5F5FF"/>
          </w:tcPr>
          <w:p>
            <w:pPr>
              <w:pStyle w:val="BDOITable"/>
            </w:pPr>
            <w:r>
              <w:rPr>
                <w:sz w:val="18"/>
              </w:rPr>
              <w:t>None held by BIBS</w:t>
            </w:r>
          </w:p>
        </w:tc>
        <w:tc>
          <w:tcPr>
            <w:tcW w:type="dxa" w:w="4321"/>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Heading1"/>
        <w:pageBreakBefore/>
        <w:pBdr>
          <w:bottom w:val="single" w:sz="4" w:space="4" w:color="99C1E7"/>
        </w:pBdr>
      </w:pPr>
      <w:bookmarkStart w:id="138" w:name="_Toc000138"/>
      <w:r>
        <w:rPr/>
        <w:t>13 Logging and security monitoring</w:t>
      </w:r>
      <w:bookmarkEnd w:id="138"/>
    </w:p>
    <w:p>
      <w:pPr>
        <w:pStyle w:val="Caption"/>
        <w:keepNext/>
        <w:spacing w:after="60"/>
      </w:pPr>
      <w:r>
        <w:rPr>
          <w:b/>
          <w:i w:val="0"/>
        </w:rPr>
        <w:t xml:space="preserve">Table 24: </w:t>
      </w:r>
      <w:r>
        <w:rPr/>
        <w:t>Security-relevant records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59"/>
        <w:gridCol w:w="3823"/>
        <w:gridCol w:w="3490"/>
      </w:tblGrid>
      <w:tr>
        <w:trPr>
          <w:tblHeader w:val="true"/>
          <w:cantSplit w:val="true"/>
        </w:trPr>
        <w:tc>
          <w:tcPr>
            <w:tcW w:type="dxa" w:w="2659"/>
            <w:shd w:val="clear" w:color="auto" w:fill="004EA8"/>
            <w:tcMar>
              <w:top w:w="50" w:type="dxa"/>
              <w:bottom w:w="50" w:type="dxa"/>
              <w:left w:w="90" w:type="dxa"/>
              <w:right w:w="90" w:type="dxa"/>
            </w:tcMar>
            <w:vAlign w:val="center"/>
          </w:tcPr>
          <w:p>
            <w:pPr>
              <w:pStyle w:val="BDOITableHeader"/>
            </w:pPr>
            <w:r>
              <w:rPr>
                <w:b/>
                <w:color w:val="FFFFFF"/>
                <w:sz w:val="18"/>
              </w:rPr>
              <w:t>Record</w:t>
            </w:r>
          </w:p>
        </w:tc>
        <w:tc>
          <w:tcPr>
            <w:tcW w:type="dxa" w:w="3823"/>
            <w:shd w:val="clear" w:color="auto" w:fill="004EA8"/>
            <w:tcMar>
              <w:top w:w="50" w:type="dxa"/>
              <w:bottom w:w="50" w:type="dxa"/>
              <w:left w:w="90" w:type="dxa"/>
              <w:right w:w="90" w:type="dxa"/>
            </w:tcMar>
            <w:vAlign w:val="center"/>
          </w:tcPr>
          <w:p>
            <w:pPr>
              <w:pStyle w:val="BDOITableHeader"/>
            </w:pPr>
            <w:r>
              <w:rPr>
                <w:b/>
                <w:color w:val="FFFFFF"/>
                <w:sz w:val="18"/>
              </w:rPr>
              <w:t>Content</w:t>
            </w:r>
          </w:p>
        </w:tc>
        <w:tc>
          <w:tcPr>
            <w:tcW w:type="dxa" w:w="3490"/>
            <w:shd w:val="clear" w:color="auto" w:fill="004EA8"/>
            <w:tcMar>
              <w:top w:w="50" w:type="dxa"/>
              <w:bottom w:w="50" w:type="dxa"/>
              <w:left w:w="90" w:type="dxa"/>
              <w:right w:w="90" w:type="dxa"/>
            </w:tcMar>
            <w:vAlign w:val="center"/>
          </w:tcPr>
          <w:p>
            <w:pPr>
              <w:pStyle w:val="BDOITableHeader"/>
            </w:pPr>
            <w:r>
              <w:rPr>
                <w:b/>
                <w:color w:val="FFFFFF"/>
                <w:sz w:val="18"/>
              </w:rPr>
              <w:t>Protection and retention (proposal)</w:t>
            </w:r>
          </w:p>
        </w:tc>
      </w:tr>
      <w:tr>
        <w:trPr>
          <w:cantSplit w:val="true"/>
        </w:trPr>
        <w:tc>
          <w:tcPr>
            <w:tcW w:type="dxa" w:w="2659"/>
            <w:tcMar>
              <w:top w:w="50" w:type="dxa"/>
              <w:bottom w:w="50" w:type="dxa"/>
              <w:left w:w="90" w:type="dxa"/>
              <w:right w:w="90" w:type="dxa"/>
            </w:tcMar>
          </w:tcPr>
          <w:p>
            <w:pPr>
              <w:pStyle w:val="BDOITable"/>
            </w:pPr>
            <w:r>
              <w:rPr>
                <w:b/>
                <w:sz w:val="18"/>
              </w:rPr>
              <w:t>Audit trail</w:t>
            </w:r>
          </w:p>
        </w:tc>
        <w:tc>
          <w:tcPr>
            <w:tcW w:type="dxa" w:w="3823"/>
            <w:tcMar>
              <w:top w:w="50" w:type="dxa"/>
              <w:bottom w:w="50" w:type="dxa"/>
              <w:left w:w="90" w:type="dxa"/>
              <w:right w:w="90" w:type="dxa"/>
            </w:tcMar>
          </w:tcPr>
          <w:p>
            <w:pPr>
              <w:pStyle w:val="BDOITable"/>
            </w:pPr>
            <w:r>
              <w:rPr>
                <w:sz w:val="18"/>
              </w:rPr>
              <w:t>Every create, update, authorise, post, reverse, sign-in, report run and export with user, time, entity and summary, in the same transaction</w:t>
            </w:r>
          </w:p>
        </w:tc>
        <w:tc>
          <w:tcPr>
            <w:tcW w:type="dxa" w:w="3490"/>
            <w:tcMar>
              <w:top w:w="50" w:type="dxa"/>
              <w:bottom w:w="50" w:type="dxa"/>
              <w:left w:w="90" w:type="dxa"/>
              <w:right w:w="90" w:type="dxa"/>
            </w:tcMar>
          </w:tcPr>
          <w:p>
            <w:pPr>
              <w:pStyle w:val="BDOITable"/>
            </w:pPr>
            <w:r>
              <w:rPr>
                <w:sz w:val="18"/>
              </w:rPr>
              <w:t>Insert-only (database triggers); online 5 years, archive to 10 years</w:t>
            </w:r>
          </w:p>
        </w:tc>
      </w:tr>
      <w:tr>
        <w:trPr>
          <w:cantSplit w:val="true"/>
        </w:trPr>
        <w:tc>
          <w:tcPr>
            <w:tcW w:type="dxa" w:w="2659"/>
            <w:tcMar>
              <w:top w:w="50" w:type="dxa"/>
              <w:bottom w:w="50" w:type="dxa"/>
              <w:left w:w="90" w:type="dxa"/>
              <w:right w:w="90" w:type="dxa"/>
            </w:tcMar>
            <w:shd w:val="clear" w:color="auto" w:fill="E5F5FF"/>
          </w:tcPr>
          <w:p>
            <w:pPr>
              <w:pStyle w:val="BDOITable"/>
            </w:pPr>
            <w:r>
              <w:rPr>
                <w:b/>
                <w:sz w:val="18"/>
              </w:rPr>
              <w:t>Sign-in audit</w:t>
            </w:r>
          </w:p>
        </w:tc>
        <w:tc>
          <w:tcPr>
            <w:tcW w:type="dxa" w:w="3823"/>
            <w:tcMar>
              <w:top w:w="50" w:type="dxa"/>
              <w:bottom w:w="50" w:type="dxa"/>
              <w:left w:w="90" w:type="dxa"/>
              <w:right w:w="90" w:type="dxa"/>
            </w:tcMar>
            <w:shd w:val="clear" w:color="auto" w:fill="E5F5FF"/>
          </w:tcPr>
          <w:p>
            <w:pPr>
              <w:pStyle w:val="BDOITable"/>
            </w:pPr>
            <w:r>
              <w:rPr>
                <w:sz w:val="18"/>
              </w:rPr>
              <w:t>Successful and failed sign-in, lockout, sign-out, real reason of a refusal</w:t>
            </w:r>
          </w:p>
        </w:tc>
        <w:tc>
          <w:tcPr>
            <w:tcW w:type="dxa" w:w="3490"/>
            <w:tcMar>
              <w:top w:w="50" w:type="dxa"/>
              <w:bottom w:w="50" w:type="dxa"/>
              <w:left w:w="90" w:type="dxa"/>
              <w:right w:w="90" w:type="dxa"/>
            </w:tcMar>
            <w:shd w:val="clear" w:color="auto" w:fill="E5F5FF"/>
          </w:tcPr>
          <w:p>
            <w:pPr>
              <w:pStyle w:val="BDOITable"/>
            </w:pPr>
            <w:r>
              <w:rPr>
                <w:sz w:val="18"/>
              </w:rPr>
              <w:t>As above</w:t>
            </w:r>
          </w:p>
        </w:tc>
      </w:tr>
      <w:tr>
        <w:trPr>
          <w:cantSplit w:val="true"/>
        </w:trPr>
        <w:tc>
          <w:tcPr>
            <w:tcW w:type="dxa" w:w="2659"/>
            <w:tcMar>
              <w:top w:w="50" w:type="dxa"/>
              <w:bottom w:w="50" w:type="dxa"/>
              <w:left w:w="90" w:type="dxa"/>
              <w:right w:w="90" w:type="dxa"/>
            </w:tcMar>
          </w:tcPr>
          <w:p>
            <w:pPr>
              <w:pStyle w:val="BDOITable"/>
            </w:pPr>
            <w:r>
              <w:rPr>
                <w:b/>
                <w:sz w:val="18"/>
              </w:rPr>
              <w:t>Access change log</w:t>
            </w:r>
          </w:p>
        </w:tc>
        <w:tc>
          <w:tcPr>
            <w:tcW w:type="dxa" w:w="3823"/>
            <w:tcMar>
              <w:top w:w="50" w:type="dxa"/>
              <w:bottom w:w="50" w:type="dxa"/>
              <w:left w:w="90" w:type="dxa"/>
              <w:right w:w="90" w:type="dxa"/>
            </w:tcMar>
          </w:tcPr>
          <w:p>
            <w:pPr>
              <w:pStyle w:val="BDOITable"/>
            </w:pPr>
            <w:r>
              <w:rPr>
                <w:sz w:val="18"/>
              </w:rPr>
              <w:t>Every attribute changed on a user or role: from, to, request number, approver, source (BIBS or IGA)</w:t>
            </w:r>
          </w:p>
        </w:tc>
        <w:tc>
          <w:tcPr>
            <w:tcW w:type="dxa" w:w="3490"/>
            <w:tcMar>
              <w:top w:w="50" w:type="dxa"/>
              <w:bottom w:w="50" w:type="dxa"/>
              <w:left w:w="90" w:type="dxa"/>
              <w:right w:w="90" w:type="dxa"/>
            </w:tcMar>
          </w:tcPr>
          <w:p>
            <w:pPr>
              <w:pStyle w:val="BDOITable"/>
            </w:pPr>
            <w:r>
              <w:rPr>
                <w:sz w:val="18"/>
              </w:rPr>
              <w:t>Insert-only; 15 years</w:t>
            </w:r>
          </w:p>
        </w:tc>
      </w:tr>
      <w:tr>
        <w:trPr>
          <w:cantSplit w:val="true"/>
        </w:trPr>
        <w:tc>
          <w:tcPr>
            <w:tcW w:type="dxa" w:w="2659"/>
            <w:tcMar>
              <w:top w:w="50" w:type="dxa"/>
              <w:bottom w:w="50" w:type="dxa"/>
              <w:left w:w="90" w:type="dxa"/>
              <w:right w:w="90" w:type="dxa"/>
            </w:tcMar>
            <w:shd w:val="clear" w:color="auto" w:fill="E5F5FF"/>
          </w:tcPr>
          <w:p>
            <w:pPr>
              <w:pStyle w:val="BDOITable"/>
            </w:pPr>
            <w:r>
              <w:rPr>
                <w:b/>
                <w:sz w:val="18"/>
              </w:rPr>
              <w:t>Session log</w:t>
            </w:r>
          </w:p>
        </w:tc>
        <w:tc>
          <w:tcPr>
            <w:tcW w:type="dxa" w:w="3823"/>
            <w:tcMar>
              <w:top w:w="50" w:type="dxa"/>
              <w:bottom w:w="50" w:type="dxa"/>
              <w:left w:w="90" w:type="dxa"/>
              <w:right w:w="90" w:type="dxa"/>
            </w:tcMar>
            <w:shd w:val="clear" w:color="auto" w:fill="E5F5FF"/>
          </w:tcPr>
          <w:p>
            <w:pPr>
              <w:pStyle w:val="BDOITable"/>
            </w:pPr>
            <w:r>
              <w:rPr>
                <w:sz w:val="18"/>
              </w:rPr>
              <w:t>Sessions with method, second factor, start, last activity, end reason</w:t>
            </w:r>
          </w:p>
        </w:tc>
        <w:tc>
          <w:tcPr>
            <w:tcW w:type="dxa" w:w="3490"/>
            <w:tcMar>
              <w:top w:w="50" w:type="dxa"/>
              <w:bottom w:w="50" w:type="dxa"/>
              <w:left w:w="90" w:type="dxa"/>
              <w:right w:w="90" w:type="dxa"/>
            </w:tcMar>
            <w:shd w:val="clear" w:color="auto" w:fill="E5F5FF"/>
          </w:tcPr>
          <w:p>
            <w:pPr>
              <w:pStyle w:val="BDOITable"/>
            </w:pPr>
            <w:r>
              <w:rPr>
                <w:sz w:val="18"/>
              </w:rPr>
              <w:t>1 year online</w:t>
            </w:r>
          </w:p>
        </w:tc>
      </w:tr>
      <w:tr>
        <w:trPr>
          <w:cantSplit w:val="true"/>
        </w:trPr>
        <w:tc>
          <w:tcPr>
            <w:tcW w:type="dxa" w:w="2659"/>
            <w:tcMar>
              <w:top w:w="50" w:type="dxa"/>
              <w:bottom w:w="50" w:type="dxa"/>
              <w:left w:w="90" w:type="dxa"/>
              <w:right w:w="90" w:type="dxa"/>
            </w:tcMar>
          </w:tcPr>
          <w:p>
            <w:pPr>
              <w:pStyle w:val="BDOITable"/>
            </w:pPr>
            <w:r>
              <w:rPr>
                <w:b/>
                <w:sz w:val="18"/>
              </w:rPr>
              <w:t>File link audit</w:t>
            </w:r>
          </w:p>
        </w:tc>
        <w:tc>
          <w:tcPr>
            <w:tcW w:type="dxa" w:w="3823"/>
            <w:tcMar>
              <w:top w:w="50" w:type="dxa"/>
              <w:bottom w:w="50" w:type="dxa"/>
              <w:left w:w="90" w:type="dxa"/>
              <w:right w:w="90" w:type="dxa"/>
            </w:tcMar>
          </w:tcPr>
          <w:p>
            <w:pPr>
              <w:pStyle w:val="BDOITable"/>
            </w:pPr>
            <w:r>
              <w:rPr>
                <w:sz w:val="18"/>
              </w:rPr>
              <w:t>Every presigned link issued: who, what, when, from where</w:t>
            </w:r>
          </w:p>
        </w:tc>
        <w:tc>
          <w:tcPr>
            <w:tcW w:type="dxa" w:w="3490"/>
            <w:tcMar>
              <w:top w:w="50" w:type="dxa"/>
              <w:bottom w:w="50" w:type="dxa"/>
              <w:left w:w="90" w:type="dxa"/>
              <w:right w:w="90" w:type="dxa"/>
            </w:tcMar>
          </w:tcPr>
          <w:p>
            <w:pPr>
              <w:pStyle w:val="BDOITable"/>
            </w:pPr>
            <w:r>
              <w:rPr>
                <w:sz w:val="18"/>
              </w:rPr>
              <w:t>5 years</w:t>
            </w:r>
          </w:p>
        </w:tc>
      </w:tr>
      <w:tr>
        <w:trPr>
          <w:cantSplit w:val="true"/>
        </w:trPr>
        <w:tc>
          <w:tcPr>
            <w:tcW w:type="dxa" w:w="2659"/>
            <w:tcMar>
              <w:top w:w="50" w:type="dxa"/>
              <w:bottom w:w="50" w:type="dxa"/>
              <w:left w:w="90" w:type="dxa"/>
              <w:right w:w="90" w:type="dxa"/>
            </w:tcMar>
            <w:shd w:val="clear" w:color="auto" w:fill="E5F5FF"/>
          </w:tcPr>
          <w:p>
            <w:pPr>
              <w:pStyle w:val="BDOITable"/>
            </w:pPr>
            <w:r>
              <w:rPr>
                <w:b/>
                <w:sz w:val="18"/>
              </w:rPr>
              <w:t>Legacy archive access log</w:t>
            </w:r>
          </w:p>
        </w:tc>
        <w:tc>
          <w:tcPr>
            <w:tcW w:type="dxa" w:w="3823"/>
            <w:tcMar>
              <w:top w:w="50" w:type="dxa"/>
              <w:bottom w:w="50" w:type="dxa"/>
              <w:left w:w="90" w:type="dxa"/>
              <w:right w:w="90" w:type="dxa"/>
            </w:tcMar>
            <w:shd w:val="clear" w:color="auto" w:fill="E5F5FF"/>
          </w:tcPr>
          <w:p>
            <w:pPr>
              <w:pStyle w:val="BDOITable"/>
            </w:pPr>
            <w:r>
              <w:rPr>
                <w:sz w:val="18"/>
              </w:rPr>
              <w:t>Inquiries of migrated legacy records</w:t>
            </w:r>
          </w:p>
        </w:tc>
        <w:tc>
          <w:tcPr>
            <w:tcW w:type="dxa" w:w="3490"/>
            <w:tcMar>
              <w:top w:w="50" w:type="dxa"/>
              <w:bottom w:w="50" w:type="dxa"/>
              <w:left w:w="90" w:type="dxa"/>
              <w:right w:w="90" w:type="dxa"/>
            </w:tcMar>
            <w:shd w:val="clear" w:color="auto" w:fill="E5F5FF"/>
          </w:tcPr>
          <w:p>
            <w:pPr>
              <w:pStyle w:val="BDOITable"/>
            </w:pPr>
            <w:r>
              <w:rPr>
                <w:sz w:val="18"/>
              </w:rPr>
              <w:t>Insert-only; 15 years</w:t>
            </w:r>
          </w:p>
        </w:tc>
      </w:tr>
      <w:tr>
        <w:trPr>
          <w:cantSplit w:val="true"/>
        </w:trPr>
        <w:tc>
          <w:tcPr>
            <w:tcW w:type="dxa" w:w="2659"/>
            <w:tcMar>
              <w:top w:w="50" w:type="dxa"/>
              <w:bottom w:w="50" w:type="dxa"/>
              <w:left w:w="90" w:type="dxa"/>
              <w:right w:w="90" w:type="dxa"/>
            </w:tcMar>
          </w:tcPr>
          <w:p>
            <w:pPr>
              <w:pStyle w:val="BDOITable"/>
            </w:pPr>
            <w:r>
              <w:rPr>
                <w:b/>
                <w:sz w:val="18"/>
              </w:rPr>
              <w:t>Application logs</w:t>
            </w:r>
          </w:p>
        </w:tc>
        <w:tc>
          <w:tcPr>
            <w:tcW w:type="dxa" w:w="3823"/>
            <w:tcMar>
              <w:top w:w="50" w:type="dxa"/>
              <w:bottom w:w="50" w:type="dxa"/>
              <w:left w:w="90" w:type="dxa"/>
              <w:right w:w="90" w:type="dxa"/>
            </w:tcMar>
          </w:tcPr>
          <w:p>
            <w:pPr>
              <w:pStyle w:val="BDOITable"/>
            </w:pPr>
            <w:r>
              <w:rPr>
                <w:sz w:val="18"/>
              </w:rPr>
              <w:t>Container output: time with offset, level, logger, message; line breaks neutralised; no secrets or personal data</w:t>
            </w:r>
          </w:p>
        </w:tc>
        <w:tc>
          <w:tcPr>
            <w:tcW w:type="dxa" w:w="3490"/>
            <w:tcMar>
              <w:top w:w="50" w:type="dxa"/>
              <w:bottom w:w="50" w:type="dxa"/>
              <w:left w:w="90" w:type="dxa"/>
              <w:right w:w="90" w:type="dxa"/>
            </w:tcMar>
          </w:tcPr>
          <w:p>
            <w:pPr>
              <w:pStyle w:val="BDOITable"/>
            </w:pPr>
            <w:r>
              <w:rPr>
                <w:sz w:val="18"/>
              </w:rPr>
              <w:t>Platform log store 1 year (BDOI policy)</w:t>
            </w:r>
          </w:p>
        </w:tc>
      </w:tr>
      <w:tr>
        <w:trPr>
          <w:cantSplit w:val="true"/>
        </w:trPr>
        <w:tc>
          <w:tcPr>
            <w:tcW w:type="dxa" w:w="2659"/>
            <w:tcMar>
              <w:top w:w="50" w:type="dxa"/>
              <w:bottom w:w="50" w:type="dxa"/>
              <w:left w:w="90" w:type="dxa"/>
              <w:right w:w="90" w:type="dxa"/>
            </w:tcMar>
            <w:shd w:val="clear" w:color="auto" w:fill="E5F5FF"/>
          </w:tcPr>
          <w:p>
            <w:pPr>
              <w:pStyle w:val="BDOITable"/>
            </w:pPr>
            <w:r>
              <w:rPr>
                <w:b/>
                <w:sz w:val="18"/>
              </w:rPr>
              <w:t>Metrics and alerts</w:t>
            </w:r>
          </w:p>
        </w:tc>
        <w:tc>
          <w:tcPr>
            <w:tcW w:type="dxa" w:w="3823"/>
            <w:tcMar>
              <w:top w:w="50" w:type="dxa"/>
              <w:bottom w:w="50" w:type="dxa"/>
              <w:left w:w="90" w:type="dxa"/>
              <w:right w:w="90" w:type="dxa"/>
            </w:tcMar>
            <w:shd w:val="clear" w:color="auto" w:fill="E5F5FF"/>
          </w:tcPr>
          <w:p>
            <w:pPr>
              <w:pStyle w:val="BDOITable"/>
            </w:pPr>
            <w:r>
              <w:rPr>
                <w:sz w:val="18"/>
              </w:rPr>
              <w:t>Prometheus metrics on the management port; alerts such as SECURITY_STORE_UNAVAILABLE, FILE_QUARANTINED, job failures</w:t>
            </w:r>
          </w:p>
        </w:tc>
        <w:tc>
          <w:tcPr>
            <w:tcW w:type="dxa" w:w="3490"/>
            <w:tcMar>
              <w:top w:w="50" w:type="dxa"/>
              <w:bottom w:w="50" w:type="dxa"/>
              <w:left w:w="90" w:type="dxa"/>
              <w:right w:w="90" w:type="dxa"/>
            </w:tcMar>
            <w:shd w:val="clear" w:color="auto" w:fill="E5F5FF"/>
          </w:tcPr>
          <w:p>
            <w:pPr>
              <w:pStyle w:val="BDOITable"/>
            </w:pPr>
            <w:r>
              <w:rPr>
                <w:sz w:val="18"/>
              </w:rPr>
              <w:t>Monitoring platform</w:t>
            </w:r>
          </w:p>
        </w:tc>
      </w:tr>
    </w:tbl>
    <w:p>
      <w:pPr>
        <w:pStyle w:val="BDOISpacer"/>
      </w:pPr>
    </w:p>
    <w:p>
      <w:r>
        <w:rPr>
          <w:b/>
        </w:rPr>
        <w:t>Monitoring use cases (proposal for the BDO SIEM, open point SEC-07):</w:t>
      </w:r>
      <w:r>
        <w:rPr/>
        <w:t xml:space="preserve"> repeated sign-in failures and lockouts; any break-glass sign-in; sign-in outside working hours by a privileged role; second approval bypass attempts; access-control refusals above a threshold per user (after SEC-06); security store outages; quarantined files; mass exports; changes of security parameters; creation of a role with privilege level ADMIN; Trivy or SCA exception expiry.</w:t>
      </w:r>
    </w:p>
    <w:p>
      <w:pPr>
        <w:pStyle w:val="Heading1"/>
        <w:pageBreakBefore/>
        <w:pBdr>
          <w:bottom w:val="single" w:sz="4" w:space="4" w:color="99C1E7"/>
        </w:pBdr>
      </w:pPr>
      <w:bookmarkStart w:id="139" w:name="_Toc000139"/>
      <w:r>
        <w:rPr/>
        <w:t>14 Roles and responsibilities</w:t>
      </w:r>
      <w:bookmarkEnd w:id="139"/>
    </w:p>
    <w:p>
      <w:pPr>
        <w:pStyle w:val="Caption"/>
        <w:keepNext/>
        <w:spacing w:after="60"/>
      </w:pPr>
      <w:r>
        <w:rPr>
          <w:b/>
          <w:i w:val="0"/>
        </w:rPr>
        <w:t xml:space="preserve">Table 25: </w:t>
      </w:r>
      <w:r>
        <w:rPr/>
        <w:t>RACI for security (R responsible, A accountable, C consulted, I informed)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641"/>
        <w:gridCol w:w="1266"/>
        <w:gridCol w:w="1266"/>
        <w:gridCol w:w="1266"/>
        <w:gridCol w:w="1266"/>
        <w:gridCol w:w="1266"/>
      </w:tblGrid>
      <w:tr>
        <w:trPr>
          <w:tblHeader w:val="true"/>
          <w:cantSplit w:val="true"/>
        </w:trPr>
        <w:tc>
          <w:tcPr>
            <w:tcW w:type="dxa" w:w="3641"/>
            <w:shd w:val="clear" w:color="auto" w:fill="004EA8"/>
            <w:tcMar>
              <w:top w:w="50" w:type="dxa"/>
              <w:bottom w:w="50" w:type="dxa"/>
              <w:left w:w="90" w:type="dxa"/>
              <w:right w:w="90" w:type="dxa"/>
            </w:tcMar>
            <w:vAlign w:val="center"/>
          </w:tcPr>
          <w:p>
            <w:pPr>
              <w:pStyle w:val="BDOITableHeader"/>
            </w:pPr>
            <w:r>
              <w:rPr>
                <w:b/>
                <w:color w:val="FFFFFF"/>
                <w:sz w:val="18"/>
              </w:rPr>
              <w:t>Activity</w:t>
            </w:r>
          </w:p>
        </w:tc>
        <w:tc>
          <w:tcPr>
            <w:tcW w:type="dxa" w:w="1266"/>
            <w:shd w:val="clear" w:color="auto" w:fill="004EA8"/>
            <w:tcMar>
              <w:top w:w="50" w:type="dxa"/>
              <w:bottom w:w="50" w:type="dxa"/>
              <w:left w:w="90" w:type="dxa"/>
              <w:right w:w="90" w:type="dxa"/>
            </w:tcMar>
            <w:vAlign w:val="center"/>
          </w:tcPr>
          <w:p>
            <w:pPr>
              <w:pStyle w:val="BDOITableHeader"/>
            </w:pPr>
            <w:r>
              <w:rPr>
                <w:b/>
                <w:color w:val="FFFFFF"/>
                <w:sz w:val="18"/>
              </w:rPr>
              <w:t>iorta TechNXT</w:t>
            </w:r>
          </w:p>
        </w:tc>
        <w:tc>
          <w:tcPr>
            <w:tcW w:type="dxa" w:w="1266"/>
            <w:shd w:val="clear" w:color="auto" w:fill="004EA8"/>
            <w:tcMar>
              <w:top w:w="50" w:type="dxa"/>
              <w:bottom w:w="50" w:type="dxa"/>
              <w:left w:w="90" w:type="dxa"/>
              <w:right w:w="90" w:type="dxa"/>
            </w:tcMar>
            <w:vAlign w:val="center"/>
          </w:tcPr>
          <w:p>
            <w:pPr>
              <w:pStyle w:val="BDOITableHeader"/>
            </w:pPr>
            <w:r>
              <w:rPr>
                <w:b/>
                <w:color w:val="FFFFFF"/>
                <w:sz w:val="18"/>
              </w:rPr>
              <w:t>BDOI InfoSec</w:t>
            </w:r>
          </w:p>
        </w:tc>
        <w:tc>
          <w:tcPr>
            <w:tcW w:type="dxa" w:w="1266"/>
            <w:shd w:val="clear" w:color="auto" w:fill="004EA8"/>
            <w:tcMar>
              <w:top w:w="50" w:type="dxa"/>
              <w:bottom w:w="50" w:type="dxa"/>
              <w:left w:w="90" w:type="dxa"/>
              <w:right w:w="90" w:type="dxa"/>
            </w:tcMar>
            <w:vAlign w:val="center"/>
          </w:tcPr>
          <w:p>
            <w:pPr>
              <w:pStyle w:val="BDOITableHeader"/>
            </w:pPr>
            <w:r>
              <w:rPr>
                <w:b/>
                <w:color w:val="FFFFFF"/>
                <w:sz w:val="18"/>
              </w:rPr>
              <w:t>BDOI IT</w:t>
            </w:r>
          </w:p>
        </w:tc>
        <w:tc>
          <w:tcPr>
            <w:tcW w:type="dxa" w:w="1266"/>
            <w:shd w:val="clear" w:color="auto" w:fill="004EA8"/>
            <w:tcMar>
              <w:top w:w="50" w:type="dxa"/>
              <w:bottom w:w="50" w:type="dxa"/>
              <w:left w:w="90" w:type="dxa"/>
              <w:right w:w="90" w:type="dxa"/>
            </w:tcMar>
            <w:vAlign w:val="center"/>
          </w:tcPr>
          <w:p>
            <w:pPr>
              <w:pStyle w:val="BDOITableHeader"/>
            </w:pPr>
            <w:r>
              <w:rPr>
                <w:b/>
                <w:color w:val="FFFFFF"/>
                <w:sz w:val="18"/>
              </w:rPr>
              <w:t>BDO cloud and API teams</w:t>
            </w:r>
          </w:p>
        </w:tc>
        <w:tc>
          <w:tcPr>
            <w:tcW w:type="dxa" w:w="1266"/>
            <w:shd w:val="clear" w:color="auto" w:fill="004EA8"/>
            <w:tcMar>
              <w:top w:w="50" w:type="dxa"/>
              <w:bottom w:w="50" w:type="dxa"/>
              <w:left w:w="90" w:type="dxa"/>
              <w:right w:w="90" w:type="dxa"/>
            </w:tcMar>
            <w:vAlign w:val="center"/>
          </w:tcPr>
          <w:p>
            <w:pPr>
              <w:pStyle w:val="BDOITableHeader"/>
            </w:pPr>
            <w:r>
              <w:rPr>
                <w:b/>
                <w:color w:val="FFFFFF"/>
                <w:sz w:val="18"/>
              </w:rPr>
              <w:t>BDOI DPO</w:t>
            </w:r>
          </w:p>
        </w:tc>
      </w:tr>
      <w:tr>
        <w:trPr>
          <w:cantSplit w:val="true"/>
        </w:trPr>
        <w:tc>
          <w:tcPr>
            <w:tcW w:type="dxa" w:w="3641"/>
            <w:tcMar>
              <w:top w:w="50" w:type="dxa"/>
              <w:bottom w:w="50" w:type="dxa"/>
              <w:left w:w="90" w:type="dxa"/>
              <w:right w:w="90" w:type="dxa"/>
            </w:tcMar>
          </w:tcPr>
          <w:p>
            <w:pPr>
              <w:pStyle w:val="BDOITable"/>
            </w:pPr>
            <w:r>
              <w:rPr>
                <w:b/>
                <w:sz w:val="18"/>
              </w:rPr>
              <w:t>Security architecture and threat model</w:t>
            </w:r>
          </w:p>
        </w:tc>
        <w:tc>
          <w:tcPr>
            <w:tcW w:type="dxa" w:w="1266"/>
            <w:tcMar>
              <w:top w:w="50" w:type="dxa"/>
              <w:bottom w:w="50" w:type="dxa"/>
              <w:left w:w="90" w:type="dxa"/>
              <w:right w:w="90" w:type="dxa"/>
            </w:tcMar>
          </w:tcPr>
          <w:p>
            <w:pPr>
              <w:pStyle w:val="BDOITable"/>
            </w:pPr>
            <w:r>
              <w:rPr>
                <w:sz w:val="18"/>
              </w:rPr>
              <w:t>R</w:t>
            </w:r>
          </w:p>
        </w:tc>
        <w:tc>
          <w:tcPr>
            <w:tcW w:type="dxa" w:w="1266"/>
            <w:tcMar>
              <w:top w:w="50" w:type="dxa"/>
              <w:bottom w:w="50" w:type="dxa"/>
              <w:left w:w="90" w:type="dxa"/>
              <w:right w:w="90" w:type="dxa"/>
            </w:tcMar>
          </w:tcPr>
          <w:p>
            <w:pPr>
              <w:pStyle w:val="BDOITable"/>
            </w:pPr>
            <w:r>
              <w:rPr>
                <w:sz w:val="18"/>
              </w:rPr>
              <w:t>A</w:t>
            </w:r>
          </w:p>
        </w:tc>
        <w:tc>
          <w:tcPr>
            <w:tcW w:type="dxa" w:w="1266"/>
            <w:tcMar>
              <w:top w:w="50" w:type="dxa"/>
              <w:bottom w:w="50" w:type="dxa"/>
              <w:left w:w="90" w:type="dxa"/>
              <w:right w:w="90" w:type="dxa"/>
            </w:tcMar>
          </w:tcPr>
          <w:p>
            <w:pPr>
              <w:pStyle w:val="BDOITable"/>
            </w:pPr>
            <w:r>
              <w:rPr>
                <w:sz w:val="18"/>
              </w:rPr>
              <w:t>C</w:t>
            </w:r>
          </w:p>
        </w:tc>
        <w:tc>
          <w:tcPr>
            <w:tcW w:type="dxa" w:w="1266"/>
            <w:tcMar>
              <w:top w:w="50" w:type="dxa"/>
              <w:bottom w:w="50" w:type="dxa"/>
              <w:left w:w="90" w:type="dxa"/>
              <w:right w:w="90" w:type="dxa"/>
            </w:tcMar>
          </w:tcPr>
          <w:p>
            <w:pPr>
              <w:pStyle w:val="BDOITable"/>
            </w:pPr>
            <w:r>
              <w:rPr>
                <w:sz w:val="18"/>
              </w:rPr>
              <w:t>C</w:t>
            </w:r>
          </w:p>
        </w:tc>
        <w:tc>
          <w:tcPr>
            <w:tcW w:type="dxa" w:w="1266"/>
            <w:tcMar>
              <w:top w:w="50" w:type="dxa"/>
              <w:bottom w:w="50" w:type="dxa"/>
              <w:left w:w="90" w:type="dxa"/>
              <w:right w:w="90" w:type="dxa"/>
            </w:tcMar>
          </w:tcPr>
          <w:p>
            <w:pPr>
              <w:pStyle w:val="BDOITable"/>
            </w:pPr>
            <w:r>
              <w:rPr>
                <w:sz w:val="18"/>
              </w:rPr>
              <w:t>I</w:t>
            </w:r>
          </w:p>
        </w:tc>
      </w:tr>
      <w:tr>
        <w:trPr>
          <w:cantSplit w:val="true"/>
        </w:trPr>
        <w:tc>
          <w:tcPr>
            <w:tcW w:type="dxa" w:w="3641"/>
            <w:tcMar>
              <w:top w:w="50" w:type="dxa"/>
              <w:bottom w:w="50" w:type="dxa"/>
              <w:left w:w="90" w:type="dxa"/>
              <w:right w:w="90" w:type="dxa"/>
            </w:tcMar>
            <w:shd w:val="clear" w:color="auto" w:fill="E5F5FF"/>
          </w:tcPr>
          <w:p>
            <w:pPr>
              <w:pStyle w:val="BDOITable"/>
            </w:pPr>
            <w:r>
              <w:rPr>
                <w:b/>
                <w:sz w:val="18"/>
              </w:rPr>
              <w:t>Secure coding, pipeline gates, remediation</w:t>
            </w:r>
          </w:p>
        </w:tc>
        <w:tc>
          <w:tcPr>
            <w:tcW w:type="dxa" w:w="1266"/>
            <w:tcMar>
              <w:top w:w="50" w:type="dxa"/>
              <w:bottom w:w="50" w:type="dxa"/>
              <w:left w:w="90" w:type="dxa"/>
              <w:right w:w="90" w:type="dxa"/>
            </w:tcMar>
            <w:shd w:val="clear" w:color="auto" w:fill="E5F5FF"/>
          </w:tcPr>
          <w:p>
            <w:pPr>
              <w:pStyle w:val="BDOITable"/>
            </w:pPr>
            <w:r>
              <w:rPr>
                <w:sz w:val="18"/>
              </w:rPr>
              <w:t>R, A</w:t>
            </w:r>
          </w:p>
        </w:tc>
        <w:tc>
          <w:tcPr>
            <w:tcW w:type="dxa" w:w="1266"/>
            <w:tcMar>
              <w:top w:w="50" w:type="dxa"/>
              <w:bottom w:w="50" w:type="dxa"/>
              <w:left w:w="90" w:type="dxa"/>
              <w:right w:w="90" w:type="dxa"/>
            </w:tcMar>
            <w:shd w:val="clear" w:color="auto" w:fill="E5F5FF"/>
          </w:tcPr>
          <w:p>
            <w:pPr>
              <w:pStyle w:val="BDOITable"/>
            </w:pPr>
            <w:r>
              <w:rPr>
                <w:sz w:val="18"/>
              </w:rPr>
              <w:t>I</w:t>
            </w:r>
          </w:p>
        </w:tc>
        <w:tc>
          <w:tcPr>
            <w:tcW w:type="dxa" w:w="1266"/>
            <w:tcMar>
              <w:top w:w="50" w:type="dxa"/>
              <w:bottom w:w="50" w:type="dxa"/>
              <w:left w:w="90" w:type="dxa"/>
              <w:right w:w="90" w:type="dxa"/>
            </w:tcMar>
            <w:shd w:val="clear" w:color="auto" w:fill="E5F5FF"/>
          </w:tcPr>
          <w:p>
            <w:pPr>
              <w:pStyle w:val="BDOITable"/>
            </w:pPr>
            <w:r>
              <w:rPr>
                <w:sz w:val="18"/>
              </w:rPr>
              <w:t>I</w:t>
            </w:r>
          </w:p>
        </w:tc>
        <w:tc>
          <w:tcPr>
            <w:tcW w:type="dxa" w:w="1266"/>
            <w:tcMar>
              <w:top w:w="50" w:type="dxa"/>
              <w:bottom w:w="50" w:type="dxa"/>
              <w:left w:w="90" w:type="dxa"/>
              <w:right w:w="90" w:type="dxa"/>
            </w:tcMar>
            <w:shd w:val="clear" w:color="auto" w:fill="E5F5FF"/>
          </w:tcPr>
          <w:p>
            <w:pPr>
              <w:pStyle w:val="BDOITable"/>
            </w:pPr>
            <w:r>
              <w:rPr>
                <w:sz w:val="18"/>
              </w:rPr>
              <w:t>-</w:t>
            </w:r>
          </w:p>
        </w:tc>
        <w:tc>
          <w:tcPr>
            <w:tcW w:type="dxa" w:w="126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3641"/>
            <w:tcMar>
              <w:top w:w="50" w:type="dxa"/>
              <w:bottom w:w="50" w:type="dxa"/>
              <w:left w:w="90" w:type="dxa"/>
              <w:right w:w="90" w:type="dxa"/>
            </w:tcMar>
          </w:tcPr>
          <w:p>
            <w:pPr>
              <w:pStyle w:val="BDOITable"/>
            </w:pPr>
            <w:r>
              <w:rPr>
                <w:b/>
                <w:sz w:val="18"/>
              </w:rPr>
              <w:t>EIAM, conditional access, UIDM-ISC</w:t>
            </w:r>
          </w:p>
        </w:tc>
        <w:tc>
          <w:tcPr>
            <w:tcW w:type="dxa" w:w="1266"/>
            <w:tcMar>
              <w:top w:w="50" w:type="dxa"/>
              <w:bottom w:w="50" w:type="dxa"/>
              <w:left w:w="90" w:type="dxa"/>
              <w:right w:w="90" w:type="dxa"/>
            </w:tcMar>
          </w:tcPr>
          <w:p>
            <w:pPr>
              <w:pStyle w:val="BDOITable"/>
            </w:pPr>
            <w:r>
              <w:rPr>
                <w:sz w:val="18"/>
              </w:rPr>
              <w:t>C</w:t>
            </w:r>
          </w:p>
        </w:tc>
        <w:tc>
          <w:tcPr>
            <w:tcW w:type="dxa" w:w="1266"/>
            <w:tcMar>
              <w:top w:w="50" w:type="dxa"/>
              <w:bottom w:w="50" w:type="dxa"/>
              <w:left w:w="90" w:type="dxa"/>
              <w:right w:w="90" w:type="dxa"/>
            </w:tcMar>
          </w:tcPr>
          <w:p>
            <w:pPr>
              <w:pStyle w:val="BDOITable"/>
            </w:pPr>
            <w:r>
              <w:rPr>
                <w:sz w:val="18"/>
              </w:rPr>
              <w:t>C</w:t>
            </w:r>
          </w:p>
        </w:tc>
        <w:tc>
          <w:tcPr>
            <w:tcW w:type="dxa" w:w="1266"/>
            <w:tcMar>
              <w:top w:w="50" w:type="dxa"/>
              <w:bottom w:w="50" w:type="dxa"/>
              <w:left w:w="90" w:type="dxa"/>
              <w:right w:w="90" w:type="dxa"/>
            </w:tcMar>
          </w:tcPr>
          <w:p>
            <w:pPr>
              <w:pStyle w:val="BDOITable"/>
            </w:pPr>
            <w:r>
              <w:rPr>
                <w:sz w:val="18"/>
              </w:rPr>
              <w:t>R, A</w:t>
            </w:r>
          </w:p>
        </w:tc>
        <w:tc>
          <w:tcPr>
            <w:tcW w:type="dxa" w:w="1266"/>
            <w:tcMar>
              <w:top w:w="50" w:type="dxa"/>
              <w:bottom w:w="50" w:type="dxa"/>
              <w:left w:w="90" w:type="dxa"/>
              <w:right w:w="90" w:type="dxa"/>
            </w:tcMar>
          </w:tcPr>
          <w:p>
            <w:pPr>
              <w:pStyle w:val="BDOITable"/>
            </w:pPr>
            <w:r>
              <w:rPr>
                <w:sz w:val="18"/>
              </w:rPr>
              <w:t>C</w:t>
            </w:r>
          </w:p>
        </w:tc>
        <w:tc>
          <w:tcPr>
            <w:tcW w:type="dxa" w:w="1266"/>
            <w:tcMar>
              <w:top w:w="50" w:type="dxa"/>
              <w:bottom w:w="50" w:type="dxa"/>
              <w:left w:w="90" w:type="dxa"/>
              <w:right w:w="90" w:type="dxa"/>
            </w:tcMar>
          </w:tcPr>
          <w:p>
            <w:pPr>
              <w:pStyle w:val="BDOITable"/>
            </w:pPr>
            <w:r>
              <w:rPr>
                <w:sz w:val="18"/>
              </w:rPr>
              <w:t>-</w:t>
            </w:r>
          </w:p>
        </w:tc>
      </w:tr>
      <w:tr>
        <w:trPr>
          <w:cantSplit w:val="true"/>
        </w:trPr>
        <w:tc>
          <w:tcPr>
            <w:tcW w:type="dxa" w:w="3641"/>
            <w:tcMar>
              <w:top w:w="50" w:type="dxa"/>
              <w:bottom w:w="50" w:type="dxa"/>
              <w:left w:w="90" w:type="dxa"/>
              <w:right w:w="90" w:type="dxa"/>
            </w:tcMar>
            <w:shd w:val="clear" w:color="auto" w:fill="E5F5FF"/>
          </w:tcPr>
          <w:p>
            <w:pPr>
              <w:pStyle w:val="BDOITable"/>
            </w:pPr>
            <w:r>
              <w:rPr>
                <w:b/>
                <w:sz w:val="18"/>
              </w:rPr>
              <w:t>Keys (KMS) and key policies</w:t>
            </w:r>
          </w:p>
        </w:tc>
        <w:tc>
          <w:tcPr>
            <w:tcW w:type="dxa" w:w="1266"/>
            <w:tcMar>
              <w:top w:w="50" w:type="dxa"/>
              <w:bottom w:w="50" w:type="dxa"/>
              <w:left w:w="90" w:type="dxa"/>
              <w:right w:w="90" w:type="dxa"/>
            </w:tcMar>
            <w:shd w:val="clear" w:color="auto" w:fill="E5F5FF"/>
          </w:tcPr>
          <w:p>
            <w:pPr>
              <w:pStyle w:val="BDOITable"/>
            </w:pPr>
            <w:r>
              <w:rPr>
                <w:sz w:val="18"/>
              </w:rPr>
              <w:t>C</w:t>
            </w:r>
          </w:p>
        </w:tc>
        <w:tc>
          <w:tcPr>
            <w:tcW w:type="dxa" w:w="1266"/>
            <w:tcMar>
              <w:top w:w="50" w:type="dxa"/>
              <w:bottom w:w="50" w:type="dxa"/>
              <w:left w:w="90" w:type="dxa"/>
              <w:right w:w="90" w:type="dxa"/>
            </w:tcMar>
            <w:shd w:val="clear" w:color="auto" w:fill="E5F5FF"/>
          </w:tcPr>
          <w:p>
            <w:pPr>
              <w:pStyle w:val="BDOITable"/>
            </w:pPr>
            <w:r>
              <w:rPr>
                <w:sz w:val="18"/>
              </w:rPr>
              <w:t>A</w:t>
            </w:r>
          </w:p>
        </w:tc>
        <w:tc>
          <w:tcPr>
            <w:tcW w:type="dxa" w:w="1266"/>
            <w:tcMar>
              <w:top w:w="50" w:type="dxa"/>
              <w:bottom w:w="50" w:type="dxa"/>
              <w:left w:w="90" w:type="dxa"/>
              <w:right w:w="90" w:type="dxa"/>
            </w:tcMar>
            <w:shd w:val="clear" w:color="auto" w:fill="E5F5FF"/>
          </w:tcPr>
          <w:p>
            <w:pPr>
              <w:pStyle w:val="BDOITable"/>
            </w:pPr>
            <w:r>
              <w:rPr>
                <w:sz w:val="18"/>
              </w:rPr>
              <w:t>R</w:t>
            </w:r>
          </w:p>
        </w:tc>
        <w:tc>
          <w:tcPr>
            <w:tcW w:type="dxa" w:w="1266"/>
            <w:tcMar>
              <w:top w:w="50" w:type="dxa"/>
              <w:bottom w:w="50" w:type="dxa"/>
              <w:left w:w="90" w:type="dxa"/>
              <w:right w:w="90" w:type="dxa"/>
            </w:tcMar>
            <w:shd w:val="clear" w:color="auto" w:fill="E5F5FF"/>
          </w:tcPr>
          <w:p>
            <w:pPr>
              <w:pStyle w:val="BDOITable"/>
            </w:pPr>
            <w:r>
              <w:rPr>
                <w:sz w:val="18"/>
              </w:rPr>
              <w:t>R</w:t>
            </w:r>
          </w:p>
        </w:tc>
        <w:tc>
          <w:tcPr>
            <w:tcW w:type="dxa" w:w="126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3641"/>
            <w:tcMar>
              <w:top w:w="50" w:type="dxa"/>
              <w:bottom w:w="50" w:type="dxa"/>
              <w:left w:w="90" w:type="dxa"/>
              <w:right w:w="90" w:type="dxa"/>
            </w:tcMar>
          </w:tcPr>
          <w:p>
            <w:pPr>
              <w:pStyle w:val="BDOITable"/>
            </w:pPr>
            <w:r>
              <w:rPr>
                <w:b/>
                <w:sz w:val="18"/>
              </w:rPr>
              <w:t>Secrets in Secrets Manager and rotation</w:t>
            </w:r>
          </w:p>
        </w:tc>
        <w:tc>
          <w:tcPr>
            <w:tcW w:type="dxa" w:w="1266"/>
            <w:tcMar>
              <w:top w:w="50" w:type="dxa"/>
              <w:bottom w:w="50" w:type="dxa"/>
              <w:left w:w="90" w:type="dxa"/>
              <w:right w:w="90" w:type="dxa"/>
            </w:tcMar>
          </w:tcPr>
          <w:p>
            <w:pPr>
              <w:pStyle w:val="BDOITable"/>
            </w:pPr>
            <w:r>
              <w:rPr>
                <w:sz w:val="18"/>
              </w:rPr>
              <w:t>C</w:t>
            </w:r>
          </w:p>
        </w:tc>
        <w:tc>
          <w:tcPr>
            <w:tcW w:type="dxa" w:w="1266"/>
            <w:tcMar>
              <w:top w:w="50" w:type="dxa"/>
              <w:bottom w:w="50" w:type="dxa"/>
              <w:left w:w="90" w:type="dxa"/>
              <w:right w:w="90" w:type="dxa"/>
            </w:tcMar>
          </w:tcPr>
          <w:p>
            <w:pPr>
              <w:pStyle w:val="BDOITable"/>
            </w:pPr>
            <w:r>
              <w:rPr>
                <w:sz w:val="18"/>
              </w:rPr>
              <w:t>I</w:t>
            </w:r>
          </w:p>
        </w:tc>
        <w:tc>
          <w:tcPr>
            <w:tcW w:type="dxa" w:w="1266"/>
            <w:tcMar>
              <w:top w:w="50" w:type="dxa"/>
              <w:bottom w:w="50" w:type="dxa"/>
              <w:left w:w="90" w:type="dxa"/>
              <w:right w:w="90" w:type="dxa"/>
            </w:tcMar>
          </w:tcPr>
          <w:p>
            <w:pPr>
              <w:pStyle w:val="BDOITable"/>
            </w:pPr>
            <w:r>
              <w:rPr>
                <w:sz w:val="18"/>
              </w:rPr>
              <w:t>R, A</w:t>
            </w:r>
          </w:p>
        </w:tc>
        <w:tc>
          <w:tcPr>
            <w:tcW w:type="dxa" w:w="1266"/>
            <w:tcMar>
              <w:top w:w="50" w:type="dxa"/>
              <w:bottom w:w="50" w:type="dxa"/>
              <w:left w:w="90" w:type="dxa"/>
              <w:right w:w="90" w:type="dxa"/>
            </w:tcMar>
          </w:tcPr>
          <w:p>
            <w:pPr>
              <w:pStyle w:val="BDOITable"/>
            </w:pPr>
            <w:r>
              <w:rPr>
                <w:sz w:val="18"/>
              </w:rPr>
              <w:t>C</w:t>
            </w:r>
          </w:p>
        </w:tc>
        <w:tc>
          <w:tcPr>
            <w:tcW w:type="dxa" w:w="1266"/>
            <w:tcMar>
              <w:top w:w="50" w:type="dxa"/>
              <w:bottom w:w="50" w:type="dxa"/>
              <w:left w:w="90" w:type="dxa"/>
              <w:right w:w="90" w:type="dxa"/>
            </w:tcMar>
          </w:tcPr>
          <w:p>
            <w:pPr>
              <w:pStyle w:val="BDOITable"/>
            </w:pPr>
            <w:r>
              <w:rPr>
                <w:sz w:val="18"/>
              </w:rPr>
              <w:t>-</w:t>
            </w:r>
          </w:p>
        </w:tc>
      </w:tr>
      <w:tr>
        <w:trPr>
          <w:cantSplit w:val="true"/>
        </w:trPr>
        <w:tc>
          <w:tcPr>
            <w:tcW w:type="dxa" w:w="3641"/>
            <w:tcMar>
              <w:top w:w="50" w:type="dxa"/>
              <w:bottom w:w="50" w:type="dxa"/>
              <w:left w:w="90" w:type="dxa"/>
              <w:right w:w="90" w:type="dxa"/>
            </w:tcMar>
            <w:shd w:val="clear" w:color="auto" w:fill="E5F5FF"/>
          </w:tcPr>
          <w:p>
            <w:pPr>
              <w:pStyle w:val="BDOITable"/>
            </w:pPr>
            <w:r>
              <w:rPr>
                <w:b/>
                <w:sz w:val="18"/>
              </w:rPr>
              <w:t>WAF, network, Gateway, Apigee X</w:t>
            </w:r>
          </w:p>
        </w:tc>
        <w:tc>
          <w:tcPr>
            <w:tcW w:type="dxa" w:w="1266"/>
            <w:tcMar>
              <w:top w:w="50" w:type="dxa"/>
              <w:bottom w:w="50" w:type="dxa"/>
              <w:left w:w="90" w:type="dxa"/>
              <w:right w:w="90" w:type="dxa"/>
            </w:tcMar>
            <w:shd w:val="clear" w:color="auto" w:fill="E5F5FF"/>
          </w:tcPr>
          <w:p>
            <w:pPr>
              <w:pStyle w:val="BDOITable"/>
            </w:pPr>
            <w:r>
              <w:rPr>
                <w:sz w:val="18"/>
              </w:rPr>
              <w:t>C</w:t>
            </w:r>
          </w:p>
        </w:tc>
        <w:tc>
          <w:tcPr>
            <w:tcW w:type="dxa" w:w="1266"/>
            <w:tcMar>
              <w:top w:w="50" w:type="dxa"/>
              <w:bottom w:w="50" w:type="dxa"/>
              <w:left w:w="90" w:type="dxa"/>
              <w:right w:w="90" w:type="dxa"/>
            </w:tcMar>
            <w:shd w:val="clear" w:color="auto" w:fill="E5F5FF"/>
          </w:tcPr>
          <w:p>
            <w:pPr>
              <w:pStyle w:val="BDOITable"/>
            </w:pPr>
            <w:r>
              <w:rPr>
                <w:sz w:val="18"/>
              </w:rPr>
              <w:t>C</w:t>
            </w:r>
          </w:p>
        </w:tc>
        <w:tc>
          <w:tcPr>
            <w:tcW w:type="dxa" w:w="1266"/>
            <w:tcMar>
              <w:top w:w="50" w:type="dxa"/>
              <w:bottom w:w="50" w:type="dxa"/>
              <w:left w:w="90" w:type="dxa"/>
              <w:right w:w="90" w:type="dxa"/>
            </w:tcMar>
            <w:shd w:val="clear" w:color="auto" w:fill="E5F5FF"/>
          </w:tcPr>
          <w:p>
            <w:pPr>
              <w:pStyle w:val="BDOITable"/>
            </w:pPr>
            <w:r>
              <w:rPr>
                <w:sz w:val="18"/>
              </w:rPr>
              <w:t>A</w:t>
            </w:r>
          </w:p>
        </w:tc>
        <w:tc>
          <w:tcPr>
            <w:tcW w:type="dxa" w:w="1266"/>
            <w:tcMar>
              <w:top w:w="50" w:type="dxa"/>
              <w:bottom w:w="50" w:type="dxa"/>
              <w:left w:w="90" w:type="dxa"/>
              <w:right w:w="90" w:type="dxa"/>
            </w:tcMar>
            <w:shd w:val="clear" w:color="auto" w:fill="E5F5FF"/>
          </w:tcPr>
          <w:p>
            <w:pPr>
              <w:pStyle w:val="BDOITable"/>
            </w:pPr>
            <w:r>
              <w:rPr>
                <w:sz w:val="18"/>
              </w:rPr>
              <w:t>R</w:t>
            </w:r>
          </w:p>
        </w:tc>
        <w:tc>
          <w:tcPr>
            <w:tcW w:type="dxa" w:w="126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3641"/>
            <w:tcMar>
              <w:top w:w="50" w:type="dxa"/>
              <w:bottom w:w="50" w:type="dxa"/>
              <w:left w:w="90" w:type="dxa"/>
              <w:right w:w="90" w:type="dxa"/>
            </w:tcMar>
          </w:tcPr>
          <w:p>
            <w:pPr>
              <w:pStyle w:val="BDOITable"/>
            </w:pPr>
            <w:r>
              <w:rPr>
                <w:b/>
                <w:sz w:val="18"/>
              </w:rPr>
              <w:t>Vulnerability exceptions (High and Critical)</w:t>
            </w:r>
          </w:p>
        </w:tc>
        <w:tc>
          <w:tcPr>
            <w:tcW w:type="dxa" w:w="1266"/>
            <w:tcMar>
              <w:top w:w="50" w:type="dxa"/>
              <w:bottom w:w="50" w:type="dxa"/>
              <w:left w:w="90" w:type="dxa"/>
              <w:right w:w="90" w:type="dxa"/>
            </w:tcMar>
          </w:tcPr>
          <w:p>
            <w:pPr>
              <w:pStyle w:val="BDOITable"/>
            </w:pPr>
            <w:r>
              <w:rPr>
                <w:sz w:val="18"/>
              </w:rPr>
              <w:t>R</w:t>
            </w:r>
          </w:p>
        </w:tc>
        <w:tc>
          <w:tcPr>
            <w:tcW w:type="dxa" w:w="1266"/>
            <w:tcMar>
              <w:top w:w="50" w:type="dxa"/>
              <w:bottom w:w="50" w:type="dxa"/>
              <w:left w:w="90" w:type="dxa"/>
              <w:right w:w="90" w:type="dxa"/>
            </w:tcMar>
          </w:tcPr>
          <w:p>
            <w:pPr>
              <w:pStyle w:val="BDOITable"/>
            </w:pPr>
            <w:r>
              <w:rPr>
                <w:sz w:val="18"/>
              </w:rPr>
              <w:t>A</w:t>
            </w:r>
          </w:p>
        </w:tc>
        <w:tc>
          <w:tcPr>
            <w:tcW w:type="dxa" w:w="1266"/>
            <w:tcMar>
              <w:top w:w="50" w:type="dxa"/>
              <w:bottom w:w="50" w:type="dxa"/>
              <w:left w:w="90" w:type="dxa"/>
              <w:right w:w="90" w:type="dxa"/>
            </w:tcMar>
          </w:tcPr>
          <w:p>
            <w:pPr>
              <w:pStyle w:val="BDOITable"/>
            </w:pPr>
            <w:r>
              <w:rPr>
                <w:sz w:val="18"/>
              </w:rPr>
              <w:t>C</w:t>
            </w:r>
          </w:p>
        </w:tc>
        <w:tc>
          <w:tcPr>
            <w:tcW w:type="dxa" w:w="1266"/>
            <w:tcMar>
              <w:top w:w="50" w:type="dxa"/>
              <w:bottom w:w="50" w:type="dxa"/>
              <w:left w:w="90" w:type="dxa"/>
              <w:right w:w="90" w:type="dxa"/>
            </w:tcMar>
          </w:tcPr>
          <w:p>
            <w:pPr>
              <w:pStyle w:val="BDOITable"/>
            </w:pPr>
            <w:r>
              <w:rPr>
                <w:sz w:val="18"/>
              </w:rPr>
              <w:t>-</w:t>
            </w:r>
          </w:p>
        </w:tc>
        <w:tc>
          <w:tcPr>
            <w:tcW w:type="dxa" w:w="1266"/>
            <w:tcMar>
              <w:top w:w="50" w:type="dxa"/>
              <w:bottom w:w="50" w:type="dxa"/>
              <w:left w:w="90" w:type="dxa"/>
              <w:right w:w="90" w:type="dxa"/>
            </w:tcMar>
          </w:tcPr>
          <w:p>
            <w:pPr>
              <w:pStyle w:val="BDOITable"/>
            </w:pPr>
            <w:r>
              <w:rPr>
                <w:sz w:val="18"/>
              </w:rPr>
              <w:t>-</w:t>
            </w:r>
          </w:p>
        </w:tc>
      </w:tr>
      <w:tr>
        <w:trPr>
          <w:cantSplit w:val="true"/>
        </w:trPr>
        <w:tc>
          <w:tcPr>
            <w:tcW w:type="dxa" w:w="3641"/>
            <w:tcMar>
              <w:top w:w="50" w:type="dxa"/>
              <w:bottom w:w="50" w:type="dxa"/>
              <w:left w:w="90" w:type="dxa"/>
              <w:right w:w="90" w:type="dxa"/>
            </w:tcMar>
            <w:shd w:val="clear" w:color="auto" w:fill="E5F5FF"/>
          </w:tcPr>
          <w:p>
            <w:pPr>
              <w:pStyle w:val="BDOITable"/>
            </w:pPr>
            <w:r>
              <w:rPr>
                <w:b/>
                <w:sz w:val="18"/>
              </w:rPr>
              <w:t>Penetration test</w:t>
            </w:r>
          </w:p>
        </w:tc>
        <w:tc>
          <w:tcPr>
            <w:tcW w:type="dxa" w:w="1266"/>
            <w:tcMar>
              <w:top w:w="50" w:type="dxa"/>
              <w:bottom w:w="50" w:type="dxa"/>
              <w:left w:w="90" w:type="dxa"/>
              <w:right w:w="90" w:type="dxa"/>
            </w:tcMar>
            <w:shd w:val="clear" w:color="auto" w:fill="E5F5FF"/>
          </w:tcPr>
          <w:p>
            <w:pPr>
              <w:pStyle w:val="BDOITable"/>
            </w:pPr>
            <w:r>
              <w:rPr>
                <w:sz w:val="18"/>
              </w:rPr>
              <w:t>C</w:t>
            </w:r>
          </w:p>
        </w:tc>
        <w:tc>
          <w:tcPr>
            <w:tcW w:type="dxa" w:w="1266"/>
            <w:tcMar>
              <w:top w:w="50" w:type="dxa"/>
              <w:bottom w:w="50" w:type="dxa"/>
              <w:left w:w="90" w:type="dxa"/>
              <w:right w:w="90" w:type="dxa"/>
            </w:tcMar>
            <w:shd w:val="clear" w:color="auto" w:fill="E5F5FF"/>
          </w:tcPr>
          <w:p>
            <w:pPr>
              <w:pStyle w:val="BDOITable"/>
            </w:pPr>
            <w:r>
              <w:rPr>
                <w:sz w:val="18"/>
              </w:rPr>
              <w:t>R, A</w:t>
            </w:r>
          </w:p>
        </w:tc>
        <w:tc>
          <w:tcPr>
            <w:tcW w:type="dxa" w:w="1266"/>
            <w:tcMar>
              <w:top w:w="50" w:type="dxa"/>
              <w:bottom w:w="50" w:type="dxa"/>
              <w:left w:w="90" w:type="dxa"/>
              <w:right w:w="90" w:type="dxa"/>
            </w:tcMar>
            <w:shd w:val="clear" w:color="auto" w:fill="E5F5FF"/>
          </w:tcPr>
          <w:p>
            <w:pPr>
              <w:pStyle w:val="BDOITable"/>
            </w:pPr>
            <w:r>
              <w:rPr>
                <w:sz w:val="18"/>
              </w:rPr>
              <w:t>C</w:t>
            </w:r>
          </w:p>
        </w:tc>
        <w:tc>
          <w:tcPr>
            <w:tcW w:type="dxa" w:w="1266"/>
            <w:tcMar>
              <w:top w:w="50" w:type="dxa"/>
              <w:bottom w:w="50" w:type="dxa"/>
              <w:left w:w="90" w:type="dxa"/>
              <w:right w:w="90" w:type="dxa"/>
            </w:tcMar>
            <w:shd w:val="clear" w:color="auto" w:fill="E5F5FF"/>
          </w:tcPr>
          <w:p>
            <w:pPr>
              <w:pStyle w:val="BDOITable"/>
            </w:pPr>
            <w:r>
              <w:rPr>
                <w:sz w:val="18"/>
              </w:rPr>
              <w:t>C</w:t>
            </w:r>
          </w:p>
        </w:tc>
        <w:tc>
          <w:tcPr>
            <w:tcW w:type="dxa" w:w="1266"/>
            <w:tcMar>
              <w:top w:w="50" w:type="dxa"/>
              <w:bottom w:w="50" w:type="dxa"/>
              <w:left w:w="90" w:type="dxa"/>
              <w:right w:w="90" w:type="dxa"/>
            </w:tcMar>
            <w:shd w:val="clear" w:color="auto" w:fill="E5F5FF"/>
          </w:tcPr>
          <w:p>
            <w:pPr>
              <w:pStyle w:val="BDOITable"/>
            </w:pPr>
            <w:r>
              <w:rPr>
                <w:sz w:val="18"/>
              </w:rPr>
              <w:t>I</w:t>
            </w:r>
          </w:p>
        </w:tc>
      </w:tr>
      <w:tr>
        <w:trPr>
          <w:cantSplit w:val="true"/>
        </w:trPr>
        <w:tc>
          <w:tcPr>
            <w:tcW w:type="dxa" w:w="3641"/>
            <w:tcMar>
              <w:top w:w="50" w:type="dxa"/>
              <w:bottom w:w="50" w:type="dxa"/>
              <w:left w:w="90" w:type="dxa"/>
              <w:right w:w="90" w:type="dxa"/>
            </w:tcMar>
          </w:tcPr>
          <w:p>
            <w:pPr>
              <w:pStyle w:val="BDOITable"/>
            </w:pPr>
            <w:r>
              <w:rPr>
                <w:b/>
                <w:sz w:val="18"/>
              </w:rPr>
              <w:t>SIEM use cases and monitoring</w:t>
            </w:r>
          </w:p>
        </w:tc>
        <w:tc>
          <w:tcPr>
            <w:tcW w:type="dxa" w:w="1266"/>
            <w:tcMar>
              <w:top w:w="50" w:type="dxa"/>
              <w:bottom w:w="50" w:type="dxa"/>
              <w:left w:w="90" w:type="dxa"/>
              <w:right w:w="90" w:type="dxa"/>
            </w:tcMar>
          </w:tcPr>
          <w:p>
            <w:pPr>
              <w:pStyle w:val="BDOITable"/>
            </w:pPr>
            <w:r>
              <w:rPr>
                <w:sz w:val="18"/>
              </w:rPr>
              <w:t>C</w:t>
            </w:r>
          </w:p>
        </w:tc>
        <w:tc>
          <w:tcPr>
            <w:tcW w:type="dxa" w:w="1266"/>
            <w:tcMar>
              <w:top w:w="50" w:type="dxa"/>
              <w:bottom w:w="50" w:type="dxa"/>
              <w:left w:w="90" w:type="dxa"/>
              <w:right w:w="90" w:type="dxa"/>
            </w:tcMar>
          </w:tcPr>
          <w:p>
            <w:pPr>
              <w:pStyle w:val="BDOITable"/>
            </w:pPr>
            <w:r>
              <w:rPr>
                <w:sz w:val="18"/>
              </w:rPr>
              <w:t>A</w:t>
            </w:r>
          </w:p>
        </w:tc>
        <w:tc>
          <w:tcPr>
            <w:tcW w:type="dxa" w:w="1266"/>
            <w:tcMar>
              <w:top w:w="50" w:type="dxa"/>
              <w:bottom w:w="50" w:type="dxa"/>
              <w:left w:w="90" w:type="dxa"/>
              <w:right w:w="90" w:type="dxa"/>
            </w:tcMar>
          </w:tcPr>
          <w:p>
            <w:pPr>
              <w:pStyle w:val="BDOITable"/>
            </w:pPr>
            <w:r>
              <w:rPr>
                <w:sz w:val="18"/>
              </w:rPr>
              <w:t>R</w:t>
            </w:r>
          </w:p>
        </w:tc>
        <w:tc>
          <w:tcPr>
            <w:tcW w:type="dxa" w:w="1266"/>
            <w:tcMar>
              <w:top w:w="50" w:type="dxa"/>
              <w:bottom w:w="50" w:type="dxa"/>
              <w:left w:w="90" w:type="dxa"/>
              <w:right w:w="90" w:type="dxa"/>
            </w:tcMar>
          </w:tcPr>
          <w:p>
            <w:pPr>
              <w:pStyle w:val="BDOITable"/>
            </w:pPr>
            <w:r>
              <w:rPr>
                <w:sz w:val="18"/>
              </w:rPr>
              <w:t>C</w:t>
            </w:r>
          </w:p>
        </w:tc>
        <w:tc>
          <w:tcPr>
            <w:tcW w:type="dxa" w:w="1266"/>
            <w:tcMar>
              <w:top w:w="50" w:type="dxa"/>
              <w:bottom w:w="50" w:type="dxa"/>
              <w:left w:w="90" w:type="dxa"/>
              <w:right w:w="90" w:type="dxa"/>
            </w:tcMar>
          </w:tcPr>
          <w:p>
            <w:pPr>
              <w:pStyle w:val="BDOITable"/>
            </w:pPr>
            <w:r>
              <w:rPr>
                <w:sz w:val="18"/>
              </w:rPr>
              <w:t>-</w:t>
            </w:r>
          </w:p>
        </w:tc>
      </w:tr>
      <w:tr>
        <w:trPr>
          <w:cantSplit w:val="true"/>
        </w:trPr>
        <w:tc>
          <w:tcPr>
            <w:tcW w:type="dxa" w:w="3641"/>
            <w:tcMar>
              <w:top w:w="50" w:type="dxa"/>
              <w:bottom w:w="50" w:type="dxa"/>
              <w:left w:w="90" w:type="dxa"/>
              <w:right w:w="90" w:type="dxa"/>
            </w:tcMar>
            <w:shd w:val="clear" w:color="auto" w:fill="E5F5FF"/>
          </w:tcPr>
          <w:p>
            <w:pPr>
              <w:pStyle w:val="BDOITable"/>
            </w:pPr>
            <w:r>
              <w:rPr>
                <w:b/>
                <w:sz w:val="18"/>
              </w:rPr>
              <w:t>Privacy impact assessment and data subject requests</w:t>
            </w:r>
          </w:p>
        </w:tc>
        <w:tc>
          <w:tcPr>
            <w:tcW w:type="dxa" w:w="1266"/>
            <w:tcMar>
              <w:top w:w="50" w:type="dxa"/>
              <w:bottom w:w="50" w:type="dxa"/>
              <w:left w:w="90" w:type="dxa"/>
              <w:right w:w="90" w:type="dxa"/>
            </w:tcMar>
            <w:shd w:val="clear" w:color="auto" w:fill="E5F5FF"/>
          </w:tcPr>
          <w:p>
            <w:pPr>
              <w:pStyle w:val="BDOITable"/>
            </w:pPr>
            <w:r>
              <w:rPr>
                <w:sz w:val="18"/>
              </w:rPr>
              <w:t>C</w:t>
            </w:r>
          </w:p>
        </w:tc>
        <w:tc>
          <w:tcPr>
            <w:tcW w:type="dxa" w:w="1266"/>
            <w:tcMar>
              <w:top w:w="50" w:type="dxa"/>
              <w:bottom w:w="50" w:type="dxa"/>
              <w:left w:w="90" w:type="dxa"/>
              <w:right w:w="90" w:type="dxa"/>
            </w:tcMar>
            <w:shd w:val="clear" w:color="auto" w:fill="E5F5FF"/>
          </w:tcPr>
          <w:p>
            <w:pPr>
              <w:pStyle w:val="BDOITable"/>
            </w:pPr>
            <w:r>
              <w:rPr>
                <w:sz w:val="18"/>
              </w:rPr>
              <w:t>C</w:t>
            </w:r>
          </w:p>
        </w:tc>
        <w:tc>
          <w:tcPr>
            <w:tcW w:type="dxa" w:w="1266"/>
            <w:tcMar>
              <w:top w:w="50" w:type="dxa"/>
              <w:bottom w:w="50" w:type="dxa"/>
              <w:left w:w="90" w:type="dxa"/>
              <w:right w:w="90" w:type="dxa"/>
            </w:tcMar>
            <w:shd w:val="clear" w:color="auto" w:fill="E5F5FF"/>
          </w:tcPr>
          <w:p>
            <w:pPr>
              <w:pStyle w:val="BDOITable"/>
            </w:pPr>
            <w:r>
              <w:rPr>
                <w:sz w:val="18"/>
              </w:rPr>
              <w:t>I</w:t>
            </w:r>
          </w:p>
        </w:tc>
        <w:tc>
          <w:tcPr>
            <w:tcW w:type="dxa" w:w="1266"/>
            <w:tcMar>
              <w:top w:w="50" w:type="dxa"/>
              <w:bottom w:w="50" w:type="dxa"/>
              <w:left w:w="90" w:type="dxa"/>
              <w:right w:w="90" w:type="dxa"/>
            </w:tcMar>
            <w:shd w:val="clear" w:color="auto" w:fill="E5F5FF"/>
          </w:tcPr>
          <w:p>
            <w:pPr>
              <w:pStyle w:val="BDOITable"/>
            </w:pPr>
            <w:r>
              <w:rPr>
                <w:sz w:val="18"/>
              </w:rPr>
              <w:t>-</w:t>
            </w:r>
          </w:p>
        </w:tc>
        <w:tc>
          <w:tcPr>
            <w:tcW w:type="dxa" w:w="1266"/>
            <w:tcMar>
              <w:top w:w="50" w:type="dxa"/>
              <w:bottom w:w="50" w:type="dxa"/>
              <w:left w:w="90" w:type="dxa"/>
              <w:right w:w="90" w:type="dxa"/>
            </w:tcMar>
            <w:shd w:val="clear" w:color="auto" w:fill="E5F5FF"/>
          </w:tcPr>
          <w:p>
            <w:pPr>
              <w:pStyle w:val="BDOITable"/>
            </w:pPr>
            <w:r>
              <w:rPr>
                <w:sz w:val="18"/>
              </w:rPr>
              <w:t>R, A</w:t>
            </w:r>
          </w:p>
        </w:tc>
      </w:tr>
      <w:tr>
        <w:trPr>
          <w:cantSplit w:val="true"/>
        </w:trPr>
        <w:tc>
          <w:tcPr>
            <w:tcW w:type="dxa" w:w="3641"/>
            <w:tcMar>
              <w:top w:w="50" w:type="dxa"/>
              <w:bottom w:w="50" w:type="dxa"/>
              <w:left w:w="90" w:type="dxa"/>
              <w:right w:w="90" w:type="dxa"/>
            </w:tcMar>
          </w:tcPr>
          <w:p>
            <w:pPr>
              <w:pStyle w:val="BDOITable"/>
            </w:pPr>
            <w:r>
              <w:rPr>
                <w:b/>
                <w:sz w:val="18"/>
              </w:rPr>
              <w:t>Security incident response</w:t>
            </w:r>
          </w:p>
        </w:tc>
        <w:tc>
          <w:tcPr>
            <w:tcW w:type="dxa" w:w="1266"/>
            <w:tcMar>
              <w:top w:w="50" w:type="dxa"/>
              <w:bottom w:w="50" w:type="dxa"/>
              <w:left w:w="90" w:type="dxa"/>
              <w:right w:w="90" w:type="dxa"/>
            </w:tcMar>
          </w:tcPr>
          <w:p>
            <w:pPr>
              <w:pStyle w:val="BDOITable"/>
            </w:pPr>
            <w:r>
              <w:rPr>
                <w:sz w:val="18"/>
              </w:rPr>
              <w:t>C</w:t>
            </w:r>
          </w:p>
        </w:tc>
        <w:tc>
          <w:tcPr>
            <w:tcW w:type="dxa" w:w="1266"/>
            <w:tcMar>
              <w:top w:w="50" w:type="dxa"/>
              <w:bottom w:w="50" w:type="dxa"/>
              <w:left w:w="90" w:type="dxa"/>
              <w:right w:w="90" w:type="dxa"/>
            </w:tcMar>
          </w:tcPr>
          <w:p>
            <w:pPr>
              <w:pStyle w:val="BDOITable"/>
            </w:pPr>
            <w:r>
              <w:rPr>
                <w:sz w:val="18"/>
              </w:rPr>
              <w:t>A</w:t>
            </w:r>
          </w:p>
        </w:tc>
        <w:tc>
          <w:tcPr>
            <w:tcW w:type="dxa" w:w="1266"/>
            <w:tcMar>
              <w:top w:w="50" w:type="dxa"/>
              <w:bottom w:w="50" w:type="dxa"/>
              <w:left w:w="90" w:type="dxa"/>
              <w:right w:w="90" w:type="dxa"/>
            </w:tcMar>
          </w:tcPr>
          <w:p>
            <w:pPr>
              <w:pStyle w:val="BDOITable"/>
            </w:pPr>
            <w:r>
              <w:rPr>
                <w:sz w:val="18"/>
              </w:rPr>
              <w:t>R</w:t>
            </w:r>
          </w:p>
        </w:tc>
        <w:tc>
          <w:tcPr>
            <w:tcW w:type="dxa" w:w="1266"/>
            <w:tcMar>
              <w:top w:w="50" w:type="dxa"/>
              <w:bottom w:w="50" w:type="dxa"/>
              <w:left w:w="90" w:type="dxa"/>
              <w:right w:w="90" w:type="dxa"/>
            </w:tcMar>
          </w:tcPr>
          <w:p>
            <w:pPr>
              <w:pStyle w:val="BDOITable"/>
            </w:pPr>
            <w:r>
              <w:rPr>
                <w:sz w:val="18"/>
              </w:rPr>
              <w:t>C</w:t>
            </w:r>
          </w:p>
        </w:tc>
        <w:tc>
          <w:tcPr>
            <w:tcW w:type="dxa" w:w="1266"/>
            <w:tcMar>
              <w:top w:w="50" w:type="dxa"/>
              <w:bottom w:w="50" w:type="dxa"/>
              <w:left w:w="90" w:type="dxa"/>
              <w:right w:w="90" w:type="dxa"/>
            </w:tcMar>
          </w:tcPr>
          <w:p>
            <w:pPr>
              <w:pStyle w:val="BDOITable"/>
            </w:pPr>
            <w:r>
              <w:rPr>
                <w:sz w:val="18"/>
              </w:rPr>
              <w:t>R (breach notification)</w:t>
            </w:r>
          </w:p>
        </w:tc>
      </w:tr>
    </w:tbl>
    <w:p>
      <w:pPr>
        <w:pStyle w:val="BDOISpacer"/>
      </w:pPr>
    </w:p>
    <w:p>
      <w:pPr>
        <w:pStyle w:val="Heading1"/>
        <w:pageBreakBefore/>
        <w:pBdr>
          <w:bottom w:val="single" w:sz="4" w:space="4" w:color="99C1E7"/>
        </w:pBdr>
      </w:pPr>
      <w:bookmarkStart w:id="140" w:name="_Toc000140"/>
      <w:r>
        <w:rPr/>
        <w:t>15 Decisions and open points for BDOI</w:t>
      </w:r>
      <w:bookmarkEnd w:id="140"/>
    </w:p>
    <w:p>
      <w:pPr>
        <w:pStyle w:val="Caption"/>
        <w:keepNext/>
        <w:spacing w:after="60"/>
      </w:pPr>
      <w:r>
        <w:rPr>
          <w:b/>
          <w:i w:val="0"/>
        </w:rPr>
        <w:t xml:space="preserve">Table 26: </w:t>
      </w:r>
      <w:r>
        <w:rPr/>
        <w:t>Open points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783"/>
        <w:gridCol w:w="2422"/>
        <w:gridCol w:w="3989"/>
        <w:gridCol w:w="1567"/>
        <w:gridCol w:w="1211"/>
      </w:tblGrid>
      <w:tr>
        <w:trPr>
          <w:tblHeader w:val="true"/>
          <w:cantSplit w:val="true"/>
        </w:trPr>
        <w:tc>
          <w:tcPr>
            <w:tcW w:type="dxa" w:w="784"/>
            <w:shd w:val="clear" w:color="auto" w:fill="004EA8"/>
            <w:tcMar>
              <w:top w:w="50" w:type="dxa"/>
              <w:bottom w:w="50" w:type="dxa"/>
              <w:left w:w="90" w:type="dxa"/>
              <w:right w:w="90" w:type="dxa"/>
            </w:tcMar>
            <w:vAlign w:val="center"/>
          </w:tcPr>
          <w:p>
            <w:pPr>
              <w:pStyle w:val="BDOITableHeader"/>
            </w:pPr>
            <w:r>
              <w:rPr>
                <w:b/>
                <w:color w:val="FFFFFF"/>
                <w:sz w:val="17"/>
              </w:rPr>
              <w:t>Ref</w:t>
            </w:r>
          </w:p>
        </w:tc>
        <w:tc>
          <w:tcPr>
            <w:tcW w:type="dxa" w:w="2422"/>
            <w:shd w:val="clear" w:color="auto" w:fill="004EA8"/>
            <w:tcMar>
              <w:top w:w="50" w:type="dxa"/>
              <w:bottom w:w="50" w:type="dxa"/>
              <w:left w:w="90" w:type="dxa"/>
              <w:right w:w="90" w:type="dxa"/>
            </w:tcMar>
            <w:vAlign w:val="center"/>
          </w:tcPr>
          <w:p>
            <w:pPr>
              <w:pStyle w:val="BDOITableHeader"/>
            </w:pPr>
            <w:r>
              <w:rPr>
                <w:b/>
                <w:color w:val="FFFFFF"/>
                <w:sz w:val="17"/>
              </w:rPr>
              <w:t>Point</w:t>
            </w:r>
          </w:p>
        </w:tc>
        <w:tc>
          <w:tcPr>
            <w:tcW w:type="dxa" w:w="3989"/>
            <w:shd w:val="clear" w:color="auto" w:fill="004EA8"/>
            <w:tcMar>
              <w:top w:w="50" w:type="dxa"/>
              <w:bottom w:w="50" w:type="dxa"/>
              <w:left w:w="90" w:type="dxa"/>
              <w:right w:w="90" w:type="dxa"/>
            </w:tcMar>
            <w:vAlign w:val="center"/>
          </w:tcPr>
          <w:p>
            <w:pPr>
              <w:pStyle w:val="BDOITableHeader"/>
            </w:pPr>
            <w:r>
              <w:rPr>
                <w:b/>
                <w:color w:val="FFFFFF"/>
                <w:sz w:val="17"/>
              </w:rPr>
              <w:t>Our proposal</w:t>
            </w:r>
          </w:p>
        </w:tc>
        <w:tc>
          <w:tcPr>
            <w:tcW w:type="dxa" w:w="1567"/>
            <w:shd w:val="clear" w:color="auto" w:fill="004EA8"/>
            <w:tcMar>
              <w:top w:w="50" w:type="dxa"/>
              <w:bottom w:w="50" w:type="dxa"/>
              <w:left w:w="90" w:type="dxa"/>
              <w:right w:w="90" w:type="dxa"/>
            </w:tcMar>
            <w:vAlign w:val="center"/>
          </w:tcPr>
          <w:p>
            <w:pPr>
              <w:pStyle w:val="BDOITableHeader"/>
            </w:pPr>
            <w:r>
              <w:rPr>
                <w:b/>
                <w:color w:val="FFFFFF"/>
                <w:sz w:val="17"/>
              </w:rPr>
              <w:t>Owner</w:t>
            </w:r>
          </w:p>
        </w:tc>
        <w:tc>
          <w:tcPr>
            <w:tcW w:type="dxa" w:w="1211"/>
            <w:shd w:val="clear" w:color="auto" w:fill="004EA8"/>
            <w:tcMar>
              <w:top w:w="50" w:type="dxa"/>
              <w:bottom w:w="50" w:type="dxa"/>
              <w:left w:w="90" w:type="dxa"/>
              <w:right w:w="90" w:type="dxa"/>
            </w:tcMar>
            <w:vAlign w:val="center"/>
          </w:tcPr>
          <w:p>
            <w:pPr>
              <w:pStyle w:val="BDOITableHeader"/>
            </w:pPr>
            <w:r>
              <w:rPr>
                <w:b/>
                <w:color w:val="FFFFFF"/>
                <w:sz w:val="17"/>
              </w:rPr>
              <w:t>Needed by</w:t>
            </w:r>
          </w:p>
        </w:tc>
      </w:tr>
      <w:tr>
        <w:trPr>
          <w:cantSplit w:val="true"/>
        </w:trPr>
        <w:tc>
          <w:tcPr>
            <w:tcW w:type="dxa" w:w="784"/>
            <w:tcMar>
              <w:top w:w="50" w:type="dxa"/>
              <w:bottom w:w="50" w:type="dxa"/>
              <w:left w:w="90" w:type="dxa"/>
              <w:right w:w="90" w:type="dxa"/>
            </w:tcMar>
          </w:tcPr>
          <w:p>
            <w:pPr>
              <w:pStyle w:val="BDOITable"/>
            </w:pPr>
            <w:r>
              <w:rPr>
                <w:b/>
                <w:sz w:val="17"/>
              </w:rPr>
              <w:t>SEC-01</w:t>
            </w:r>
          </w:p>
        </w:tc>
        <w:tc>
          <w:tcPr>
            <w:tcW w:type="dxa" w:w="2422"/>
            <w:tcMar>
              <w:top w:w="50" w:type="dxa"/>
              <w:bottom w:w="50" w:type="dxa"/>
              <w:left w:w="90" w:type="dxa"/>
              <w:right w:w="90" w:type="dxa"/>
            </w:tcMar>
          </w:tcPr>
          <w:p>
            <w:pPr>
              <w:pStyle w:val="BDOITable"/>
            </w:pPr>
            <w:r>
              <w:rPr>
                <w:sz w:val="17"/>
              </w:rPr>
              <w:t>Second factor in production and EIAM conditional access for BIBS</w:t>
            </w:r>
          </w:p>
        </w:tc>
        <w:tc>
          <w:tcPr>
            <w:tcW w:type="dxa" w:w="3989"/>
            <w:tcMar>
              <w:top w:w="50" w:type="dxa"/>
              <w:bottom w:w="50" w:type="dxa"/>
              <w:left w:w="90" w:type="dxa"/>
              <w:right w:w="90" w:type="dxa"/>
            </w:tcMar>
          </w:tcPr>
          <w:p>
            <w:pPr>
              <w:pStyle w:val="BDOITable"/>
            </w:pPr>
            <w:r>
              <w:rPr>
                <w:sz w:val="17"/>
              </w:rPr>
              <w:t>AUTH_MODE = OIDC with EIAM MFA for every user; MFA_POLICY = PRIVILEGED with privilege level HIGH for the roles that change access, money or security (UAM_APPROVER, UAM_SECOND_APPROVER, INFOSEC_OFFICER, BUSINESS_ADMIN, FIN_ADMIN, DISB_APPROVER, RECORDS_HOLD_APPROVER); remembered devices off</w:t>
            </w:r>
          </w:p>
        </w:tc>
        <w:tc>
          <w:tcPr>
            <w:tcW w:type="dxa" w:w="1567"/>
            <w:tcMar>
              <w:top w:w="50" w:type="dxa"/>
              <w:bottom w:w="50" w:type="dxa"/>
              <w:left w:w="90" w:type="dxa"/>
              <w:right w:w="90" w:type="dxa"/>
            </w:tcMar>
          </w:tcPr>
          <w:p>
            <w:pPr>
              <w:pStyle w:val="BDOITable"/>
            </w:pPr>
            <w:r>
              <w:rPr>
                <w:sz w:val="17"/>
              </w:rPr>
              <w:t>BDOI Information Security, BDOI IT</w:t>
            </w:r>
          </w:p>
        </w:tc>
        <w:tc>
          <w:tcPr>
            <w:tcW w:type="dxa" w:w="1211"/>
            <w:tcMar>
              <w:top w:w="50" w:type="dxa"/>
              <w:bottom w:w="50" w:type="dxa"/>
              <w:left w:w="90" w:type="dxa"/>
              <w:right w:w="90" w:type="dxa"/>
            </w:tcMar>
          </w:tcPr>
          <w:p>
            <w:pPr>
              <w:pStyle w:val="BDOITable"/>
            </w:pPr>
            <w:r>
              <w:rPr>
                <w:sz w:val="17"/>
              </w:rPr>
              <w:t>30 Nov 2026</w:t>
            </w:r>
          </w:p>
        </w:tc>
      </w:tr>
      <w:tr>
        <w:trPr>
          <w:cantSplit w:val="true"/>
        </w:trPr>
        <w:tc>
          <w:tcPr>
            <w:tcW w:type="dxa" w:w="784"/>
            <w:tcMar>
              <w:top w:w="50" w:type="dxa"/>
              <w:bottom w:w="50" w:type="dxa"/>
              <w:left w:w="90" w:type="dxa"/>
              <w:right w:w="90" w:type="dxa"/>
            </w:tcMar>
            <w:shd w:val="clear" w:color="auto" w:fill="E5F5FF"/>
          </w:tcPr>
          <w:p>
            <w:pPr>
              <w:pStyle w:val="BDOITable"/>
            </w:pPr>
            <w:r>
              <w:rPr>
                <w:b/>
                <w:sz w:val="17"/>
              </w:rPr>
              <w:t>SEC-02</w:t>
            </w:r>
          </w:p>
        </w:tc>
        <w:tc>
          <w:tcPr>
            <w:tcW w:type="dxa" w:w="2422"/>
            <w:tcMar>
              <w:top w:w="50" w:type="dxa"/>
              <w:bottom w:w="50" w:type="dxa"/>
              <w:left w:w="90" w:type="dxa"/>
              <w:right w:w="90" w:type="dxa"/>
            </w:tcMar>
            <w:shd w:val="clear" w:color="auto" w:fill="E5F5FF"/>
          </w:tcPr>
          <w:p>
            <w:pPr>
              <w:pStyle w:val="BDOITable"/>
            </w:pPr>
            <w:r>
              <w:rPr>
                <w:sz w:val="17"/>
              </w:rPr>
              <w:t>Local password rules of the break-glass accounts</w:t>
            </w:r>
          </w:p>
        </w:tc>
        <w:tc>
          <w:tcPr>
            <w:tcW w:type="dxa" w:w="3989"/>
            <w:tcMar>
              <w:top w:w="50" w:type="dxa"/>
              <w:bottom w:w="50" w:type="dxa"/>
              <w:left w:w="90" w:type="dxa"/>
              <w:right w:w="90" w:type="dxa"/>
            </w:tcMar>
            <w:shd w:val="clear" w:color="auto" w:fill="E5F5FF"/>
          </w:tcPr>
          <w:p>
            <w:pPr>
              <w:pStyle w:val="BDOITable"/>
            </w:pPr>
            <w:r>
              <w:rPr>
                <w:sz w:val="17"/>
              </w:rPr>
              <w:t>Minimum 12 characters (BRD-11 asks 10); keep composition, history 8 and maximum age 90 days as BRD-11 requires (accepted deviation from ASVS 2.1.9 and 2.1.10); add a breached-password list and a secret pepper</w:t>
            </w:r>
          </w:p>
        </w:tc>
        <w:tc>
          <w:tcPr>
            <w:tcW w:type="dxa" w:w="1567"/>
            <w:tcMar>
              <w:top w:w="50" w:type="dxa"/>
              <w:bottom w:w="50" w:type="dxa"/>
              <w:left w:w="90" w:type="dxa"/>
              <w:right w:w="90" w:type="dxa"/>
            </w:tcMar>
            <w:shd w:val="clear" w:color="auto" w:fill="E5F5FF"/>
          </w:tcPr>
          <w:p>
            <w:pPr>
              <w:pStyle w:val="BDOITable"/>
            </w:pPr>
            <w:r>
              <w:rPr>
                <w:sz w:val="17"/>
              </w:rPr>
              <w:t>BDOI Information Security</w:t>
            </w:r>
          </w:p>
        </w:tc>
        <w:tc>
          <w:tcPr>
            <w:tcW w:type="dxa" w:w="1211"/>
            <w:tcMar>
              <w:top w:w="50" w:type="dxa"/>
              <w:bottom w:w="50" w:type="dxa"/>
              <w:left w:w="90" w:type="dxa"/>
              <w:right w:w="90" w:type="dxa"/>
            </w:tcMar>
            <w:shd w:val="clear" w:color="auto" w:fill="E5F5FF"/>
          </w:tcPr>
          <w:p>
            <w:pPr>
              <w:pStyle w:val="BDOITable"/>
            </w:pPr>
            <w:r>
              <w:rPr>
                <w:sz w:val="17"/>
              </w:rPr>
              <w:t>31 Jan 2027</w:t>
            </w:r>
          </w:p>
        </w:tc>
      </w:tr>
      <w:tr>
        <w:trPr>
          <w:cantSplit w:val="true"/>
        </w:trPr>
        <w:tc>
          <w:tcPr>
            <w:tcW w:type="dxa" w:w="784"/>
            <w:tcMar>
              <w:top w:w="50" w:type="dxa"/>
              <w:bottom w:w="50" w:type="dxa"/>
              <w:left w:w="90" w:type="dxa"/>
              <w:right w:w="90" w:type="dxa"/>
            </w:tcMar>
          </w:tcPr>
          <w:p>
            <w:pPr>
              <w:pStyle w:val="BDOITable"/>
            </w:pPr>
            <w:r>
              <w:rPr>
                <w:b/>
                <w:sz w:val="17"/>
              </w:rPr>
              <w:t>SEC-03</w:t>
            </w:r>
          </w:p>
        </w:tc>
        <w:tc>
          <w:tcPr>
            <w:tcW w:type="dxa" w:w="2422"/>
            <w:tcMar>
              <w:top w:w="50" w:type="dxa"/>
              <w:bottom w:w="50" w:type="dxa"/>
              <w:left w:w="90" w:type="dxa"/>
              <w:right w:w="90" w:type="dxa"/>
            </w:tcMar>
          </w:tcPr>
          <w:p>
            <w:pPr>
              <w:pStyle w:val="BDOITable"/>
            </w:pPr>
            <w:r>
              <w:rPr>
                <w:sz w:val="17"/>
              </w:rPr>
              <w:t>Account notices and session self-service</w:t>
            </w:r>
          </w:p>
        </w:tc>
        <w:tc>
          <w:tcPr>
            <w:tcW w:type="dxa" w:w="3989"/>
            <w:tcMar>
              <w:top w:w="50" w:type="dxa"/>
              <w:bottom w:w="50" w:type="dxa"/>
              <w:left w:w="90" w:type="dxa"/>
              <w:right w:w="90" w:type="dxa"/>
            </w:tcMar>
          </w:tcPr>
          <w:p>
            <w:pPr>
              <w:pStyle w:val="BDOITable"/>
            </w:pPr>
            <w:r>
              <w:rPr>
                <w:sz w:val="17"/>
              </w:rPr>
              <w:t>E-mail to the user after a password change or reset and after a sign-in from a new device; option to sign out other sessions after a password change; own session list on My Profile; cookie name with the __Host- prefix</w:t>
            </w:r>
          </w:p>
        </w:tc>
        <w:tc>
          <w:tcPr>
            <w:tcW w:type="dxa" w:w="1567"/>
            <w:tcMar>
              <w:top w:w="50" w:type="dxa"/>
              <w:bottom w:w="50" w:type="dxa"/>
              <w:left w:w="90" w:type="dxa"/>
              <w:right w:w="90" w:type="dxa"/>
            </w:tcMar>
          </w:tcPr>
          <w:p>
            <w:pPr>
              <w:pStyle w:val="BDOITable"/>
            </w:pPr>
            <w:r>
              <w:rPr>
                <w:sz w:val="17"/>
              </w:rPr>
              <w:t>iorta TechNXT</w:t>
            </w:r>
          </w:p>
        </w:tc>
        <w:tc>
          <w:tcPr>
            <w:tcW w:type="dxa" w:w="1211"/>
            <w:tcMar>
              <w:top w:w="50" w:type="dxa"/>
              <w:bottom w:w="50" w:type="dxa"/>
              <w:left w:w="90" w:type="dxa"/>
              <w:right w:w="90" w:type="dxa"/>
            </w:tcMar>
          </w:tcPr>
          <w:p>
            <w:pPr>
              <w:pStyle w:val="BDOITable"/>
            </w:pPr>
            <w:r>
              <w:rPr>
                <w:sz w:val="17"/>
              </w:rPr>
              <w:t>30 Apr 2027</w:t>
            </w:r>
          </w:p>
        </w:tc>
      </w:tr>
      <w:tr>
        <w:trPr>
          <w:cantSplit w:val="true"/>
        </w:trPr>
        <w:tc>
          <w:tcPr>
            <w:tcW w:type="dxa" w:w="784"/>
            <w:tcMar>
              <w:top w:w="50" w:type="dxa"/>
              <w:bottom w:w="50" w:type="dxa"/>
              <w:left w:w="90" w:type="dxa"/>
              <w:right w:w="90" w:type="dxa"/>
            </w:tcMar>
            <w:shd w:val="clear" w:color="auto" w:fill="E5F5FF"/>
          </w:tcPr>
          <w:p>
            <w:pPr>
              <w:pStyle w:val="BDOITable"/>
            </w:pPr>
            <w:r>
              <w:rPr>
                <w:b/>
                <w:sz w:val="17"/>
              </w:rPr>
              <w:t>SEC-04</w:t>
            </w:r>
          </w:p>
        </w:tc>
        <w:tc>
          <w:tcPr>
            <w:tcW w:type="dxa" w:w="2422"/>
            <w:tcMar>
              <w:top w:w="50" w:type="dxa"/>
              <w:bottom w:w="50" w:type="dxa"/>
              <w:left w:w="90" w:type="dxa"/>
              <w:right w:w="90" w:type="dxa"/>
            </w:tcMar>
            <w:shd w:val="clear" w:color="auto" w:fill="E5F5FF"/>
          </w:tcPr>
          <w:p>
            <w:pPr>
              <w:pStyle w:val="BDOITable"/>
            </w:pPr>
            <w:r>
              <w:rPr>
                <w:sz w:val="17"/>
              </w:rPr>
              <w:t>Key management standard and token signing</w:t>
            </w:r>
          </w:p>
        </w:tc>
        <w:tc>
          <w:tcPr>
            <w:tcW w:type="dxa" w:w="3989"/>
            <w:tcMar>
              <w:top w:w="50" w:type="dxa"/>
              <w:bottom w:w="50" w:type="dxa"/>
              <w:left w:w="90" w:type="dxa"/>
              <w:right w:w="90" w:type="dxa"/>
            </w:tcMar>
            <w:shd w:val="clear" w:color="auto" w:fill="E5F5FF"/>
          </w:tcPr>
          <w:p>
            <w:pPr>
              <w:pStyle w:val="BDOITable"/>
            </w:pPr>
            <w:r>
              <w:rPr>
                <w:sz w:val="17"/>
              </w:rPr>
              <w:t>BDOI policy (NIST SP 800-57 based) with the rotation periods of section 6.3; token signing with a KMS asymmetric key if BDOI requires keys never in application memory</w:t>
            </w:r>
          </w:p>
        </w:tc>
        <w:tc>
          <w:tcPr>
            <w:tcW w:type="dxa" w:w="1567"/>
            <w:tcMar>
              <w:top w:w="50" w:type="dxa"/>
              <w:bottom w:w="50" w:type="dxa"/>
              <w:left w:w="90" w:type="dxa"/>
              <w:right w:w="90" w:type="dxa"/>
            </w:tcMar>
            <w:shd w:val="clear" w:color="auto" w:fill="E5F5FF"/>
          </w:tcPr>
          <w:p>
            <w:pPr>
              <w:pStyle w:val="BDOITable"/>
            </w:pPr>
            <w:r>
              <w:rPr>
                <w:sz w:val="17"/>
              </w:rPr>
              <w:t>BDOI Information Security</w:t>
            </w:r>
          </w:p>
        </w:tc>
        <w:tc>
          <w:tcPr>
            <w:tcW w:type="dxa" w:w="1211"/>
            <w:tcMar>
              <w:top w:w="50" w:type="dxa"/>
              <w:bottom w:w="50" w:type="dxa"/>
              <w:left w:w="90" w:type="dxa"/>
              <w:right w:w="90" w:type="dxa"/>
            </w:tcMar>
            <w:shd w:val="clear" w:color="auto" w:fill="E5F5FF"/>
          </w:tcPr>
          <w:p>
            <w:pPr>
              <w:pStyle w:val="BDOITable"/>
            </w:pPr>
            <w:r>
              <w:rPr>
                <w:sz w:val="17"/>
              </w:rPr>
              <w:t>31 Jan 2027</w:t>
            </w:r>
          </w:p>
        </w:tc>
      </w:tr>
      <w:tr>
        <w:trPr>
          <w:cantSplit w:val="true"/>
        </w:trPr>
        <w:tc>
          <w:tcPr>
            <w:tcW w:type="dxa" w:w="784"/>
            <w:tcMar>
              <w:top w:w="50" w:type="dxa"/>
              <w:bottom w:w="50" w:type="dxa"/>
              <w:left w:w="90" w:type="dxa"/>
              <w:right w:w="90" w:type="dxa"/>
            </w:tcMar>
          </w:tcPr>
          <w:p>
            <w:pPr>
              <w:pStyle w:val="BDOITable"/>
            </w:pPr>
            <w:r>
              <w:rPr>
                <w:b/>
                <w:sz w:val="17"/>
              </w:rPr>
              <w:t>SEC-05</w:t>
            </w:r>
          </w:p>
        </w:tc>
        <w:tc>
          <w:tcPr>
            <w:tcW w:type="dxa" w:w="2422"/>
            <w:tcMar>
              <w:top w:w="50" w:type="dxa"/>
              <w:bottom w:w="50" w:type="dxa"/>
              <w:left w:w="90" w:type="dxa"/>
              <w:right w:w="90" w:type="dxa"/>
            </w:tcMar>
          </w:tcPr>
          <w:p>
            <w:pPr>
              <w:pStyle w:val="BDOITable"/>
            </w:pPr>
            <w:r>
              <w:rPr>
                <w:sz w:val="17"/>
              </w:rPr>
              <w:t>Data scope for records opened by identifier</w:t>
            </w:r>
          </w:p>
        </w:tc>
        <w:tc>
          <w:tcPr>
            <w:tcW w:type="dxa" w:w="3989"/>
            <w:tcMar>
              <w:top w:w="50" w:type="dxa"/>
              <w:bottom w:w="50" w:type="dxa"/>
              <w:left w:w="90" w:type="dxa"/>
              <w:right w:w="90" w:type="dxa"/>
            </w:tcMar>
          </w:tcPr>
          <w:p>
            <w:pPr>
              <w:pStyle w:val="BDOITable"/>
            </w:pPr>
            <w:r>
              <w:rPr>
                <w:sz w:val="17"/>
              </w:rPr>
              <w:t>Company check on load in every module, delivered with Drop 1</w:t>
            </w:r>
          </w:p>
        </w:tc>
        <w:tc>
          <w:tcPr>
            <w:tcW w:type="dxa" w:w="1567"/>
            <w:tcMar>
              <w:top w:w="50" w:type="dxa"/>
              <w:bottom w:w="50" w:type="dxa"/>
              <w:left w:w="90" w:type="dxa"/>
              <w:right w:w="90" w:type="dxa"/>
            </w:tcMar>
          </w:tcPr>
          <w:p>
            <w:pPr>
              <w:pStyle w:val="BDOITable"/>
            </w:pPr>
            <w:r>
              <w:rPr>
                <w:sz w:val="17"/>
              </w:rPr>
              <w:t>iorta TechNXT</w:t>
            </w:r>
          </w:p>
        </w:tc>
        <w:tc>
          <w:tcPr>
            <w:tcW w:type="dxa" w:w="1211"/>
            <w:tcMar>
              <w:top w:w="50" w:type="dxa"/>
              <w:bottom w:w="50" w:type="dxa"/>
              <w:left w:w="90" w:type="dxa"/>
              <w:right w:w="90" w:type="dxa"/>
            </w:tcMar>
          </w:tcPr>
          <w:p>
            <w:pPr>
              <w:pStyle w:val="BDOITable"/>
            </w:pPr>
            <w:r>
              <w:rPr>
                <w:sz w:val="17"/>
              </w:rPr>
              <w:t>31 Mar 2027</w:t>
            </w:r>
          </w:p>
        </w:tc>
      </w:tr>
      <w:tr>
        <w:trPr>
          <w:cantSplit w:val="true"/>
        </w:trPr>
        <w:tc>
          <w:tcPr>
            <w:tcW w:type="dxa" w:w="784"/>
            <w:tcMar>
              <w:top w:w="50" w:type="dxa"/>
              <w:bottom w:w="50" w:type="dxa"/>
              <w:left w:w="90" w:type="dxa"/>
              <w:right w:w="90" w:type="dxa"/>
            </w:tcMar>
            <w:shd w:val="clear" w:color="auto" w:fill="E5F5FF"/>
          </w:tcPr>
          <w:p>
            <w:pPr>
              <w:pStyle w:val="BDOITable"/>
            </w:pPr>
            <w:r>
              <w:rPr>
                <w:b/>
                <w:sz w:val="17"/>
              </w:rPr>
              <w:t>SEC-06</w:t>
            </w:r>
          </w:p>
        </w:tc>
        <w:tc>
          <w:tcPr>
            <w:tcW w:type="dxa" w:w="2422"/>
            <w:tcMar>
              <w:top w:w="50" w:type="dxa"/>
              <w:bottom w:w="50" w:type="dxa"/>
              <w:left w:w="90" w:type="dxa"/>
              <w:right w:w="90" w:type="dxa"/>
            </w:tcMar>
            <w:shd w:val="clear" w:color="auto" w:fill="E5F5FF"/>
          </w:tcPr>
          <w:p>
            <w:pPr>
              <w:pStyle w:val="BDOITable"/>
            </w:pPr>
            <w:r>
              <w:rPr>
                <w:sz w:val="17"/>
              </w:rPr>
              <w:t>Security events, rate limits and quotas</w:t>
            </w:r>
          </w:p>
        </w:tc>
        <w:tc>
          <w:tcPr>
            <w:tcW w:type="dxa" w:w="3989"/>
            <w:tcMar>
              <w:top w:w="50" w:type="dxa"/>
              <w:bottom w:w="50" w:type="dxa"/>
              <w:left w:w="90" w:type="dxa"/>
              <w:right w:w="90" w:type="dxa"/>
            </w:tcMar>
            <w:shd w:val="clear" w:color="auto" w:fill="E5F5FF"/>
          </w:tcPr>
          <w:p>
            <w:pPr>
              <w:pStyle w:val="BDOITable"/>
            </w:pPr>
            <w:r>
              <w:rPr>
                <w:sz w:val="17"/>
              </w:rPr>
              <w:t>Log every access refusal with user, path and permission or company; per-user limits on exports and report runs; per-user storage quota; alerts on thresholds</w:t>
            </w:r>
          </w:p>
        </w:tc>
        <w:tc>
          <w:tcPr>
            <w:tcW w:type="dxa" w:w="1567"/>
            <w:tcMar>
              <w:top w:w="50" w:type="dxa"/>
              <w:bottom w:w="50" w:type="dxa"/>
              <w:left w:w="90" w:type="dxa"/>
              <w:right w:w="90" w:type="dxa"/>
            </w:tcMar>
            <w:shd w:val="clear" w:color="auto" w:fill="E5F5FF"/>
          </w:tcPr>
          <w:p>
            <w:pPr>
              <w:pStyle w:val="BDOITable"/>
            </w:pPr>
            <w:r>
              <w:rPr>
                <w:sz w:val="17"/>
              </w:rPr>
              <w:t>iorta TechNXT</w:t>
            </w:r>
          </w:p>
        </w:tc>
        <w:tc>
          <w:tcPr>
            <w:tcW w:type="dxa" w:w="1211"/>
            <w:tcMar>
              <w:top w:w="50" w:type="dxa"/>
              <w:bottom w:w="50" w:type="dxa"/>
              <w:left w:w="90" w:type="dxa"/>
              <w:right w:w="90" w:type="dxa"/>
            </w:tcMar>
            <w:shd w:val="clear" w:color="auto" w:fill="E5F5FF"/>
          </w:tcPr>
          <w:p>
            <w:pPr>
              <w:pStyle w:val="BDOITable"/>
            </w:pPr>
            <w:r>
              <w:rPr>
                <w:sz w:val="17"/>
              </w:rPr>
              <w:t>31 Mar 2027</w:t>
            </w:r>
          </w:p>
        </w:tc>
      </w:tr>
      <w:tr>
        <w:trPr>
          <w:cantSplit w:val="true"/>
        </w:trPr>
        <w:tc>
          <w:tcPr>
            <w:tcW w:type="dxa" w:w="784"/>
            <w:tcMar>
              <w:top w:w="50" w:type="dxa"/>
              <w:bottom w:w="50" w:type="dxa"/>
              <w:left w:w="90" w:type="dxa"/>
              <w:right w:w="90" w:type="dxa"/>
            </w:tcMar>
          </w:tcPr>
          <w:p>
            <w:pPr>
              <w:pStyle w:val="BDOITable"/>
            </w:pPr>
            <w:r>
              <w:rPr>
                <w:b/>
                <w:sz w:val="17"/>
              </w:rPr>
              <w:t>SEC-07</w:t>
            </w:r>
          </w:p>
        </w:tc>
        <w:tc>
          <w:tcPr>
            <w:tcW w:type="dxa" w:w="2422"/>
            <w:tcMar>
              <w:top w:w="50" w:type="dxa"/>
              <w:bottom w:w="50" w:type="dxa"/>
              <w:left w:w="90" w:type="dxa"/>
              <w:right w:w="90" w:type="dxa"/>
            </w:tcMar>
          </w:tcPr>
          <w:p>
            <w:pPr>
              <w:pStyle w:val="BDOITable"/>
            </w:pPr>
            <w:r>
              <w:rPr>
                <w:sz w:val="17"/>
              </w:rPr>
              <w:t>Log platform and SIEM</w:t>
            </w:r>
          </w:p>
        </w:tc>
        <w:tc>
          <w:tcPr>
            <w:tcW w:type="dxa" w:w="3989"/>
            <w:tcMar>
              <w:top w:w="50" w:type="dxa"/>
              <w:bottom w:w="50" w:type="dxa"/>
              <w:left w:w="90" w:type="dxa"/>
              <w:right w:w="90" w:type="dxa"/>
            </w:tcMar>
          </w:tcPr>
          <w:p>
            <w:pPr>
              <w:pStyle w:val="BDOITable"/>
            </w:pPr>
            <w:r>
              <w:rPr>
                <w:sz w:val="17"/>
              </w:rPr>
              <w:t>Forward container logs and the audit trail to the BDO SIEM; agree the use cases of chapter 13</w:t>
            </w:r>
          </w:p>
        </w:tc>
        <w:tc>
          <w:tcPr>
            <w:tcW w:type="dxa" w:w="1567"/>
            <w:tcMar>
              <w:top w:w="50" w:type="dxa"/>
              <w:bottom w:w="50" w:type="dxa"/>
              <w:left w:w="90" w:type="dxa"/>
              <w:right w:w="90" w:type="dxa"/>
            </w:tcMar>
          </w:tcPr>
          <w:p>
            <w:pPr>
              <w:pStyle w:val="BDOITable"/>
            </w:pPr>
            <w:r>
              <w:rPr>
                <w:sz w:val="17"/>
              </w:rPr>
              <w:t>BDOI IT, BDOI Information Security</w:t>
            </w:r>
          </w:p>
        </w:tc>
        <w:tc>
          <w:tcPr>
            <w:tcW w:type="dxa" w:w="1211"/>
            <w:tcMar>
              <w:top w:w="50" w:type="dxa"/>
              <w:bottom w:w="50" w:type="dxa"/>
              <w:left w:w="90" w:type="dxa"/>
              <w:right w:w="90" w:type="dxa"/>
            </w:tcMar>
          </w:tcPr>
          <w:p>
            <w:pPr>
              <w:pStyle w:val="BDOITable"/>
            </w:pPr>
            <w:r>
              <w:rPr>
                <w:sz w:val="17"/>
              </w:rPr>
              <w:t>31 Mar 2027</w:t>
            </w:r>
          </w:p>
        </w:tc>
      </w:tr>
      <w:tr>
        <w:trPr>
          <w:cantSplit w:val="true"/>
        </w:trPr>
        <w:tc>
          <w:tcPr>
            <w:tcW w:type="dxa" w:w="784"/>
            <w:tcMar>
              <w:top w:w="50" w:type="dxa"/>
              <w:bottom w:w="50" w:type="dxa"/>
              <w:left w:w="90" w:type="dxa"/>
              <w:right w:w="90" w:type="dxa"/>
            </w:tcMar>
            <w:shd w:val="clear" w:color="auto" w:fill="E5F5FF"/>
          </w:tcPr>
          <w:p>
            <w:pPr>
              <w:pStyle w:val="BDOITable"/>
            </w:pPr>
            <w:r>
              <w:rPr>
                <w:b/>
                <w:sz w:val="17"/>
              </w:rPr>
              <w:t>SEC-08</w:t>
            </w:r>
          </w:p>
        </w:tc>
        <w:tc>
          <w:tcPr>
            <w:tcW w:type="dxa" w:w="2422"/>
            <w:tcMar>
              <w:top w:w="50" w:type="dxa"/>
              <w:bottom w:w="50" w:type="dxa"/>
              <w:left w:w="90" w:type="dxa"/>
              <w:right w:w="90" w:type="dxa"/>
            </w:tcMar>
            <w:shd w:val="clear" w:color="auto" w:fill="E5F5FF"/>
          </w:tcPr>
          <w:p>
            <w:pPr>
              <w:pStyle w:val="BDOITable"/>
            </w:pPr>
            <w:r>
              <w:rPr>
                <w:sz w:val="17"/>
              </w:rPr>
              <w:t>Certificate revocation and DNS</w:t>
            </w:r>
          </w:p>
        </w:tc>
        <w:tc>
          <w:tcPr>
            <w:tcW w:type="dxa" w:w="3989"/>
            <w:tcMar>
              <w:top w:w="50" w:type="dxa"/>
              <w:bottom w:w="50" w:type="dxa"/>
              <w:left w:w="90" w:type="dxa"/>
              <w:right w:w="90" w:type="dxa"/>
            </w:tcMar>
            <w:shd w:val="clear" w:color="auto" w:fill="E5F5FF"/>
          </w:tcPr>
          <w:p>
            <w:pPr>
              <w:pStyle w:val="BDOITable"/>
            </w:pPr>
            <w:r>
              <w:rPr>
                <w:sz w:val="17"/>
              </w:rPr>
              <w:t>OCSP stapling at the edge and Apigee; BDO-owned private DNS records</w:t>
            </w:r>
          </w:p>
        </w:tc>
        <w:tc>
          <w:tcPr>
            <w:tcW w:type="dxa" w:w="1567"/>
            <w:tcMar>
              <w:top w:w="50" w:type="dxa"/>
              <w:bottom w:w="50" w:type="dxa"/>
              <w:left w:w="90" w:type="dxa"/>
              <w:right w:w="90" w:type="dxa"/>
            </w:tcMar>
            <w:shd w:val="clear" w:color="auto" w:fill="E5F5FF"/>
          </w:tcPr>
          <w:p>
            <w:pPr>
              <w:pStyle w:val="BDOITable"/>
            </w:pPr>
            <w:r>
              <w:rPr>
                <w:sz w:val="17"/>
              </w:rPr>
              <w:t>BDOI IT</w:t>
            </w:r>
          </w:p>
        </w:tc>
        <w:tc>
          <w:tcPr>
            <w:tcW w:type="dxa" w:w="1211"/>
            <w:tcMar>
              <w:top w:w="50" w:type="dxa"/>
              <w:bottom w:w="50" w:type="dxa"/>
              <w:left w:w="90" w:type="dxa"/>
              <w:right w:w="90" w:type="dxa"/>
            </w:tcMar>
            <w:shd w:val="clear" w:color="auto" w:fill="E5F5FF"/>
          </w:tcPr>
          <w:p>
            <w:pPr>
              <w:pStyle w:val="BDOITable"/>
            </w:pPr>
            <w:r>
              <w:rPr>
                <w:sz w:val="17"/>
              </w:rPr>
              <w:t>31 Mar 2027</w:t>
            </w:r>
          </w:p>
        </w:tc>
      </w:tr>
      <w:tr>
        <w:trPr>
          <w:cantSplit w:val="true"/>
        </w:trPr>
        <w:tc>
          <w:tcPr>
            <w:tcW w:type="dxa" w:w="784"/>
            <w:tcMar>
              <w:top w:w="50" w:type="dxa"/>
              <w:bottom w:w="50" w:type="dxa"/>
              <w:left w:w="90" w:type="dxa"/>
              <w:right w:w="90" w:type="dxa"/>
            </w:tcMar>
          </w:tcPr>
          <w:p>
            <w:pPr>
              <w:pStyle w:val="BDOITable"/>
            </w:pPr>
            <w:r>
              <w:rPr>
                <w:b/>
                <w:sz w:val="17"/>
              </w:rPr>
              <w:t>SEC-09</w:t>
            </w:r>
          </w:p>
        </w:tc>
        <w:tc>
          <w:tcPr>
            <w:tcW w:type="dxa" w:w="2422"/>
            <w:tcMar>
              <w:top w:w="50" w:type="dxa"/>
              <w:bottom w:w="50" w:type="dxa"/>
              <w:left w:w="90" w:type="dxa"/>
              <w:right w:w="90" w:type="dxa"/>
            </w:tcMar>
          </w:tcPr>
          <w:p>
            <w:pPr>
              <w:pStyle w:val="BDOITable"/>
            </w:pPr>
            <w:r>
              <w:rPr>
                <w:sz w:val="17"/>
              </w:rPr>
              <w:t>Data classification</w:t>
            </w:r>
          </w:p>
        </w:tc>
        <w:tc>
          <w:tcPr>
            <w:tcW w:type="dxa" w:w="3989"/>
            <w:tcMar>
              <w:top w:w="50" w:type="dxa"/>
              <w:bottom w:w="50" w:type="dxa"/>
              <w:left w:w="90" w:type="dxa"/>
              <w:right w:w="90" w:type="dxa"/>
            </w:tcMar>
          </w:tcPr>
          <w:p>
            <w:pPr>
              <w:pStyle w:val="BDOITable"/>
            </w:pPr>
            <w:r>
              <w:rPr>
                <w:sz w:val="17"/>
              </w:rPr>
              <w:t>Approve the four classes and controls of chapter 12</w:t>
            </w:r>
          </w:p>
        </w:tc>
        <w:tc>
          <w:tcPr>
            <w:tcW w:type="dxa" w:w="1567"/>
            <w:tcMar>
              <w:top w:w="50" w:type="dxa"/>
              <w:bottom w:w="50" w:type="dxa"/>
              <w:left w:w="90" w:type="dxa"/>
              <w:right w:w="90" w:type="dxa"/>
            </w:tcMar>
          </w:tcPr>
          <w:p>
            <w:pPr>
              <w:pStyle w:val="BDOITable"/>
            </w:pPr>
            <w:r>
              <w:rPr>
                <w:sz w:val="17"/>
              </w:rPr>
              <w:t>BDOI Information Security</w:t>
            </w:r>
          </w:p>
        </w:tc>
        <w:tc>
          <w:tcPr>
            <w:tcW w:type="dxa" w:w="1211"/>
            <w:tcMar>
              <w:top w:w="50" w:type="dxa"/>
              <w:bottom w:w="50" w:type="dxa"/>
              <w:left w:w="90" w:type="dxa"/>
              <w:right w:w="90" w:type="dxa"/>
            </w:tcMar>
          </w:tcPr>
          <w:p>
            <w:pPr>
              <w:pStyle w:val="BDOITable"/>
            </w:pPr>
            <w:r>
              <w:rPr>
                <w:sz w:val="17"/>
              </w:rPr>
              <w:t>31 Jan 2027</w:t>
            </w:r>
          </w:p>
        </w:tc>
      </w:tr>
      <w:tr>
        <w:trPr>
          <w:cantSplit w:val="true"/>
        </w:trPr>
        <w:tc>
          <w:tcPr>
            <w:tcW w:type="dxa" w:w="784"/>
            <w:tcMar>
              <w:top w:w="50" w:type="dxa"/>
              <w:bottom w:w="50" w:type="dxa"/>
              <w:left w:w="90" w:type="dxa"/>
              <w:right w:w="90" w:type="dxa"/>
            </w:tcMar>
            <w:shd w:val="clear" w:color="auto" w:fill="E5F5FF"/>
          </w:tcPr>
          <w:p>
            <w:pPr>
              <w:pStyle w:val="BDOITable"/>
            </w:pPr>
            <w:r>
              <w:rPr>
                <w:b/>
                <w:sz w:val="17"/>
              </w:rPr>
              <w:t>SEC-10</w:t>
            </w:r>
          </w:p>
        </w:tc>
        <w:tc>
          <w:tcPr>
            <w:tcW w:type="dxa" w:w="2422"/>
            <w:tcMar>
              <w:top w:w="50" w:type="dxa"/>
              <w:bottom w:w="50" w:type="dxa"/>
              <w:left w:w="90" w:type="dxa"/>
              <w:right w:w="90" w:type="dxa"/>
            </w:tcMar>
            <w:shd w:val="clear" w:color="auto" w:fill="E5F5FF"/>
          </w:tcPr>
          <w:p>
            <w:pPr>
              <w:pStyle w:val="BDOITable"/>
            </w:pPr>
            <w:r>
              <w:rPr>
                <w:sz w:val="17"/>
              </w:rPr>
              <w:t>Content-Disposition on JSON answers</w:t>
            </w:r>
          </w:p>
        </w:tc>
        <w:tc>
          <w:tcPr>
            <w:tcW w:type="dxa" w:w="3989"/>
            <w:tcMar>
              <w:top w:w="50" w:type="dxa"/>
              <w:bottom w:w="50" w:type="dxa"/>
              <w:left w:w="90" w:type="dxa"/>
              <w:right w:w="90" w:type="dxa"/>
            </w:tcMar>
            <w:shd w:val="clear" w:color="auto" w:fill="E5F5FF"/>
          </w:tcPr>
          <w:p>
            <w:pPr>
              <w:pStyle w:val="BDOITable"/>
            </w:pPr>
            <w:r>
              <w:rPr>
                <w:sz w:val="17"/>
              </w:rPr>
              <w:t>Accept: API answers are read by the BIBS client only</w:t>
            </w:r>
          </w:p>
        </w:tc>
        <w:tc>
          <w:tcPr>
            <w:tcW w:type="dxa" w:w="1567"/>
            <w:tcMar>
              <w:top w:w="50" w:type="dxa"/>
              <w:bottom w:w="50" w:type="dxa"/>
              <w:left w:w="90" w:type="dxa"/>
              <w:right w:w="90" w:type="dxa"/>
            </w:tcMar>
            <w:shd w:val="clear" w:color="auto" w:fill="E5F5FF"/>
          </w:tcPr>
          <w:p>
            <w:pPr>
              <w:pStyle w:val="BDOITable"/>
            </w:pPr>
            <w:r>
              <w:rPr>
                <w:sz w:val="17"/>
              </w:rPr>
              <w:t>BDOI Information Security</w:t>
            </w:r>
          </w:p>
        </w:tc>
        <w:tc>
          <w:tcPr>
            <w:tcW w:type="dxa" w:w="1211"/>
            <w:tcMar>
              <w:top w:w="50" w:type="dxa"/>
              <w:bottom w:w="50" w:type="dxa"/>
              <w:left w:w="90" w:type="dxa"/>
              <w:right w:w="90" w:type="dxa"/>
            </w:tcMar>
            <w:shd w:val="clear" w:color="auto" w:fill="E5F5FF"/>
          </w:tcPr>
          <w:p>
            <w:pPr>
              <w:pStyle w:val="BDOITable"/>
            </w:pPr>
            <w:r>
              <w:rPr>
                <w:sz w:val="17"/>
              </w:rPr>
              <w:t>31 Jan 2027</w:t>
            </w:r>
          </w:p>
        </w:tc>
      </w:tr>
      <w:tr>
        <w:trPr>
          <w:cantSplit w:val="true"/>
        </w:trPr>
        <w:tc>
          <w:tcPr>
            <w:tcW w:type="dxa" w:w="784"/>
            <w:tcMar>
              <w:top w:w="50" w:type="dxa"/>
              <w:bottom w:w="50" w:type="dxa"/>
              <w:left w:w="90" w:type="dxa"/>
              <w:right w:w="90" w:type="dxa"/>
            </w:tcMar>
          </w:tcPr>
          <w:p>
            <w:pPr>
              <w:pStyle w:val="BDOITable"/>
            </w:pPr>
            <w:r>
              <w:rPr>
                <w:b/>
                <w:sz w:val="17"/>
              </w:rPr>
              <w:t>SEC-11</w:t>
            </w:r>
          </w:p>
        </w:tc>
        <w:tc>
          <w:tcPr>
            <w:tcW w:type="dxa" w:w="2422"/>
            <w:tcMar>
              <w:top w:w="50" w:type="dxa"/>
              <w:bottom w:w="50" w:type="dxa"/>
              <w:left w:w="90" w:type="dxa"/>
              <w:right w:w="90" w:type="dxa"/>
            </w:tcMar>
          </w:tcPr>
          <w:p>
            <w:pPr>
              <w:pStyle w:val="BDOITable"/>
            </w:pPr>
            <w:r>
              <w:rPr>
                <w:sz w:val="17"/>
              </w:rPr>
              <w:t>Image signing</w:t>
            </w:r>
          </w:p>
        </w:tc>
        <w:tc>
          <w:tcPr>
            <w:tcW w:type="dxa" w:w="3989"/>
            <w:tcMar>
              <w:top w:w="50" w:type="dxa"/>
              <w:bottom w:w="50" w:type="dxa"/>
              <w:left w:w="90" w:type="dxa"/>
              <w:right w:w="90" w:type="dxa"/>
            </w:tcMar>
          </w:tcPr>
          <w:p>
            <w:pPr>
              <w:pStyle w:val="BDOITable"/>
            </w:pPr>
            <w:r>
              <w:rPr>
                <w:sz w:val="17"/>
              </w:rPr>
              <w:t>Sign images in the pipeline and verify the signature at admission to the cluster</w:t>
            </w:r>
          </w:p>
        </w:tc>
        <w:tc>
          <w:tcPr>
            <w:tcW w:type="dxa" w:w="1567"/>
            <w:tcMar>
              <w:top w:w="50" w:type="dxa"/>
              <w:bottom w:w="50" w:type="dxa"/>
              <w:left w:w="90" w:type="dxa"/>
              <w:right w:w="90" w:type="dxa"/>
            </w:tcMar>
          </w:tcPr>
          <w:p>
            <w:pPr>
              <w:pStyle w:val="BDOITable"/>
            </w:pPr>
            <w:r>
              <w:rPr>
                <w:sz w:val="17"/>
              </w:rPr>
              <w:t>iorta TechNXT, BDOI IT</w:t>
            </w:r>
          </w:p>
        </w:tc>
        <w:tc>
          <w:tcPr>
            <w:tcW w:type="dxa" w:w="1211"/>
            <w:tcMar>
              <w:top w:w="50" w:type="dxa"/>
              <w:bottom w:w="50" w:type="dxa"/>
              <w:left w:w="90" w:type="dxa"/>
              <w:right w:w="90" w:type="dxa"/>
            </w:tcMar>
          </w:tcPr>
          <w:p>
            <w:pPr>
              <w:pStyle w:val="BDOITable"/>
            </w:pPr>
            <w:r>
              <w:rPr>
                <w:sz w:val="17"/>
              </w:rPr>
              <w:t>30 Jun 2027</w:t>
            </w:r>
          </w:p>
        </w:tc>
      </w:tr>
      <w:tr>
        <w:trPr>
          <w:cantSplit w:val="true"/>
        </w:trPr>
        <w:tc>
          <w:tcPr>
            <w:tcW w:type="dxa" w:w="784"/>
            <w:tcMar>
              <w:top w:w="50" w:type="dxa"/>
              <w:bottom w:w="50" w:type="dxa"/>
              <w:left w:w="90" w:type="dxa"/>
              <w:right w:w="90" w:type="dxa"/>
            </w:tcMar>
            <w:shd w:val="clear" w:color="auto" w:fill="E5F5FF"/>
          </w:tcPr>
          <w:p>
            <w:pPr>
              <w:pStyle w:val="BDOITable"/>
            </w:pPr>
            <w:r>
              <w:rPr>
                <w:b/>
                <w:sz w:val="17"/>
              </w:rPr>
              <w:t>SEC-12</w:t>
            </w:r>
          </w:p>
        </w:tc>
        <w:tc>
          <w:tcPr>
            <w:tcW w:type="dxa" w:w="2422"/>
            <w:tcMar>
              <w:top w:w="50" w:type="dxa"/>
              <w:bottom w:w="50" w:type="dxa"/>
              <w:left w:w="90" w:type="dxa"/>
              <w:right w:w="90" w:type="dxa"/>
            </w:tcMar>
            <w:shd w:val="clear" w:color="auto" w:fill="E5F5FF"/>
          </w:tcPr>
          <w:p>
            <w:pPr>
              <w:pStyle w:val="BDOITable"/>
            </w:pPr>
            <w:r>
              <w:rPr>
                <w:sz w:val="17"/>
              </w:rPr>
              <w:t>UIDM-ISC provisioning</w:t>
            </w:r>
          </w:p>
        </w:tc>
        <w:tc>
          <w:tcPr>
            <w:tcW w:type="dxa" w:w="3989"/>
            <w:tcMar>
              <w:top w:w="50" w:type="dxa"/>
              <w:bottom w:w="50" w:type="dxa"/>
              <w:left w:w="90" w:type="dxa"/>
              <w:right w:w="90" w:type="dxa"/>
            </w:tcMar>
            <w:shd w:val="clear" w:color="auto" w:fill="E5F5FF"/>
          </w:tcPr>
          <w:p>
            <w:pPr>
              <w:pStyle w:val="BDOITable"/>
            </w:pPr>
            <w:r>
              <w:rPr>
                <w:sz w:val="17"/>
              </w:rPr>
              <w:t>Option (a): SCIM 2.0 Users through Apigee X for accounts, BIBS requests for roles and data scope (IQ05)</w:t>
            </w:r>
          </w:p>
        </w:tc>
        <w:tc>
          <w:tcPr>
            <w:tcW w:type="dxa" w:w="1567"/>
            <w:tcMar>
              <w:top w:w="50" w:type="dxa"/>
              <w:bottom w:w="50" w:type="dxa"/>
              <w:left w:w="90" w:type="dxa"/>
              <w:right w:w="90" w:type="dxa"/>
            </w:tcMar>
            <w:shd w:val="clear" w:color="auto" w:fill="E5F5FF"/>
          </w:tcPr>
          <w:p>
            <w:pPr>
              <w:pStyle w:val="BDOITable"/>
            </w:pPr>
            <w:r>
              <w:rPr>
                <w:sz w:val="17"/>
              </w:rPr>
              <w:t>BDOI IT</w:t>
            </w:r>
          </w:p>
        </w:tc>
        <w:tc>
          <w:tcPr>
            <w:tcW w:type="dxa" w:w="1211"/>
            <w:tcMar>
              <w:top w:w="50" w:type="dxa"/>
              <w:bottom w:w="50" w:type="dxa"/>
              <w:left w:w="90" w:type="dxa"/>
              <w:right w:w="90" w:type="dxa"/>
            </w:tcMar>
            <w:shd w:val="clear" w:color="auto" w:fill="E5F5FF"/>
          </w:tcPr>
          <w:p>
            <w:pPr>
              <w:pStyle w:val="BDOITable"/>
            </w:pPr>
            <w:r>
              <w:rPr>
                <w:sz w:val="17"/>
              </w:rPr>
              <w:t>30 Nov 2026</w:t>
            </w:r>
          </w:p>
        </w:tc>
      </w:tr>
      <w:tr>
        <w:trPr>
          <w:cantSplit w:val="true"/>
        </w:trPr>
        <w:tc>
          <w:tcPr>
            <w:tcW w:type="dxa" w:w="784"/>
            <w:tcMar>
              <w:top w:w="50" w:type="dxa"/>
              <w:bottom w:w="50" w:type="dxa"/>
              <w:left w:w="90" w:type="dxa"/>
              <w:right w:w="90" w:type="dxa"/>
            </w:tcMar>
          </w:tcPr>
          <w:p>
            <w:pPr>
              <w:pStyle w:val="BDOITable"/>
            </w:pPr>
            <w:r>
              <w:rPr>
                <w:b/>
                <w:sz w:val="17"/>
              </w:rPr>
              <w:t>SEC-13</w:t>
            </w:r>
          </w:p>
        </w:tc>
        <w:tc>
          <w:tcPr>
            <w:tcW w:type="dxa" w:w="2422"/>
            <w:tcMar>
              <w:top w:w="50" w:type="dxa"/>
              <w:bottom w:w="50" w:type="dxa"/>
              <w:left w:w="90" w:type="dxa"/>
              <w:right w:w="90" w:type="dxa"/>
            </w:tcMar>
          </w:tcPr>
          <w:p>
            <w:pPr>
              <w:pStyle w:val="BDOITable"/>
            </w:pPr>
            <w:r>
              <w:rPr>
                <w:sz w:val="17"/>
              </w:rPr>
              <w:t>Pipeline secrets</w:t>
            </w:r>
          </w:p>
        </w:tc>
        <w:tc>
          <w:tcPr>
            <w:tcW w:type="dxa" w:w="3989"/>
            <w:tcMar>
              <w:top w:w="50" w:type="dxa"/>
              <w:bottom w:w="50" w:type="dxa"/>
              <w:left w:w="90" w:type="dxa"/>
              <w:right w:w="90" w:type="dxa"/>
            </w:tcMar>
          </w:tcPr>
          <w:p>
            <w:pPr>
              <w:pStyle w:val="BDOITable"/>
            </w:pPr>
            <w:r>
              <w:rPr>
                <w:sz w:val="17"/>
              </w:rPr>
              <w:t>NVD access key and the scanner settings in BDOI's pipeline, so every gate runs there as in ours</w:t>
            </w:r>
          </w:p>
        </w:tc>
        <w:tc>
          <w:tcPr>
            <w:tcW w:type="dxa" w:w="1567"/>
            <w:tcMar>
              <w:top w:w="50" w:type="dxa"/>
              <w:bottom w:w="50" w:type="dxa"/>
              <w:left w:w="90" w:type="dxa"/>
              <w:right w:w="90" w:type="dxa"/>
            </w:tcMar>
          </w:tcPr>
          <w:p>
            <w:pPr>
              <w:pStyle w:val="BDOITable"/>
            </w:pPr>
            <w:r>
              <w:rPr>
                <w:sz w:val="17"/>
              </w:rPr>
              <w:t>BDOI IT</w:t>
            </w:r>
          </w:p>
        </w:tc>
        <w:tc>
          <w:tcPr>
            <w:tcW w:type="dxa" w:w="1211"/>
            <w:tcMar>
              <w:top w:w="50" w:type="dxa"/>
              <w:bottom w:w="50" w:type="dxa"/>
              <w:left w:w="90" w:type="dxa"/>
              <w:right w:w="90" w:type="dxa"/>
            </w:tcMar>
          </w:tcPr>
          <w:p>
            <w:pPr>
              <w:pStyle w:val="BDOITable"/>
            </w:pPr>
            <w:r>
              <w:rPr>
                <w:sz w:val="17"/>
              </w:rPr>
              <w:t>31 Dec 2026</w:t>
            </w:r>
          </w:p>
        </w:tc>
      </w:tr>
      <w:tr>
        <w:trPr>
          <w:cantSplit w:val="true"/>
        </w:trPr>
        <w:tc>
          <w:tcPr>
            <w:tcW w:type="dxa" w:w="784"/>
            <w:tcMar>
              <w:top w:w="50" w:type="dxa"/>
              <w:bottom w:w="50" w:type="dxa"/>
              <w:left w:w="90" w:type="dxa"/>
              <w:right w:w="90" w:type="dxa"/>
            </w:tcMar>
            <w:shd w:val="clear" w:color="auto" w:fill="E5F5FF"/>
          </w:tcPr>
          <w:p>
            <w:pPr>
              <w:pStyle w:val="BDOITable"/>
            </w:pPr>
            <w:r>
              <w:rPr>
                <w:b/>
                <w:sz w:val="17"/>
              </w:rPr>
              <w:t>SEC-14</w:t>
            </w:r>
          </w:p>
        </w:tc>
        <w:tc>
          <w:tcPr>
            <w:tcW w:type="dxa" w:w="2422"/>
            <w:tcMar>
              <w:top w:w="50" w:type="dxa"/>
              <w:bottom w:w="50" w:type="dxa"/>
              <w:left w:w="90" w:type="dxa"/>
              <w:right w:w="90" w:type="dxa"/>
            </w:tcMar>
            <w:shd w:val="clear" w:color="auto" w:fill="E5F5FF"/>
          </w:tcPr>
          <w:p>
            <w:pPr>
              <w:pStyle w:val="BDOITable"/>
            </w:pPr>
            <w:r>
              <w:rPr>
                <w:sz w:val="17"/>
              </w:rPr>
              <w:t>Remediation targets and exception approval</w:t>
            </w:r>
          </w:p>
        </w:tc>
        <w:tc>
          <w:tcPr>
            <w:tcW w:type="dxa" w:w="3989"/>
            <w:tcMar>
              <w:top w:w="50" w:type="dxa"/>
              <w:bottom w:w="50" w:type="dxa"/>
              <w:left w:w="90" w:type="dxa"/>
              <w:right w:w="90" w:type="dxa"/>
            </w:tcMar>
            <w:shd w:val="clear" w:color="auto" w:fill="E5F5FF"/>
          </w:tcPr>
          <w:p>
            <w:pPr>
              <w:pStyle w:val="BDOITable"/>
            </w:pPr>
            <w:r>
              <w:rPr>
                <w:sz w:val="17"/>
              </w:rPr>
              <w:t>Accept chapter 11</w:t>
            </w:r>
          </w:p>
        </w:tc>
        <w:tc>
          <w:tcPr>
            <w:tcW w:type="dxa" w:w="1567"/>
            <w:tcMar>
              <w:top w:w="50" w:type="dxa"/>
              <w:bottom w:w="50" w:type="dxa"/>
              <w:left w:w="90" w:type="dxa"/>
              <w:right w:w="90" w:type="dxa"/>
            </w:tcMar>
            <w:shd w:val="clear" w:color="auto" w:fill="E5F5FF"/>
          </w:tcPr>
          <w:p>
            <w:pPr>
              <w:pStyle w:val="BDOITable"/>
            </w:pPr>
            <w:r>
              <w:rPr>
                <w:sz w:val="17"/>
              </w:rPr>
              <w:t>BDOI Information Security</w:t>
            </w:r>
          </w:p>
        </w:tc>
        <w:tc>
          <w:tcPr>
            <w:tcW w:type="dxa" w:w="1211"/>
            <w:tcMar>
              <w:top w:w="50" w:type="dxa"/>
              <w:bottom w:w="50" w:type="dxa"/>
              <w:left w:w="90" w:type="dxa"/>
              <w:right w:w="90" w:type="dxa"/>
            </w:tcMar>
            <w:shd w:val="clear" w:color="auto" w:fill="E5F5FF"/>
          </w:tcPr>
          <w:p>
            <w:pPr>
              <w:pStyle w:val="BDOITable"/>
            </w:pPr>
            <w:r>
              <w:rPr>
                <w:sz w:val="17"/>
              </w:rPr>
              <w:t>31 Jan 2027</w:t>
            </w:r>
          </w:p>
        </w:tc>
      </w:tr>
      <w:tr>
        <w:trPr>
          <w:cantSplit w:val="true"/>
        </w:trPr>
        <w:tc>
          <w:tcPr>
            <w:tcW w:type="dxa" w:w="784"/>
            <w:tcMar>
              <w:top w:w="50" w:type="dxa"/>
              <w:bottom w:w="50" w:type="dxa"/>
              <w:left w:w="90" w:type="dxa"/>
              <w:right w:w="90" w:type="dxa"/>
            </w:tcMar>
          </w:tcPr>
          <w:p>
            <w:pPr>
              <w:pStyle w:val="BDOITable"/>
            </w:pPr>
            <w:r>
              <w:rPr>
                <w:b/>
                <w:sz w:val="17"/>
              </w:rPr>
              <w:t>PRV-01</w:t>
            </w:r>
          </w:p>
        </w:tc>
        <w:tc>
          <w:tcPr>
            <w:tcW w:type="dxa" w:w="2422"/>
            <w:tcMar>
              <w:top w:w="50" w:type="dxa"/>
              <w:bottom w:w="50" w:type="dxa"/>
              <w:left w:w="90" w:type="dxa"/>
              <w:right w:w="90" w:type="dxa"/>
            </w:tcMar>
          </w:tcPr>
          <w:p>
            <w:pPr>
              <w:pStyle w:val="BDOITable"/>
            </w:pPr>
            <w:r>
              <w:rPr>
                <w:sz w:val="17"/>
              </w:rPr>
              <w:t>Consent record</w:t>
            </w:r>
          </w:p>
        </w:tc>
        <w:tc>
          <w:tcPr>
            <w:tcW w:type="dxa" w:w="3989"/>
            <w:tcMar>
              <w:top w:w="50" w:type="dxa"/>
              <w:bottom w:w="50" w:type="dxa"/>
              <w:left w:w="90" w:type="dxa"/>
              <w:right w:w="90" w:type="dxa"/>
            </w:tcMar>
          </w:tcPr>
          <w:p>
            <w:pPr>
              <w:pStyle w:val="BDOITable"/>
            </w:pPr>
            <w:r>
              <w:rPr>
                <w:sz w:val="17"/>
              </w:rPr>
              <w:t>BDOI states where consent is captured; BIBS stores the consent flag and date on the client when needed</w:t>
            </w:r>
          </w:p>
        </w:tc>
        <w:tc>
          <w:tcPr>
            <w:tcW w:type="dxa" w:w="1567"/>
            <w:tcMar>
              <w:top w:w="50" w:type="dxa"/>
              <w:bottom w:w="50" w:type="dxa"/>
              <w:left w:w="90" w:type="dxa"/>
              <w:right w:w="90" w:type="dxa"/>
            </w:tcMar>
          </w:tcPr>
          <w:p>
            <w:pPr>
              <w:pStyle w:val="BDOITable"/>
            </w:pPr>
            <w:r>
              <w:rPr>
                <w:sz w:val="17"/>
              </w:rPr>
              <w:t>BDOI Data Protection Officer</w:t>
            </w:r>
          </w:p>
        </w:tc>
        <w:tc>
          <w:tcPr>
            <w:tcW w:type="dxa" w:w="1211"/>
            <w:tcMar>
              <w:top w:w="50" w:type="dxa"/>
              <w:bottom w:w="50" w:type="dxa"/>
              <w:left w:w="90" w:type="dxa"/>
              <w:right w:w="90" w:type="dxa"/>
            </w:tcMar>
          </w:tcPr>
          <w:p>
            <w:pPr>
              <w:pStyle w:val="BDOITable"/>
            </w:pPr>
            <w:r>
              <w:rPr>
                <w:sz w:val="17"/>
              </w:rPr>
              <w:t>31 Jan 2027</w:t>
            </w:r>
          </w:p>
        </w:tc>
      </w:tr>
      <w:tr>
        <w:trPr>
          <w:cantSplit w:val="true"/>
        </w:trPr>
        <w:tc>
          <w:tcPr>
            <w:tcW w:type="dxa" w:w="784"/>
            <w:tcMar>
              <w:top w:w="50" w:type="dxa"/>
              <w:bottom w:w="50" w:type="dxa"/>
              <w:left w:w="90" w:type="dxa"/>
              <w:right w:w="90" w:type="dxa"/>
            </w:tcMar>
            <w:shd w:val="clear" w:color="auto" w:fill="E5F5FF"/>
          </w:tcPr>
          <w:p>
            <w:pPr>
              <w:pStyle w:val="BDOITable"/>
            </w:pPr>
            <w:r>
              <w:rPr>
                <w:b/>
                <w:sz w:val="17"/>
              </w:rPr>
              <w:t>PRV-02</w:t>
            </w:r>
          </w:p>
        </w:tc>
        <w:tc>
          <w:tcPr>
            <w:tcW w:type="dxa" w:w="2422"/>
            <w:tcMar>
              <w:top w:w="50" w:type="dxa"/>
              <w:bottom w:w="50" w:type="dxa"/>
              <w:left w:w="90" w:type="dxa"/>
              <w:right w:w="90" w:type="dxa"/>
            </w:tcMar>
            <w:shd w:val="clear" w:color="auto" w:fill="E5F5FF"/>
          </w:tcPr>
          <w:p>
            <w:pPr>
              <w:pStyle w:val="BDOITable"/>
            </w:pPr>
            <w:r>
              <w:rPr>
                <w:sz w:val="17"/>
              </w:rPr>
              <w:t>Data subject requests</w:t>
            </w:r>
          </w:p>
        </w:tc>
        <w:tc>
          <w:tcPr>
            <w:tcW w:type="dxa" w:w="3989"/>
            <w:tcMar>
              <w:top w:w="50" w:type="dxa"/>
              <w:bottom w:w="50" w:type="dxa"/>
              <w:left w:w="90" w:type="dxa"/>
              <w:right w:w="90" w:type="dxa"/>
            </w:tcMar>
            <w:shd w:val="clear" w:color="auto" w:fill="E5F5FF"/>
          </w:tcPr>
          <w:p>
            <w:pPr>
              <w:pStyle w:val="BDOITable"/>
            </w:pPr>
            <w:r>
              <w:rPr>
                <w:sz w:val="17"/>
              </w:rPr>
              <w:t>Procedure for access, correction, erasure and blocking, with a request log kept by the Compliance Officer</w:t>
            </w:r>
          </w:p>
        </w:tc>
        <w:tc>
          <w:tcPr>
            <w:tcW w:type="dxa" w:w="1567"/>
            <w:tcMar>
              <w:top w:w="50" w:type="dxa"/>
              <w:bottom w:w="50" w:type="dxa"/>
              <w:left w:w="90" w:type="dxa"/>
              <w:right w:w="90" w:type="dxa"/>
            </w:tcMar>
            <w:shd w:val="clear" w:color="auto" w:fill="E5F5FF"/>
          </w:tcPr>
          <w:p>
            <w:pPr>
              <w:pStyle w:val="BDOITable"/>
            </w:pPr>
            <w:r>
              <w:rPr>
                <w:sz w:val="17"/>
              </w:rPr>
              <w:t>BDOI Data Protection Officer</w:t>
            </w:r>
          </w:p>
        </w:tc>
        <w:tc>
          <w:tcPr>
            <w:tcW w:type="dxa" w:w="1211"/>
            <w:tcMar>
              <w:top w:w="50" w:type="dxa"/>
              <w:bottom w:w="50" w:type="dxa"/>
              <w:left w:w="90" w:type="dxa"/>
              <w:right w:w="90" w:type="dxa"/>
            </w:tcMar>
            <w:shd w:val="clear" w:color="auto" w:fill="E5F5FF"/>
          </w:tcPr>
          <w:p>
            <w:pPr>
              <w:pStyle w:val="BDOITable"/>
            </w:pPr>
            <w:r>
              <w:rPr>
                <w:sz w:val="17"/>
              </w:rPr>
              <w:t>31 Mar 2027</w:t>
            </w:r>
          </w:p>
        </w:tc>
      </w:tr>
      <w:tr>
        <w:trPr>
          <w:cantSplit w:val="true"/>
        </w:trPr>
        <w:tc>
          <w:tcPr>
            <w:tcW w:type="dxa" w:w="784"/>
            <w:tcMar>
              <w:top w:w="50" w:type="dxa"/>
              <w:bottom w:w="50" w:type="dxa"/>
              <w:left w:w="90" w:type="dxa"/>
              <w:right w:w="90" w:type="dxa"/>
            </w:tcMar>
          </w:tcPr>
          <w:p>
            <w:pPr>
              <w:pStyle w:val="BDOITable"/>
            </w:pPr>
            <w:r>
              <w:rPr>
                <w:b/>
                <w:sz w:val="17"/>
              </w:rPr>
              <w:t>PRV-03</w:t>
            </w:r>
          </w:p>
        </w:tc>
        <w:tc>
          <w:tcPr>
            <w:tcW w:type="dxa" w:w="2422"/>
            <w:tcMar>
              <w:top w:w="50" w:type="dxa"/>
              <w:bottom w:w="50" w:type="dxa"/>
              <w:left w:w="90" w:type="dxa"/>
              <w:right w:w="90" w:type="dxa"/>
            </w:tcMar>
          </w:tcPr>
          <w:p>
            <w:pPr>
              <w:pStyle w:val="BDOITable"/>
            </w:pPr>
            <w:r>
              <w:rPr>
                <w:sz w:val="17"/>
              </w:rPr>
              <w:t>Privacy impact assessment</w:t>
            </w:r>
          </w:p>
        </w:tc>
        <w:tc>
          <w:tcPr>
            <w:tcW w:type="dxa" w:w="3989"/>
            <w:tcMar>
              <w:top w:w="50" w:type="dxa"/>
              <w:bottom w:w="50" w:type="dxa"/>
              <w:left w:w="90" w:type="dxa"/>
              <w:right w:w="90" w:type="dxa"/>
            </w:tcMar>
          </w:tcPr>
          <w:p>
            <w:pPr>
              <w:pStyle w:val="BDOITable"/>
            </w:pPr>
            <w:r>
              <w:rPr>
                <w:sz w:val="17"/>
              </w:rPr>
              <w:t>BDOI runs the PIA on this document and the Data Architecture before UAT</w:t>
            </w:r>
          </w:p>
        </w:tc>
        <w:tc>
          <w:tcPr>
            <w:tcW w:type="dxa" w:w="1567"/>
            <w:tcMar>
              <w:top w:w="50" w:type="dxa"/>
              <w:bottom w:w="50" w:type="dxa"/>
              <w:left w:w="90" w:type="dxa"/>
              <w:right w:w="90" w:type="dxa"/>
            </w:tcMar>
          </w:tcPr>
          <w:p>
            <w:pPr>
              <w:pStyle w:val="BDOITable"/>
            </w:pPr>
            <w:r>
              <w:rPr>
                <w:sz w:val="17"/>
              </w:rPr>
              <w:t>BDOI Data Protection Officer</w:t>
            </w:r>
          </w:p>
        </w:tc>
        <w:tc>
          <w:tcPr>
            <w:tcW w:type="dxa" w:w="1211"/>
            <w:tcMar>
              <w:top w:w="50" w:type="dxa"/>
              <w:bottom w:w="50" w:type="dxa"/>
              <w:left w:w="90" w:type="dxa"/>
              <w:right w:w="90" w:type="dxa"/>
            </w:tcMar>
          </w:tcPr>
          <w:p>
            <w:pPr>
              <w:pStyle w:val="BDOITable"/>
            </w:pPr>
            <w:r>
              <w:rPr>
                <w:sz w:val="17"/>
              </w:rPr>
              <w:t>30 Jun 2027</w:t>
            </w:r>
          </w:p>
        </w:tc>
      </w:tr>
    </w:tbl>
    <w:p>
      <w:pPr>
        <w:pStyle w:val="BDOISpacer"/>
      </w:pPr>
    </w:p>
    <w:p>
      <w:pPr>
        <w:pStyle w:val="Heading1"/>
        <w:pageBreakBefore/>
        <w:pBdr>
          <w:bottom w:val="single" w:sz="4" w:space="4" w:color="99C1E7"/>
        </w:pBdr>
      </w:pPr>
      <w:bookmarkStart w:id="141" w:name="_Toc000141"/>
      <w:r>
        <w:rPr/>
        <w:t>References</w:t>
      </w:r>
      <w:bookmarkEnd w:id="141"/>
    </w:p>
    <w:p>
      <w:pPr>
        <w:pStyle w:val="Caption"/>
        <w:keepNext/>
        <w:spacing w:after="60"/>
      </w:pPr>
      <w:r>
        <w:rPr>
          <w:b/>
          <w:i w:val="0"/>
        </w:rPr>
        <w:t xml:space="preserve">Table 27: </w:t>
      </w:r>
      <w:r>
        <w:rPr/>
        <w:t>References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835"/>
        <w:gridCol w:w="6137"/>
      </w:tblGrid>
      <w:tr>
        <w:trPr>
          <w:tblHeader w:val="true"/>
          <w:cantSplit w:val="true"/>
        </w:trPr>
        <w:tc>
          <w:tcPr>
            <w:tcW w:type="dxa" w:w="3835"/>
            <w:shd w:val="clear" w:color="auto" w:fill="004EA8"/>
            <w:tcMar>
              <w:top w:w="50" w:type="dxa"/>
              <w:bottom w:w="50" w:type="dxa"/>
              <w:left w:w="90" w:type="dxa"/>
              <w:right w:w="90" w:type="dxa"/>
            </w:tcMar>
            <w:vAlign w:val="center"/>
          </w:tcPr>
          <w:p>
            <w:pPr>
              <w:pStyle w:val="BDOITableHeader"/>
            </w:pPr>
            <w:r>
              <w:rPr>
                <w:b/>
                <w:color w:val="FFFFFF"/>
                <w:sz w:val="18"/>
              </w:rPr>
              <w:t>Document</w:t>
            </w:r>
          </w:p>
        </w:tc>
        <w:tc>
          <w:tcPr>
            <w:tcW w:type="dxa" w:w="6137"/>
            <w:shd w:val="clear" w:color="auto" w:fill="004EA8"/>
            <w:tcMar>
              <w:top w:w="50" w:type="dxa"/>
              <w:bottom w:w="50" w:type="dxa"/>
              <w:left w:w="90" w:type="dxa"/>
              <w:right w:w="90" w:type="dxa"/>
            </w:tcMar>
            <w:vAlign w:val="center"/>
          </w:tcPr>
          <w:p>
            <w:pPr>
              <w:pStyle w:val="BDOITableHeader"/>
            </w:pPr>
            <w:r>
              <w:rPr>
                <w:b/>
                <w:color w:val="FFFFFF"/>
                <w:sz w:val="18"/>
              </w:rPr>
              <w:t>Use</w:t>
            </w:r>
          </w:p>
        </w:tc>
      </w:tr>
      <w:tr>
        <w:trPr>
          <w:cantSplit w:val="true"/>
        </w:trPr>
        <w:tc>
          <w:tcPr>
            <w:tcW w:type="dxa" w:w="3835"/>
            <w:tcMar>
              <w:top w:w="50" w:type="dxa"/>
              <w:bottom w:w="50" w:type="dxa"/>
              <w:left w:w="90" w:type="dxa"/>
              <w:right w:w="90" w:type="dxa"/>
            </w:tcMar>
          </w:tcPr>
          <w:p>
            <w:pPr>
              <w:pStyle w:val="BDOITable"/>
            </w:pPr>
            <w:r>
              <w:rPr>
                <w:b/>
                <w:sz w:val="18"/>
              </w:rPr>
              <w:t>BIBS ASVS L2 Control Mapping v1.0 (Excel)</w:t>
            </w:r>
          </w:p>
        </w:tc>
        <w:tc>
          <w:tcPr>
            <w:tcW w:type="dxa" w:w="6137"/>
            <w:tcMar>
              <w:top w:w="50" w:type="dxa"/>
              <w:bottom w:w="50" w:type="dxa"/>
              <w:left w:w="90" w:type="dxa"/>
              <w:right w:w="90" w:type="dxa"/>
            </w:tcMar>
          </w:tcPr>
          <w:p>
            <w:pPr>
              <w:pStyle w:val="BDOITable"/>
            </w:pPr>
            <w:r>
              <w:rPr>
                <w:sz w:val="18"/>
              </w:rPr>
              <w:t>Requirement-level mapping with evidence and gaps</w:t>
            </w:r>
          </w:p>
        </w:tc>
      </w:tr>
      <w:tr>
        <w:trPr>
          <w:cantSplit w:val="true"/>
        </w:trPr>
        <w:tc>
          <w:tcPr>
            <w:tcW w:type="dxa" w:w="3835"/>
            <w:tcMar>
              <w:top w:w="50" w:type="dxa"/>
              <w:bottom w:w="50" w:type="dxa"/>
              <w:left w:w="90" w:type="dxa"/>
              <w:right w:w="90" w:type="dxa"/>
            </w:tcMar>
            <w:shd w:val="clear" w:color="auto" w:fill="E5F5FF"/>
          </w:tcPr>
          <w:p>
            <w:pPr>
              <w:pStyle w:val="BDOITable"/>
            </w:pPr>
            <w:r>
              <w:rPr>
                <w:b/>
                <w:sz w:val="18"/>
              </w:rPr>
              <w:t>BIBS Data Architecture v1.0</w:t>
            </w:r>
          </w:p>
        </w:tc>
        <w:tc>
          <w:tcPr>
            <w:tcW w:type="dxa" w:w="6137"/>
            <w:tcMar>
              <w:top w:w="50" w:type="dxa"/>
              <w:bottom w:w="50" w:type="dxa"/>
              <w:left w:w="90" w:type="dxa"/>
              <w:right w:w="90" w:type="dxa"/>
            </w:tcMar>
            <w:shd w:val="clear" w:color="auto" w:fill="E5F5FF"/>
          </w:tcPr>
          <w:p>
            <w:pPr>
              <w:pStyle w:val="BDOITable"/>
            </w:pPr>
            <w:r>
              <w:rPr>
                <w:sz w:val="18"/>
              </w:rPr>
              <w:t>Data classification, retention, audit trail, lineage</w:t>
            </w:r>
          </w:p>
        </w:tc>
      </w:tr>
      <w:tr>
        <w:trPr>
          <w:cantSplit w:val="true"/>
        </w:trPr>
        <w:tc>
          <w:tcPr>
            <w:tcW w:type="dxa" w:w="3835"/>
            <w:tcMar>
              <w:top w:w="50" w:type="dxa"/>
              <w:bottom w:w="50" w:type="dxa"/>
              <w:left w:w="90" w:type="dxa"/>
              <w:right w:w="90" w:type="dxa"/>
            </w:tcMar>
          </w:tcPr>
          <w:p>
            <w:pPr>
              <w:pStyle w:val="BDOITable"/>
            </w:pPr>
            <w:r>
              <w:rPr>
                <w:b/>
                <w:sz w:val="18"/>
              </w:rPr>
              <w:t>BIBS Entity Relationship Diagrams v1.0 and Data Dictionary v1.0</w:t>
            </w:r>
          </w:p>
        </w:tc>
        <w:tc>
          <w:tcPr>
            <w:tcW w:type="dxa" w:w="6137"/>
            <w:tcMar>
              <w:top w:w="50" w:type="dxa"/>
              <w:bottom w:w="50" w:type="dxa"/>
              <w:left w:w="90" w:type="dxa"/>
              <w:right w:w="90" w:type="dxa"/>
            </w:tcMar>
          </w:tcPr>
          <w:p>
            <w:pPr>
              <w:pStyle w:val="BDOITable"/>
            </w:pPr>
            <w:r>
              <w:rPr>
                <w:sz w:val="18"/>
              </w:rPr>
              <w:t>Tables of the security, audit and retention records</w:t>
            </w:r>
          </w:p>
        </w:tc>
      </w:tr>
      <w:tr>
        <w:trPr>
          <w:cantSplit w:val="true"/>
        </w:trPr>
        <w:tc>
          <w:tcPr>
            <w:tcW w:type="dxa" w:w="3835"/>
            <w:tcMar>
              <w:top w:w="50" w:type="dxa"/>
              <w:bottom w:w="50" w:type="dxa"/>
              <w:left w:w="90" w:type="dxa"/>
              <w:right w:w="90" w:type="dxa"/>
            </w:tcMar>
            <w:shd w:val="clear" w:color="auto" w:fill="E5F5FF"/>
          </w:tcPr>
          <w:p>
            <w:pPr>
              <w:pStyle w:val="BDOITable"/>
            </w:pPr>
            <w:r>
              <w:rPr>
                <w:b/>
                <w:sz w:val="18"/>
              </w:rPr>
              <w:t>Programme Alignment - Drops, Integrations and Infrastructure v1.0; Integration Inventory v1.0</w:t>
            </w:r>
          </w:p>
        </w:tc>
        <w:tc>
          <w:tcPr>
            <w:tcW w:type="dxa" w:w="6137"/>
            <w:tcMar>
              <w:top w:w="50" w:type="dxa"/>
              <w:bottom w:w="50" w:type="dxa"/>
              <w:left w:w="90" w:type="dxa"/>
              <w:right w:w="90" w:type="dxa"/>
            </w:tcMar>
            <w:shd w:val="clear" w:color="auto" w:fill="E5F5FF"/>
          </w:tcPr>
          <w:p>
            <w:pPr>
              <w:pStyle w:val="BDOITable"/>
            </w:pPr>
            <w:r>
              <w:rPr>
                <w:sz w:val="18"/>
              </w:rPr>
              <w:t>Integrations and infrastructure</w:t>
            </w:r>
          </w:p>
        </w:tc>
      </w:tr>
      <w:tr>
        <w:trPr>
          <w:cantSplit w:val="true"/>
        </w:trPr>
        <w:tc>
          <w:tcPr>
            <w:tcW w:type="dxa" w:w="3835"/>
            <w:tcMar>
              <w:top w:w="50" w:type="dxa"/>
              <w:bottom w:w="50" w:type="dxa"/>
              <w:left w:w="90" w:type="dxa"/>
              <w:right w:w="90" w:type="dxa"/>
            </w:tcMar>
          </w:tcPr>
          <w:p>
            <w:pPr>
              <w:pStyle w:val="BDOITable"/>
            </w:pPr>
            <w:r>
              <w:rPr>
                <w:b/>
                <w:sz w:val="18"/>
              </w:rPr>
              <w:t>FRS BRD-11 User Access Maintenance v2.0</w:t>
            </w:r>
          </w:p>
        </w:tc>
        <w:tc>
          <w:tcPr>
            <w:tcW w:type="dxa" w:w="6137"/>
            <w:tcMar>
              <w:top w:w="50" w:type="dxa"/>
              <w:bottom w:w="50" w:type="dxa"/>
              <w:left w:w="90" w:type="dxa"/>
              <w:right w:w="90" w:type="dxa"/>
            </w:tcMar>
          </w:tcPr>
          <w:p>
            <w:pPr>
              <w:pStyle w:val="BDOITable"/>
            </w:pPr>
            <w:r>
              <w:rPr>
                <w:sz w:val="18"/>
              </w:rPr>
              <w:t>Access requests, roles, sessions, passwords</w:t>
            </w:r>
          </w:p>
        </w:tc>
      </w:tr>
      <w:tr>
        <w:trPr>
          <w:cantSplit w:val="true"/>
        </w:trPr>
        <w:tc>
          <w:tcPr>
            <w:tcW w:type="dxa" w:w="3835"/>
            <w:tcMar>
              <w:top w:w="50" w:type="dxa"/>
              <w:bottom w:w="50" w:type="dxa"/>
              <w:left w:w="90" w:type="dxa"/>
              <w:right w:w="90" w:type="dxa"/>
            </w:tcMar>
            <w:shd w:val="clear" w:color="auto" w:fill="E5F5FF"/>
          </w:tcPr>
          <w:p>
            <w:pPr>
              <w:pStyle w:val="BDOITable"/>
            </w:pPr>
            <w:r>
              <w:rPr>
                <w:b/>
                <w:sz w:val="18"/>
              </w:rPr>
              <w:t>OWASP Top 10 (2021); OWASP ASVS 4.0.3; NIST SP 800-207; NIST SP 800-57</w:t>
            </w:r>
          </w:p>
        </w:tc>
        <w:tc>
          <w:tcPr>
            <w:tcW w:type="dxa" w:w="6137"/>
            <w:tcMar>
              <w:top w:w="50" w:type="dxa"/>
              <w:bottom w:w="50" w:type="dxa"/>
              <w:left w:w="90" w:type="dxa"/>
              <w:right w:w="90" w:type="dxa"/>
            </w:tcMar>
            <w:shd w:val="clear" w:color="auto" w:fill="E5F5FF"/>
          </w:tcPr>
          <w:p>
            <w:pPr>
              <w:pStyle w:val="BDOITable"/>
            </w:pPr>
            <w:r>
              <w:rPr>
                <w:sz w:val="18"/>
              </w:rPr>
              <w:t>Standards</w:t>
            </w:r>
          </w:p>
        </w:tc>
      </w:tr>
      <w:tr>
        <w:trPr>
          <w:cantSplit w:val="true"/>
        </w:trPr>
        <w:tc>
          <w:tcPr>
            <w:tcW w:type="dxa" w:w="3835"/>
            <w:tcMar>
              <w:top w:w="50" w:type="dxa"/>
              <w:bottom w:w="50" w:type="dxa"/>
              <w:left w:w="90" w:type="dxa"/>
              <w:right w:w="90" w:type="dxa"/>
            </w:tcMar>
          </w:tcPr>
          <w:p>
            <w:pPr>
              <w:pStyle w:val="BDOITable"/>
            </w:pPr>
            <w:r>
              <w:rPr>
                <w:b/>
                <w:sz w:val="18"/>
              </w:rPr>
              <w:t>Republic Act 10173 (Data Privacy Act of 2012), its IRR and NPC Circulars 16-01 and 16-03</w:t>
            </w:r>
          </w:p>
        </w:tc>
        <w:tc>
          <w:tcPr>
            <w:tcW w:type="dxa" w:w="6137"/>
            <w:tcMar>
              <w:top w:w="50" w:type="dxa"/>
              <w:bottom w:w="50" w:type="dxa"/>
              <w:left w:w="90" w:type="dxa"/>
              <w:right w:w="90" w:type="dxa"/>
            </w:tcMar>
          </w:tcPr>
          <w:p>
            <w:pPr>
              <w:pStyle w:val="BDOITable"/>
            </w:pPr>
            <w:r>
              <w:rPr>
                <w:sz w:val="18"/>
              </w:rPr>
              <w:t>Privacy</w:t>
            </w:r>
          </w:p>
        </w:tc>
      </w:tr>
    </w:tbl>
    <w:p>
      <w:pPr>
        <w:pStyle w:val="BDOISpacer"/>
      </w:pPr>
    </w:p>
    <w:sectPr w:rsidR="00FC693F" w:rsidRPr="0006063C" w:rsidSect="00034616">
      <w:headerReference w:type="default" r:id="rId20"/>
      <w:footerReference w:type="default" r:id="rId21"/>
      <w:headerReference w:type="first" r:id="rId22"/>
      <w:footerReference w:type="first" r:id="rId23"/>
      <w:pgSz w:w="12240" w:h="15840"/>
      <w:pgMar w:top="1417" w:right="1134" w:bottom="1247" w:left="1134" w:header="567"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1.0</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1.0</w: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1.0</w:t>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Security Architecture</w:t>
    </w:r>
    <w:r>
      <w:rPr>
        <w:color w:val="656565"/>
        <w:sz w:val="16"/>
      </w:rPr>
      <w:t xml:space="preserve">   Security Architecture</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Security Architecture</w:t>
    </w:r>
    <w:r>
      <w:rPr>
        <w:color w:val="656565"/>
        <w:sz w:val="16"/>
      </w:rPr>
      <w:t xml:space="preserve">   Security Architecture</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Security Architecture</w:t>
    </w:r>
    <w:r>
      <w:rPr>
        <w:color w:val="656565"/>
        <w:sz w:val="16"/>
      </w:rPr>
      <w:t xml:space="preserve">   Security Architecture</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b w:val="0"/>
      <w:i w:val="0"/>
      <w:color w:val="4B4B4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40" w:lineRule="auto"/>
      <w:outlineLvl w:val="0"/>
    </w:pPr>
    <w:rPr>
      <w:rFonts w:ascii="Arial" w:hAnsi="Arial" w:cs="Arial" w:eastAsia="Arial"/>
      <w:b/>
      <w:bCs/>
      <w:i w:val="0"/>
      <w:color w:val="004EA8"/>
      <w:sz w:val="32"/>
      <w:szCs w:val="28"/>
    </w:rPr>
  </w:style>
  <w:style w:type="paragraph" w:styleId="Heading2">
    <w:name w:val="heading 2"/>
    <w:basedOn w:val="Normal"/>
    <w:next w:val="Normal"/>
    <w:link w:val="Heading2Char"/>
    <w:uiPriority w:val="9"/>
    <w:unhideWhenUsed/>
    <w:qFormat/>
    <w:rsid w:val="00FC693F"/>
    <w:pPr>
      <w:keepNext/>
      <w:keepLines/>
      <w:spacing w:before="280" w:after="120" w:line="240" w:lineRule="auto"/>
      <w:outlineLvl w:val="1"/>
    </w:pPr>
    <w:rPr>
      <w:rFonts w:ascii="Arial" w:hAnsi="Arial" w:cs="Arial" w:eastAsia="Arial"/>
      <w:b/>
      <w:bCs/>
      <w:i w:val="0"/>
      <w:color w:val="004EA8"/>
      <w:sz w:val="26"/>
      <w:szCs w:val="26"/>
    </w:rPr>
  </w:style>
  <w:style w:type="paragraph" w:styleId="Heading3">
    <w:name w:val="heading 3"/>
    <w:basedOn w:val="Normal"/>
    <w:next w:val="Normal"/>
    <w:link w:val="Heading3Char"/>
    <w:uiPriority w:val="9"/>
    <w:unhideWhenUsed/>
    <w:qFormat/>
    <w:rsid w:val="00FC693F"/>
    <w:pPr>
      <w:keepNext/>
      <w:keepLines/>
      <w:spacing w:before="240" w:after="80" w:line="240" w:lineRule="auto"/>
      <w:outlineLvl w:val="2"/>
    </w:pPr>
    <w:rPr>
      <w:rFonts w:ascii="Arial" w:hAnsi="Arial" w:cs="Arial" w:eastAsia="Arial"/>
      <w:b/>
      <w:bCs/>
      <w:i w:val="0"/>
      <w:color w:val="004EA8"/>
      <w:sz w:val="23"/>
    </w:rPr>
  </w:style>
  <w:style w:type="paragraph" w:styleId="Heading4">
    <w:name w:val="heading 4"/>
    <w:basedOn w:val="Normal"/>
    <w:next w:val="Normal"/>
    <w:link w:val="Heading4Char"/>
    <w:uiPriority w:val="9"/>
    <w:semiHidden/>
    <w:unhideWhenUsed/>
    <w:qFormat/>
    <w:rsid w:val="00FC693F"/>
    <w:pPr>
      <w:keepNext/>
      <w:keepLines/>
      <w:spacing w:before="160" w:after="60" w:line="240" w:lineRule="auto"/>
      <w:outlineLvl w:val="9"/>
    </w:pPr>
    <w:rPr>
      <w:rFonts w:ascii="Arial" w:hAnsi="Arial" w:cs="Arial" w:eastAsia="Arial"/>
      <w:b/>
      <w:bCs/>
      <w:i w:val="0"/>
      <w:iCs/>
      <w:color w:val="2E2E2E"/>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pPr>
    <w:rPr>
      <w:rFonts w:ascii="Arial" w:hAnsi="Arial" w:cs="Arial" w:eastAsia="Arial"/>
      <w:b w:val="0"/>
      <w:bCs/>
      <w:i/>
      <w:color w:val="65656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DOITable">
    <w:name w:val="BDOI Table"/>
    <w:basedOn w:val="Normal"/>
    <w:pPr>
      <w:spacing w:before="0" w:after="0" w:line="252" w:lineRule="auto"/>
    </w:pPr>
    <w:rPr>
      <w:rFonts w:ascii="Arial" w:hAnsi="Arial" w:cs="Arial" w:eastAsia="Arial"/>
      <w:b w:val="0"/>
      <w:i w:val="0"/>
      <w:color w:val="4B4B4B"/>
      <w:sz w:val="18"/>
    </w:rPr>
  </w:style>
  <w:style w:type="paragraph" w:customStyle="1" w:styleId="BDOITableHeader">
    <w:name w:val="BDOI Table Header"/>
    <w:basedOn w:val="Normal"/>
    <w:pPr>
      <w:spacing w:before="0" w:after="0" w:line="252" w:lineRule="auto"/>
    </w:pPr>
    <w:rPr>
      <w:rFonts w:ascii="Arial" w:hAnsi="Arial" w:cs="Arial" w:eastAsia="Arial"/>
      <w:b/>
      <w:i w:val="0"/>
      <w:color w:val="FFFFFF"/>
      <w:sz w:val="18"/>
    </w:rPr>
  </w:style>
  <w:style w:type="paragraph" w:customStyle="1" w:styleId="BDOISmall">
    <w:name w:val="BDOI Small"/>
    <w:basedOn w:val="Normal"/>
    <w:rPr>
      <w:rFonts w:ascii="Arial" w:hAnsi="Arial" w:cs="Arial" w:eastAsia="Arial"/>
      <w:b w:val="0"/>
      <w:i w:val="0"/>
      <w:color w:val="656565"/>
      <w:sz w:val="16"/>
    </w:rPr>
  </w:style>
  <w:style w:type="paragraph" w:customStyle="1" w:styleId="BDOIFrontHeading">
    <w:name w:val="BDOI Front Heading"/>
    <w:basedOn w:val="Normal"/>
    <w:pPr>
      <w:keepNext/>
      <w:spacing w:before="0" w:after="200"/>
    </w:pPr>
    <w:rPr>
      <w:rFonts w:ascii="Arial" w:hAnsi="Arial" w:cs="Arial" w:eastAsia="Arial"/>
      <w:b/>
      <w:i w:val="0"/>
      <w:color w:val="004EA8"/>
      <w:sz w:val="32"/>
    </w:rPr>
  </w:style>
  <w:style w:type="paragraph" w:customStyle="1" w:styleId="BDOILabel">
    <w:name w:val="BDOI Label"/>
    <w:basedOn w:val="Normal"/>
    <w:pPr>
      <w:keepNext/>
      <w:spacing w:before="160" w:after="60"/>
    </w:pPr>
    <w:rPr>
      <w:rFonts w:ascii="Arial" w:hAnsi="Arial" w:cs="Arial" w:eastAsia="Arial"/>
      <w:b/>
      <w:i w:val="0"/>
      <w:color w:val="004EA8"/>
      <w:sz w:val="20"/>
    </w:rPr>
  </w:style>
  <w:style w:type="paragraph" w:customStyle="1" w:styleId="BDOISpacer">
    <w:name w:val="BDOI Spacer"/>
    <w:basedOn w:val="Normal"/>
    <w:pPr>
      <w:spacing w:before="0" w:after="100" w:line="240" w:lineRule="auto"/>
    </w:pPr>
    <w:rPr>
      <w:rFonts w:ascii="Arial" w:hAnsi="Arial" w:cs="Arial" w:eastAsia="Arial"/>
      <w:b w:val="0"/>
      <w:i w:val="0"/>
      <w:color w:val="4B4B4B"/>
      <w:sz w:val="6"/>
    </w:rPr>
  </w:style>
  <w:style w:type="paragraph" w:customStyle="1" w:styleId="toc1">
    <w:name w:val="toc 1"/>
    <w:basedOn w:val="Normal"/>
    <w:pPr>
      <w:tabs>
        <w:tab w:pos="9972" w:val="right" w:leader="dot"/>
      </w:tabs>
      <w:spacing w:before="120" w:after="40" w:line="240" w:lineRule="auto"/>
      <w:ind w:left="0"/>
    </w:pPr>
    <w:rPr>
      <w:rFonts w:ascii="Arial" w:hAnsi="Arial" w:cs="Arial" w:eastAsia="Arial"/>
      <w:b/>
      <w:i w:val="0"/>
      <w:color w:val="2E2E2E"/>
      <w:sz w:val="21"/>
    </w:rPr>
  </w:style>
  <w:style w:type="paragraph" w:customStyle="1" w:styleId="toc2">
    <w:name w:val="toc 2"/>
    <w:basedOn w:val="Normal"/>
    <w:pPr>
      <w:tabs>
        <w:tab w:pos="9972" w:val="right" w:leader="dot"/>
      </w:tabs>
      <w:spacing w:before="0" w:after="40" w:line="240" w:lineRule="auto"/>
      <w:ind w:left="340"/>
    </w:pPr>
    <w:rPr>
      <w:rFonts w:ascii="Arial" w:hAnsi="Arial" w:cs="Arial" w:eastAsia="Arial"/>
      <w:b w:val="0"/>
      <w:i w:val="0"/>
      <w:color w:val="4B4B4B"/>
      <w:sz w:val="20"/>
    </w:rPr>
  </w:style>
  <w:style w:type="paragraph" w:customStyle="1" w:styleId="toc3">
    <w:name w:val="toc 3"/>
    <w:basedOn w:val="Normal"/>
    <w:pPr>
      <w:tabs>
        <w:tab w:pos="9972" w:val="right" w:leader="dot"/>
      </w:tabs>
      <w:spacing w:before="0" w:after="40" w:line="240" w:lineRule="auto"/>
      <w:ind w:left="680"/>
    </w:pPr>
    <w:rPr>
      <w:rFonts w:ascii="Arial" w:hAnsi="Arial" w:cs="Arial" w:eastAsia="Arial"/>
      <w:b w:val="0"/>
      <w:i w:val="0"/>
      <w:color w:val="4B4B4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header" Target="header3.xml"/><Relationship Id="rId16" Type="http://schemas.openxmlformats.org/officeDocument/2006/relationships/footer" Target="footer3.xml"/><Relationship Id="rId17" Type="http://schemas.openxmlformats.org/officeDocument/2006/relationships/header" Target="header4.xml"/><Relationship Id="rId18" Type="http://schemas.openxmlformats.org/officeDocument/2006/relationships/footer" Target="footer4.xml"/><Relationship Id="rId19" Type="http://schemas.openxmlformats.org/officeDocument/2006/relationships/image" Target="media/image3.jpg"/><Relationship Id="rId20" Type="http://schemas.openxmlformats.org/officeDocument/2006/relationships/header" Target="header5.xml"/><Relationship Id="rId21" Type="http://schemas.openxmlformats.org/officeDocument/2006/relationships/footer" Target="footer5.xml"/><Relationship Id="rId22" Type="http://schemas.openxmlformats.org/officeDocument/2006/relationships/header" Target="header6.xml"/><Relationship Id="rId23" Type="http://schemas.openxmlformats.org/officeDocument/2006/relationships/footer" Target="footer6.xml"/><Relationship Id="rId24" Type="http://schemas.openxmlformats.org/officeDocument/2006/relationships/image" Target="media/image4.jpg"/><Relationship Id="rId25" Type="http://schemas.openxmlformats.org/officeDocument/2006/relationships/image" Target="media/image5.jpg"/><Relationship Id="rId26" Type="http://schemas.openxmlformats.org/officeDocument/2006/relationships/image" Target="media/image6.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BIBS Architecture BRD-00 Security Architecture v1.0</dc:title>
  <dc:subject>BDO Insure Brokering System (BIBS)</dc:subject>
  <dc:creator>iorta TechNXT</dc:creator>
  <cp:lastModifiedBy>iorta TechNXT</cp:lastModifiedBy>
  <cp:revision>1</cp:revision>
  <dcterms:created xsi:type="dcterms:W3CDTF">2013-12-23T23:15:00Z</dcterms:created>
  <dcterms:modified xsi:type="dcterms:W3CDTF">2013-12-23T23:15:00Z</dcterms:modified>
</cp:coreProperties>
</file>