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BRD-03 Product Maintenance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BRD-3 Product Maintenance business sign-off pack</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Product Maintenance BRD and Addendum (unchanged) and the Drop 0 decisions; sign-in follows BRD-11; packages in force at go-live and automatic renewal drafting as clarifications; user-story view and storyboard index added to the FRS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 of the set-up</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configuration inputs</w:t>
            </w:r>
          </w:p>
        </w:tc>
      </w:tr>
      <w:tr>
        <w:trPr>
          <w:cantSplit w:val="true"/>
        </w:trPr>
        <w:tc>
          <w:tcPr>
            <w:tcW w:type="dxa" w:w="2606"/>
            <w:tcMar>
              <w:top w:w="50" w:type="dxa"/>
              <w:bottom w:w="50" w:type="dxa"/>
              <w:left w:w="90" w:type="dxa"/>
              <w:right w:w="90" w:type="dxa"/>
            </w:tcMar>
          </w:tcPr>
          <w:p>
            <w:pPr>
              <w:pStyle w:val="BDOITable"/>
            </w:pPr>
            <w:r>
              <w:rPr>
                <w:sz w:val="18"/>
              </w:rPr>
              <w:t>Technical Support Unit (TSU) and Marketing</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 and BDOI IT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Rates, commission and incentives; interfaces and access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6 Configuration inputs</w:t>
        </w:r>
        <w:r>
          <w:t xml:space="preserve">	</w:t>
        </w:r>
        <w:r>
          <w:t xml:space="preserve">8</w:t>
        </w:r>
      </w:hyperlink>
    </w:p>
    <w:p>
      <w:pPr>
        <w:pStyle w:val="toc1"/>
      </w:pPr>
      <w:hyperlink w:anchor="_Toc000107" w:history="1">
        <w:r>
          <w:t xml:space="preserve">7 Change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BRD-3 Product Maintenance of BIBS, screen by screen, so that each BDOI business unit can confirm what it will get and sign it off. Product Maintenance is the first set of Drop 0 (Setup and Data Migration): it holds the products, package versions, rates and incentive criteria that New Business, Renewal, Employee Benefits, Submitted Policies, Operations and Accounting use, and the data migration loads its masters at go-live. Signing freezes the content, the screens and the navigation of Product Maintenance;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BRD-03_Product_Maintenance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00_BIBS_StartHere_BRD-03_Product_Maintenance_v2.1.docx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01_BIBS_GuideDeck_BRD-03_Product_Maintenance_v2.1.pptx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02_BIBS_FRS_BRD-03_Product_Maintenance_v2.1.docx</w:t>
            </w:r>
          </w:p>
        </w:tc>
        <w:tc>
          <w:tcPr>
            <w:tcW w:type="dxa" w:w="3626"/>
            <w:tcMar>
              <w:top w:w="50" w:type="dxa"/>
              <w:bottom w:w="50" w:type="dxa"/>
              <w:left w:w="90" w:type="dxa"/>
              <w:right w:w="90" w:type="dxa"/>
            </w:tcMar>
          </w:tcPr>
          <w:p>
            <w:pPr>
              <w:pStyle w:val="BDOITable"/>
            </w:pPr>
            <w:r>
              <w:rPr>
                <w:sz w:val="15"/>
              </w:rPr>
              <w:t>Functional Requirements Specification v2.1: requirements, navigation, 22 screen specifications with screenshots, walkthroughs, messages, notifications, documents, uploads, configuration inputs, cross-BRD contract</w:t>
            </w:r>
          </w:p>
        </w:tc>
        <w:tc>
          <w:tcPr>
            <w:tcW w:type="dxa" w:w="1926"/>
            <w:tcMar>
              <w:top w:w="50" w:type="dxa"/>
              <w:bottom w:w="50" w:type="dxa"/>
              <w:left w:w="90" w:type="dxa"/>
              <w:right w:w="90" w:type="dxa"/>
            </w:tcMar>
          </w:tcPr>
          <w:p>
            <w:pPr>
              <w:pStyle w:val="BDOITable"/>
            </w:pPr>
            <w:r>
              <w:rPr>
                <w:sz w:val="15"/>
              </w:rPr>
              <w:t>MBS, TSU and Marketing for their screens; Finance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03_BIBS_Signoff_BRD-03_Product_Maintenance_v2.1.xlsx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04_BIBS_TestPlan_BRD-03_Product_Maintenance_v2.1.xlsx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05_BIBS_TestPlan_BRD-03_Product_Maintenance_Summary_v2.1.docx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06_BIBS_Templates_BRD-03_Configuration_Inputs_v2.1.xlsx</w:t>
            </w:r>
          </w:p>
        </w:tc>
        <w:tc>
          <w:tcPr>
            <w:tcW w:type="dxa" w:w="3626"/>
            <w:tcMar>
              <w:top w:w="50" w:type="dxa"/>
              <w:bottom w:w="50" w:type="dxa"/>
              <w:left w:w="90" w:type="dxa"/>
              <w:right w:w="90" w:type="dxa"/>
            </w:tcMar>
          </w:tcPr>
          <w:p>
            <w:pPr>
              <w:pStyle w:val="BDOITable"/>
            </w:pPr>
            <w:r>
              <w:rPr>
                <w:sz w:val="15"/>
              </w:rPr>
              <w:t>Configuration input templates: product catalogue, coverages and rules, clauses, rate tables, insurers, packages in force, package map, document templates, lists of values, incentive criteria</w:t>
            </w:r>
          </w:p>
        </w:tc>
        <w:tc>
          <w:tcPr>
            <w:tcW w:type="dxa" w:w="1926"/>
            <w:tcMar>
              <w:top w:w="50" w:type="dxa"/>
              <w:bottom w:w="50" w:type="dxa"/>
              <w:left w:w="90" w:type="dxa"/>
              <w:right w:w="90" w:type="dxa"/>
            </w:tcMar>
          </w:tcPr>
          <w:p>
            <w:pPr>
              <w:pStyle w:val="BDOITable"/>
            </w:pPr>
            <w:r>
              <w:rPr>
                <w:sz w:val="15"/>
              </w:rPr>
              <w:t>MBS, TSU, Operations, Comptrollership (who provide the content)</w:t>
            </w:r>
          </w:p>
        </w:tc>
        <w:tc>
          <w:tcPr>
            <w:tcW w:type="dxa" w:w="1473"/>
            <w:tcMar>
              <w:top w:w="50" w:type="dxa"/>
              <w:bottom w:w="50" w:type="dxa"/>
              <w:left w:w="90" w:type="dxa"/>
              <w:right w:w="90" w:type="dxa"/>
            </w:tcMar>
          </w:tcPr>
          <w:p>
            <w:pPr>
              <w:pStyle w:val="BDOITable"/>
            </w:pPr>
            <w:r>
              <w:rPr>
                <w:sz w:val="15"/>
              </w:rPr>
              <w:t>During the review; filled in for the data migration mocks and the map freeze</w:t>
            </w:r>
          </w:p>
        </w:tc>
      </w:tr>
      <w:tr>
        <w:tc>
          <w:tcPr>
            <w:tcW w:type="dxa" w:w="2946"/>
            <w:tcMar>
              <w:top w:w="50" w:type="dxa"/>
              <w:bottom w:w="50" w:type="dxa"/>
              <w:left w:w="90" w:type="dxa"/>
              <w:right w:w="90" w:type="dxa"/>
            </w:tcMar>
            <w:shd w:val="clear" w:color="auto" w:fill="E5F5FF"/>
          </w:tcPr>
          <w:p>
            <w:pPr>
              <w:pStyle w:val="BDOITable"/>
            </w:pPr>
            <w:r>
              <w:rPr>
                <w:sz w:val="15"/>
              </w:rPr>
              <w:t>07_BIBS_UXDeck_BRD-03_Product_Maintenance_v2.1.pptx</w:t>
            </w:r>
          </w:p>
        </w:tc>
        <w:tc>
          <w:tcPr>
            <w:tcW w:type="dxa" w:w="3626"/>
            <w:tcMar>
              <w:top w:w="50" w:type="dxa"/>
              <w:bottom w:w="50" w:type="dxa"/>
              <w:left w:w="90" w:type="dxa"/>
              <w:right w:w="90" w:type="dxa"/>
            </w:tcMar>
            <w:shd w:val="clear" w:color="auto" w:fill="E5F5FF"/>
          </w:tcPr>
          <w:p>
            <w:pPr>
              <w:pStyle w:val="BDOITable"/>
            </w:pPr>
            <w:r>
              <w:rPr>
                <w:sz w:val="15"/>
              </w:rPr>
              <w:t>UX Screen Deck for the BDOI UX Design team: design foundation, navigation and personas, every flow step by step and every screen with all its states</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tcPr>
          <w:p>
            <w:pPr>
              <w:pStyle w:val="BDOITable"/>
            </w:pPr>
            <w:r>
              <w:rPr>
                <w:sz w:val="15"/>
              </w:rPr>
              <w:t>08_BIBS_UXScreens_BRD-03_Product_Maintenance_v2.1.xlsx</w:t>
            </w:r>
          </w:p>
        </w:tc>
        <w:tc>
          <w:tcPr>
            <w:tcW w:type="dxa" w:w="3626"/>
            <w:tcMar>
              <w:top w:w="50" w:type="dxa"/>
              <w:bottom w:w="50" w:type="dxa"/>
              <w:left w:w="90" w:type="dxa"/>
              <w:right w:w="90" w:type="dxa"/>
            </w:tcMar>
          </w:tcPr>
          <w:p>
            <w:pPr>
              <w:pStyle w:val="BDOITable"/>
            </w:pPr>
            <w:r>
              <w:rPr>
                <w:sz w:val="15"/>
              </w:rPr>
              <w:t>UX screen register: one row per screen image with the screen, personas, flow and step, state, FRS section and requirements, UXD status and comments, and the Changed in this issue flag</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shd w:val="clear" w:color="auto" w:fill="E5F5FF"/>
          </w:tcPr>
          <w:p>
            <w:pPr>
              <w:pStyle w:val="BDOITable"/>
            </w:pPr>
            <w:r>
              <w:rPr>
                <w:sz w:val="15"/>
              </w:rPr>
              <w:t>09_BIBS_UXScreens_BRD-03_Product_Maintenance_v2.1.zip</w:t>
            </w:r>
          </w:p>
        </w:tc>
        <w:tc>
          <w:tcPr>
            <w:tcW w:type="dxa" w:w="3626"/>
            <w:tcMar>
              <w:top w:w="50" w:type="dxa"/>
              <w:bottom w:w="50" w:type="dxa"/>
              <w:left w:w="90" w:type="dxa"/>
              <w:right w:w="90" w:type="dxa"/>
            </w:tcMar>
            <w:shd w:val="clear" w:color="auto" w:fill="E5F5FF"/>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Marketing Business System)</w:t>
            </w:r>
          </w:p>
        </w:tc>
        <w:tc>
          <w:tcPr>
            <w:tcW w:type="dxa" w:w="7592"/>
            <w:tcMar>
              <w:top w:w="50" w:type="dxa"/>
              <w:bottom w:w="50" w:type="dxa"/>
              <w:left w:w="90" w:type="dxa"/>
              <w:right w:w="90" w:type="dxa"/>
            </w:tcMar>
          </w:tcPr>
          <w:p>
            <w:pPr>
              <w:pStyle w:val="BDOITable"/>
            </w:pPr>
            <w:r>
              <w:rPr>
                <w:sz w:val="16"/>
              </w:rPr>
              <w:t>00 Start Here; 01 Guide deck; FRS chapters 1-3 (context and personas), 22 (proposed rules for confirmation), 14 (walkthroughs), 19 (configuration inputs) and 21 (sign-off);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MBS (set-up, versions, masters, incentive criteria)</w:t>
            </w:r>
          </w:p>
        </w:tc>
        <w:tc>
          <w:tcPr>
            <w:tcW w:type="dxa" w:w="7592"/>
            <w:tcMar>
              <w:top w:w="50" w:type="dxa"/>
              <w:bottom w:w="50" w:type="dxa"/>
              <w:left w:w="90" w:type="dxa"/>
              <w:right w:w="90" w:type="dxa"/>
            </w:tcMar>
            <w:shd w:val="clear" w:color="auto" w:fill="E5F5FF"/>
          </w:tcPr>
          <w:p>
            <w:pPr>
              <w:pStyle w:val="BDOITable"/>
            </w:pPr>
            <w:r>
              <w:rPr>
                <w:sz w:val="16"/>
              </w:rPr>
              <w:t>FRS chapter 12 (navigation); chapter 13 screens SCR-PM-08 and SCR-PM-11 to SCR-PM-20; walkthrough A steps 1-2 and 15-19; chapter 19 templates CI-01 to CI-06, CI-09 and CI-10; workbook Screen catalogue, Field register, Business rules and Messages of those screens</w:t>
            </w:r>
          </w:p>
        </w:tc>
      </w:tr>
      <w:tr>
        <w:tc>
          <w:tcPr>
            <w:tcW w:type="dxa" w:w="2380"/>
            <w:tcMar>
              <w:top w:w="50" w:type="dxa"/>
              <w:bottom w:w="50" w:type="dxa"/>
              <w:left w:w="90" w:type="dxa"/>
              <w:right w:w="90" w:type="dxa"/>
            </w:tcMar>
          </w:tcPr>
          <w:p>
            <w:pPr>
              <w:pStyle w:val="BDOITable"/>
            </w:pPr>
            <w:r>
              <w:rPr>
                <w:b/>
                <w:sz w:val="16"/>
              </w:rPr>
              <w:t>TSU (requests, negotiation, requirements, advisories, expiry)</w:t>
            </w:r>
          </w:p>
        </w:tc>
        <w:tc>
          <w:tcPr>
            <w:tcW w:type="dxa" w:w="7592"/>
            <w:tcMar>
              <w:top w:w="50" w:type="dxa"/>
              <w:bottom w:w="50" w:type="dxa"/>
              <w:left w:w="90" w:type="dxa"/>
              <w:right w:w="90" w:type="dxa"/>
            </w:tcMar>
          </w:tcPr>
          <w:p>
            <w:pPr>
              <w:pStyle w:val="BDOITable"/>
            </w:pPr>
            <w:r>
              <w:rPr>
                <w:sz w:val="16"/>
              </w:rPr>
              <w:t>FRS chapter 13 screens SCR-PM-01 to SCR-PM-10; walkthroughs A (steps 5-14 and 20) and B; chapter 17 (documents); chapter 19 template CI-07 (package map); workbook rows of those screens</w:t>
            </w:r>
          </w:p>
        </w:tc>
      </w:tr>
      <w:tr>
        <w:tc>
          <w:tcPr>
            <w:tcW w:type="dxa" w:w="2380"/>
            <w:tcMar>
              <w:top w:w="50" w:type="dxa"/>
              <w:bottom w:w="50" w:type="dxa"/>
              <w:left w:w="90" w:type="dxa"/>
              <w:right w:w="90" w:type="dxa"/>
            </w:tcMar>
            <w:shd w:val="clear" w:color="auto" w:fill="E5F5FF"/>
          </w:tcPr>
          <w:p>
            <w:pPr>
              <w:pStyle w:val="BDOITable"/>
            </w:pPr>
            <w:r>
              <w:rPr>
                <w:b/>
                <w:sz w:val="16"/>
              </w:rPr>
              <w:t>Marketing (requests, approval, client-specific terms, pricing)</w:t>
            </w:r>
          </w:p>
        </w:tc>
        <w:tc>
          <w:tcPr>
            <w:tcW w:type="dxa" w:w="7592"/>
            <w:tcMar>
              <w:top w:w="50" w:type="dxa"/>
              <w:bottom w:w="50" w:type="dxa"/>
              <w:left w:w="90" w:type="dxa"/>
              <w:right w:w="90" w:type="dxa"/>
            </w:tcMar>
            <w:shd w:val="clear" w:color="auto" w:fill="E5F5FF"/>
          </w:tcPr>
          <w:p>
            <w:pPr>
              <w:pStyle w:val="BDOITable"/>
            </w:pPr>
            <w:r>
              <w:rPr>
                <w:sz w:val="16"/>
              </w:rPr>
              <w:t>FRS chapter 13 screens SCR-PM-02 to SCR-PM-04, SCR-PM-21 and SCR-PM-22; walkthrough A steps 3-4 and 21-24; chapter 20 lines IC-01 to IC-03</w:t>
            </w:r>
          </w:p>
        </w:tc>
      </w:tr>
      <w:tr>
        <w:tc>
          <w:tcPr>
            <w:tcW w:type="dxa" w:w="2380"/>
            <w:tcMar>
              <w:top w:w="50" w:type="dxa"/>
              <w:bottom w:w="50" w:type="dxa"/>
              <w:left w:w="90" w:type="dxa"/>
              <w:right w:w="90" w:type="dxa"/>
            </w:tcMar>
          </w:tcPr>
          <w:p>
            <w:pPr>
              <w:pStyle w:val="BDOITable"/>
            </w:pPr>
            <w:r>
              <w:rPr>
                <w:b/>
                <w:sz w:val="16"/>
              </w:rPr>
              <w:t>Finance (Comptrollership)</w:t>
            </w:r>
          </w:p>
        </w:tc>
        <w:tc>
          <w:tcPr>
            <w:tcW w:type="dxa" w:w="7592"/>
            <w:tcMar>
              <w:top w:w="50" w:type="dxa"/>
              <w:bottom w:w="50" w:type="dxa"/>
              <w:left w:w="90" w:type="dxa"/>
              <w:right w:w="90" w:type="dxa"/>
            </w:tcMar>
          </w:tcPr>
          <w:p>
            <w:pPr>
              <w:pStyle w:val="BDOITable"/>
            </w:pPr>
            <w:r>
              <w:rPr>
                <w:sz w:val="16"/>
              </w:rPr>
              <w:t>Rates &amp; Taxes (SCR-PM-19), Insurer record commission rates (SCR-PM-18), Incentive Criteria (SCR-PM-16); contract lines IC-10 and IC-11 (chapter 20); templates CI-04 and CI-10</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menu by persona (chapter 12), cross-BRD contract (chapter 20); product master feed pending specifications (Guide deck, caveats)</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flows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ao and mkttl (Marketing), tsu, tsulead and tsuhead (TSU), mbs (MBS), mancom (ManCom), badmin (Business Administration) and approver (New Business Approver).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BRD-03 folder of Drop 0; invitations to the sessions</w:t>
            </w:r>
          </w:p>
        </w:tc>
        <w:tc>
          <w:tcPr>
            <w:tcW w:type="dxa" w:w="1926"/>
            <w:tcMar>
              <w:top w:w="50" w:type="dxa"/>
              <w:bottom w:w="50" w:type="dxa"/>
              <w:left w:w="90" w:type="dxa"/>
              <w:right w:w="90" w:type="dxa"/>
            </w:tcMar>
          </w:tcPr>
          <w:p>
            <w:pPr>
              <w:pStyle w:val="BDOITable"/>
            </w:pPr>
            <w:r>
              <w:rPr>
                <w:sz w:val="15"/>
              </w:rPr>
              <w:t>Day 0 (Mon 2-Nov-2026)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MBS, TSU and Marketing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4 to 6-Nov-2026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configuration inputs started</w:t>
            </w:r>
          </w:p>
        </w:tc>
        <w:tc>
          <w:tcPr>
            <w:tcW w:type="dxa" w:w="2946"/>
            <w:tcMar>
              <w:top w:w="50" w:type="dxa"/>
              <w:bottom w:w="50" w:type="dxa"/>
              <w:left w:w="90" w:type="dxa"/>
              <w:right w:w="90" w:type="dxa"/>
            </w:tcMar>
          </w:tcPr>
          <w:p>
            <w:pPr>
              <w:pStyle w:val="BDOITable"/>
            </w:pPr>
            <w:r>
              <w:rPr>
                <w:sz w:val="15"/>
              </w:rPr>
              <w:t>R: business users of MBS, TSU and Marketing; A: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 first drafts of the templates</w:t>
            </w:r>
          </w:p>
        </w:tc>
        <w:tc>
          <w:tcPr>
            <w:tcW w:type="dxa" w:w="1926"/>
            <w:tcMar>
              <w:top w:w="50" w:type="dxa"/>
              <w:bottom w:w="50" w:type="dxa"/>
              <w:left w:w="90" w:type="dxa"/>
              <w:right w:w="90" w:type="dxa"/>
            </w:tcMar>
          </w:tcPr>
          <w:p>
            <w:pPr>
              <w:pStyle w:val="BDOITable"/>
            </w:pPr>
            <w:r>
              <w:rPr>
                <w:sz w:val="15"/>
              </w:rPr>
              <w:t>8 working days after the walkthroughs, until Wed 18-Nov-2026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23-Nov-2026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v2.2 on Wed 25-Nov-2026; check by the reviewers until Fri 27-Nov-2026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MBS, TSU, Marketing, Finance,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Mon 30-Nov-2026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 configuration and migration inputs</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 Data Migration working group</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 templates handed to the data migration mocks</w:t>
            </w:r>
          </w:p>
        </w:tc>
        <w:tc>
          <w:tcPr>
            <w:tcW w:type="dxa" w:w="1926"/>
            <w:tcMar>
              <w:top w:w="50" w:type="dxa"/>
              <w:bottom w:w="50" w:type="dxa"/>
              <w:left w:w="90" w:type="dxa"/>
              <w:right w:w="90" w:type="dxa"/>
            </w:tcMar>
          </w:tcPr>
          <w:p>
            <w:pPr>
              <w:pStyle w:val="BDOITable"/>
            </w:pPr>
            <w:r>
              <w:rPr>
                <w:sz w:val="15"/>
              </w:rPr>
              <w:t>From Tue 1-Dec-2026; templates final at the map freeze</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Apr - Jul 2027; UAT Aug - Oct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4-Nov-2026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package request from the form to the ManCom sign-off (walkthrough A steps 1-14)</w:t>
            </w:r>
          </w:p>
        </w:tc>
        <w:tc>
          <w:tcPr>
            <w:tcW w:type="dxa" w:w="2493"/>
            <w:tcMar>
              <w:top w:w="50" w:type="dxa"/>
              <w:bottom w:w="50" w:type="dxa"/>
              <w:left w:w="90" w:type="dxa"/>
              <w:right w:w="90" w:type="dxa"/>
            </w:tcMar>
          </w:tcPr>
          <w:p>
            <w:pPr>
              <w:pStyle w:val="BDOITable"/>
            </w:pPr>
            <w:r>
              <w:rPr>
                <w:sz w:val="18"/>
              </w:rPr>
              <w:t>Marketing, TSU, MBS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5-Nov-2026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Set-up, versions and validation, insurers and commission, advisory, pricing and the rate exception (walkthrough A steps 15-24); returns and messages (walkthrough B)</w:t>
            </w:r>
          </w:p>
        </w:tc>
        <w:tc>
          <w:tcPr>
            <w:tcW w:type="dxa" w:w="2493"/>
            <w:tcMar>
              <w:top w:w="50" w:type="dxa"/>
              <w:bottom w:w="50" w:type="dxa"/>
              <w:left w:w="90" w:type="dxa"/>
              <w:right w:w="90" w:type="dxa"/>
            </w:tcMar>
            <w:shd w:val="clear" w:color="auto" w:fill="E5F5FF"/>
          </w:tcPr>
          <w:p>
            <w:pPr>
              <w:pStyle w:val="BDOITable"/>
            </w:pPr>
            <w:r>
              <w:rPr>
                <w:sz w:val="18"/>
              </w:rPr>
              <w:t>MBS, TSU, Business Administration, Marketing</w:t>
            </w:r>
          </w:p>
        </w:tc>
      </w:tr>
      <w:tr>
        <w:trPr>
          <w:cantSplit w:val="true"/>
        </w:trPr>
        <w:tc>
          <w:tcPr>
            <w:tcW w:type="dxa" w:w="2040"/>
            <w:tcMar>
              <w:top w:w="50" w:type="dxa"/>
              <w:bottom w:w="50" w:type="dxa"/>
              <w:left w:w="90" w:type="dxa"/>
              <w:right w:w="90" w:type="dxa"/>
            </w:tcMar>
          </w:tcPr>
          <w:p>
            <w:pPr>
              <w:pStyle w:val="BDOITable"/>
            </w:pPr>
            <w:r>
              <w:rPr>
                <w:sz w:val="18"/>
              </w:rPr>
              <w:t>Fri 6-Nov-2026</w:t>
            </w:r>
          </w:p>
        </w:tc>
        <w:tc>
          <w:tcPr>
            <w:tcW w:type="dxa" w:w="1360"/>
            <w:tcMar>
              <w:top w:w="50" w:type="dxa"/>
              <w:bottom w:w="50" w:type="dxa"/>
              <w:left w:w="90" w:type="dxa"/>
              <w:right w:w="90" w:type="dxa"/>
            </w:tcMar>
          </w:tcPr>
          <w:p>
            <w:pPr>
              <w:pStyle w:val="BDOITable"/>
            </w:pPr>
            <w:r>
              <w:rPr>
                <w:sz w:val="18"/>
              </w:rPr>
              <w:t>09:30-11:30</w:t>
            </w:r>
          </w:p>
        </w:tc>
        <w:tc>
          <w:tcPr>
            <w:tcW w:type="dxa" w:w="4079"/>
            <w:tcMar>
              <w:top w:w="50" w:type="dxa"/>
              <w:bottom w:w="50" w:type="dxa"/>
              <w:left w:w="90" w:type="dxa"/>
              <w:right w:w="90" w:type="dxa"/>
            </w:tcMar>
          </w:tcPr>
          <w:p>
            <w:pPr>
              <w:pStyle w:val="BDOITable"/>
            </w:pPr>
            <w:r>
              <w:rPr>
                <w:sz w:val="18"/>
              </w:rPr>
              <w:t>Catalogue screens, rates and taxes, incentive criteria, package expiry; the configuration input templates and the package map</w:t>
            </w:r>
          </w:p>
        </w:tc>
        <w:tc>
          <w:tcPr>
            <w:tcW w:type="dxa" w:w="2493"/>
            <w:tcMar>
              <w:top w:w="50" w:type="dxa"/>
              <w:bottom w:w="50" w:type="dxa"/>
              <w:left w:w="90" w:type="dxa"/>
              <w:right w:w="90" w:type="dxa"/>
            </w:tcMar>
          </w:tcPr>
          <w:p>
            <w:pPr>
              <w:pStyle w:val="BDOITable"/>
            </w:pPr>
            <w:r>
              <w:rPr>
                <w:sz w:val="18"/>
              </w:rPr>
              <w:t>MBS, Comptrollership, Data Migration working group,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MBS, Program Manager (BPS)</w:t>
            </w:r>
          </w:p>
        </w:tc>
        <w:tc>
          <w:tcPr>
            <w:tcW w:type="dxa" w:w="2153"/>
            <w:tcMar>
              <w:top w:w="50" w:type="dxa"/>
              <w:bottom w:w="50" w:type="dxa"/>
              <w:left w:w="90" w:type="dxa"/>
              <w:right w:w="90" w:type="dxa"/>
            </w:tcMar>
          </w:tcPr>
          <w:p>
            <w:pPr>
              <w:pStyle w:val="BDOITable"/>
            </w:pPr>
            <w:r>
              <w:rPr>
                <w:sz w:val="15"/>
              </w:rPr>
              <w:t>Product Owner, UH Claims and TU, UH Combank and Corbank, Head Retail Marketing, Head Corporate and Retail Marketing</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 BA (BPS)</w:t>
            </w:r>
          </w:p>
        </w:tc>
        <w:tc>
          <w:tcPr>
            <w:tcW w:type="dxa" w:w="1700"/>
            <w:tcMar>
              <w:top w:w="50" w:type="dxa"/>
              <w:bottom w:w="50" w:type="dxa"/>
              <w:left w:w="90" w:type="dxa"/>
              <w:right w:w="90" w:type="dxa"/>
            </w:tcMar>
            <w:shd w:val="clear" w:color="auto" w:fill="E5F5FF"/>
          </w:tcPr>
          <w:p>
            <w:pPr>
              <w:pStyle w:val="BDOITable"/>
            </w:pPr>
            <w:r>
              <w:rPr>
                <w:sz w:val="15"/>
              </w:rPr>
              <w:t>MBS, Program Manager (BPS)</w:t>
            </w:r>
          </w:p>
        </w:tc>
        <w:tc>
          <w:tcPr>
            <w:tcW w:type="dxa" w:w="2153"/>
            <w:tcMar>
              <w:top w:w="50" w:type="dxa"/>
              <w:bottom w:w="50" w:type="dxa"/>
              <w:left w:w="90" w:type="dxa"/>
              <w:right w:w="90" w:type="dxa"/>
            </w:tcMar>
            <w:shd w:val="clear" w:color="auto" w:fill="E5F5FF"/>
          </w:tcPr>
          <w:p>
            <w:pPr>
              <w:pStyle w:val="BDOITable"/>
            </w:pPr>
            <w:r>
              <w:rPr>
                <w:sz w:val="15"/>
              </w:rPr>
              <w:t>Product Owner, UH Claims and TU, Head Comptrollership</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Documents and reports (quotation slip, comparative, advisories, catalogue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UH Claims and TU</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TSU, MBS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MBS, TSU</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Interfaces, user access and menus by persona</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w:t>
            </w:r>
          </w:p>
        </w:tc>
        <w:tc>
          <w:tcPr>
            <w:tcW w:type="dxa" w:w="1700"/>
            <w:tcMar>
              <w:top w:w="50" w:type="dxa"/>
              <w:bottom w:w="50" w:type="dxa"/>
              <w:left w:w="90" w:type="dxa"/>
              <w:right w:w="90" w:type="dxa"/>
            </w:tcMar>
            <w:shd w:val="clear" w:color="auto" w:fill="E5F5FF"/>
          </w:tcPr>
          <w:p>
            <w:pPr>
              <w:pStyle w:val="BDOITable"/>
            </w:pPr>
            <w:r>
              <w:rPr>
                <w:sz w:val="15"/>
              </w:rPr>
              <w:t>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TSU, MBS</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Configuration inputs (06 templates, Drop 0)</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MBS, TSU</w:t>
            </w:r>
          </w:p>
        </w:tc>
        <w:tc>
          <w:tcPr>
            <w:tcW w:type="dxa" w:w="1700"/>
            <w:tcMar>
              <w:top w:w="50" w:type="dxa"/>
              <w:bottom w:w="50" w:type="dxa"/>
              <w:left w:w="90" w:type="dxa"/>
              <w:right w:w="90" w:type="dxa"/>
            </w:tcMar>
            <w:shd w:val="clear" w:color="auto" w:fill="E5F5FF"/>
          </w:tcPr>
          <w:p>
            <w:pPr>
              <w:pStyle w:val="BDOITable"/>
            </w:pPr>
            <w:r>
              <w:rPr>
                <w:sz w:val="15"/>
              </w:rPr>
              <w:t>MBS, Program Manager (BPS)</w:t>
            </w:r>
          </w:p>
        </w:tc>
        <w:tc>
          <w:tcPr>
            <w:tcW w:type="dxa" w:w="2153"/>
            <w:tcMar>
              <w:top w:w="50" w:type="dxa"/>
              <w:bottom w:w="50" w:type="dxa"/>
              <w:left w:w="90" w:type="dxa"/>
              <w:right w:w="90" w:type="dxa"/>
            </w:tcMar>
            <w:shd w:val="clear" w:color="auto" w:fill="E5F5FF"/>
          </w:tcPr>
          <w:p>
            <w:pPr>
              <w:pStyle w:val="BDOITable"/>
            </w:pPr>
            <w:r>
              <w:rPr>
                <w:sz w:val="15"/>
              </w:rPr>
              <w:t>Product Owner, Head Comptrollership</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(BRD-3 approval sheets: main BRD p.34-35; Workshop Addendum p.8-9)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(p.34, p.8)</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Technical Support Unit (TSU), BU representatives (BDOI)</w:t>
            </w:r>
          </w:p>
        </w:tc>
        <w:tc>
          <w:tcPr>
            <w:tcW w:type="dxa" w:w="3853"/>
            <w:tcMar>
              <w:top w:w="50" w:type="dxa"/>
              <w:bottom w:w="50" w:type="dxa"/>
              <w:left w:w="90" w:type="dxa"/>
              <w:right w:w="90" w:type="dxa"/>
            </w:tcMar>
          </w:tcPr>
          <w:p>
            <w:pPr>
              <w:pStyle w:val="BDOITable"/>
            </w:pPr>
            <w:r>
              <w:rPr>
                <w:sz w:val="15"/>
              </w:rPr>
              <w:t>The package request, negotiation, requirements, advisory and expiry screens match the business input</w:t>
            </w:r>
          </w:p>
        </w:tc>
        <w:tc>
          <w:tcPr>
            <w:tcW w:type="dxa" w:w="2040"/>
            <w:tcMar>
              <w:top w:w="50" w:type="dxa"/>
              <w:bottom w:w="50" w:type="dxa"/>
              <w:left w:w="90" w:type="dxa"/>
              <w:right w:w="90" w:type="dxa"/>
            </w:tcMar>
          </w:tcPr>
          <w:p>
            <w:pPr>
              <w:pStyle w:val="BDOITable"/>
            </w:pPr>
            <w:r>
              <w:rPr>
                <w:sz w:val="15"/>
              </w:rPr>
              <w:t>Input provided by (p.34, p.8)</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Marketing Business System (MBS), BU representatives (BDOI)</w:t>
            </w:r>
          </w:p>
        </w:tc>
        <w:tc>
          <w:tcPr>
            <w:tcW w:type="dxa" w:w="3853"/>
            <w:tcMar>
              <w:top w:w="50" w:type="dxa"/>
              <w:bottom w:w="50" w:type="dxa"/>
              <w:left w:w="90" w:type="dxa"/>
              <w:right w:w="90" w:type="dxa"/>
            </w:tcMar>
            <w:shd w:val="clear" w:color="auto" w:fill="E5F5FF"/>
          </w:tcPr>
          <w:p>
            <w:pPr>
              <w:pStyle w:val="BDOITable"/>
            </w:pPr>
            <w:r>
              <w:rPr>
                <w:sz w:val="15"/>
              </w:rPr>
              <w:t>The set-up, version, master and incentive screens and the configuration inputs match the business input</w:t>
            </w:r>
          </w:p>
        </w:tc>
        <w:tc>
          <w:tcPr>
            <w:tcW w:type="dxa" w:w="2040"/>
            <w:tcMar>
              <w:top w:w="50" w:type="dxa"/>
              <w:bottom w:w="50" w:type="dxa"/>
              <w:left w:w="90" w:type="dxa"/>
              <w:right w:w="90" w:type="dxa"/>
            </w:tcMar>
            <w:shd w:val="clear" w:color="auto" w:fill="E5F5FF"/>
          </w:tcPr>
          <w:p>
            <w:pPr>
              <w:pStyle w:val="BDOITable"/>
            </w:pPr>
            <w:r>
              <w:rPr>
                <w:sz w:val="15"/>
              </w:rPr>
              <w:t>Input provided by and Reviewed by (p.34, p.8)</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Reviewed by (p.34, p.9)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(BDOI IT) (BDOI)</w:t>
            </w:r>
          </w:p>
        </w:tc>
        <w:tc>
          <w:tcPr>
            <w:tcW w:type="dxa" w:w="3853"/>
            <w:tcMar>
              <w:top w:w="50" w:type="dxa"/>
              <w:bottom w:w="50" w:type="dxa"/>
              <w:left w:w="90" w:type="dxa"/>
              <w:right w:w="90" w:type="dxa"/>
            </w:tcMar>
            <w:shd w:val="clear" w:color="auto" w:fill="E5F5FF"/>
          </w:tcPr>
          <w:p>
            <w:pPr>
              <w:pStyle w:val="BDOITable"/>
            </w:pPr>
            <w:r>
              <w:rPr>
                <w:sz w:val="15"/>
              </w:rPr>
              <w:t>Interfaces, user access and menus,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Marketing Business System (BDOI)</w:t>
            </w:r>
          </w:p>
        </w:tc>
        <w:tc>
          <w:tcPr>
            <w:tcW w:type="dxa" w:w="3853"/>
            <w:tcMar>
              <w:top w:w="50" w:type="dxa"/>
              <w:bottom w:w="50" w:type="dxa"/>
              <w:left w:w="90" w:type="dxa"/>
              <w:right w:w="90" w:type="dxa"/>
            </w:tcMar>
          </w:tcPr>
          <w:p>
            <w:pPr>
              <w:pStyle w:val="BDOITable"/>
            </w:pPr>
            <w:r>
              <w:rPr>
                <w:sz w:val="15"/>
              </w:rPr>
              <w:t>Owns the set and approves all of its contents</w:t>
            </w:r>
          </w:p>
        </w:tc>
        <w:tc>
          <w:tcPr>
            <w:tcW w:type="dxa" w:w="2040"/>
            <w:tcMar>
              <w:top w:w="50" w:type="dxa"/>
              <w:bottom w:w="50" w:type="dxa"/>
              <w:left w:w="90" w:type="dxa"/>
              <w:right w:w="90" w:type="dxa"/>
            </w:tcMar>
          </w:tcPr>
          <w:p>
            <w:pPr>
              <w:pStyle w:val="BDOITable"/>
            </w:pPr>
            <w:r>
              <w:rPr>
                <w:sz w:val="15"/>
              </w:rPr>
              <w:t>Approved by (p.34, p.9)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Claims, Analytics, Risk Management, Reinsurance and Technical Underwriting (BDOI)</w:t>
            </w:r>
          </w:p>
        </w:tc>
        <w:tc>
          <w:tcPr>
            <w:tcW w:type="dxa" w:w="3853"/>
            <w:tcMar>
              <w:top w:w="50" w:type="dxa"/>
              <w:bottom w:w="50" w:type="dxa"/>
              <w:left w:w="90" w:type="dxa"/>
              <w:right w:w="90" w:type="dxa"/>
            </w:tcMar>
            <w:shd w:val="clear" w:color="auto" w:fill="E5F5FF"/>
          </w:tcPr>
          <w:p>
            <w:pPr>
              <w:pStyle w:val="BDOITable"/>
            </w:pPr>
            <w:r>
              <w:rPr>
                <w:sz w:val="15"/>
              </w:rPr>
              <w:t>The TSU part: package requests, negotiation, requirements, advisories and expiry</w:t>
            </w:r>
          </w:p>
        </w:tc>
        <w:tc>
          <w:tcPr>
            <w:tcW w:type="dxa" w:w="2040"/>
            <w:tcMar>
              <w:top w:w="50" w:type="dxa"/>
              <w:bottom w:w="50" w:type="dxa"/>
              <w:left w:w="90" w:type="dxa"/>
              <w:right w:w="90" w:type="dxa"/>
            </w:tcMar>
            <w:shd w:val="clear" w:color="auto" w:fill="E5F5FF"/>
          </w:tcPr>
          <w:p>
            <w:pPr>
              <w:pStyle w:val="BDOITable"/>
            </w:pPr>
            <w:r>
              <w:rPr>
                <w:sz w:val="15"/>
              </w:rPr>
              <w:t>Approved by (p.35, p.9)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Combank and Corbank (BDOI)</w:t>
            </w:r>
          </w:p>
        </w:tc>
        <w:tc>
          <w:tcPr>
            <w:tcW w:type="dxa" w:w="3853"/>
            <w:tcMar>
              <w:top w:w="50" w:type="dxa"/>
              <w:bottom w:w="50" w:type="dxa"/>
              <w:left w:w="90" w:type="dxa"/>
              <w:right w:w="90" w:type="dxa"/>
            </w:tcMar>
          </w:tcPr>
          <w:p>
            <w:pPr>
              <w:pStyle w:val="BDOITable"/>
            </w:pPr>
            <w:r>
              <w:rPr>
                <w:sz w:val="15"/>
              </w:rPr>
              <w:t>Package requests, approvals and pricing for Combank and Corbank</w:t>
            </w:r>
          </w:p>
        </w:tc>
        <w:tc>
          <w:tcPr>
            <w:tcW w:type="dxa" w:w="2040"/>
            <w:tcMar>
              <w:top w:w="50" w:type="dxa"/>
              <w:bottom w:w="50" w:type="dxa"/>
              <w:left w:w="90" w:type="dxa"/>
              <w:right w:w="90" w:type="dxa"/>
            </w:tcMar>
          </w:tcPr>
          <w:p>
            <w:pPr>
              <w:pStyle w:val="BDOITable"/>
            </w:pPr>
            <w:r>
              <w:rPr>
                <w:sz w:val="15"/>
              </w:rPr>
              <w:t>Approved by (p.35, p.9)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Package requests, approvals and pricing for Retail Marketing</w:t>
            </w:r>
          </w:p>
        </w:tc>
        <w:tc>
          <w:tcPr>
            <w:tcW w:type="dxa" w:w="2040"/>
            <w:tcMar>
              <w:top w:w="50" w:type="dxa"/>
              <w:bottom w:w="50" w:type="dxa"/>
              <w:left w:w="90" w:type="dxa"/>
              <w:right w:w="90" w:type="dxa"/>
            </w:tcMar>
            <w:shd w:val="clear" w:color="auto" w:fill="E5F5FF"/>
          </w:tcPr>
          <w:p>
            <w:pPr>
              <w:pStyle w:val="BDOITable"/>
            </w:pPr>
            <w:r>
              <w:rPr>
                <w:sz w:val="15"/>
              </w:rPr>
              <w:t>Approved by (p.35, p.9)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Corporate and Retail Marketing (BDOI)</w:t>
            </w:r>
          </w:p>
        </w:tc>
        <w:tc>
          <w:tcPr>
            <w:tcW w:type="dxa" w:w="3853"/>
            <w:tcMar>
              <w:top w:w="50" w:type="dxa"/>
              <w:bottom w:w="50" w:type="dxa"/>
              <w:left w:w="90" w:type="dxa"/>
              <w:right w:w="90" w:type="dxa"/>
            </w:tcMar>
          </w:tcPr>
          <w:p>
            <w:pPr>
              <w:pStyle w:val="BDOITable"/>
            </w:pPr>
            <w:r>
              <w:rPr>
                <w:sz w:val="15"/>
              </w:rPr>
              <w:t>Package requests, approvals and pricing for Corporate Marketing</w:t>
            </w:r>
          </w:p>
        </w:tc>
        <w:tc>
          <w:tcPr>
            <w:tcW w:type="dxa" w:w="2040"/>
            <w:tcMar>
              <w:top w:w="50" w:type="dxa"/>
              <w:bottom w:w="50" w:type="dxa"/>
              <w:left w:w="90" w:type="dxa"/>
              <w:right w:w="90" w:type="dxa"/>
            </w:tcMar>
          </w:tcPr>
          <w:p>
            <w:pPr>
              <w:pStyle w:val="BDOITable"/>
            </w:pPr>
            <w:r>
              <w:rPr>
                <w:sz w:val="15"/>
              </w:rPr>
              <w:t>Approved by (p.35)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Comptrollership (BDOI)</w:t>
            </w:r>
          </w:p>
        </w:tc>
        <w:tc>
          <w:tcPr>
            <w:tcW w:type="dxa" w:w="3853"/>
            <w:tcMar>
              <w:top w:w="50" w:type="dxa"/>
              <w:bottom w:w="50" w:type="dxa"/>
              <w:left w:w="90" w:type="dxa"/>
              <w:right w:w="90" w:type="dxa"/>
            </w:tcMar>
            <w:shd w:val="clear" w:color="auto" w:fill="E5F5FF"/>
          </w:tcPr>
          <w:p>
            <w:pPr>
              <w:pStyle w:val="BDOITable"/>
            </w:pPr>
            <w:r>
              <w:rPr>
                <w:sz w:val="15"/>
              </w:rPr>
              <w:t>Rates and taxes, commission rates and incentive criteria</w:t>
            </w:r>
          </w:p>
        </w:tc>
        <w:tc>
          <w:tcPr>
            <w:tcW w:type="dxa" w:w="2040"/>
            <w:tcMar>
              <w:top w:w="50" w:type="dxa"/>
              <w:bottom w:w="50" w:type="dxa"/>
              <w:left w:w="90" w:type="dxa"/>
              <w:right w:w="90" w:type="dxa"/>
            </w:tcMar>
            <w:shd w:val="clear" w:color="auto" w:fill="E5F5FF"/>
          </w:tcPr>
          <w:p>
            <w:pPr>
              <w:pStyle w:val="BDOITable"/>
            </w:pPr>
            <w:r>
              <w:rPr>
                <w:sz w:val="15"/>
              </w:rPr>
              <w:t>Approved by (p.35; marked not required on the addendum, p.9)</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6 Configuration inputs</w:t>
      </w:r>
      <w:bookmarkEnd w:id="106"/>
    </w:p>
    <w:p>
      <w:r>
        <w:rPr/>
        <w:t>The workbook of configuration input templates lists what the business provides to set up Product Maintenance and to load it at go-live: the product catalogue, coverages and rules, clauses, rate tables, insurers and commission rates, the packages in force, the package map, the document templates, the lists of values and the incentive criteria (FRS chapter 19). The owners start the templates during the review; the final content follows the data migration mocks and is due at the map freeze. The workbook opens on a Start here sheet with the templates in the order they are filled in and a link to each; every template sheet carries its own guide above the columns (mandatory, format, allowed values, what to enter), drop-downs and one example row, and questions are raised in the workbook on the sheet Questions and comments.</w:t>
      </w:r>
    </w:p>
    <w:p>
      <w:pPr>
        <w:pStyle w:val="Heading1"/>
        <w:pBdr>
          <w:bottom w:val="single" w:sz="4" w:space="4" w:color="99C1E7"/>
        </w:pBdr>
      </w:pPr>
      <w:bookmarkStart w:id="107" w:name="_Toc000107"/>
      <w:r>
        <w:rPr/>
        <w:t>7 Change control after sign-off</w:t>
      </w:r>
      <w:bookmarkEnd w:id="107"/>
    </w:p>
    <w:p>
      <w:r>
        <w:rPr/>
        <w:t>Signing freezes the Product Maintenance screens, fields, navigation, actions, business rules, messages, notifications, documents, configuration input templates and the cross-BRD contract as specified. The configuration content itself (products, versions, rates, clauses, templates, list values and parameters) is maintained by the business under maker-checker and is not frozen. A change to anything frozen is raised in the Change Management Register with the screen, field, rule or message concerned, assessed with its mandays and its effect on the other BRDs,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BRD-3 Product Maintenance</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BRD-03,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