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BRD-11 User Access Maintenance Sign-off Pack,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BRD-11 User Access Maintenance business sign-off pack</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Re-based on the BRD of 15-Apr-2025 and the Drop 0 decisions; single sign-on through EIAM stated as part of BIBS; user-story view and storyboard index added to the FRS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Administration (process owner of user access)</w:t>
            </w:r>
          </w:p>
        </w:tc>
        <w:tc>
          <w:tcPr>
            <w:tcW w:type="dxa" w:w="2266"/>
            <w:tcMar>
              <w:top w:w="50" w:type="dxa"/>
              <w:bottom w:w="50" w:type="dxa"/>
              <w:left w:w="90" w:type="dxa"/>
              <w:right w:w="90" w:type="dxa"/>
            </w:tcMar>
            <w:shd w:val="clear" w:color="auto" w:fill="E5F5FF"/>
          </w:tcPr>
          <w:p>
            <w:pPr>
              <w:pStyle w:val="BDOITable"/>
            </w:pPr>
            <w:r>
              <w:rPr>
                <w:sz w:val="18"/>
              </w:rPr>
              <w:t>Business owner of the process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configuration inputs</w:t>
            </w:r>
          </w:p>
        </w:tc>
      </w:tr>
      <w:tr>
        <w:trPr>
          <w:cantSplit w:val="true"/>
        </w:trPr>
        <w:tc>
          <w:tcPr>
            <w:tcW w:type="dxa" w:w="2606"/>
            <w:tcMar>
              <w:top w:w="50" w:type="dxa"/>
              <w:bottom w:w="50" w:type="dxa"/>
              <w:left w:w="90" w:type="dxa"/>
              <w:right w:w="90" w:type="dxa"/>
            </w:tcMar>
          </w:tcPr>
          <w:p>
            <w:pPr>
              <w:pStyle w:val="BDOITable"/>
            </w:pPr>
            <w:r>
              <w:rPr>
                <w:sz w:val="18"/>
              </w:rPr>
              <w:t>BDOI Information Security</w:t>
            </w:r>
          </w:p>
        </w:tc>
        <w:tc>
          <w:tcPr>
            <w:tcW w:type="dxa" w:w="2266"/>
            <w:tcMar>
              <w:top w:w="50" w:type="dxa"/>
              <w:bottom w:w="50" w:type="dxa"/>
              <w:left w:w="90" w:type="dxa"/>
              <w:right w:w="90" w:type="dxa"/>
            </w:tcMar>
          </w:tcPr>
          <w:p>
            <w:pPr>
              <w:pStyle w:val="BDOITable"/>
            </w:pPr>
            <w:r>
              <w:rPr>
                <w:sz w:val="18"/>
              </w:rPr>
              <w:t>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Role matrix, menus by persona, separation of duties, password and session values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w:t>
            </w:r>
          </w:p>
        </w:tc>
        <w:tc>
          <w:tcPr>
            <w:tcW w:type="dxa" w:w="2266"/>
            <w:tcMar>
              <w:top w:w="50" w:type="dxa"/>
              <w:bottom w:w="50" w:type="dxa"/>
              <w:left w:w="90" w:type="dxa"/>
              <w:right w:w="90" w:type="dxa"/>
            </w:tcMar>
            <w:shd w:val="clear" w:color="auto" w:fill="E5F5FF"/>
          </w:tcPr>
          <w:p>
            <w:pPr>
              <w:pStyle w:val="BDOITable"/>
            </w:pPr>
            <w:r>
              <w:rPr>
                <w:sz w:val="18"/>
              </w:rPr>
              <w:t>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Sign-in and identity integration (single sign-on through EIAM, UIDM-ISC); System Administrator functions</w:t>
            </w:r>
          </w:p>
        </w:tc>
      </w:tr>
      <w:tr>
        <w:trPr>
          <w:cantSplit w:val="true"/>
        </w:trPr>
        <w:tc>
          <w:tcPr>
            <w:tcW w:type="dxa" w:w="2606"/>
            <w:tcMar>
              <w:top w:w="50" w:type="dxa"/>
              <w:bottom w:w="50" w:type="dxa"/>
              <w:left w:w="90" w:type="dxa"/>
              <w:right w:w="90" w:type="dxa"/>
            </w:tcMar>
          </w:tcPr>
          <w:p>
            <w:pPr>
              <w:pStyle w:val="BDOITable"/>
            </w:pPr>
            <w:r>
              <w:rPr>
                <w:sz w:val="18"/>
              </w:rPr>
              <w:t>Unit heads of the other BRDs</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The menus of their personas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6</w:t>
        </w:r>
      </w:hyperlink>
    </w:p>
    <w:p>
      <w:pPr>
        <w:pStyle w:val="toc1"/>
      </w:pPr>
      <w:hyperlink w:anchor="_Toc000106" w:history="1">
        <w:r>
          <w:t xml:space="preserve">6 Configuration inputs</w:t>
        </w:r>
        <w:r>
          <w:t xml:space="preserve">	</w:t>
        </w:r>
        <w:r>
          <w:t xml:space="preserve">8</w:t>
        </w:r>
      </w:hyperlink>
    </w:p>
    <w:p>
      <w:pPr>
        <w:pStyle w:val="toc1"/>
      </w:pPr>
      <w:hyperlink w:anchor="_Toc000107" w:history="1">
        <w:r>
          <w:t xml:space="preserve">7 Change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BRD-11 User Access Maintenance of BIBS, screen by screen, so that BDOI can confirm what it will get and sign it off. User Access Maintenance is a set of Drop 0 (Setup and Data Migration): it holds the users, the group profiles and the permissions that every other BRD checks, and it decides the menu each persona sees. The pack therefore shows the menu of every persona, and BDOI Information Security signs the role matrix and the separation-of-duties rules with the business owner, while BDOI IT signs the sign-in and identity integration assumptions. Signing freezes the content, the screens and the navigation of User Access Maintenance;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BRD-11_User_Access_Maintenance of Drop 0.</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00_BIBS_StartHere_BRD-11_User_Access_Maintenance_v2.1.docx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01_BIBS_GuideDeck_BRD-11_User_Access_Maintenance_v2.1.pptx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Business Administration, Information Security, BDOI IT;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02_BIBS_FRS_BRD-11_User_Access_Maintenance_v2.1.docx</w:t>
            </w:r>
          </w:p>
        </w:tc>
        <w:tc>
          <w:tcPr>
            <w:tcW w:type="dxa" w:w="3626"/>
            <w:tcMar>
              <w:top w:w="50" w:type="dxa"/>
              <w:bottom w:w="50" w:type="dxa"/>
              <w:left w:w="90" w:type="dxa"/>
              <w:right w:w="90" w:type="dxa"/>
            </w:tcMar>
          </w:tcPr>
          <w:p>
            <w:pPr>
              <w:pStyle w:val="BDOITable"/>
            </w:pPr>
            <w:r>
              <w:rPr>
                <w:sz w:val="15"/>
              </w:rPr>
              <w:t>Functional Requirements Specification v2.1: requirements, the menu of every persona, 19 screen specifications with screenshots, walkthroughs, messages, notifications, reports, the bulk upload, configuration inputs, cross-BRD contract</w:t>
            </w:r>
          </w:p>
        </w:tc>
        <w:tc>
          <w:tcPr>
            <w:tcW w:type="dxa" w:w="1926"/>
            <w:tcMar>
              <w:top w:w="50" w:type="dxa"/>
              <w:bottom w:w="50" w:type="dxa"/>
              <w:left w:w="90" w:type="dxa"/>
              <w:right w:w="90" w:type="dxa"/>
            </w:tcMar>
          </w:tcPr>
          <w:p>
            <w:pPr>
              <w:pStyle w:val="BDOITable"/>
            </w:pPr>
            <w:r>
              <w:rPr>
                <w:sz w:val="15"/>
              </w:rPr>
              <w:t>Business Administration for the requests and reports; Information Security for the role matrix and the separation of duties; BDOI IT for sign-in and identity integration</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03_BIBS_Signoff_BRD-11_User_Access_Maintenance_v2.1.xlsx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one menu sheet per persona;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signatories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04_BIBS_TestPlan_BRD-11_User_Access_Maintenance_v2.1.xlsx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 and the access checks by persona</w:t>
            </w:r>
          </w:p>
        </w:tc>
        <w:tc>
          <w:tcPr>
            <w:tcW w:type="dxa" w:w="1926"/>
            <w:tcMar>
              <w:top w:w="50" w:type="dxa"/>
              <w:bottom w:w="50" w:type="dxa"/>
              <w:left w:w="90" w:type="dxa"/>
              <w:right w:w="90" w:type="dxa"/>
            </w:tcMar>
          </w:tcPr>
          <w:p>
            <w:pPr>
              <w:pStyle w:val="BDOITable"/>
            </w:pPr>
            <w:r>
              <w:rPr>
                <w:sz w:val="15"/>
              </w:rPr>
              <w:t>Business users who will run UAT; Information Security;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05_BIBS_TestPlan_BRD-11_User_Access_Maintenance_Summary_v2.1.docx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Information Security,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06_BIBS_Templates_BRD-11_Configuration_Inputs_v2.1.xlsx</w:t>
            </w:r>
          </w:p>
        </w:tc>
        <w:tc>
          <w:tcPr>
            <w:tcW w:type="dxa" w:w="3626"/>
            <w:tcMar>
              <w:top w:w="50" w:type="dxa"/>
              <w:bottom w:w="50" w:type="dxa"/>
              <w:left w:w="90" w:type="dxa"/>
              <w:right w:w="90" w:type="dxa"/>
            </w:tcMar>
          </w:tcPr>
          <w:p>
            <w:pPr>
              <w:pStyle w:val="BDOITable"/>
            </w:pPr>
            <w:r>
              <w:rPr>
                <w:sz w:val="15"/>
              </w:rPr>
              <w:t>Configuration input templates: users and roles load, role-to-permission matrix, approval rules and limits, separation-of-duties rules, password and session parameters, lists of values</w:t>
            </w:r>
          </w:p>
        </w:tc>
        <w:tc>
          <w:tcPr>
            <w:tcW w:type="dxa" w:w="1926"/>
            <w:tcMar>
              <w:top w:w="50" w:type="dxa"/>
              <w:bottom w:w="50" w:type="dxa"/>
              <w:left w:w="90" w:type="dxa"/>
              <w:right w:w="90" w:type="dxa"/>
            </w:tcMar>
          </w:tcPr>
          <w:p>
            <w:pPr>
              <w:pStyle w:val="BDOITable"/>
            </w:pPr>
            <w:r>
              <w:rPr>
                <w:sz w:val="15"/>
              </w:rPr>
              <w:t>Business Administration, Information Security, BDOI IT, the unit heads who name their users</w:t>
            </w:r>
          </w:p>
        </w:tc>
        <w:tc>
          <w:tcPr>
            <w:tcW w:type="dxa" w:w="1473"/>
            <w:tcMar>
              <w:top w:w="50" w:type="dxa"/>
              <w:bottom w:w="50" w:type="dxa"/>
              <w:left w:w="90" w:type="dxa"/>
              <w:right w:w="90" w:type="dxa"/>
            </w:tcMar>
          </w:tcPr>
          <w:p>
            <w:pPr>
              <w:pStyle w:val="BDOITable"/>
            </w:pPr>
            <w:r>
              <w:rPr>
                <w:sz w:val="15"/>
              </w:rPr>
              <w:t>During the review; filled in before the first data migration mock and final before UAT</w:t>
            </w:r>
          </w:p>
        </w:tc>
      </w:tr>
      <w:tr>
        <w:tc>
          <w:tcPr>
            <w:tcW w:type="dxa" w:w="2946"/>
            <w:tcMar>
              <w:top w:w="50" w:type="dxa"/>
              <w:bottom w:w="50" w:type="dxa"/>
              <w:left w:w="90" w:type="dxa"/>
              <w:right w:w="90" w:type="dxa"/>
            </w:tcMar>
            <w:shd w:val="clear" w:color="auto" w:fill="E5F5FF"/>
          </w:tcPr>
          <w:p>
            <w:pPr>
              <w:pStyle w:val="BDOITable"/>
            </w:pPr>
            <w:r>
              <w:rPr>
                <w:sz w:val="15"/>
              </w:rPr>
              <w:t>07_BIBS_UXDeck_BRD-11_User_Access_Maintenance_v2.1.pptx</w:t>
            </w:r>
          </w:p>
        </w:tc>
        <w:tc>
          <w:tcPr>
            <w:tcW w:type="dxa" w:w="3626"/>
            <w:tcMar>
              <w:top w:w="50" w:type="dxa"/>
              <w:bottom w:w="50" w:type="dxa"/>
              <w:left w:w="90" w:type="dxa"/>
              <w:right w:w="90" w:type="dxa"/>
            </w:tcMar>
            <w:shd w:val="clear" w:color="auto" w:fill="E5F5FF"/>
          </w:tcPr>
          <w:p>
            <w:pPr>
              <w:pStyle w:val="BDOITable"/>
            </w:pPr>
            <w:r>
              <w:rPr>
                <w:sz w:val="15"/>
              </w:rPr>
              <w:t>UX Screen Deck for the BDOI UX Design team: design foundation, navigation and personas, every flow step by step and every screen with all its states</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tcPr>
          <w:p>
            <w:pPr>
              <w:pStyle w:val="BDOITable"/>
            </w:pPr>
            <w:r>
              <w:rPr>
                <w:sz w:val="15"/>
              </w:rPr>
              <w:t>08_BIBS_UXScreens_BRD-11_User_Access_Maintenance_v2.1.xlsx</w:t>
            </w:r>
          </w:p>
        </w:tc>
        <w:tc>
          <w:tcPr>
            <w:tcW w:type="dxa" w:w="3626"/>
            <w:tcMar>
              <w:top w:w="50" w:type="dxa"/>
              <w:bottom w:w="50" w:type="dxa"/>
              <w:left w:w="90" w:type="dxa"/>
              <w:right w:w="90" w:type="dxa"/>
            </w:tcMar>
          </w:tcPr>
          <w:p>
            <w:pPr>
              <w:pStyle w:val="BDOITable"/>
            </w:pPr>
            <w:r>
              <w:rPr>
                <w:sz w:val="15"/>
              </w:rPr>
              <w:t>UX screen register: one row per screen image with the screen, personas, flow and step, state, FRS section and requirements, UXD status and comments, and the Changed in this issue flag</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shd w:val="clear" w:color="auto" w:fill="E5F5FF"/>
          </w:tcPr>
          <w:p>
            <w:pPr>
              <w:pStyle w:val="BDOITable"/>
            </w:pPr>
            <w:r>
              <w:rPr>
                <w:sz w:val="15"/>
              </w:rPr>
              <w:t>09_BIBS_UXScreens_BRD-11_User_Access_Maintenance_v2.1.zip</w:t>
            </w:r>
          </w:p>
        </w:tc>
        <w:tc>
          <w:tcPr>
            <w:tcW w:type="dxa" w:w="3626"/>
            <w:tcMar>
              <w:top w:w="50" w:type="dxa"/>
              <w:bottom w:w="50" w:type="dxa"/>
              <w:left w:w="90" w:type="dxa"/>
              <w:right w:w="90" w:type="dxa"/>
            </w:tcMar>
            <w:shd w:val="clear" w:color="auto" w:fill="E5F5FF"/>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Marketing Business System)</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19 (configuration inputs), 21 (sign-off) and 22 (proposed rules for confirmation);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Business Administration (process owner of user access)</w:t>
            </w:r>
          </w:p>
        </w:tc>
        <w:tc>
          <w:tcPr>
            <w:tcW w:type="dxa" w:w="7592"/>
            <w:tcMar>
              <w:top w:w="50" w:type="dxa"/>
              <w:bottom w:w="50" w:type="dxa"/>
              <w:left w:w="90" w:type="dxa"/>
              <w:right w:w="90" w:type="dxa"/>
            </w:tcMar>
            <w:shd w:val="clear" w:color="auto" w:fill="E5F5FF"/>
          </w:tcPr>
          <w:p>
            <w:pPr>
              <w:pStyle w:val="BDOITable"/>
            </w:pPr>
            <w:r>
              <w:rPr>
                <w:sz w:val="16"/>
              </w:rPr>
              <w:t>FRS chapter 13 screens SCR-UA-06 to SCR-UA-12, SCR-UA-14 and SCR-UA-17; walkthroughs A and B; chapter 18 (bulk upload); chapter 19 templates CI-01, CI-03 and CI-06; workbook Screen catalogue, Field register, Business rules and Messages of those screens</w:t>
            </w:r>
          </w:p>
        </w:tc>
      </w:tr>
      <w:tr>
        <w:tc>
          <w:tcPr>
            <w:tcW w:type="dxa" w:w="2380"/>
            <w:tcMar>
              <w:top w:w="50" w:type="dxa"/>
              <w:bottom w:w="50" w:type="dxa"/>
              <w:left w:w="90" w:type="dxa"/>
              <w:right w:w="90" w:type="dxa"/>
            </w:tcMar>
          </w:tcPr>
          <w:p>
            <w:pPr>
              <w:pStyle w:val="BDOITable"/>
            </w:pPr>
            <w:r>
              <w:rPr>
                <w:b/>
                <w:sz w:val="16"/>
              </w:rPr>
              <w:t>BDOI Information Security</w:t>
            </w:r>
          </w:p>
        </w:tc>
        <w:tc>
          <w:tcPr>
            <w:tcW w:type="dxa" w:w="7592"/>
            <w:tcMar>
              <w:top w:w="50" w:type="dxa"/>
              <w:bottom w:w="50" w:type="dxa"/>
              <w:left w:w="90" w:type="dxa"/>
              <w:right w:w="90" w:type="dxa"/>
            </w:tcMar>
          </w:tcPr>
          <w:p>
            <w:pPr>
              <w:pStyle w:val="BDOITable"/>
            </w:pPr>
            <w:r>
              <w:rPr>
                <w:sz w:val="16"/>
              </w:rPr>
              <w:t>FRS chapter 3 (personas and permissions), chapter 12 (menu of every persona) and its workbook sheets Menu by persona and Menu &lt;role&gt;; chapter 13 rules of SCR-UA-07, SCR-UA-08, SCR-UA-12, SCR-UA-15, SCR-UA-16 and SCR-UA-18 (separation of duties, second approval, emergency path); walkthroughs C and D; templates CI-02, CI-04 and CI-05</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FRS chapter 7 (interfaces: EIAM on Entra ID, UIDM-ISC), chapter 8 (non-functional requirements), screens SCR-UA-01 to SCR-UA-05, SCR-UA-15 and SCR-UA-18, chapter 20 lines IC-08 to IC-11; template CI-05; the caveats of the Guide deck</w:t>
            </w:r>
          </w:p>
        </w:tc>
      </w:tr>
      <w:tr>
        <w:tc>
          <w:tcPr>
            <w:tcW w:type="dxa" w:w="2380"/>
            <w:tcMar>
              <w:top w:w="50" w:type="dxa"/>
              <w:bottom w:w="50" w:type="dxa"/>
              <w:left w:w="90" w:type="dxa"/>
              <w:right w:w="90" w:type="dxa"/>
            </w:tcMar>
          </w:tcPr>
          <w:p>
            <w:pPr>
              <w:pStyle w:val="BDOITable"/>
            </w:pPr>
            <w:r>
              <w:rPr>
                <w:b/>
                <w:sz w:val="16"/>
              </w:rPr>
              <w:t>Unit heads of the other BRDs (New Business, Operations, Finance, Compliance, Claims, Employee Benefits)</w:t>
            </w:r>
          </w:p>
        </w:tc>
        <w:tc>
          <w:tcPr>
            <w:tcW w:type="dxa" w:w="7592"/>
            <w:tcMar>
              <w:top w:w="50" w:type="dxa"/>
              <w:bottom w:w="50" w:type="dxa"/>
              <w:left w:w="90" w:type="dxa"/>
              <w:right w:w="90" w:type="dxa"/>
            </w:tcMar>
          </w:tcPr>
          <w:p>
            <w:pPr>
              <w:pStyle w:val="BDOITable"/>
            </w:pPr>
            <w:r>
              <w:rPr>
                <w:sz w:val="16"/>
              </w:rPr>
              <w:t>FRS chapter 12, the menu table of their personas, and the workbook sheet Menu &lt;role&gt; of each; walkthrough A (a new user sees exactly the menu of the persona)</w:t>
            </w:r>
          </w:p>
        </w:tc>
      </w:tr>
      <w:tr>
        <w:tc>
          <w:tcPr>
            <w:tcW w:type="dxa" w:w="2380"/>
            <w:tcMar>
              <w:top w:w="50" w:type="dxa"/>
              <w:bottom w:w="50" w:type="dxa"/>
              <w:left w:w="90" w:type="dxa"/>
              <w:right w:w="90" w:type="dxa"/>
            </w:tcMar>
            <w:shd w:val="clear" w:color="auto" w:fill="E5F5FF"/>
          </w:tcPr>
          <w:p>
            <w:pPr>
              <w:pStyle w:val="BDOITable"/>
            </w:pPr>
            <w:r>
              <w:rPr>
                <w:b/>
                <w:sz w:val="16"/>
              </w:rPr>
              <w:t>BDOI UX Design team</w:t>
            </w:r>
          </w:p>
        </w:tc>
        <w:tc>
          <w:tcPr>
            <w:tcW w:type="dxa" w:w="7592"/>
            <w:tcMar>
              <w:top w:w="50" w:type="dxa"/>
              <w:bottom w:w="50" w:type="dxa"/>
              <w:left w:w="90" w:type="dxa"/>
              <w:right w:w="90" w:type="dxa"/>
            </w:tcMar>
            <w:shd w:val="clear" w:color="auto" w:fill="E5F5FF"/>
          </w:tcPr>
          <w:p>
            <w:pPr>
              <w:pStyle w:val="BDOITable"/>
            </w:pPr>
            <w:r>
              <w:rPr>
                <w:sz w:val="16"/>
              </w:rPr>
              <w:t>07 UX Screen Deck: design foundation and navigation first, then the personas, flows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tcPr>
          <w:p>
            <w:pPr>
              <w:pStyle w:val="BDOITable"/>
            </w:pPr>
            <w:r>
              <w:rPr>
                <w:b/>
                <w:sz w:val="16"/>
              </w:rPr>
              <w:t>iorta TechNXT project team</w:t>
            </w:r>
          </w:p>
        </w:tc>
        <w:tc>
          <w:tcPr>
            <w:tcW w:type="dxa" w:w="7592"/>
            <w:tcMar>
              <w:top w:w="50" w:type="dxa"/>
              <w:bottom w:w="50" w:type="dxa"/>
              <w:left w:w="90" w:type="dxa"/>
              <w:right w:w="90" w:type="dxa"/>
            </w:tcMar>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requestor (Requestor), uamapprover (Approver), secapprover (Second Approver), badmin (Business Administrator), admin (System Administrator), auditor (Auditor), infosec (Information Security Officer) and approver (New Business Approver); the users of the other personas are named in FRS chapter 12.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v2.1 in the BRD-11 folder of Drop 0; invitations to the sessions</w:t>
            </w:r>
          </w:p>
        </w:tc>
        <w:tc>
          <w:tcPr>
            <w:tcW w:type="dxa" w:w="1926"/>
            <w:tcMar>
              <w:top w:w="50" w:type="dxa"/>
              <w:bottom w:w="50" w:type="dxa"/>
              <w:left w:w="90" w:type="dxa"/>
              <w:right w:w="90" w:type="dxa"/>
            </w:tcMar>
          </w:tcPr>
          <w:p>
            <w:pPr>
              <w:pStyle w:val="BDOITable"/>
            </w:pPr>
            <w:r>
              <w:rPr>
                <w:sz w:val="15"/>
              </w:rPr>
              <w:t>Day 0 (Mon 2-Nov-2026)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Business Administration, Information Security, BDOI IT; I: unit heads of the other BRDs</w:t>
            </w:r>
          </w:p>
        </w:tc>
        <w:tc>
          <w:tcPr>
            <w:tcW w:type="dxa" w:w="2946"/>
            <w:tcMar>
              <w:top w:w="50" w:type="dxa"/>
              <w:bottom w:w="50" w:type="dxa"/>
              <w:left w:w="90" w:type="dxa"/>
              <w:right w:w="90" w:type="dxa"/>
            </w:tcMar>
            <w:shd w:val="clear" w:color="auto" w:fill="E5F5FF"/>
          </w:tcPr>
          <w:p>
            <w:pPr>
              <w:pStyle w:val="BDOITable"/>
            </w:pPr>
            <w:r>
              <w:rPr>
                <w:sz w:val="15"/>
              </w:rPr>
              <w:t>Screens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2 sessions, Mon 9 and Tue 10-Nov-2026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 configuration inputs started</w:t>
            </w:r>
          </w:p>
        </w:tc>
        <w:tc>
          <w:tcPr>
            <w:tcW w:type="dxa" w:w="2946"/>
            <w:tcMar>
              <w:top w:w="50" w:type="dxa"/>
              <w:bottom w:w="50" w:type="dxa"/>
              <w:left w:w="90" w:type="dxa"/>
              <w:right w:w="90" w:type="dxa"/>
            </w:tcMar>
          </w:tcPr>
          <w:p>
            <w:pPr>
              <w:pStyle w:val="BDOITable"/>
            </w:pPr>
            <w:r>
              <w:rPr>
                <w:sz w:val="15"/>
              </w:rPr>
              <w:t>R: Business Administration, Information Security, BDOI IT, unit heads for their menus; A: BDOI Product Owner;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 first drafts of the templates (users, role matrix, rules, parameters)</w:t>
            </w:r>
          </w:p>
        </w:tc>
        <w:tc>
          <w:tcPr>
            <w:tcW w:type="dxa" w:w="1926"/>
            <w:tcMar>
              <w:top w:w="50" w:type="dxa"/>
              <w:bottom w:w="50" w:type="dxa"/>
              <w:left w:w="90" w:type="dxa"/>
              <w:right w:w="90" w:type="dxa"/>
            </w:tcMar>
          </w:tcPr>
          <w:p>
            <w:pPr>
              <w:pStyle w:val="BDOITable"/>
            </w:pPr>
            <w:r>
              <w:rPr>
                <w:sz w:val="15"/>
              </w:rPr>
              <w:t>8 working days after the walkthroughs, until Fri 20-Nov-2026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Tue 24-Nov-2026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(v2.2)</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v2.2 with the changed rows marked; change requests raised for the rest</w:t>
            </w:r>
          </w:p>
        </w:tc>
        <w:tc>
          <w:tcPr>
            <w:tcW w:type="dxa" w:w="1926"/>
            <w:tcMar>
              <w:top w:w="50" w:type="dxa"/>
              <w:bottom w:w="50" w:type="dxa"/>
              <w:left w:w="90" w:type="dxa"/>
              <w:right w:w="90" w:type="dxa"/>
            </w:tcMar>
          </w:tcPr>
          <w:p>
            <w:pPr>
              <w:pStyle w:val="BDOITable"/>
            </w:pPr>
            <w:r>
              <w:rPr>
                <w:sz w:val="15"/>
              </w:rPr>
              <w:t>v2.2 on Thu 26-Nov-2026; check by the reviewers until Fri 27-Nov-2026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Business Administration, Information Security,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Tue 1-Dec-2026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 configuration inputs loaded</w:t>
            </w:r>
          </w:p>
        </w:tc>
        <w:tc>
          <w:tcPr>
            <w:tcW w:type="dxa" w:w="2946"/>
            <w:tcMar>
              <w:top w:w="50" w:type="dxa"/>
              <w:bottom w:w="50" w:type="dxa"/>
              <w:left w:w="90" w:type="dxa"/>
              <w:right w:w="90" w:type="dxa"/>
            </w:tcMar>
          </w:tcPr>
          <w:p>
            <w:pPr>
              <w:pStyle w:val="BDOITable"/>
            </w:pPr>
            <w:r>
              <w:rPr>
                <w:sz w:val="15"/>
              </w:rPr>
              <w:t>R: iorta TechNXT delivery lead; A: BDOI Product Owner; I: BDOI IT, Information Security, other BRD owners, Data Migration working group</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 role matrix implemented by group-profile requests; users loaded by bulk requests before the first mock</w:t>
            </w:r>
          </w:p>
        </w:tc>
        <w:tc>
          <w:tcPr>
            <w:tcW w:type="dxa" w:w="1926"/>
            <w:tcMar>
              <w:top w:w="50" w:type="dxa"/>
              <w:bottom w:w="50" w:type="dxa"/>
              <w:left w:w="90" w:type="dxa"/>
              <w:right w:w="90" w:type="dxa"/>
            </w:tcMar>
          </w:tcPr>
          <w:p>
            <w:pPr>
              <w:pStyle w:val="BDOITable"/>
            </w:pPr>
            <w:r>
              <w:rPr>
                <w:sz w:val="15"/>
              </w:rPr>
              <w:t>From Wed 2-Dec-2026; templates final before UAT</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 Information Security</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messages and persona menus; results against each row</w:t>
            </w:r>
          </w:p>
        </w:tc>
        <w:tc>
          <w:tcPr>
            <w:tcW w:type="dxa" w:w="1926"/>
            <w:tcMar>
              <w:top w:w="50" w:type="dxa"/>
              <w:bottom w:w="50" w:type="dxa"/>
              <w:left w:w="90" w:type="dxa"/>
              <w:right w:w="90" w:type="dxa"/>
            </w:tcMar>
            <w:shd w:val="clear" w:color="auto" w:fill="E5F5FF"/>
          </w:tcPr>
          <w:p>
            <w:pPr>
              <w:pStyle w:val="BDOITable"/>
            </w:pPr>
            <w:r>
              <w:rPr>
                <w:sz w:val="15"/>
              </w:rPr>
              <w:t>SIT Apr - Jul 2027; UAT Aug - Oct 2027</w:t>
            </w:r>
          </w:p>
        </w:tc>
      </w:tr>
    </w:tbl>
    <w:p>
      <w:pPr>
        <w:pStyle w:val="BDOISpacer"/>
      </w:pPr>
    </w:p>
    <w:p>
      <w:r>
        <w:rPr>
          <w:b/>
        </w:rPr>
        <w:t>How to review.</w:t>
      </w:r>
      <w:r>
        <w:rPr/>
        <w:t xml:space="preserve"> Open the FRS chapters of your area or the same screens on SIT. In the sign-off workbook, set BU review to Accept, Change requested or Comment on each row you review (sheets Screen standards, Screen catalogue, Field register, Business rules, Messages, and the Menu sheet of each persona you own), write the change in BU comment, and add your name and the date. Questions go to the Comments log sheet.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Mon 9-Nov-2026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a new user from the request to the first sign-in with the menu of the persona (walkthrough A); a change, a revocation and a group-profile change (walkthrough B)</w:t>
            </w:r>
          </w:p>
        </w:tc>
        <w:tc>
          <w:tcPr>
            <w:tcW w:type="dxa" w:w="2493"/>
            <w:tcMar>
              <w:top w:w="50" w:type="dxa"/>
              <w:bottom w:w="50" w:type="dxa"/>
              <w:left w:w="90" w:type="dxa"/>
              <w:right w:w="90" w:type="dxa"/>
            </w:tcMar>
          </w:tcPr>
          <w:p>
            <w:pPr>
              <w:pStyle w:val="BDOITable"/>
            </w:pPr>
            <w:r>
              <w:rPr>
                <w:sz w:val="18"/>
              </w:rPr>
              <w:t>Business Administration, Information Security, unit heads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10-Nov-2026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Refused cases and messages (walkthrough C); the reports, the matrix and the insurer roles hidden from BDOI (walkthrough D); sign-in, passwords and sessions; the configuration input templates</w:t>
            </w:r>
          </w:p>
        </w:tc>
        <w:tc>
          <w:tcPr>
            <w:tcW w:type="dxa" w:w="2493"/>
            <w:tcMar>
              <w:top w:w="50" w:type="dxa"/>
              <w:bottom w:w="50" w:type="dxa"/>
              <w:left w:w="90" w:type="dxa"/>
              <w:right w:w="90" w:type="dxa"/>
            </w:tcMar>
            <w:shd w:val="clear" w:color="auto" w:fill="E5F5FF"/>
          </w:tcPr>
          <w:p>
            <w:pPr>
              <w:pStyle w:val="BDOITable"/>
            </w:pPr>
            <w:r>
              <w:rPr>
                <w:sz w:val="18"/>
              </w:rPr>
              <w:t>Information Security, BDOI IT, Business Administration, Data Migration working group</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BRD: iorta TechNXT prepares the set, the business units provide the input and review their parts, BDOI IT reviews the interfaces, the user access and the Technical Specification, the Program Manager of Business Project Services reviews the traceability and the completeness, and the Product Owner approves the whole set.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 representative (MBS), Business Administration</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 (four eyes, password and session rules)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 representative (MBS), Business Administration, BA (BPS)</w:t>
            </w:r>
          </w:p>
        </w:tc>
        <w:tc>
          <w:tcPr>
            <w:tcW w:type="dxa" w:w="1700"/>
            <w:tcMar>
              <w:top w:w="50" w:type="dxa"/>
              <w:bottom w:w="50" w:type="dxa"/>
              <w:left w:w="90" w:type="dxa"/>
              <w:right w:w="90" w:type="dxa"/>
            </w:tcMar>
            <w:shd w:val="clear" w:color="auto" w:fill="E5F5FF"/>
          </w:tcPr>
          <w:p>
            <w:pPr>
              <w:pStyle w:val="BDOITable"/>
            </w:pPr>
            <w:r>
              <w:rPr>
                <w:sz w:val="15"/>
              </w:rPr>
              <w:t>Program Manager (BPS), Information Security</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Business Administration</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Documents and reports (access reports, audit log)</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 representative (MBS), Business Administration</w:t>
            </w:r>
          </w:p>
        </w:tc>
        <w:tc>
          <w:tcPr>
            <w:tcW w:type="dxa" w:w="1700"/>
            <w:tcMar>
              <w:top w:w="50" w:type="dxa"/>
              <w:bottom w:w="50" w:type="dxa"/>
              <w:left w:w="90" w:type="dxa"/>
              <w:right w:w="90" w:type="dxa"/>
            </w:tcMar>
            <w:shd w:val="clear" w:color="auto" w:fill="E5F5FF"/>
          </w:tcPr>
          <w:p>
            <w:pPr>
              <w:pStyle w:val="BDOITable"/>
            </w:pPr>
            <w:r>
              <w:rPr>
                <w:sz w:val="15"/>
              </w:rPr>
              <w:t>Program Manager (BPS), Information Security</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 representative (MBS), Business Administration</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 representative (MBS), Business Administration</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Proposed business rules and clarifications for confirmation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 BU representative (MBS)</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Role matrix and menus by persona (who may do what)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 representative (MBS), Business Administration</w:t>
            </w:r>
          </w:p>
        </w:tc>
        <w:tc>
          <w:tcPr>
            <w:tcW w:type="dxa" w:w="1700"/>
            <w:tcMar>
              <w:top w:w="50" w:type="dxa"/>
              <w:bottom w:w="50" w:type="dxa"/>
              <w:left w:w="90" w:type="dxa"/>
              <w:right w:w="90" w:type="dxa"/>
            </w:tcMar>
            <w:shd w:val="clear" w:color="auto" w:fill="E5F5FF"/>
          </w:tcPr>
          <w:p>
            <w:pPr>
              <w:pStyle w:val="BDOITable"/>
            </w:pPr>
            <w:r>
              <w:rPr>
                <w:sz w:val="15"/>
              </w:rPr>
              <w:t>Information Security, BDOI IT</w:t>
            </w:r>
          </w:p>
        </w:tc>
        <w:tc>
          <w:tcPr>
            <w:tcW w:type="dxa" w:w="2153"/>
            <w:tcMar>
              <w:top w:w="50" w:type="dxa"/>
              <w:bottom w:w="50" w:type="dxa"/>
              <w:left w:w="90" w:type="dxa"/>
              <w:right w:w="90" w:type="dxa"/>
            </w:tcMar>
            <w:shd w:val="clear" w:color="auto" w:fill="E5F5FF"/>
          </w:tcPr>
          <w:p>
            <w:pPr>
              <w:pStyle w:val="BDOITable"/>
            </w:pPr>
            <w:r>
              <w:rPr>
                <w:sz w:val="15"/>
              </w:rPr>
              <w:t>Product Owner, UH Claims and Risk Management, UH Combank and Corbank, Head Comptrollership, Head Retail Marketing, Head Corporate and Retail Marketing</w:t>
            </w:r>
          </w:p>
        </w:tc>
      </w:tr>
      <w:tr>
        <w:tc>
          <w:tcPr>
            <w:tcW w:type="dxa" w:w="2946"/>
            <w:tcMar>
              <w:top w:w="50" w:type="dxa"/>
              <w:bottom w:w="50" w:type="dxa"/>
              <w:left w:w="90" w:type="dxa"/>
              <w:right w:w="90" w:type="dxa"/>
            </w:tcMar>
          </w:tcPr>
          <w:p>
            <w:pPr>
              <w:pStyle w:val="BDOITable"/>
            </w:pPr>
            <w:r>
              <w:rPr>
                <w:b/>
                <w:sz w:val="15"/>
              </w:rPr>
              <w:t>Interfaces and sign-in (EIAM, UIDM-ISC, directory)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Business Administration</w:t>
            </w:r>
          </w:p>
        </w:tc>
        <w:tc>
          <w:tcPr>
            <w:tcW w:type="dxa" w:w="1700"/>
            <w:tcMar>
              <w:top w:w="50" w:type="dxa"/>
              <w:bottom w:w="50" w:type="dxa"/>
              <w:left w:w="90" w:type="dxa"/>
              <w:right w:w="90" w:type="dxa"/>
            </w:tcMar>
          </w:tcPr>
          <w:p>
            <w:pPr>
              <w:pStyle w:val="BDOITable"/>
            </w:pPr>
            <w:r>
              <w:rPr>
                <w:sz w:val="15"/>
              </w:rPr>
              <w:t>BDOI IT, Information Security</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Test plan (04 workbook, 05 summary)</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 representative (MBS), Business Administration</w:t>
            </w:r>
          </w:p>
        </w:tc>
        <w:tc>
          <w:tcPr>
            <w:tcW w:type="dxa" w:w="1700"/>
            <w:tcMar>
              <w:top w:w="50" w:type="dxa"/>
              <w:bottom w:w="50" w:type="dxa"/>
              <w:left w:w="90" w:type="dxa"/>
              <w:right w:w="90" w:type="dxa"/>
            </w:tcMar>
            <w:shd w:val="clear" w:color="auto" w:fill="E5F5FF"/>
          </w:tcPr>
          <w:p>
            <w:pPr>
              <w:pStyle w:val="BDOITable"/>
            </w:pPr>
            <w:r>
              <w:rPr>
                <w:sz w:val="15"/>
              </w:rPr>
              <w:t>Program Manager (BPS), BDOI IT</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Configuration inputs (06 templates, Drop 0)</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Business Administration, BU representative (MBS)</w:t>
            </w:r>
          </w:p>
        </w:tc>
        <w:tc>
          <w:tcPr>
            <w:tcW w:type="dxa" w:w="1700"/>
            <w:tcMar>
              <w:top w:w="50" w:type="dxa"/>
              <w:bottom w:w="50" w:type="dxa"/>
              <w:left w:w="90" w:type="dxa"/>
              <w:right w:w="90" w:type="dxa"/>
            </w:tcMar>
          </w:tcPr>
          <w:p>
            <w:pPr>
              <w:pStyle w:val="BDOITable"/>
            </w:pPr>
            <w:r>
              <w:rPr>
                <w:sz w:val="15"/>
              </w:rPr>
              <w:t>Information Security, 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BDOI IT</w:t>
            </w:r>
          </w:p>
        </w:tc>
        <w:tc>
          <w:tcPr>
            <w:tcW w:type="dxa" w:w="1700"/>
            <w:tcMar>
              <w:top w:w="50" w:type="dxa"/>
              <w:bottom w:w="50" w:type="dxa"/>
              <w:left w:w="90" w:type="dxa"/>
              <w:right w:w="90" w:type="dxa"/>
            </w:tcMar>
            <w:shd w:val="clear" w:color="auto" w:fill="E5F5FF"/>
          </w:tcPr>
          <w:p>
            <w:pPr>
              <w:pStyle w:val="BDOITable"/>
            </w:pPr>
            <w:r>
              <w:rPr>
                <w:sz w:val="15"/>
              </w:rPr>
              <w:t>BDOI IT, Information Security</w:t>
            </w:r>
          </w:p>
        </w:tc>
        <w:tc>
          <w:tcPr>
            <w:tcW w:type="dxa" w:w="2153"/>
            <w:tcMar>
              <w:top w:w="50" w:type="dxa"/>
              <w:bottom w:w="50" w:type="dxa"/>
              <w:left w:w="90" w:type="dxa"/>
              <w:right w:w="90" w:type="dxa"/>
            </w:tcMar>
            <w:shd w:val="clear" w:color="auto" w:fill="E5F5FF"/>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(BRD-11 sign-off sheet p.19 (Owner: "I own this document and approve all of its contents"))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 Business Process Services (BPS)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(p.19)</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BU representative, Marketing Business System (MBS) (BDOI)</w:t>
            </w:r>
          </w:p>
        </w:tc>
        <w:tc>
          <w:tcPr>
            <w:tcW w:type="dxa" w:w="3853"/>
            <w:tcMar>
              <w:top w:w="50" w:type="dxa"/>
              <w:bottom w:w="50" w:type="dxa"/>
              <w:left w:w="90" w:type="dxa"/>
              <w:right w:w="90" w:type="dxa"/>
            </w:tcMar>
          </w:tcPr>
          <w:p>
            <w:pPr>
              <w:pStyle w:val="BDOITable"/>
            </w:pPr>
            <w:r>
              <w:rPr>
                <w:sz w:val="15"/>
              </w:rPr>
              <w:t>The request, approval, group-profile and report screens match the business input</w:t>
            </w:r>
          </w:p>
        </w:tc>
        <w:tc>
          <w:tcPr>
            <w:tcW w:type="dxa" w:w="2040"/>
            <w:tcMar>
              <w:top w:w="50" w:type="dxa"/>
              <w:bottom w:w="50" w:type="dxa"/>
              <w:left w:w="90" w:type="dxa"/>
              <w:right w:w="90" w:type="dxa"/>
            </w:tcMar>
          </w:tcPr>
          <w:p>
            <w:pPr>
              <w:pStyle w:val="BDOITable"/>
            </w:pPr>
            <w:r>
              <w:rPr>
                <w:sz w:val="15"/>
              </w:rPr>
              <w:t>Input provider (p.19)</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Business Administration (user access maintenance) (BDOI)</w:t>
            </w:r>
          </w:p>
        </w:tc>
        <w:tc>
          <w:tcPr>
            <w:tcW w:type="dxa" w:w="3853"/>
            <w:tcMar>
              <w:top w:w="50" w:type="dxa"/>
              <w:bottom w:w="50" w:type="dxa"/>
              <w:left w:w="90" w:type="dxa"/>
              <w:right w:w="90" w:type="dxa"/>
            </w:tcMar>
            <w:shd w:val="clear" w:color="auto" w:fill="E5F5FF"/>
          </w:tcPr>
          <w:p>
            <w:pPr>
              <w:pStyle w:val="BDOITable"/>
            </w:pPr>
            <w:r>
              <w:rPr>
                <w:sz w:val="15"/>
              </w:rPr>
              <w:t>The daily handling of the requests and the configuration inputs of templates CI-01 to CI-06</w:t>
            </w:r>
          </w:p>
        </w:tc>
        <w:tc>
          <w:tcPr>
            <w:tcW w:type="dxa" w:w="2040"/>
            <w:tcMar>
              <w:top w:w="50" w:type="dxa"/>
              <w:bottom w:w="50" w:type="dxa"/>
              <w:left w:w="90" w:type="dxa"/>
              <w:right w:w="90" w:type="dxa"/>
            </w:tcMar>
            <w:shd w:val="clear" w:color="auto" w:fill="E5F5FF"/>
          </w:tcPr>
          <w:p>
            <w:pPr>
              <w:pStyle w:val="BDOITable"/>
            </w:pPr>
            <w:r>
              <w:rPr>
                <w:sz w:val="15"/>
              </w:rPr>
              <w:t>Added for this set</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Program Manager, Enterprise Services - Business Process Services (BPS)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 ("validated the completeness of business requirements")</w:t>
            </w:r>
          </w:p>
        </w:tc>
        <w:tc>
          <w:tcPr>
            <w:tcW w:type="dxa" w:w="2040"/>
            <w:tcMar>
              <w:top w:w="50" w:type="dxa"/>
              <w:bottom w:w="50" w:type="dxa"/>
              <w:left w:w="90" w:type="dxa"/>
              <w:right w:w="90" w:type="dxa"/>
            </w:tcMar>
          </w:tcPr>
          <w:p>
            <w:pPr>
              <w:pStyle w:val="BDOITable"/>
            </w:pPr>
            <w:r>
              <w:rPr>
                <w:sz w:val="15"/>
              </w:rPr>
              <w:t>Reviewed by (p.19)</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Security (BDOI)</w:t>
            </w:r>
          </w:p>
        </w:tc>
        <w:tc>
          <w:tcPr>
            <w:tcW w:type="dxa" w:w="3853"/>
            <w:tcMar>
              <w:top w:w="50" w:type="dxa"/>
              <w:bottom w:w="50" w:type="dxa"/>
              <w:left w:w="90" w:type="dxa"/>
              <w:right w:w="90" w:type="dxa"/>
            </w:tcMar>
            <w:shd w:val="clear" w:color="auto" w:fill="E5F5FF"/>
          </w:tcPr>
          <w:p>
            <w:pPr>
              <w:pStyle w:val="BDOITable"/>
            </w:pPr>
            <w:r>
              <w:rPr>
                <w:sz w:val="15"/>
              </w:rPr>
              <w:t>The role matrix, the menus by persona, the separation-of-duties rules, the password and session rules and the audit log</w:t>
            </w:r>
          </w:p>
        </w:tc>
        <w:tc>
          <w:tcPr>
            <w:tcW w:type="dxa" w:w="2040"/>
            <w:tcMar>
              <w:top w:w="50" w:type="dxa"/>
              <w:bottom w:w="50" w:type="dxa"/>
              <w:left w:w="90" w:type="dxa"/>
              <w:right w:w="90" w:type="dxa"/>
            </w:tcMar>
            <w:shd w:val="clear" w:color="auto" w:fill="E5F5FF"/>
          </w:tcPr>
          <w:p>
            <w:pPr>
              <w:pStyle w:val="BDOITable"/>
            </w:pPr>
            <w:r>
              <w:rPr>
                <w:sz w:val="15"/>
              </w:rPr>
              <w:t>Added for this set</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BDOI Information Technology Group (BDOI IT) (BDOI)</w:t>
            </w:r>
          </w:p>
        </w:tc>
        <w:tc>
          <w:tcPr>
            <w:tcW w:type="dxa" w:w="3853"/>
            <w:tcMar>
              <w:top w:w="50" w:type="dxa"/>
              <w:bottom w:w="50" w:type="dxa"/>
              <w:left w:w="90" w:type="dxa"/>
              <w:right w:w="90" w:type="dxa"/>
            </w:tcMar>
          </w:tcPr>
          <w:p>
            <w:pPr>
              <w:pStyle w:val="BDOITable"/>
            </w:pPr>
            <w:r>
              <w:rPr>
                <w:sz w:val="15"/>
              </w:rPr>
              <w:t>Sign-in and identity interfaces (EIAM, UIDM-ISC), the System Administrator functions and the Technical Specification (a separate document); not the business screens</w:t>
            </w:r>
          </w:p>
        </w:tc>
        <w:tc>
          <w:tcPr>
            <w:tcW w:type="dxa" w:w="2040"/>
            <w:tcMar>
              <w:top w:w="50" w:type="dxa"/>
              <w:bottom w:w="50" w:type="dxa"/>
              <w:left w:w="90" w:type="dxa"/>
              <w:right w:w="90" w:type="dxa"/>
            </w:tcMar>
          </w:tcPr>
          <w:p>
            <w:pPr>
              <w:pStyle w:val="BDOITable"/>
            </w:pPr>
            <w:r>
              <w:rPr>
                <w:sz w:val="15"/>
              </w:rPr>
              <w:t>Added for this set</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Marketing Business System (BDOI)</w:t>
            </w:r>
          </w:p>
        </w:tc>
        <w:tc>
          <w:tcPr>
            <w:tcW w:type="dxa" w:w="3853"/>
            <w:tcMar>
              <w:top w:w="50" w:type="dxa"/>
              <w:bottom w:w="50" w:type="dxa"/>
              <w:left w:w="90" w:type="dxa"/>
              <w:right w:w="90" w:type="dxa"/>
            </w:tcMar>
            <w:shd w:val="clear" w:color="auto" w:fill="E5F5FF"/>
          </w:tcPr>
          <w:p>
            <w:pPr>
              <w:pStyle w:val="BDOITable"/>
            </w:pPr>
            <w:r>
              <w:rPr>
                <w:sz w:val="15"/>
              </w:rPr>
              <w:t>Owns the set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owner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Unit Head - Claims and Risk Management (BDOI)</w:t>
            </w:r>
          </w:p>
        </w:tc>
        <w:tc>
          <w:tcPr>
            <w:tcW w:type="dxa" w:w="3853"/>
            <w:tcMar>
              <w:top w:w="50" w:type="dxa"/>
              <w:bottom w:w="50" w:type="dxa"/>
              <w:left w:w="90" w:type="dxa"/>
              <w:right w:w="90" w:type="dxa"/>
            </w:tcMar>
          </w:tcPr>
          <w:p>
            <w:pPr>
              <w:pStyle w:val="BDOITable"/>
            </w:pPr>
            <w:r>
              <w:rPr>
                <w:sz w:val="15"/>
              </w:rPr>
              <w:t>The access of the Claims and Risk Management users</w:t>
            </w:r>
          </w:p>
        </w:tc>
        <w:tc>
          <w:tcPr>
            <w:tcW w:type="dxa" w:w="2040"/>
            <w:tcMar>
              <w:top w:w="50" w:type="dxa"/>
              <w:bottom w:w="50" w:type="dxa"/>
              <w:left w:w="90" w:type="dxa"/>
              <w:right w:w="90" w:type="dxa"/>
            </w:tcMar>
          </w:tcPr>
          <w:p>
            <w:pPr>
              <w:pStyle w:val="BDOITable"/>
            </w:pPr>
            <w:r>
              <w:rPr>
                <w:sz w:val="15"/>
              </w:rPr>
              <w:t>Approved by (p.19)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Combank and Corbank Marketing / Corporate Processing (BDOI)</w:t>
            </w:r>
          </w:p>
        </w:tc>
        <w:tc>
          <w:tcPr>
            <w:tcW w:type="dxa" w:w="3853"/>
            <w:tcMar>
              <w:top w:w="50" w:type="dxa"/>
              <w:bottom w:w="50" w:type="dxa"/>
              <w:left w:w="90" w:type="dxa"/>
              <w:right w:w="90" w:type="dxa"/>
            </w:tcMar>
            <w:shd w:val="clear" w:color="auto" w:fill="E5F5FF"/>
          </w:tcPr>
          <w:p>
            <w:pPr>
              <w:pStyle w:val="BDOITable"/>
            </w:pPr>
            <w:r>
              <w:rPr>
                <w:sz w:val="15"/>
              </w:rPr>
              <w:t>The access of the Combank, Corbank and Corporate Processing users</w:t>
            </w:r>
          </w:p>
        </w:tc>
        <w:tc>
          <w:tcPr>
            <w:tcW w:type="dxa" w:w="2040"/>
            <w:tcMar>
              <w:top w:w="50" w:type="dxa"/>
              <w:bottom w:w="50" w:type="dxa"/>
              <w:left w:w="90" w:type="dxa"/>
              <w:right w:w="90" w:type="dxa"/>
            </w:tcMar>
            <w:shd w:val="clear" w:color="auto" w:fill="E5F5FF"/>
          </w:tcPr>
          <w:p>
            <w:pPr>
              <w:pStyle w:val="BDOITable"/>
            </w:pPr>
            <w:r>
              <w:rPr>
                <w:sz w:val="15"/>
              </w:rPr>
              <w:t>Approved by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Comptrollership (BDOI)</w:t>
            </w:r>
          </w:p>
        </w:tc>
        <w:tc>
          <w:tcPr>
            <w:tcW w:type="dxa" w:w="3853"/>
            <w:tcMar>
              <w:top w:w="50" w:type="dxa"/>
              <w:bottom w:w="50" w:type="dxa"/>
              <w:left w:w="90" w:type="dxa"/>
              <w:right w:w="90" w:type="dxa"/>
            </w:tcMar>
          </w:tcPr>
          <w:p>
            <w:pPr>
              <w:pStyle w:val="BDOITable"/>
            </w:pPr>
            <w:r>
              <w:rPr>
                <w:sz w:val="15"/>
              </w:rPr>
              <w:t>The access of the Comptrollership users</w:t>
            </w:r>
          </w:p>
        </w:tc>
        <w:tc>
          <w:tcPr>
            <w:tcW w:type="dxa" w:w="2040"/>
            <w:tcMar>
              <w:top w:w="50" w:type="dxa"/>
              <w:bottom w:w="50" w:type="dxa"/>
              <w:left w:w="90" w:type="dxa"/>
              <w:right w:w="90" w:type="dxa"/>
            </w:tcMar>
          </w:tcPr>
          <w:p>
            <w:pPr>
              <w:pStyle w:val="BDOITable"/>
            </w:pPr>
            <w:r>
              <w:rPr>
                <w:sz w:val="15"/>
              </w:rPr>
              <w:t>Approved by (p.19)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Retail Marketing (BDOI)</w:t>
            </w:r>
          </w:p>
        </w:tc>
        <w:tc>
          <w:tcPr>
            <w:tcW w:type="dxa" w:w="3853"/>
            <w:tcMar>
              <w:top w:w="50" w:type="dxa"/>
              <w:bottom w:w="50" w:type="dxa"/>
              <w:left w:w="90" w:type="dxa"/>
              <w:right w:w="90" w:type="dxa"/>
            </w:tcMar>
            <w:shd w:val="clear" w:color="auto" w:fill="E5F5FF"/>
          </w:tcPr>
          <w:p>
            <w:pPr>
              <w:pStyle w:val="BDOITable"/>
            </w:pPr>
            <w:r>
              <w:rPr>
                <w:sz w:val="15"/>
              </w:rPr>
              <w:t>The access of the Retail Marketing users</w:t>
            </w:r>
          </w:p>
        </w:tc>
        <w:tc>
          <w:tcPr>
            <w:tcW w:type="dxa" w:w="2040"/>
            <w:tcMar>
              <w:top w:w="50" w:type="dxa"/>
              <w:bottom w:w="50" w:type="dxa"/>
              <w:left w:w="90" w:type="dxa"/>
              <w:right w:w="90" w:type="dxa"/>
            </w:tcMar>
            <w:shd w:val="clear" w:color="auto" w:fill="E5F5FF"/>
          </w:tcPr>
          <w:p>
            <w:pPr>
              <w:pStyle w:val="BDOITable"/>
            </w:pPr>
            <w:r>
              <w:rPr>
                <w:sz w:val="15"/>
              </w:rPr>
              <w:t>Approved by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Corporate and Retail Marketing (BDOI)</w:t>
            </w:r>
          </w:p>
        </w:tc>
        <w:tc>
          <w:tcPr>
            <w:tcW w:type="dxa" w:w="3853"/>
            <w:tcMar>
              <w:top w:w="50" w:type="dxa"/>
              <w:bottom w:w="50" w:type="dxa"/>
              <w:left w:w="90" w:type="dxa"/>
              <w:right w:w="90" w:type="dxa"/>
            </w:tcMar>
          </w:tcPr>
          <w:p>
            <w:pPr>
              <w:pStyle w:val="BDOITable"/>
            </w:pPr>
            <w:r>
              <w:rPr>
                <w:sz w:val="15"/>
              </w:rPr>
              <w:t>The access of the Corporate Marketing users</w:t>
            </w:r>
          </w:p>
        </w:tc>
        <w:tc>
          <w:tcPr>
            <w:tcW w:type="dxa" w:w="2040"/>
            <w:tcMar>
              <w:top w:w="50" w:type="dxa"/>
              <w:bottom w:w="50" w:type="dxa"/>
              <w:left w:w="90" w:type="dxa"/>
              <w:right w:w="90" w:type="dxa"/>
            </w:tcMar>
          </w:tcPr>
          <w:p>
            <w:pPr>
              <w:pStyle w:val="BDOITable"/>
            </w:pPr>
            <w:r>
              <w:rPr>
                <w:sz w:val="15"/>
              </w:rPr>
              <w:t>Approved by (p.19)</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6 Configuration inputs</w:t>
      </w:r>
      <w:bookmarkEnd w:id="106"/>
    </w:p>
    <w:p>
      <w:r>
        <w:rPr/>
        <w:t>The workbook of configuration input templates lists what the business provides to set up User Access Maintenance: the users and their group profiles (loaded with the bulk request), the role-to-permission matrix (implemented by group-profile requests), the approvers, approval rules and limits, the separation-of-duties rules, the password, session and sign-in values and the lists of values (FRS chapter 19). The owners start the templates during the review; the users and the role matrix are due before the first data migration mock, and the parameters agreed with Information Security before UAT. The workbook opens on a Start here sheet with the templates in the order they are filled in and a link to each; every template sheet carries its own guide above the columns (mandatory, format, allowed values, what to enter), drop-downs and one example row, and questions are raised in the workbook on the sheet Questions and comments.</w:t>
      </w:r>
    </w:p>
    <w:p>
      <w:pPr>
        <w:pStyle w:val="Heading1"/>
        <w:pBdr>
          <w:bottom w:val="single" w:sz="4" w:space="4" w:color="99C1E7"/>
        </w:pBdr>
      </w:pPr>
      <w:bookmarkStart w:id="107" w:name="_Toc000107"/>
      <w:r>
        <w:rPr/>
        <w:t>7 Change control after sign-off</w:t>
      </w:r>
      <w:bookmarkEnd w:id="107"/>
    </w:p>
    <w:p>
      <w:r>
        <w:rPr/>
        <w:t>Signing freezes the User Access Maintenance screens, fields, navigation, actions, separation-of-duties and other business rules, messages, notifications, reports, templates and the cross-BRD contract as specified. The configuration itself (the group profiles and their permissions, the users, the approvers, the list values and the parameters) is maintained through requests and audited changes and is not frozen; the menus follow the profiles. A change to anything frozen is raised in the Change Management Register with the screen, field, rule or message concerned, assessed with its mandays and its effect on the other BRDs, approved by the owners of every BRD it touches and, for a separation-of-duties or sign-in change, by BDOI Information Security,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BRD-11 User Access Maintenance</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BRD-11,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